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F34CC">
      <w:pPr>
        <w:jc w:val="left"/>
        <w:rPr>
          <w:rFonts w:ascii="仿宋" w:hAnsi="仿宋"/>
          <w:bCs/>
          <w:sz w:val="28"/>
          <w:szCs w:val="28"/>
          <w:highlight w:val="none"/>
        </w:rPr>
      </w:pPr>
    </w:p>
    <w:p w14:paraId="38AA1519">
      <w:pPr>
        <w:jc w:val="center"/>
        <w:outlineLvl w:val="9"/>
        <w:rPr>
          <w:rFonts w:hint="eastAsia" w:ascii="宋体" w:hAnsi="宋体" w:eastAsia="宋体" w:cs="宋体"/>
          <w:b/>
          <w:bCs/>
          <w:sz w:val="32"/>
          <w:szCs w:val="32"/>
          <w:highlight w:val="none"/>
        </w:rPr>
      </w:pPr>
      <w:bookmarkStart w:id="0" w:name="_Toc12146"/>
      <w:bookmarkStart w:id="1" w:name="_Toc26943"/>
      <w:bookmarkStart w:id="2" w:name="_Toc8830"/>
      <w:r>
        <w:rPr>
          <w:rFonts w:hint="eastAsia" w:ascii="宋体" w:hAnsi="宋体" w:eastAsia="宋体" w:cs="宋体"/>
          <w:b/>
          <w:bCs/>
          <w:sz w:val="32"/>
          <w:szCs w:val="32"/>
          <w:highlight w:val="none"/>
        </w:rPr>
        <w:t>桂林-恭城-贺州公路（桂林至钟山段）№7</w:t>
      </w:r>
      <w:bookmarkEnd w:id="0"/>
      <w:r>
        <w:rPr>
          <w:rFonts w:hint="eastAsia" w:ascii="宋体" w:hAnsi="宋体" w:eastAsia="宋体" w:cs="宋体"/>
          <w:b/>
          <w:bCs/>
          <w:sz w:val="32"/>
          <w:szCs w:val="32"/>
          <w:highlight w:val="none"/>
        </w:rPr>
        <w:t>合同段</w:t>
      </w:r>
      <w:bookmarkEnd w:id="1"/>
      <w:bookmarkEnd w:id="2"/>
    </w:p>
    <w:p w14:paraId="35D76337">
      <w:pPr>
        <w:jc w:val="center"/>
        <w:rPr>
          <w:rFonts w:hint="default" w:ascii="宋体" w:hAnsi="宋体" w:eastAsia="宋体" w:cs="宋体"/>
          <w:b/>
          <w:bCs/>
          <w:sz w:val="32"/>
          <w:szCs w:val="32"/>
          <w:highlight w:val="none"/>
          <w:lang w:val="en-US" w:eastAsia="zh-CN"/>
        </w:rPr>
      </w:pPr>
      <w:bookmarkStart w:id="3" w:name="_Toc9816"/>
      <w:r>
        <w:rPr>
          <w:rFonts w:hint="eastAsia" w:ascii="宋体" w:hAnsi="宋体" w:cs="宋体"/>
          <w:b/>
          <w:bCs/>
          <w:sz w:val="32"/>
          <w:szCs w:val="32"/>
          <w:highlight w:val="none"/>
          <w:lang w:val="en-US" w:eastAsia="zh-CN"/>
        </w:rPr>
        <w:t>新渡坪右幅10#墩</w:t>
      </w:r>
    </w:p>
    <w:bookmarkEnd w:id="3"/>
    <w:p w14:paraId="770C77E4">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7EFD6EF1">
      <w:pPr>
        <w:jc w:val="center"/>
        <w:rPr>
          <w:rFonts w:hint="eastAsia" w:ascii="宋体" w:hAnsi="宋体" w:eastAsia="宋体" w:cs="宋体"/>
          <w:b/>
          <w:bCs/>
          <w:sz w:val="32"/>
          <w:szCs w:val="32"/>
          <w:highlight w:val="none"/>
        </w:rPr>
      </w:pPr>
    </w:p>
    <w:p w14:paraId="0F6C1F8C">
      <w:pPr>
        <w:ind w:firstLine="562" w:firstLineChars="201"/>
        <w:jc w:val="left"/>
        <w:rPr>
          <w:rFonts w:ascii="仿宋" w:hAnsi="仿宋"/>
          <w:sz w:val="28"/>
          <w:szCs w:val="28"/>
          <w:highlight w:val="none"/>
        </w:rPr>
      </w:pPr>
    </w:p>
    <w:p w14:paraId="1506E44E">
      <w:pPr>
        <w:bidi w:val="0"/>
        <w:rPr>
          <w:highlight w:val="none"/>
        </w:rPr>
      </w:pPr>
    </w:p>
    <w:p w14:paraId="63AFCDF3">
      <w:pPr>
        <w:ind w:firstLine="562" w:firstLineChars="201"/>
        <w:jc w:val="center"/>
        <w:rPr>
          <w:rFonts w:ascii="仿宋" w:hAnsi="仿宋"/>
          <w:sz w:val="28"/>
          <w:szCs w:val="28"/>
          <w:highlight w:val="none"/>
        </w:rPr>
      </w:pPr>
      <w:r>
        <w:rPr>
          <w:rFonts w:hint="eastAsia" w:eastAsia="宋体"/>
          <w:bCs/>
          <w:color w:val="000000" w:themeColor="text1"/>
          <w:sz w:val="28"/>
          <w:szCs w:val="28"/>
          <w:highlight w:val="none"/>
          <w:lang w:eastAsia="zh-CN"/>
          <w14:textFill>
            <w14:solidFill>
              <w14:schemeClr w14:val="tx1"/>
            </w14:solidFill>
          </w14:textFill>
        </w:rPr>
        <w:drawing>
          <wp:inline distT="0" distB="0" distL="114300" distR="114300">
            <wp:extent cx="2338070" cy="3043555"/>
            <wp:effectExtent l="0" t="0" r="508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2338070" cy="3043555"/>
                    </a:xfrm>
                    <a:prstGeom prst="rect">
                      <a:avLst/>
                    </a:prstGeom>
                  </pic:spPr>
                </pic:pic>
              </a:graphicData>
            </a:graphic>
          </wp:inline>
        </w:drawing>
      </w:r>
    </w:p>
    <w:p w14:paraId="213308BF">
      <w:pPr>
        <w:ind w:firstLine="565" w:firstLineChars="201"/>
        <w:jc w:val="left"/>
        <w:rPr>
          <w:rFonts w:ascii="仿宋" w:hAnsi="仿宋"/>
          <w:b/>
          <w:sz w:val="28"/>
          <w:szCs w:val="28"/>
          <w:highlight w:val="none"/>
        </w:rPr>
      </w:pPr>
    </w:p>
    <w:p w14:paraId="642F567F">
      <w:pPr>
        <w:pStyle w:val="12"/>
        <w:rPr>
          <w:rFonts w:ascii="仿宋" w:hAnsi="仿宋"/>
          <w:b/>
          <w:sz w:val="28"/>
          <w:szCs w:val="28"/>
          <w:highlight w:val="none"/>
        </w:rPr>
      </w:pPr>
    </w:p>
    <w:p w14:paraId="10E6BFDB">
      <w:pPr>
        <w:jc w:val="left"/>
        <w:rPr>
          <w:rFonts w:ascii="仿宋" w:hAnsi="仿宋"/>
          <w:b/>
          <w:sz w:val="28"/>
          <w:szCs w:val="28"/>
          <w:highlight w:val="none"/>
        </w:rPr>
      </w:pPr>
    </w:p>
    <w:p w14:paraId="1DFB1846">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中交第二航务工程局有限公司</w:t>
      </w:r>
    </w:p>
    <w:p w14:paraId="2F88C1BD">
      <w:pPr>
        <w:jc w:val="center"/>
        <w:rPr>
          <w:rFonts w:ascii="Times New Roman" w:hAnsi="Times New Roman" w:cs="Times New Roman"/>
          <w:b/>
          <w:color w:val="000000"/>
          <w:sz w:val="28"/>
          <w:szCs w:val="28"/>
          <w:highlight w:val="none"/>
        </w:rPr>
      </w:pPr>
      <w:bookmarkStart w:id="4" w:name="_Hlk51263647"/>
      <w:r>
        <w:rPr>
          <w:rFonts w:hint="eastAsia" w:ascii="Times New Roman" w:hAnsi="Times New Roman" w:cs="Times New Roman"/>
          <w:b/>
          <w:color w:val="000000"/>
          <w:sz w:val="28"/>
          <w:szCs w:val="28"/>
          <w:highlight w:val="none"/>
        </w:rPr>
        <w:t>桂林-恭城-贺州公路（桂林</w:t>
      </w:r>
      <w:r>
        <w:rPr>
          <w:rFonts w:hint="eastAsia" w:ascii="Times New Roman" w:hAnsi="Times New Roman" w:eastAsia="宋体" w:cs="Times New Roman"/>
          <w:b/>
          <w:color w:val="000000"/>
          <w:sz w:val="28"/>
          <w:szCs w:val="28"/>
          <w:highlight w:val="none"/>
        </w:rPr>
        <w:t>至钟山段）</w:t>
      </w:r>
      <w:bookmarkEnd w:id="4"/>
      <w:r>
        <w:rPr>
          <w:rFonts w:hint="eastAsia" w:ascii="Times New Roman" w:hAnsi="Times New Roman" w:eastAsia="宋体" w:cs="Times New Roman"/>
          <w:b/>
          <w:color w:val="000000"/>
          <w:sz w:val="28"/>
          <w:szCs w:val="28"/>
          <w:highlight w:val="none"/>
        </w:rPr>
        <w:t>№7</w:t>
      </w:r>
      <w:r>
        <w:rPr>
          <w:rFonts w:hint="eastAsia" w:ascii="Times New Roman" w:hAnsi="Times New Roman" w:eastAsia="宋体" w:cs="Times New Roman"/>
          <w:b/>
          <w:color w:val="000000"/>
          <w:sz w:val="28"/>
          <w:szCs w:val="28"/>
          <w:highlight w:val="none"/>
          <w:lang w:val="en-US" w:eastAsia="zh-CN"/>
        </w:rPr>
        <w:t>合同段工程总</w:t>
      </w:r>
      <w:r>
        <w:rPr>
          <w:rFonts w:hint="eastAsia" w:ascii="Times New Roman" w:hAnsi="Times New Roman" w:cs="Times New Roman"/>
          <w:b/>
          <w:color w:val="000000"/>
          <w:sz w:val="28"/>
          <w:szCs w:val="28"/>
          <w:highlight w:val="none"/>
          <w:lang w:val="en-US" w:eastAsia="zh-CN"/>
        </w:rPr>
        <w:t>承包</w:t>
      </w:r>
      <w:r>
        <w:rPr>
          <w:rFonts w:ascii="Times New Roman" w:hAnsi="Times New Roman" w:cs="Times New Roman"/>
          <w:b/>
          <w:color w:val="000000"/>
          <w:sz w:val="28"/>
          <w:szCs w:val="28"/>
          <w:highlight w:val="none"/>
        </w:rPr>
        <w:t>部</w:t>
      </w:r>
    </w:p>
    <w:p w14:paraId="66FB938B">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二〇二</w:t>
      </w:r>
      <w:r>
        <w:rPr>
          <w:rFonts w:hint="eastAsia" w:ascii="Times New Roman" w:hAnsi="Times New Roman" w:cs="Times New Roman"/>
          <w:b/>
          <w:color w:val="000000"/>
          <w:sz w:val="28"/>
          <w:szCs w:val="28"/>
          <w:highlight w:val="none"/>
          <w:lang w:val="en-US" w:eastAsia="zh-CN"/>
        </w:rPr>
        <w:t>五</w:t>
      </w:r>
      <w:r>
        <w:rPr>
          <w:rFonts w:hint="eastAsia" w:ascii="Times New Roman" w:hAnsi="Times New Roman" w:cs="Times New Roman"/>
          <w:b/>
          <w:color w:val="000000"/>
          <w:sz w:val="28"/>
          <w:szCs w:val="28"/>
          <w:highlight w:val="none"/>
        </w:rPr>
        <w:t>年</w:t>
      </w:r>
      <w:r>
        <w:rPr>
          <w:rFonts w:hint="eastAsia" w:ascii="Times New Roman" w:hAnsi="Times New Roman" w:cs="Times New Roman"/>
          <w:b/>
          <w:color w:val="000000"/>
          <w:sz w:val="28"/>
          <w:szCs w:val="28"/>
          <w:highlight w:val="none"/>
          <w:lang w:val="en-US" w:eastAsia="zh-CN"/>
        </w:rPr>
        <w:t>八</w:t>
      </w:r>
      <w:r>
        <w:rPr>
          <w:rFonts w:hint="eastAsia" w:ascii="Times New Roman" w:hAnsi="Times New Roman" w:cs="Times New Roman"/>
          <w:b/>
          <w:color w:val="000000"/>
          <w:sz w:val="28"/>
          <w:szCs w:val="28"/>
          <w:highlight w:val="none"/>
        </w:rPr>
        <w:t>月</w:t>
      </w:r>
    </w:p>
    <w:p w14:paraId="03278FD4">
      <w:pPr>
        <w:jc w:val="center"/>
        <w:rPr>
          <w:rFonts w:hint="eastAsia" w:ascii="Times New Roman" w:hAnsi="Times New Roman" w:cs="Times New Roman"/>
          <w:b/>
          <w:color w:val="000000"/>
          <w:sz w:val="28"/>
          <w:szCs w:val="28"/>
          <w:highlight w:val="none"/>
        </w:rPr>
      </w:pPr>
    </w:p>
    <w:p w14:paraId="6B1F31D2">
      <w:pPr>
        <w:rPr>
          <w:rFonts w:ascii="仿宋" w:hAnsi="仿宋"/>
          <w:sz w:val="28"/>
          <w:szCs w:val="28"/>
          <w:highlight w:val="none"/>
        </w:rPr>
      </w:pPr>
      <w:r>
        <w:rPr>
          <w:rFonts w:ascii="仿宋" w:hAnsi="仿宋"/>
          <w:sz w:val="28"/>
          <w:szCs w:val="28"/>
          <w:highlight w:val="none"/>
        </w:rPr>
        <w:br w:type="page"/>
      </w:r>
    </w:p>
    <w:p w14:paraId="1EEBF986">
      <w:pPr>
        <w:pStyle w:val="29"/>
        <w:ind w:left="610" w:hanging="70"/>
        <w:rPr>
          <w:rFonts w:ascii="仿宋" w:hAnsi="仿宋"/>
          <w:szCs w:val="28"/>
          <w:highlight w:val="none"/>
        </w:rPr>
      </w:pPr>
    </w:p>
    <w:p w14:paraId="5D99695D">
      <w:pPr>
        <w:pStyle w:val="21"/>
        <w:rPr>
          <w:highlight w:val="none"/>
        </w:rPr>
      </w:pPr>
    </w:p>
    <w:p w14:paraId="685220D0">
      <w:pPr>
        <w:pStyle w:val="21"/>
        <w:rPr>
          <w:highlight w:val="none"/>
        </w:rPr>
      </w:pPr>
    </w:p>
    <w:p w14:paraId="3AFD65F9">
      <w:pPr>
        <w:pStyle w:val="21"/>
        <w:rPr>
          <w:highlight w:val="none"/>
        </w:rPr>
      </w:pPr>
    </w:p>
    <w:p w14:paraId="0F4D4CFC">
      <w:pPr>
        <w:pStyle w:val="21"/>
        <w:rPr>
          <w:highlight w:val="none"/>
        </w:rPr>
      </w:pPr>
    </w:p>
    <w:p w14:paraId="015F21F5">
      <w:pPr>
        <w:pStyle w:val="21"/>
        <w:rPr>
          <w:highlight w:val="none"/>
        </w:rPr>
      </w:pPr>
    </w:p>
    <w:p w14:paraId="56EE18DB">
      <w:pPr>
        <w:pStyle w:val="21"/>
        <w:rPr>
          <w:highlight w:val="none"/>
        </w:rPr>
      </w:pPr>
    </w:p>
    <w:p w14:paraId="1F0B2C87">
      <w:pPr>
        <w:pStyle w:val="21"/>
        <w:rPr>
          <w:highlight w:val="none"/>
        </w:rPr>
      </w:pPr>
    </w:p>
    <w:p w14:paraId="726D5CD9">
      <w:pPr>
        <w:pStyle w:val="21"/>
        <w:rPr>
          <w:highlight w:val="none"/>
        </w:rPr>
      </w:pPr>
    </w:p>
    <w:p w14:paraId="54909F42">
      <w:pPr>
        <w:pStyle w:val="21"/>
        <w:rPr>
          <w:highlight w:val="none"/>
        </w:rPr>
      </w:pPr>
    </w:p>
    <w:p w14:paraId="797752D2">
      <w:pPr>
        <w:pStyle w:val="21"/>
        <w:rPr>
          <w:highlight w:val="none"/>
        </w:rPr>
      </w:pPr>
    </w:p>
    <w:p w14:paraId="1EC36BFF">
      <w:pPr>
        <w:pStyle w:val="21"/>
        <w:rPr>
          <w:highlight w:val="none"/>
        </w:rPr>
      </w:pPr>
    </w:p>
    <w:p w14:paraId="43E53B23">
      <w:pPr>
        <w:pStyle w:val="21"/>
        <w:rPr>
          <w:highlight w:val="none"/>
        </w:rPr>
      </w:pPr>
    </w:p>
    <w:p w14:paraId="7E3A188F">
      <w:pPr>
        <w:pStyle w:val="21"/>
        <w:rPr>
          <w:highlight w:val="none"/>
        </w:rPr>
      </w:pPr>
    </w:p>
    <w:p w14:paraId="3B7EB0D7">
      <w:pPr>
        <w:pStyle w:val="21"/>
        <w:rPr>
          <w:highlight w:val="none"/>
        </w:rPr>
      </w:pPr>
    </w:p>
    <w:p w14:paraId="7E9BE989">
      <w:pPr>
        <w:pStyle w:val="21"/>
        <w:rPr>
          <w:highlight w:val="none"/>
        </w:rPr>
      </w:pPr>
    </w:p>
    <w:p w14:paraId="64B2E19E">
      <w:pPr>
        <w:pStyle w:val="21"/>
        <w:rPr>
          <w:highlight w:val="none"/>
        </w:rPr>
      </w:pPr>
    </w:p>
    <w:p w14:paraId="3AED5102">
      <w:pPr>
        <w:pStyle w:val="21"/>
        <w:rPr>
          <w:highlight w:val="none"/>
        </w:rPr>
      </w:pPr>
    </w:p>
    <w:p w14:paraId="3DED97AE">
      <w:pPr>
        <w:pStyle w:val="21"/>
        <w:rPr>
          <w:highlight w:val="none"/>
        </w:rPr>
      </w:pPr>
    </w:p>
    <w:p w14:paraId="632C1B7B">
      <w:pPr>
        <w:pStyle w:val="21"/>
        <w:rPr>
          <w:highlight w:val="none"/>
        </w:rPr>
      </w:pPr>
    </w:p>
    <w:p w14:paraId="52F85BE0">
      <w:pPr>
        <w:pStyle w:val="21"/>
        <w:rPr>
          <w:highlight w:val="none"/>
        </w:rPr>
      </w:pPr>
    </w:p>
    <w:p w14:paraId="6B51A192">
      <w:pPr>
        <w:pStyle w:val="21"/>
        <w:rPr>
          <w:highlight w:val="none"/>
        </w:rPr>
      </w:pPr>
    </w:p>
    <w:p w14:paraId="73E6CFFF">
      <w:pPr>
        <w:pStyle w:val="21"/>
        <w:rPr>
          <w:highlight w:val="none"/>
        </w:rPr>
      </w:pPr>
    </w:p>
    <w:p w14:paraId="3C20E2CF">
      <w:pPr>
        <w:pStyle w:val="21"/>
        <w:rPr>
          <w:highlight w:val="none"/>
        </w:rPr>
      </w:pPr>
    </w:p>
    <w:p w14:paraId="57F778D0">
      <w:pPr>
        <w:pStyle w:val="21"/>
        <w:rPr>
          <w:highlight w:val="none"/>
        </w:rPr>
      </w:pPr>
    </w:p>
    <w:p w14:paraId="47FDA561">
      <w:pPr>
        <w:pStyle w:val="21"/>
        <w:rPr>
          <w:highlight w:val="none"/>
        </w:rPr>
      </w:pPr>
    </w:p>
    <w:p w14:paraId="0864AF9E">
      <w:pPr>
        <w:bidi w:val="0"/>
        <w:rPr>
          <w:highlight w:val="none"/>
        </w:rPr>
      </w:pPr>
    </w:p>
    <w:p w14:paraId="02BA5FDE">
      <w:pPr>
        <w:ind w:firstLine="646" w:firstLineChars="201"/>
        <w:jc w:val="center"/>
        <w:rPr>
          <w:rFonts w:ascii="仿宋" w:hAnsi="仿宋"/>
          <w:b/>
          <w:bCs/>
          <w:sz w:val="32"/>
          <w:szCs w:val="32"/>
          <w:highlight w:val="none"/>
        </w:rPr>
      </w:pPr>
    </w:p>
    <w:p w14:paraId="50A755E9">
      <w:pPr>
        <w:jc w:val="center"/>
        <w:outlineLvl w:val="9"/>
        <w:rPr>
          <w:rFonts w:hint="eastAsia"/>
          <w:b/>
          <w:bCs/>
          <w:sz w:val="36"/>
          <w:szCs w:val="36"/>
          <w:highlight w:val="none"/>
        </w:rPr>
      </w:pPr>
      <w:bookmarkStart w:id="5" w:name="_Toc27374"/>
      <w:bookmarkStart w:id="6" w:name="_Toc32098"/>
      <w:r>
        <w:rPr>
          <w:rFonts w:hint="eastAsia"/>
          <w:b/>
          <w:bCs/>
          <w:sz w:val="36"/>
          <w:szCs w:val="36"/>
          <w:highlight w:val="none"/>
        </w:rPr>
        <w:t>桂林-恭城-贺州公路（桂林至钟山段）№</w:t>
      </w:r>
      <w:r>
        <w:rPr>
          <w:b/>
          <w:bCs/>
          <w:sz w:val="36"/>
          <w:szCs w:val="36"/>
          <w:highlight w:val="none"/>
        </w:rPr>
        <w:t>7</w:t>
      </w:r>
      <w:r>
        <w:rPr>
          <w:rFonts w:hint="eastAsia"/>
          <w:b/>
          <w:bCs/>
          <w:sz w:val="36"/>
          <w:szCs w:val="36"/>
          <w:highlight w:val="none"/>
        </w:rPr>
        <w:t>合同段</w:t>
      </w:r>
      <w:bookmarkEnd w:id="5"/>
      <w:bookmarkEnd w:id="6"/>
    </w:p>
    <w:p w14:paraId="21DCE8B9">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2003144A">
      <w:pPr>
        <w:jc w:val="center"/>
        <w:rPr>
          <w:rFonts w:ascii="仿宋" w:hAnsi="仿宋" w:cs="仿宋"/>
          <w:b/>
          <w:bCs/>
          <w:sz w:val="32"/>
          <w:szCs w:val="32"/>
          <w:highlight w:val="none"/>
        </w:rPr>
      </w:pPr>
    </w:p>
    <w:p w14:paraId="53B125E6">
      <w:pPr>
        <w:ind w:firstLine="565" w:firstLineChars="201"/>
        <w:jc w:val="left"/>
        <w:rPr>
          <w:rFonts w:ascii="仿宋" w:hAnsi="仿宋"/>
          <w:b/>
          <w:sz w:val="28"/>
          <w:szCs w:val="28"/>
          <w:highlight w:val="none"/>
        </w:rPr>
      </w:pPr>
    </w:p>
    <w:p w14:paraId="4B6FE8E3">
      <w:pPr>
        <w:ind w:firstLine="565" w:firstLineChars="201"/>
        <w:jc w:val="left"/>
        <w:rPr>
          <w:rFonts w:ascii="仿宋" w:hAnsi="仿宋"/>
          <w:b/>
          <w:sz w:val="28"/>
          <w:szCs w:val="28"/>
          <w:highlight w:val="none"/>
        </w:rPr>
      </w:pPr>
    </w:p>
    <w:p w14:paraId="0D6D5D28">
      <w:pPr>
        <w:ind w:firstLine="565" w:firstLineChars="201"/>
        <w:jc w:val="left"/>
        <w:rPr>
          <w:rFonts w:ascii="仿宋" w:hAnsi="仿宋"/>
          <w:b/>
          <w:sz w:val="28"/>
          <w:szCs w:val="28"/>
          <w:highlight w:val="none"/>
        </w:rPr>
      </w:pPr>
    </w:p>
    <w:p w14:paraId="3D091463">
      <w:pPr>
        <w:ind w:firstLine="565" w:firstLineChars="201"/>
        <w:jc w:val="left"/>
        <w:rPr>
          <w:rFonts w:ascii="仿宋" w:hAnsi="仿宋"/>
          <w:b/>
          <w:sz w:val="28"/>
          <w:szCs w:val="28"/>
          <w:highlight w:val="none"/>
        </w:rPr>
      </w:pPr>
    </w:p>
    <w:p w14:paraId="3F78C170">
      <w:pPr>
        <w:jc w:val="left"/>
        <w:rPr>
          <w:rFonts w:ascii="仿宋" w:hAnsi="仿宋"/>
          <w:b/>
          <w:sz w:val="28"/>
          <w:szCs w:val="28"/>
          <w:highlight w:val="none"/>
        </w:rPr>
      </w:pPr>
    </w:p>
    <w:p w14:paraId="32D04BD0">
      <w:pPr>
        <w:pStyle w:val="29"/>
        <w:ind w:left="610" w:hanging="70"/>
        <w:rPr>
          <w:rFonts w:ascii="仿宋" w:hAnsi="仿宋"/>
          <w:b/>
          <w:szCs w:val="28"/>
          <w:highlight w:val="none"/>
        </w:rPr>
      </w:pPr>
    </w:p>
    <w:p w14:paraId="0BF5B7DD">
      <w:pPr>
        <w:pStyle w:val="14"/>
        <w:rPr>
          <w:highlight w:val="none"/>
        </w:rPr>
      </w:pPr>
    </w:p>
    <w:p w14:paraId="1AC58708">
      <w:pPr>
        <w:ind w:firstLine="565" w:firstLineChars="201"/>
        <w:jc w:val="left"/>
        <w:rPr>
          <w:rFonts w:ascii="仿宋" w:hAnsi="仿宋"/>
          <w:b/>
          <w:sz w:val="28"/>
          <w:szCs w:val="28"/>
          <w:highlight w:val="none"/>
        </w:rPr>
      </w:pPr>
    </w:p>
    <w:p w14:paraId="767334B5">
      <w:pPr>
        <w:ind w:firstLine="565" w:firstLineChars="201"/>
        <w:jc w:val="left"/>
        <w:outlineLvl w:val="9"/>
        <w:rPr>
          <w:rFonts w:ascii="仿宋" w:hAnsi="仿宋"/>
          <w:b/>
          <w:sz w:val="28"/>
          <w:szCs w:val="28"/>
          <w:highlight w:val="none"/>
        </w:rPr>
      </w:pPr>
      <w:r>
        <w:rPr>
          <w:rFonts w:hint="eastAsia" w:ascii="仿宋" w:hAnsi="仿宋"/>
          <w:b/>
          <w:sz w:val="28"/>
          <w:szCs w:val="28"/>
          <w:highlight w:val="none"/>
        </w:rPr>
        <w:t xml:space="preserve">          </w:t>
      </w:r>
      <w:bookmarkStart w:id="7" w:name="_Toc10865"/>
      <w:bookmarkStart w:id="8" w:name="_Toc26573"/>
      <w:r>
        <w:rPr>
          <w:rFonts w:hint="eastAsia" w:ascii="仿宋" w:hAnsi="仿宋"/>
          <w:b/>
          <w:sz w:val="28"/>
          <w:szCs w:val="28"/>
          <w:highlight w:val="none"/>
        </w:rPr>
        <w:t xml:space="preserve">编制： </w:t>
      </w:r>
      <w:bookmarkEnd w:id="7"/>
      <w:bookmarkEnd w:id="8"/>
      <w:r>
        <w:rPr>
          <w:rFonts w:hint="eastAsia" w:ascii="仿宋" w:hAnsi="仿宋"/>
          <w:b/>
          <w:sz w:val="28"/>
          <w:szCs w:val="28"/>
          <w:highlight w:val="none"/>
          <w:u w:val="single"/>
        </w:rPr>
        <w:t xml:space="preserve">                      </w:t>
      </w:r>
    </w:p>
    <w:p w14:paraId="0C5565F7">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审核</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19C65362">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批准</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4B538B9D">
      <w:pPr>
        <w:ind w:firstLine="482" w:firstLineChars="201"/>
        <w:jc w:val="left"/>
        <w:rPr>
          <w:rFonts w:ascii="仿宋" w:hAnsi="仿宋"/>
          <w:sz w:val="28"/>
          <w:szCs w:val="28"/>
          <w:highlight w:val="none"/>
        </w:rPr>
      </w:pPr>
      <w:r>
        <w:rPr>
          <w:rFonts w:hint="eastAsia"/>
          <w:highlight w:val="none"/>
        </w:rPr>
        <w:t xml:space="preserve">                                      </w:t>
      </w:r>
    </w:p>
    <w:p w14:paraId="3CF83C43">
      <w:pPr>
        <w:ind w:firstLine="562" w:firstLineChars="201"/>
        <w:jc w:val="center"/>
        <w:rPr>
          <w:rFonts w:ascii="仿宋" w:hAnsi="仿宋"/>
          <w:sz w:val="28"/>
          <w:szCs w:val="28"/>
          <w:highlight w:val="none"/>
        </w:rPr>
      </w:pPr>
    </w:p>
    <w:p w14:paraId="03D647E0">
      <w:pPr>
        <w:bidi w:val="0"/>
      </w:pPr>
    </w:p>
    <w:p w14:paraId="014EB695">
      <w:pPr>
        <w:jc w:val="center"/>
        <w:rPr>
          <w:rFonts w:hint="eastAsia" w:ascii="仿宋" w:hAnsi="仿宋"/>
          <w:b/>
          <w:bCs/>
          <w:sz w:val="32"/>
          <w:szCs w:val="32"/>
          <w:highlight w:val="none"/>
          <w:lang w:val="en-US" w:eastAsia="zh-CN"/>
        </w:rPr>
      </w:pPr>
      <w:r>
        <w:rPr>
          <w:rFonts w:hint="eastAsia" w:ascii="仿宋" w:hAnsi="仿宋"/>
          <w:b/>
          <w:bCs/>
          <w:sz w:val="32"/>
          <w:szCs w:val="32"/>
          <w:highlight w:val="none"/>
          <w:lang w:val="en-US" w:eastAsia="zh-CN"/>
        </w:rPr>
        <w:t>四川科斗文智能装备有限公司</w:t>
      </w:r>
    </w:p>
    <w:p w14:paraId="08B4081A">
      <w:pPr>
        <w:jc w:val="center"/>
        <w:rPr>
          <w:rFonts w:hint="eastAsia" w:ascii="仿宋" w:hAnsi="仿宋"/>
          <w:b/>
          <w:bCs/>
          <w:sz w:val="32"/>
          <w:szCs w:val="32"/>
          <w:highlight w:val="none"/>
          <w:lang w:val="en-US" w:eastAsia="zh-CN"/>
        </w:rPr>
      </w:pPr>
    </w:p>
    <w:p w14:paraId="4961716F">
      <w:pPr>
        <w:jc w:val="center"/>
        <w:rPr>
          <w:rFonts w:hint="eastAsia" w:ascii="仿宋" w:hAnsi="仿宋"/>
          <w:b/>
          <w:bCs/>
          <w:sz w:val="32"/>
          <w:szCs w:val="32"/>
          <w:highlight w:val="none"/>
          <w:lang w:val="en-US" w:eastAsia="zh-CN"/>
        </w:rPr>
      </w:pPr>
    </w:p>
    <w:p w14:paraId="1518D621">
      <w:pPr>
        <w:jc w:val="center"/>
        <w:rPr>
          <w:rFonts w:hint="eastAsia" w:ascii="仿宋" w:hAnsi="仿宋"/>
          <w:b/>
          <w:bCs/>
          <w:sz w:val="32"/>
          <w:szCs w:val="32"/>
          <w:highlight w:val="none"/>
          <w:lang w:val="en-US" w:eastAsia="zh-CN"/>
        </w:rPr>
      </w:pPr>
    </w:p>
    <w:p w14:paraId="31D07177">
      <w:pPr>
        <w:jc w:val="center"/>
        <w:rPr>
          <w:rFonts w:hint="eastAsia" w:ascii="仿宋" w:hAnsi="仿宋"/>
          <w:b/>
          <w:bCs/>
          <w:sz w:val="32"/>
          <w:szCs w:val="32"/>
          <w:highlight w:val="none"/>
          <w:lang w:val="en-US" w:eastAsia="zh-CN"/>
        </w:rPr>
      </w:pPr>
    </w:p>
    <w:p w14:paraId="2DD7F57E">
      <w:pPr>
        <w:jc w:val="center"/>
        <w:rPr>
          <w:rFonts w:hint="eastAsia" w:ascii="仿宋" w:hAnsi="仿宋"/>
          <w:b/>
          <w:bCs/>
          <w:sz w:val="32"/>
          <w:szCs w:val="32"/>
          <w:highlight w:val="none"/>
          <w:lang w:val="en-US" w:eastAsia="zh-CN"/>
        </w:rPr>
      </w:pPr>
    </w:p>
    <w:p w14:paraId="46367B31">
      <w:pPr>
        <w:jc w:val="center"/>
        <w:rPr>
          <w:rFonts w:hint="eastAsia" w:ascii="仿宋" w:hAnsi="仿宋"/>
          <w:b/>
          <w:bCs/>
          <w:sz w:val="32"/>
          <w:szCs w:val="32"/>
          <w:highlight w:val="none"/>
          <w:lang w:val="en-US" w:eastAsia="zh-CN"/>
        </w:rPr>
      </w:pPr>
    </w:p>
    <w:p w14:paraId="2E360F0C">
      <w:pPr>
        <w:jc w:val="center"/>
        <w:rPr>
          <w:rFonts w:hint="eastAsia" w:ascii="仿宋" w:hAnsi="仿宋"/>
          <w:b/>
          <w:bCs/>
          <w:sz w:val="32"/>
          <w:szCs w:val="32"/>
          <w:highlight w:val="none"/>
          <w:lang w:val="en-US" w:eastAsia="zh-CN"/>
        </w:rPr>
      </w:pPr>
    </w:p>
    <w:p w14:paraId="70177B65">
      <w:pPr>
        <w:jc w:val="center"/>
        <w:rPr>
          <w:rFonts w:hint="eastAsia" w:ascii="仿宋" w:hAnsi="仿宋"/>
          <w:b/>
          <w:bCs/>
          <w:sz w:val="32"/>
          <w:szCs w:val="32"/>
          <w:highlight w:val="none"/>
          <w:lang w:val="en-US" w:eastAsia="zh-CN"/>
        </w:rPr>
      </w:pPr>
    </w:p>
    <w:p w14:paraId="48E2F237">
      <w:pPr>
        <w:jc w:val="center"/>
        <w:rPr>
          <w:rFonts w:hint="eastAsia" w:ascii="仿宋" w:hAnsi="仿宋"/>
          <w:b/>
          <w:bCs/>
          <w:sz w:val="32"/>
          <w:szCs w:val="32"/>
          <w:highlight w:val="none"/>
          <w:lang w:val="en-US" w:eastAsia="zh-CN"/>
        </w:rPr>
      </w:pPr>
    </w:p>
    <w:p w14:paraId="0D40D03B">
      <w:pPr>
        <w:jc w:val="center"/>
        <w:rPr>
          <w:rFonts w:hint="eastAsia" w:ascii="仿宋" w:hAnsi="仿宋"/>
          <w:b/>
          <w:bCs/>
          <w:sz w:val="32"/>
          <w:szCs w:val="32"/>
          <w:highlight w:val="none"/>
          <w:lang w:val="en-US" w:eastAsia="zh-CN"/>
        </w:rPr>
      </w:pPr>
    </w:p>
    <w:p w14:paraId="0E4B5C18">
      <w:pPr>
        <w:jc w:val="center"/>
        <w:rPr>
          <w:rFonts w:hint="eastAsia" w:ascii="仿宋" w:hAnsi="仿宋"/>
          <w:b/>
          <w:bCs/>
          <w:sz w:val="32"/>
          <w:szCs w:val="32"/>
          <w:highlight w:val="none"/>
          <w:lang w:val="en-US" w:eastAsia="zh-CN"/>
        </w:rPr>
      </w:pPr>
    </w:p>
    <w:p w14:paraId="4FE23226">
      <w:pPr>
        <w:jc w:val="center"/>
        <w:rPr>
          <w:rFonts w:hint="eastAsia" w:ascii="仿宋" w:hAnsi="仿宋"/>
          <w:b/>
          <w:bCs/>
          <w:sz w:val="32"/>
          <w:szCs w:val="32"/>
          <w:highlight w:val="none"/>
          <w:lang w:val="en-US" w:eastAsia="zh-CN"/>
        </w:rPr>
      </w:pPr>
    </w:p>
    <w:p w14:paraId="077668CB">
      <w:pPr>
        <w:jc w:val="center"/>
        <w:rPr>
          <w:rFonts w:hint="eastAsia" w:ascii="仿宋" w:hAnsi="仿宋"/>
          <w:b/>
          <w:bCs/>
          <w:sz w:val="32"/>
          <w:szCs w:val="32"/>
          <w:highlight w:val="none"/>
          <w:lang w:val="en-US" w:eastAsia="zh-CN"/>
        </w:rPr>
      </w:pPr>
    </w:p>
    <w:p w14:paraId="170110E6">
      <w:pPr>
        <w:jc w:val="center"/>
        <w:rPr>
          <w:rFonts w:hint="eastAsia" w:ascii="仿宋" w:hAnsi="仿宋"/>
          <w:b/>
          <w:bCs/>
          <w:sz w:val="32"/>
          <w:szCs w:val="32"/>
          <w:highlight w:val="none"/>
          <w:lang w:val="en-US" w:eastAsia="zh-CN"/>
        </w:rPr>
      </w:pPr>
    </w:p>
    <w:p w14:paraId="49CD8029">
      <w:pPr>
        <w:jc w:val="center"/>
        <w:rPr>
          <w:rFonts w:hint="eastAsia" w:ascii="仿宋" w:hAnsi="仿宋"/>
          <w:b/>
          <w:bCs/>
          <w:sz w:val="32"/>
          <w:szCs w:val="32"/>
          <w:highlight w:val="none"/>
          <w:lang w:val="en-US" w:eastAsia="zh-CN"/>
        </w:rPr>
      </w:pPr>
    </w:p>
    <w:p w14:paraId="5EC20CC7">
      <w:pPr>
        <w:jc w:val="center"/>
        <w:rPr>
          <w:rFonts w:hint="eastAsia" w:ascii="仿宋" w:hAnsi="仿宋"/>
          <w:b/>
          <w:bCs/>
          <w:sz w:val="32"/>
          <w:szCs w:val="32"/>
          <w:highlight w:val="none"/>
          <w:lang w:val="en-US" w:eastAsia="zh-CN"/>
        </w:rPr>
      </w:pPr>
    </w:p>
    <w:p w14:paraId="69F2756B">
      <w:pPr>
        <w:jc w:val="center"/>
        <w:rPr>
          <w:rFonts w:hint="eastAsia" w:ascii="仿宋" w:hAnsi="仿宋"/>
          <w:b/>
          <w:bCs/>
          <w:sz w:val="32"/>
          <w:szCs w:val="32"/>
          <w:highlight w:val="none"/>
          <w:lang w:val="en-US" w:eastAsia="zh-CN"/>
        </w:rPr>
      </w:pPr>
    </w:p>
    <w:p w14:paraId="59D78A9C">
      <w:pPr>
        <w:jc w:val="center"/>
        <w:rPr>
          <w:rFonts w:hint="eastAsia" w:ascii="仿宋" w:hAnsi="仿宋"/>
          <w:b/>
          <w:bCs/>
          <w:sz w:val="32"/>
          <w:szCs w:val="32"/>
          <w:highlight w:val="none"/>
          <w:lang w:val="en-US" w:eastAsia="zh-CN"/>
        </w:rPr>
      </w:pPr>
    </w:p>
    <w:p w14:paraId="4F05F14A">
      <w:pPr>
        <w:jc w:val="center"/>
        <w:rPr>
          <w:rFonts w:hint="eastAsia" w:ascii="仿宋" w:hAnsi="仿宋"/>
          <w:b/>
          <w:bCs/>
          <w:sz w:val="32"/>
          <w:szCs w:val="32"/>
          <w:highlight w:val="none"/>
          <w:lang w:val="en-US" w:eastAsia="zh-CN"/>
        </w:rPr>
      </w:pPr>
    </w:p>
    <w:p w14:paraId="45DAB4BC">
      <w:pPr>
        <w:jc w:val="center"/>
        <w:rPr>
          <w:rFonts w:hint="eastAsia" w:ascii="仿宋" w:hAnsi="仿宋"/>
          <w:b/>
          <w:bCs/>
          <w:sz w:val="32"/>
          <w:szCs w:val="32"/>
          <w:highlight w:val="none"/>
          <w:lang w:val="en-US" w:eastAsia="zh-CN"/>
        </w:rPr>
      </w:pPr>
    </w:p>
    <w:p w14:paraId="7B18653F">
      <w:pPr>
        <w:jc w:val="center"/>
        <w:rPr>
          <w:rFonts w:hint="eastAsia" w:ascii="仿宋" w:hAnsi="仿宋"/>
          <w:b/>
          <w:bCs/>
          <w:sz w:val="32"/>
          <w:szCs w:val="32"/>
          <w:highlight w:val="none"/>
          <w:lang w:val="en-US" w:eastAsia="zh-CN"/>
        </w:rPr>
      </w:pPr>
    </w:p>
    <w:p w14:paraId="554C90F8">
      <w:pPr>
        <w:jc w:val="center"/>
        <w:rPr>
          <w:rFonts w:hint="eastAsia" w:ascii="仿宋" w:hAnsi="仿宋"/>
          <w:b/>
          <w:bCs/>
          <w:sz w:val="32"/>
          <w:szCs w:val="32"/>
          <w:highlight w:val="none"/>
          <w:lang w:val="en-US" w:eastAsia="zh-CN"/>
        </w:rPr>
      </w:pPr>
    </w:p>
    <w:p w14:paraId="2814983C">
      <w:pPr>
        <w:jc w:val="center"/>
        <w:rPr>
          <w:rFonts w:hint="eastAsia" w:ascii="仿宋" w:hAnsi="仿宋"/>
          <w:b/>
          <w:bCs/>
          <w:sz w:val="32"/>
          <w:szCs w:val="32"/>
          <w:highlight w:val="none"/>
          <w:lang w:val="en-US" w:eastAsia="zh-CN"/>
        </w:rPr>
      </w:pPr>
    </w:p>
    <w:p w14:paraId="224B44BF">
      <w:pPr>
        <w:jc w:val="center"/>
        <w:rPr>
          <w:rFonts w:hint="eastAsia" w:ascii="仿宋" w:hAnsi="仿宋"/>
          <w:b/>
          <w:bCs/>
          <w:sz w:val="32"/>
          <w:szCs w:val="32"/>
          <w:highlight w:val="none"/>
          <w:lang w:val="en-US" w:eastAsia="zh-CN"/>
        </w:rPr>
      </w:pPr>
    </w:p>
    <w:p w14:paraId="6F17E88C">
      <w:pPr>
        <w:jc w:val="center"/>
        <w:rPr>
          <w:rFonts w:hint="eastAsia" w:ascii="仿宋" w:hAnsi="仿宋"/>
          <w:b/>
          <w:bCs/>
          <w:sz w:val="32"/>
          <w:szCs w:val="32"/>
          <w:highlight w:val="none"/>
          <w:lang w:val="en-US" w:eastAsia="zh-CN"/>
        </w:rPr>
      </w:pPr>
    </w:p>
    <w:p w14:paraId="59FCD416">
      <w:pPr>
        <w:jc w:val="center"/>
        <w:rPr>
          <w:highlight w:val="none"/>
        </w:rPr>
      </w:pPr>
      <w:bookmarkStart w:id="492" w:name="_GoBack"/>
      <w:bookmarkEnd w:id="492"/>
      <w:r>
        <w:rPr>
          <w:highlight w:val="none"/>
        </w:rPr>
        <w:fldChar w:fldCharType="begin"/>
      </w:r>
      <w:r>
        <w:rPr>
          <w:highlight w:val="none"/>
        </w:rPr>
        <w:instrText xml:space="preserve"> TOC \o "1-2" \h \z \u </w:instrText>
      </w:r>
      <w:r>
        <w:rPr>
          <w:highlight w:val="none"/>
        </w:rPr>
        <w:fldChar w:fldCharType="separate"/>
      </w:r>
      <w:r>
        <w:rPr>
          <w:highlight w:val="none"/>
        </w:rPr>
        <w:fldChar w:fldCharType="end"/>
      </w:r>
    </w:p>
    <w:p w14:paraId="451F1290">
      <w:pPr>
        <w:tabs>
          <w:tab w:val="left" w:pos="1050"/>
          <w:tab w:val="right" w:leader="dot" w:pos="8296"/>
        </w:tabs>
        <w:jc w:val="center"/>
        <w:rPr>
          <w:b/>
          <w:bCs/>
          <w:sz w:val="36"/>
          <w:szCs w:val="32"/>
          <w:highlight w:val="none"/>
        </w:rPr>
      </w:pPr>
      <w:r>
        <w:rPr>
          <w:rFonts w:ascii="宋体" w:hAnsi="宋体" w:eastAsia="宋体"/>
          <w:b/>
          <w:bCs/>
          <w:sz w:val="28"/>
          <w:szCs w:val="32"/>
          <w:highlight w:val="none"/>
        </w:rPr>
        <w:t>目录</w:t>
      </w:r>
    </w:p>
    <w:p w14:paraId="04B44D8B">
      <w:pPr>
        <w:pStyle w:val="25"/>
        <w:tabs>
          <w:tab w:val="right" w:leader="dot" w:pos="8306"/>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_Toc3056 </w:instrText>
      </w:r>
      <w:r>
        <w:rPr>
          <w:highlight w:val="none"/>
        </w:rPr>
        <w:fldChar w:fldCharType="separate"/>
      </w:r>
      <w:r>
        <w:rPr>
          <w:rFonts w:hint="default"/>
        </w:rPr>
        <w:t xml:space="preserve">1. </w:t>
      </w:r>
      <w:r>
        <w:rPr>
          <w:rFonts w:hint="eastAsia"/>
        </w:rPr>
        <w:t>编制依据</w:t>
      </w:r>
      <w:r>
        <w:tab/>
      </w:r>
      <w:r>
        <w:fldChar w:fldCharType="begin"/>
      </w:r>
      <w:r>
        <w:instrText xml:space="preserve"> PAGEREF _Toc3056 \h </w:instrText>
      </w:r>
      <w:r>
        <w:fldChar w:fldCharType="separate"/>
      </w:r>
      <w:r>
        <w:t>5</w:t>
      </w:r>
      <w:r>
        <w:fldChar w:fldCharType="end"/>
      </w:r>
      <w:r>
        <w:rPr>
          <w:highlight w:val="none"/>
        </w:rPr>
        <w:fldChar w:fldCharType="end"/>
      </w:r>
    </w:p>
    <w:p w14:paraId="1D8DD6A8">
      <w:pPr>
        <w:pStyle w:val="26"/>
        <w:tabs>
          <w:tab w:val="right" w:leader="dot" w:pos="8306"/>
        </w:tabs>
      </w:pPr>
      <w:r>
        <w:rPr>
          <w:highlight w:val="none"/>
        </w:rPr>
        <w:fldChar w:fldCharType="begin"/>
      </w:r>
      <w:r>
        <w:rPr>
          <w:highlight w:val="none"/>
        </w:rPr>
        <w:instrText xml:space="preserve"> HYPERLINK \l _Toc13695 </w:instrText>
      </w:r>
      <w:r>
        <w:rPr>
          <w:highlight w:val="none"/>
        </w:rPr>
        <w:fldChar w:fldCharType="separate"/>
      </w:r>
      <w:r>
        <w:rPr>
          <w:rFonts w:hint="default"/>
          <w:lang w:val="en-US" w:eastAsia="zh-CN"/>
        </w:rPr>
        <w:t xml:space="preserve">1.1. </w:t>
      </w:r>
      <w:r>
        <w:rPr>
          <w:rFonts w:hint="eastAsia"/>
        </w:rPr>
        <w:t>编制</w:t>
      </w:r>
      <w:r>
        <w:rPr>
          <w:rFonts w:hint="eastAsia"/>
          <w:lang w:val="en-US" w:eastAsia="zh-CN"/>
        </w:rPr>
        <w:t>说明</w:t>
      </w:r>
      <w:r>
        <w:tab/>
      </w:r>
      <w:r>
        <w:fldChar w:fldCharType="begin"/>
      </w:r>
      <w:r>
        <w:instrText xml:space="preserve"> PAGEREF _Toc13695 \h </w:instrText>
      </w:r>
      <w:r>
        <w:fldChar w:fldCharType="separate"/>
      </w:r>
      <w:r>
        <w:t>5</w:t>
      </w:r>
      <w:r>
        <w:fldChar w:fldCharType="end"/>
      </w:r>
      <w:r>
        <w:rPr>
          <w:highlight w:val="none"/>
        </w:rPr>
        <w:fldChar w:fldCharType="end"/>
      </w:r>
    </w:p>
    <w:p w14:paraId="6FFBA741">
      <w:pPr>
        <w:pStyle w:val="26"/>
        <w:tabs>
          <w:tab w:val="right" w:leader="dot" w:pos="8306"/>
        </w:tabs>
      </w:pPr>
      <w:r>
        <w:rPr>
          <w:highlight w:val="none"/>
        </w:rPr>
        <w:fldChar w:fldCharType="begin"/>
      </w:r>
      <w:r>
        <w:rPr>
          <w:highlight w:val="none"/>
        </w:rPr>
        <w:instrText xml:space="preserve"> HYPERLINK \l _Toc28208 </w:instrText>
      </w:r>
      <w:r>
        <w:rPr>
          <w:highlight w:val="none"/>
        </w:rPr>
        <w:fldChar w:fldCharType="separate"/>
      </w:r>
      <w:r>
        <w:rPr>
          <w:rFonts w:hint="default"/>
          <w:lang w:val="en-US" w:eastAsia="zh-CN"/>
        </w:rPr>
        <w:t xml:space="preserve">1.2. </w:t>
      </w:r>
      <w:r>
        <w:rPr>
          <w:rFonts w:hint="eastAsia"/>
          <w:lang w:val="en-US" w:eastAsia="zh-CN"/>
        </w:rPr>
        <w:t>引用文件</w:t>
      </w:r>
      <w:r>
        <w:tab/>
      </w:r>
      <w:r>
        <w:fldChar w:fldCharType="begin"/>
      </w:r>
      <w:r>
        <w:instrText xml:space="preserve"> PAGEREF _Toc28208 \h </w:instrText>
      </w:r>
      <w:r>
        <w:fldChar w:fldCharType="separate"/>
      </w:r>
      <w:r>
        <w:t>5</w:t>
      </w:r>
      <w:r>
        <w:fldChar w:fldCharType="end"/>
      </w:r>
      <w:r>
        <w:rPr>
          <w:highlight w:val="none"/>
        </w:rPr>
        <w:fldChar w:fldCharType="end"/>
      </w:r>
    </w:p>
    <w:p w14:paraId="577740B8">
      <w:pPr>
        <w:pStyle w:val="26"/>
        <w:tabs>
          <w:tab w:val="right" w:leader="dot" w:pos="8306"/>
        </w:tabs>
      </w:pPr>
      <w:r>
        <w:rPr>
          <w:highlight w:val="none"/>
        </w:rPr>
        <w:fldChar w:fldCharType="begin"/>
      </w:r>
      <w:r>
        <w:rPr>
          <w:highlight w:val="none"/>
        </w:rPr>
        <w:instrText xml:space="preserve"> HYPERLINK \l _Toc24561 </w:instrText>
      </w:r>
      <w:r>
        <w:rPr>
          <w:highlight w:val="none"/>
        </w:rPr>
        <w:fldChar w:fldCharType="separate"/>
      </w:r>
      <w:r>
        <w:rPr>
          <w:rFonts w:hint="default"/>
        </w:rPr>
        <w:t xml:space="preserve">1.3. </w:t>
      </w:r>
      <w:r>
        <w:rPr>
          <w:rFonts w:hint="eastAsia"/>
        </w:rPr>
        <w:t>编制原则</w:t>
      </w:r>
      <w:r>
        <w:tab/>
      </w:r>
      <w:r>
        <w:fldChar w:fldCharType="begin"/>
      </w:r>
      <w:r>
        <w:instrText xml:space="preserve"> PAGEREF _Toc24561 \h </w:instrText>
      </w:r>
      <w:r>
        <w:fldChar w:fldCharType="separate"/>
      </w:r>
      <w:r>
        <w:t>6</w:t>
      </w:r>
      <w:r>
        <w:fldChar w:fldCharType="end"/>
      </w:r>
      <w:r>
        <w:rPr>
          <w:highlight w:val="none"/>
        </w:rPr>
        <w:fldChar w:fldCharType="end"/>
      </w:r>
    </w:p>
    <w:p w14:paraId="12B47A29">
      <w:pPr>
        <w:pStyle w:val="26"/>
        <w:tabs>
          <w:tab w:val="right" w:leader="dot" w:pos="8306"/>
        </w:tabs>
      </w:pPr>
      <w:r>
        <w:rPr>
          <w:highlight w:val="none"/>
        </w:rPr>
        <w:fldChar w:fldCharType="begin"/>
      </w:r>
      <w:r>
        <w:rPr>
          <w:highlight w:val="none"/>
        </w:rPr>
        <w:instrText xml:space="preserve"> HYPERLINK \l _Toc17247 </w:instrText>
      </w:r>
      <w:r>
        <w:rPr>
          <w:highlight w:val="none"/>
        </w:rPr>
        <w:fldChar w:fldCharType="separate"/>
      </w:r>
      <w:r>
        <w:rPr>
          <w:rFonts w:hint="default"/>
        </w:rPr>
        <w:t xml:space="preserve">1.4. </w:t>
      </w:r>
      <w:r>
        <w:rPr>
          <w:rFonts w:hint="eastAsia"/>
        </w:rPr>
        <w:t>隶属关系</w:t>
      </w:r>
      <w:r>
        <w:tab/>
      </w:r>
      <w:r>
        <w:fldChar w:fldCharType="begin"/>
      </w:r>
      <w:r>
        <w:instrText xml:space="preserve"> PAGEREF _Toc17247 \h </w:instrText>
      </w:r>
      <w:r>
        <w:fldChar w:fldCharType="separate"/>
      </w:r>
      <w:r>
        <w:t>6</w:t>
      </w:r>
      <w:r>
        <w:fldChar w:fldCharType="end"/>
      </w:r>
      <w:r>
        <w:rPr>
          <w:highlight w:val="none"/>
        </w:rPr>
        <w:fldChar w:fldCharType="end"/>
      </w:r>
    </w:p>
    <w:p w14:paraId="67F8642B">
      <w:pPr>
        <w:pStyle w:val="26"/>
        <w:tabs>
          <w:tab w:val="right" w:leader="dot" w:pos="8306"/>
        </w:tabs>
      </w:pPr>
      <w:r>
        <w:rPr>
          <w:highlight w:val="none"/>
        </w:rPr>
        <w:fldChar w:fldCharType="begin"/>
      </w:r>
      <w:r>
        <w:rPr>
          <w:highlight w:val="none"/>
        </w:rPr>
        <w:instrText xml:space="preserve"> HYPERLINK \l _Toc2678 </w:instrText>
      </w:r>
      <w:r>
        <w:rPr>
          <w:highlight w:val="none"/>
        </w:rPr>
        <w:fldChar w:fldCharType="separate"/>
      </w:r>
      <w:r>
        <w:rPr>
          <w:rFonts w:hint="default"/>
        </w:rPr>
        <w:t xml:space="preserve">1.5. </w:t>
      </w:r>
      <w:r>
        <w:rPr>
          <w:rFonts w:hint="eastAsia"/>
        </w:rPr>
        <w:t>适用范围</w:t>
      </w:r>
      <w:r>
        <w:tab/>
      </w:r>
      <w:r>
        <w:fldChar w:fldCharType="begin"/>
      </w:r>
      <w:r>
        <w:instrText xml:space="preserve"> PAGEREF _Toc2678 \h </w:instrText>
      </w:r>
      <w:r>
        <w:fldChar w:fldCharType="separate"/>
      </w:r>
      <w:r>
        <w:t>6</w:t>
      </w:r>
      <w:r>
        <w:fldChar w:fldCharType="end"/>
      </w:r>
      <w:r>
        <w:rPr>
          <w:highlight w:val="none"/>
        </w:rPr>
        <w:fldChar w:fldCharType="end"/>
      </w:r>
    </w:p>
    <w:p w14:paraId="6C0774DC">
      <w:pPr>
        <w:pStyle w:val="25"/>
        <w:tabs>
          <w:tab w:val="right" w:leader="dot" w:pos="8306"/>
        </w:tabs>
      </w:pPr>
      <w:r>
        <w:rPr>
          <w:highlight w:val="none"/>
        </w:rPr>
        <w:fldChar w:fldCharType="begin"/>
      </w:r>
      <w:r>
        <w:rPr>
          <w:highlight w:val="none"/>
        </w:rPr>
        <w:instrText xml:space="preserve"> HYPERLINK \l _Toc20162 </w:instrText>
      </w:r>
      <w:r>
        <w:rPr>
          <w:highlight w:val="none"/>
        </w:rPr>
        <w:fldChar w:fldCharType="separate"/>
      </w:r>
      <w:r>
        <w:rPr>
          <w:rFonts w:hint="default"/>
        </w:rPr>
        <w:t xml:space="preserve">2. </w:t>
      </w:r>
      <w:r>
        <w:rPr>
          <w:rFonts w:hint="eastAsia"/>
        </w:rPr>
        <w:t>工程概况</w:t>
      </w:r>
      <w:r>
        <w:tab/>
      </w:r>
      <w:r>
        <w:fldChar w:fldCharType="begin"/>
      </w:r>
      <w:r>
        <w:instrText xml:space="preserve"> PAGEREF _Toc20162 \h </w:instrText>
      </w:r>
      <w:r>
        <w:fldChar w:fldCharType="separate"/>
      </w:r>
      <w:r>
        <w:t>7</w:t>
      </w:r>
      <w:r>
        <w:fldChar w:fldCharType="end"/>
      </w:r>
      <w:r>
        <w:rPr>
          <w:highlight w:val="none"/>
        </w:rPr>
        <w:fldChar w:fldCharType="end"/>
      </w:r>
    </w:p>
    <w:p w14:paraId="6D425EBF">
      <w:pPr>
        <w:pStyle w:val="26"/>
        <w:tabs>
          <w:tab w:val="right" w:leader="dot" w:pos="8306"/>
        </w:tabs>
      </w:pPr>
      <w:r>
        <w:rPr>
          <w:highlight w:val="none"/>
        </w:rPr>
        <w:fldChar w:fldCharType="begin"/>
      </w:r>
      <w:r>
        <w:rPr>
          <w:highlight w:val="none"/>
        </w:rPr>
        <w:instrText xml:space="preserve"> HYPERLINK \l _Toc11290 </w:instrText>
      </w:r>
      <w:r>
        <w:rPr>
          <w:highlight w:val="none"/>
        </w:rPr>
        <w:fldChar w:fldCharType="separate"/>
      </w:r>
      <w:r>
        <w:rPr>
          <w:rFonts w:hint="default"/>
        </w:rPr>
        <w:t xml:space="preserve">2.1. </w:t>
      </w:r>
      <w:r>
        <w:rPr>
          <w:rFonts w:hint="eastAsia"/>
        </w:rPr>
        <w:t>工程概况</w:t>
      </w:r>
      <w:r>
        <w:tab/>
      </w:r>
      <w:r>
        <w:fldChar w:fldCharType="begin"/>
      </w:r>
      <w:r>
        <w:instrText xml:space="preserve"> PAGEREF _Toc11290 \h </w:instrText>
      </w:r>
      <w:r>
        <w:fldChar w:fldCharType="separate"/>
      </w:r>
      <w:r>
        <w:t>7</w:t>
      </w:r>
      <w:r>
        <w:fldChar w:fldCharType="end"/>
      </w:r>
      <w:r>
        <w:rPr>
          <w:highlight w:val="none"/>
        </w:rPr>
        <w:fldChar w:fldCharType="end"/>
      </w:r>
    </w:p>
    <w:p w14:paraId="565F6D65">
      <w:pPr>
        <w:pStyle w:val="26"/>
        <w:tabs>
          <w:tab w:val="right" w:leader="dot" w:pos="8306"/>
        </w:tabs>
      </w:pPr>
      <w:r>
        <w:rPr>
          <w:highlight w:val="none"/>
        </w:rPr>
        <w:fldChar w:fldCharType="begin"/>
      </w:r>
      <w:r>
        <w:rPr>
          <w:highlight w:val="none"/>
        </w:rPr>
        <w:instrText xml:space="preserve"> HYPERLINK \l _Toc28811 </w:instrText>
      </w:r>
      <w:r>
        <w:rPr>
          <w:highlight w:val="none"/>
        </w:rPr>
        <w:fldChar w:fldCharType="separate"/>
      </w:r>
      <w:r>
        <w:rPr>
          <w:rFonts w:hint="default"/>
        </w:rPr>
        <w:t xml:space="preserve">2.2. </w:t>
      </w:r>
      <w:r>
        <w:rPr>
          <w:rFonts w:hint="eastAsia"/>
        </w:rPr>
        <w:t>自然条件</w:t>
      </w:r>
      <w:r>
        <w:tab/>
      </w:r>
      <w:r>
        <w:fldChar w:fldCharType="begin"/>
      </w:r>
      <w:r>
        <w:instrText xml:space="preserve"> PAGEREF _Toc28811 \h </w:instrText>
      </w:r>
      <w:r>
        <w:fldChar w:fldCharType="separate"/>
      </w:r>
      <w:r>
        <w:t>7</w:t>
      </w:r>
      <w:r>
        <w:fldChar w:fldCharType="end"/>
      </w:r>
      <w:r>
        <w:rPr>
          <w:highlight w:val="none"/>
        </w:rPr>
        <w:fldChar w:fldCharType="end"/>
      </w:r>
    </w:p>
    <w:p w14:paraId="757CEA90">
      <w:pPr>
        <w:pStyle w:val="26"/>
        <w:tabs>
          <w:tab w:val="right" w:leader="dot" w:pos="8306"/>
        </w:tabs>
      </w:pPr>
      <w:r>
        <w:rPr>
          <w:highlight w:val="none"/>
        </w:rPr>
        <w:fldChar w:fldCharType="begin"/>
      </w:r>
      <w:r>
        <w:rPr>
          <w:highlight w:val="none"/>
        </w:rPr>
        <w:instrText xml:space="preserve"> HYPERLINK \l _Toc15420 </w:instrText>
      </w:r>
      <w:r>
        <w:rPr>
          <w:highlight w:val="none"/>
        </w:rPr>
        <w:fldChar w:fldCharType="separate"/>
      </w:r>
      <w:r>
        <w:rPr>
          <w:rFonts w:hint="default"/>
        </w:rPr>
        <w:t xml:space="preserve">2.3. </w:t>
      </w:r>
      <w:r>
        <w:rPr>
          <w:rFonts w:hint="eastAsia"/>
        </w:rPr>
        <w:t>安装现场工作环境及条件</w:t>
      </w:r>
      <w:r>
        <w:tab/>
      </w:r>
      <w:r>
        <w:fldChar w:fldCharType="begin"/>
      </w:r>
      <w:r>
        <w:instrText xml:space="preserve"> PAGEREF _Toc15420 \h </w:instrText>
      </w:r>
      <w:r>
        <w:fldChar w:fldCharType="separate"/>
      </w:r>
      <w:r>
        <w:t>9</w:t>
      </w:r>
      <w:r>
        <w:fldChar w:fldCharType="end"/>
      </w:r>
      <w:r>
        <w:rPr>
          <w:highlight w:val="none"/>
        </w:rPr>
        <w:fldChar w:fldCharType="end"/>
      </w:r>
    </w:p>
    <w:p w14:paraId="58847B88">
      <w:pPr>
        <w:pStyle w:val="26"/>
        <w:tabs>
          <w:tab w:val="right" w:leader="dot" w:pos="8306"/>
        </w:tabs>
      </w:pPr>
      <w:r>
        <w:rPr>
          <w:highlight w:val="none"/>
        </w:rPr>
        <w:fldChar w:fldCharType="begin"/>
      </w:r>
      <w:r>
        <w:rPr>
          <w:highlight w:val="none"/>
        </w:rPr>
        <w:instrText xml:space="preserve"> HYPERLINK \l _Toc17099 </w:instrText>
      </w:r>
      <w:r>
        <w:rPr>
          <w:highlight w:val="none"/>
        </w:rPr>
        <w:fldChar w:fldCharType="separate"/>
      </w:r>
      <w:r>
        <w:rPr>
          <w:rFonts w:hint="default"/>
        </w:rPr>
        <w:t xml:space="preserve">2.4. </w:t>
      </w:r>
      <w:r>
        <w:rPr>
          <w:rFonts w:hint="eastAsia"/>
        </w:rPr>
        <w:t>塔式起重机概况</w:t>
      </w:r>
      <w:r>
        <w:tab/>
      </w:r>
      <w:r>
        <w:fldChar w:fldCharType="begin"/>
      </w:r>
      <w:r>
        <w:instrText xml:space="preserve"> PAGEREF _Toc17099 \h </w:instrText>
      </w:r>
      <w:r>
        <w:fldChar w:fldCharType="separate"/>
      </w:r>
      <w:r>
        <w:t>11</w:t>
      </w:r>
      <w:r>
        <w:fldChar w:fldCharType="end"/>
      </w:r>
      <w:r>
        <w:rPr>
          <w:highlight w:val="none"/>
        </w:rPr>
        <w:fldChar w:fldCharType="end"/>
      </w:r>
    </w:p>
    <w:p w14:paraId="483C80F9">
      <w:pPr>
        <w:pStyle w:val="26"/>
        <w:tabs>
          <w:tab w:val="right" w:leader="dot" w:pos="8306"/>
        </w:tabs>
      </w:pPr>
      <w:r>
        <w:rPr>
          <w:highlight w:val="none"/>
        </w:rPr>
        <w:fldChar w:fldCharType="begin"/>
      </w:r>
      <w:r>
        <w:rPr>
          <w:highlight w:val="none"/>
        </w:rPr>
        <w:instrText xml:space="preserve"> HYPERLINK \l _Toc5165 </w:instrText>
      </w:r>
      <w:r>
        <w:rPr>
          <w:highlight w:val="none"/>
        </w:rPr>
        <w:fldChar w:fldCharType="separate"/>
      </w:r>
      <w:r>
        <w:rPr>
          <w:rFonts w:hint="default"/>
        </w:rPr>
        <w:t xml:space="preserve">2.5. </w:t>
      </w:r>
      <w:r>
        <w:rPr>
          <w:rFonts w:hint="eastAsia"/>
        </w:rPr>
        <w:t>施工要求和技术保证条件</w:t>
      </w:r>
      <w:r>
        <w:tab/>
      </w:r>
      <w:r>
        <w:fldChar w:fldCharType="begin"/>
      </w:r>
      <w:r>
        <w:instrText xml:space="preserve"> PAGEREF _Toc5165 \h </w:instrText>
      </w:r>
      <w:r>
        <w:fldChar w:fldCharType="separate"/>
      </w:r>
      <w:r>
        <w:t>15</w:t>
      </w:r>
      <w:r>
        <w:fldChar w:fldCharType="end"/>
      </w:r>
      <w:r>
        <w:rPr>
          <w:highlight w:val="none"/>
        </w:rPr>
        <w:fldChar w:fldCharType="end"/>
      </w:r>
    </w:p>
    <w:p w14:paraId="6A554019">
      <w:pPr>
        <w:pStyle w:val="25"/>
        <w:tabs>
          <w:tab w:val="right" w:leader="dot" w:pos="8306"/>
        </w:tabs>
      </w:pPr>
      <w:r>
        <w:rPr>
          <w:highlight w:val="none"/>
        </w:rPr>
        <w:fldChar w:fldCharType="begin"/>
      </w:r>
      <w:r>
        <w:rPr>
          <w:highlight w:val="none"/>
        </w:rPr>
        <w:instrText xml:space="preserve"> HYPERLINK \l _Toc19205 </w:instrText>
      </w:r>
      <w:r>
        <w:rPr>
          <w:highlight w:val="none"/>
        </w:rPr>
        <w:fldChar w:fldCharType="separate"/>
      </w:r>
      <w:r>
        <w:rPr>
          <w:rFonts w:hint="default"/>
        </w:rPr>
        <w:t xml:space="preserve">3. </w:t>
      </w:r>
      <w:r>
        <w:rPr>
          <w:rFonts w:hint="eastAsia"/>
        </w:rPr>
        <w:t>施工计划</w:t>
      </w:r>
      <w:r>
        <w:tab/>
      </w:r>
      <w:r>
        <w:fldChar w:fldCharType="begin"/>
      </w:r>
      <w:r>
        <w:instrText xml:space="preserve"> PAGEREF _Toc19205 \h </w:instrText>
      </w:r>
      <w:r>
        <w:fldChar w:fldCharType="separate"/>
      </w:r>
      <w:r>
        <w:t>17</w:t>
      </w:r>
      <w:r>
        <w:fldChar w:fldCharType="end"/>
      </w:r>
      <w:r>
        <w:rPr>
          <w:highlight w:val="none"/>
        </w:rPr>
        <w:fldChar w:fldCharType="end"/>
      </w:r>
    </w:p>
    <w:p w14:paraId="103FBC07">
      <w:pPr>
        <w:pStyle w:val="26"/>
        <w:tabs>
          <w:tab w:val="right" w:leader="dot" w:pos="8306"/>
        </w:tabs>
      </w:pPr>
      <w:r>
        <w:rPr>
          <w:highlight w:val="none"/>
        </w:rPr>
        <w:fldChar w:fldCharType="begin"/>
      </w:r>
      <w:r>
        <w:rPr>
          <w:highlight w:val="none"/>
        </w:rPr>
        <w:instrText xml:space="preserve"> HYPERLINK \l _Toc22261 </w:instrText>
      </w:r>
      <w:r>
        <w:rPr>
          <w:highlight w:val="none"/>
        </w:rPr>
        <w:fldChar w:fldCharType="separate"/>
      </w:r>
      <w:r>
        <w:rPr>
          <w:rFonts w:hint="default"/>
          <w:lang w:val="en-US" w:eastAsia="zh-CN"/>
        </w:rPr>
        <w:t xml:space="preserve">3.1. </w:t>
      </w:r>
      <w:r>
        <w:rPr>
          <w:rFonts w:hint="eastAsia"/>
          <w:lang w:val="en-US" w:eastAsia="zh-CN"/>
        </w:rPr>
        <w:t>施工总体部署</w:t>
      </w:r>
      <w:r>
        <w:tab/>
      </w:r>
      <w:r>
        <w:fldChar w:fldCharType="begin"/>
      </w:r>
      <w:r>
        <w:instrText xml:space="preserve"> PAGEREF _Toc22261 \h </w:instrText>
      </w:r>
      <w:r>
        <w:fldChar w:fldCharType="separate"/>
      </w:r>
      <w:r>
        <w:t>17</w:t>
      </w:r>
      <w:r>
        <w:fldChar w:fldCharType="end"/>
      </w:r>
      <w:r>
        <w:rPr>
          <w:highlight w:val="none"/>
        </w:rPr>
        <w:fldChar w:fldCharType="end"/>
      </w:r>
    </w:p>
    <w:p w14:paraId="69243AE6">
      <w:pPr>
        <w:pStyle w:val="26"/>
        <w:tabs>
          <w:tab w:val="right" w:leader="dot" w:pos="8306"/>
        </w:tabs>
      </w:pPr>
      <w:r>
        <w:rPr>
          <w:highlight w:val="none"/>
        </w:rPr>
        <w:fldChar w:fldCharType="begin"/>
      </w:r>
      <w:r>
        <w:rPr>
          <w:highlight w:val="none"/>
        </w:rPr>
        <w:instrText xml:space="preserve"> HYPERLINK \l _Toc19822 </w:instrText>
      </w:r>
      <w:r>
        <w:rPr>
          <w:highlight w:val="none"/>
        </w:rPr>
        <w:fldChar w:fldCharType="separate"/>
      </w:r>
      <w:r>
        <w:rPr>
          <w:rFonts w:hint="default"/>
          <w:lang w:val="en-US" w:eastAsia="zh-CN"/>
        </w:rPr>
        <w:t xml:space="preserve">3.2. </w:t>
      </w:r>
      <w:r>
        <w:rPr>
          <w:rFonts w:hint="eastAsia"/>
          <w:lang w:val="en-US" w:eastAsia="zh-CN"/>
        </w:rPr>
        <w:t>施工进度计划</w:t>
      </w:r>
      <w:r>
        <w:tab/>
      </w:r>
      <w:r>
        <w:fldChar w:fldCharType="begin"/>
      </w:r>
      <w:r>
        <w:instrText xml:space="preserve"> PAGEREF _Toc19822 \h </w:instrText>
      </w:r>
      <w:r>
        <w:fldChar w:fldCharType="separate"/>
      </w:r>
      <w:r>
        <w:t>18</w:t>
      </w:r>
      <w:r>
        <w:fldChar w:fldCharType="end"/>
      </w:r>
      <w:r>
        <w:rPr>
          <w:highlight w:val="none"/>
        </w:rPr>
        <w:fldChar w:fldCharType="end"/>
      </w:r>
    </w:p>
    <w:p w14:paraId="208BBDDD">
      <w:pPr>
        <w:pStyle w:val="26"/>
        <w:tabs>
          <w:tab w:val="right" w:leader="dot" w:pos="8306"/>
        </w:tabs>
      </w:pPr>
      <w:r>
        <w:rPr>
          <w:highlight w:val="none"/>
        </w:rPr>
        <w:fldChar w:fldCharType="begin"/>
      </w:r>
      <w:r>
        <w:rPr>
          <w:highlight w:val="none"/>
        </w:rPr>
        <w:instrText xml:space="preserve"> HYPERLINK \l _Toc22549 </w:instrText>
      </w:r>
      <w:r>
        <w:rPr>
          <w:highlight w:val="none"/>
        </w:rPr>
        <w:fldChar w:fldCharType="separate"/>
      </w:r>
      <w:r>
        <w:rPr>
          <w:rFonts w:hint="default"/>
        </w:rPr>
        <w:t xml:space="preserve">3.3. </w:t>
      </w:r>
      <w:r>
        <w:rPr>
          <w:rFonts w:hint="eastAsia"/>
          <w:lang w:val="en-US" w:eastAsia="zh-CN"/>
        </w:rPr>
        <w:t>施工设备计划</w:t>
      </w:r>
      <w:r>
        <w:tab/>
      </w:r>
      <w:r>
        <w:fldChar w:fldCharType="begin"/>
      </w:r>
      <w:r>
        <w:instrText xml:space="preserve"> PAGEREF _Toc22549 \h </w:instrText>
      </w:r>
      <w:r>
        <w:fldChar w:fldCharType="separate"/>
      </w:r>
      <w:r>
        <w:t>18</w:t>
      </w:r>
      <w:r>
        <w:fldChar w:fldCharType="end"/>
      </w:r>
      <w:r>
        <w:rPr>
          <w:highlight w:val="none"/>
        </w:rPr>
        <w:fldChar w:fldCharType="end"/>
      </w:r>
    </w:p>
    <w:p w14:paraId="68AD96CE">
      <w:pPr>
        <w:pStyle w:val="26"/>
        <w:tabs>
          <w:tab w:val="right" w:leader="dot" w:pos="8306"/>
        </w:tabs>
      </w:pPr>
      <w:r>
        <w:rPr>
          <w:highlight w:val="none"/>
        </w:rPr>
        <w:fldChar w:fldCharType="begin"/>
      </w:r>
      <w:r>
        <w:rPr>
          <w:highlight w:val="none"/>
        </w:rPr>
        <w:instrText xml:space="preserve"> HYPERLINK \l _Toc30493 </w:instrText>
      </w:r>
      <w:r>
        <w:rPr>
          <w:highlight w:val="none"/>
        </w:rPr>
        <w:fldChar w:fldCharType="separate"/>
      </w:r>
      <w:r>
        <w:rPr>
          <w:rFonts w:hint="default"/>
          <w:lang w:val="en-US" w:eastAsia="zh-CN"/>
        </w:rPr>
        <w:t xml:space="preserve">3.4. </w:t>
      </w:r>
      <w:r>
        <w:rPr>
          <w:rFonts w:hint="eastAsia"/>
          <w:lang w:val="en-US" w:eastAsia="zh-CN"/>
        </w:rPr>
        <w:t>施工</w:t>
      </w:r>
      <w:r>
        <w:rPr>
          <w:rFonts w:hint="eastAsia"/>
        </w:rPr>
        <w:t>材料</w:t>
      </w:r>
      <w:r>
        <w:rPr>
          <w:rFonts w:hint="eastAsia"/>
          <w:lang w:val="en-US" w:eastAsia="zh-CN"/>
        </w:rPr>
        <w:t>与安全工机具</w:t>
      </w:r>
      <w:r>
        <w:tab/>
      </w:r>
      <w:r>
        <w:fldChar w:fldCharType="begin"/>
      </w:r>
      <w:r>
        <w:instrText xml:space="preserve"> PAGEREF _Toc30493 \h </w:instrText>
      </w:r>
      <w:r>
        <w:fldChar w:fldCharType="separate"/>
      </w:r>
      <w:r>
        <w:t>20</w:t>
      </w:r>
      <w:r>
        <w:fldChar w:fldCharType="end"/>
      </w:r>
      <w:r>
        <w:rPr>
          <w:highlight w:val="none"/>
        </w:rPr>
        <w:fldChar w:fldCharType="end"/>
      </w:r>
    </w:p>
    <w:p w14:paraId="0DEE4A2F">
      <w:pPr>
        <w:pStyle w:val="25"/>
        <w:tabs>
          <w:tab w:val="right" w:leader="dot" w:pos="8306"/>
        </w:tabs>
      </w:pPr>
      <w:r>
        <w:rPr>
          <w:highlight w:val="none"/>
        </w:rPr>
        <w:fldChar w:fldCharType="begin"/>
      </w:r>
      <w:r>
        <w:rPr>
          <w:highlight w:val="none"/>
        </w:rPr>
        <w:instrText xml:space="preserve"> HYPERLINK \l _Toc379 </w:instrText>
      </w:r>
      <w:r>
        <w:rPr>
          <w:highlight w:val="none"/>
        </w:rPr>
        <w:fldChar w:fldCharType="separate"/>
      </w:r>
      <w:r>
        <w:rPr>
          <w:rFonts w:hint="default"/>
        </w:rPr>
        <w:t xml:space="preserve">4. </w:t>
      </w:r>
      <w:r>
        <w:rPr>
          <w:rFonts w:hint="eastAsia"/>
        </w:rPr>
        <w:t>施工工艺</w:t>
      </w:r>
      <w:r>
        <w:tab/>
      </w:r>
      <w:r>
        <w:fldChar w:fldCharType="begin"/>
      </w:r>
      <w:r>
        <w:instrText xml:space="preserve"> PAGEREF _Toc379 \h </w:instrText>
      </w:r>
      <w:r>
        <w:fldChar w:fldCharType="separate"/>
      </w:r>
      <w:r>
        <w:t>21</w:t>
      </w:r>
      <w:r>
        <w:fldChar w:fldCharType="end"/>
      </w:r>
      <w:r>
        <w:rPr>
          <w:highlight w:val="none"/>
        </w:rPr>
        <w:fldChar w:fldCharType="end"/>
      </w:r>
    </w:p>
    <w:p w14:paraId="01427394">
      <w:pPr>
        <w:pStyle w:val="26"/>
        <w:tabs>
          <w:tab w:val="right" w:leader="dot" w:pos="8306"/>
        </w:tabs>
      </w:pPr>
      <w:r>
        <w:rPr>
          <w:highlight w:val="none"/>
        </w:rPr>
        <w:fldChar w:fldCharType="begin"/>
      </w:r>
      <w:r>
        <w:rPr>
          <w:highlight w:val="none"/>
        </w:rPr>
        <w:instrText xml:space="preserve"> HYPERLINK \l _Toc32434 </w:instrText>
      </w:r>
      <w:r>
        <w:rPr>
          <w:highlight w:val="none"/>
        </w:rPr>
        <w:fldChar w:fldCharType="separate"/>
      </w:r>
      <w:r>
        <w:rPr>
          <w:rFonts w:hint="default"/>
        </w:rPr>
        <w:t xml:space="preserve">4.1. </w:t>
      </w:r>
      <w:r>
        <w:rPr>
          <w:rFonts w:hint="eastAsia"/>
        </w:rPr>
        <w:t>塔机安装施工工艺流程</w:t>
      </w:r>
      <w:r>
        <w:tab/>
      </w:r>
      <w:r>
        <w:fldChar w:fldCharType="begin"/>
      </w:r>
      <w:r>
        <w:instrText xml:space="preserve"> PAGEREF _Toc32434 \h </w:instrText>
      </w:r>
      <w:r>
        <w:fldChar w:fldCharType="separate"/>
      </w:r>
      <w:r>
        <w:t>21</w:t>
      </w:r>
      <w:r>
        <w:fldChar w:fldCharType="end"/>
      </w:r>
      <w:r>
        <w:rPr>
          <w:highlight w:val="none"/>
        </w:rPr>
        <w:fldChar w:fldCharType="end"/>
      </w:r>
    </w:p>
    <w:p w14:paraId="4D837221">
      <w:pPr>
        <w:pStyle w:val="26"/>
        <w:tabs>
          <w:tab w:val="right" w:leader="dot" w:pos="8306"/>
        </w:tabs>
      </w:pPr>
      <w:r>
        <w:rPr>
          <w:highlight w:val="none"/>
        </w:rPr>
        <w:fldChar w:fldCharType="begin"/>
      </w:r>
      <w:r>
        <w:rPr>
          <w:highlight w:val="none"/>
        </w:rPr>
        <w:instrText xml:space="preserve"> HYPERLINK \l _Toc31241 </w:instrText>
      </w:r>
      <w:r>
        <w:rPr>
          <w:highlight w:val="none"/>
        </w:rPr>
        <w:fldChar w:fldCharType="separate"/>
      </w:r>
      <w:r>
        <w:rPr>
          <w:rFonts w:hint="default"/>
          <w:lang w:val="en-US" w:eastAsia="zh-CN"/>
        </w:rPr>
        <w:t xml:space="preserve">4.2. </w:t>
      </w:r>
      <w:r>
        <w:rPr>
          <w:rFonts w:hint="eastAsia"/>
          <w:lang w:val="en-US" w:eastAsia="zh-CN"/>
        </w:rPr>
        <w:t>主要设备选型</w:t>
      </w:r>
      <w:r>
        <w:tab/>
      </w:r>
      <w:r>
        <w:fldChar w:fldCharType="begin"/>
      </w:r>
      <w:r>
        <w:instrText xml:space="preserve"> PAGEREF _Toc31241 \h </w:instrText>
      </w:r>
      <w:r>
        <w:fldChar w:fldCharType="separate"/>
      </w:r>
      <w:r>
        <w:t>21</w:t>
      </w:r>
      <w:r>
        <w:fldChar w:fldCharType="end"/>
      </w:r>
      <w:r>
        <w:rPr>
          <w:highlight w:val="none"/>
        </w:rPr>
        <w:fldChar w:fldCharType="end"/>
      </w:r>
    </w:p>
    <w:p w14:paraId="5B39CA88">
      <w:pPr>
        <w:pStyle w:val="26"/>
        <w:tabs>
          <w:tab w:val="right" w:leader="dot" w:pos="8306"/>
        </w:tabs>
      </w:pPr>
      <w:r>
        <w:rPr>
          <w:highlight w:val="none"/>
        </w:rPr>
        <w:fldChar w:fldCharType="begin"/>
      </w:r>
      <w:r>
        <w:rPr>
          <w:highlight w:val="none"/>
        </w:rPr>
        <w:instrText xml:space="preserve"> HYPERLINK \l _Toc5951 </w:instrText>
      </w:r>
      <w:r>
        <w:rPr>
          <w:highlight w:val="none"/>
        </w:rPr>
        <w:fldChar w:fldCharType="separate"/>
      </w:r>
      <w:r>
        <w:rPr>
          <w:rFonts w:hint="default"/>
          <w:lang w:val="en-US" w:eastAsia="zh-CN"/>
        </w:rPr>
        <w:t xml:space="preserve">4.3. </w:t>
      </w:r>
      <w:r>
        <w:rPr>
          <w:rFonts w:hint="eastAsia"/>
          <w:lang w:val="en-US" w:eastAsia="zh-CN"/>
        </w:rPr>
        <w:t>塔机安装前施工准备</w:t>
      </w:r>
      <w:r>
        <w:tab/>
      </w:r>
      <w:r>
        <w:fldChar w:fldCharType="begin"/>
      </w:r>
      <w:r>
        <w:instrText xml:space="preserve"> PAGEREF _Toc5951 \h </w:instrText>
      </w:r>
      <w:r>
        <w:fldChar w:fldCharType="separate"/>
      </w:r>
      <w:r>
        <w:t>25</w:t>
      </w:r>
      <w:r>
        <w:fldChar w:fldCharType="end"/>
      </w:r>
      <w:r>
        <w:rPr>
          <w:highlight w:val="none"/>
        </w:rPr>
        <w:fldChar w:fldCharType="end"/>
      </w:r>
    </w:p>
    <w:p w14:paraId="5302073E">
      <w:pPr>
        <w:pStyle w:val="26"/>
        <w:tabs>
          <w:tab w:val="right" w:leader="dot" w:pos="8306"/>
        </w:tabs>
      </w:pPr>
      <w:r>
        <w:rPr>
          <w:highlight w:val="none"/>
        </w:rPr>
        <w:fldChar w:fldCharType="begin"/>
      </w:r>
      <w:r>
        <w:rPr>
          <w:highlight w:val="none"/>
        </w:rPr>
        <w:instrText xml:space="preserve"> HYPERLINK \l _Toc6491 </w:instrText>
      </w:r>
      <w:r>
        <w:rPr>
          <w:highlight w:val="none"/>
        </w:rPr>
        <w:fldChar w:fldCharType="separate"/>
      </w:r>
      <w:r>
        <w:rPr>
          <w:rFonts w:hint="default"/>
        </w:rPr>
        <w:t xml:space="preserve">4.4. </w:t>
      </w:r>
      <w:r>
        <w:rPr>
          <w:rFonts w:hint="eastAsia"/>
        </w:rPr>
        <w:t>塔机安装具体步骤</w:t>
      </w:r>
      <w:r>
        <w:tab/>
      </w:r>
      <w:r>
        <w:fldChar w:fldCharType="begin"/>
      </w:r>
      <w:r>
        <w:instrText xml:space="preserve"> PAGEREF _Toc6491 \h </w:instrText>
      </w:r>
      <w:r>
        <w:fldChar w:fldCharType="separate"/>
      </w:r>
      <w:r>
        <w:t>27</w:t>
      </w:r>
      <w:r>
        <w:fldChar w:fldCharType="end"/>
      </w:r>
      <w:r>
        <w:rPr>
          <w:highlight w:val="none"/>
        </w:rPr>
        <w:fldChar w:fldCharType="end"/>
      </w:r>
    </w:p>
    <w:p w14:paraId="3FB7E40D">
      <w:pPr>
        <w:pStyle w:val="26"/>
        <w:tabs>
          <w:tab w:val="right" w:leader="dot" w:pos="8306"/>
        </w:tabs>
      </w:pPr>
      <w:r>
        <w:rPr>
          <w:highlight w:val="none"/>
        </w:rPr>
        <w:fldChar w:fldCharType="begin"/>
      </w:r>
      <w:r>
        <w:rPr>
          <w:highlight w:val="none"/>
        </w:rPr>
        <w:instrText xml:space="preserve"> HYPERLINK \l _Toc12155 </w:instrText>
      </w:r>
      <w:r>
        <w:rPr>
          <w:highlight w:val="none"/>
        </w:rPr>
        <w:fldChar w:fldCharType="separate"/>
      </w:r>
      <w:r>
        <w:rPr>
          <w:rFonts w:hint="default"/>
          <w:lang w:val="en-US" w:eastAsia="zh-CN"/>
        </w:rPr>
        <w:t xml:space="preserve">4.5. </w:t>
      </w:r>
      <w:r>
        <w:rPr>
          <w:rFonts w:hint="eastAsia"/>
          <w:highlight w:val="none"/>
          <w:lang w:val="en-US" w:eastAsia="zh-CN"/>
        </w:rPr>
        <w:t>检查要求</w:t>
      </w:r>
      <w:r>
        <w:tab/>
      </w:r>
      <w:r>
        <w:fldChar w:fldCharType="begin"/>
      </w:r>
      <w:r>
        <w:instrText xml:space="preserve"> PAGEREF _Toc12155 \h </w:instrText>
      </w:r>
      <w:r>
        <w:fldChar w:fldCharType="separate"/>
      </w:r>
      <w:r>
        <w:t>55</w:t>
      </w:r>
      <w:r>
        <w:fldChar w:fldCharType="end"/>
      </w:r>
      <w:r>
        <w:rPr>
          <w:highlight w:val="none"/>
        </w:rPr>
        <w:fldChar w:fldCharType="end"/>
      </w:r>
    </w:p>
    <w:p w14:paraId="0EDA70D7">
      <w:pPr>
        <w:pStyle w:val="25"/>
        <w:tabs>
          <w:tab w:val="right" w:leader="dot" w:pos="8306"/>
        </w:tabs>
      </w:pPr>
      <w:r>
        <w:rPr>
          <w:highlight w:val="none"/>
        </w:rPr>
        <w:fldChar w:fldCharType="begin"/>
      </w:r>
      <w:r>
        <w:rPr>
          <w:highlight w:val="none"/>
        </w:rPr>
        <w:instrText xml:space="preserve"> HYPERLINK \l _Toc23217 </w:instrText>
      </w:r>
      <w:r>
        <w:rPr>
          <w:highlight w:val="none"/>
        </w:rPr>
        <w:fldChar w:fldCharType="separate"/>
      </w:r>
      <w:r>
        <w:rPr>
          <w:rFonts w:hint="default"/>
        </w:rPr>
        <w:t xml:space="preserve">5. </w:t>
      </w:r>
      <w:r>
        <w:rPr>
          <w:rFonts w:hint="eastAsia"/>
          <w:lang w:val="en-US" w:eastAsia="zh-CN"/>
        </w:rPr>
        <w:t>质量控制措施</w:t>
      </w:r>
      <w:r>
        <w:tab/>
      </w:r>
      <w:r>
        <w:fldChar w:fldCharType="begin"/>
      </w:r>
      <w:r>
        <w:instrText xml:space="preserve"> PAGEREF _Toc23217 \h </w:instrText>
      </w:r>
      <w:r>
        <w:fldChar w:fldCharType="separate"/>
      </w:r>
      <w:r>
        <w:t>60</w:t>
      </w:r>
      <w:r>
        <w:fldChar w:fldCharType="end"/>
      </w:r>
      <w:r>
        <w:rPr>
          <w:highlight w:val="none"/>
        </w:rPr>
        <w:fldChar w:fldCharType="end"/>
      </w:r>
    </w:p>
    <w:p w14:paraId="61727F5A">
      <w:pPr>
        <w:pStyle w:val="26"/>
        <w:tabs>
          <w:tab w:val="right" w:leader="dot" w:pos="8306"/>
        </w:tabs>
      </w:pPr>
      <w:r>
        <w:rPr>
          <w:highlight w:val="none"/>
        </w:rPr>
        <w:fldChar w:fldCharType="begin"/>
      </w:r>
      <w:r>
        <w:rPr>
          <w:highlight w:val="none"/>
        </w:rPr>
        <w:instrText xml:space="preserve"> HYPERLINK \l _Toc1923 </w:instrText>
      </w:r>
      <w:r>
        <w:rPr>
          <w:highlight w:val="none"/>
        </w:rPr>
        <w:fldChar w:fldCharType="separate"/>
      </w:r>
      <w:r>
        <w:rPr>
          <w:rFonts w:hint="default"/>
        </w:rPr>
        <w:t xml:space="preserve">5.1. </w:t>
      </w:r>
      <w:r>
        <w:rPr>
          <w:rFonts w:hint="eastAsia"/>
        </w:rPr>
        <w:t>质量管理组织机构</w:t>
      </w:r>
      <w:r>
        <w:tab/>
      </w:r>
      <w:r>
        <w:fldChar w:fldCharType="begin"/>
      </w:r>
      <w:r>
        <w:instrText xml:space="preserve"> PAGEREF _Toc1923 \h </w:instrText>
      </w:r>
      <w:r>
        <w:fldChar w:fldCharType="separate"/>
      </w:r>
      <w:r>
        <w:t>60</w:t>
      </w:r>
      <w:r>
        <w:fldChar w:fldCharType="end"/>
      </w:r>
      <w:r>
        <w:rPr>
          <w:highlight w:val="none"/>
        </w:rPr>
        <w:fldChar w:fldCharType="end"/>
      </w:r>
    </w:p>
    <w:p w14:paraId="2C461449">
      <w:pPr>
        <w:pStyle w:val="26"/>
        <w:tabs>
          <w:tab w:val="right" w:leader="dot" w:pos="8306"/>
        </w:tabs>
      </w:pPr>
      <w:r>
        <w:rPr>
          <w:highlight w:val="none"/>
        </w:rPr>
        <w:fldChar w:fldCharType="begin"/>
      </w:r>
      <w:r>
        <w:rPr>
          <w:highlight w:val="none"/>
        </w:rPr>
        <w:instrText xml:space="preserve"> HYPERLINK \l _Toc20513 </w:instrText>
      </w:r>
      <w:r>
        <w:rPr>
          <w:highlight w:val="none"/>
        </w:rPr>
        <w:fldChar w:fldCharType="separate"/>
      </w:r>
      <w:r>
        <w:rPr>
          <w:rFonts w:hint="default"/>
        </w:rPr>
        <w:t xml:space="preserve">5.2. </w:t>
      </w:r>
      <w:r>
        <w:rPr>
          <w:rFonts w:hint="eastAsia"/>
        </w:rPr>
        <w:t>质量通病及质量通病预防</w:t>
      </w:r>
      <w:r>
        <w:tab/>
      </w:r>
      <w:r>
        <w:fldChar w:fldCharType="begin"/>
      </w:r>
      <w:r>
        <w:instrText xml:space="preserve"> PAGEREF _Toc20513 \h </w:instrText>
      </w:r>
      <w:r>
        <w:fldChar w:fldCharType="separate"/>
      </w:r>
      <w:r>
        <w:t>60</w:t>
      </w:r>
      <w:r>
        <w:fldChar w:fldCharType="end"/>
      </w:r>
      <w:r>
        <w:rPr>
          <w:highlight w:val="none"/>
        </w:rPr>
        <w:fldChar w:fldCharType="end"/>
      </w:r>
    </w:p>
    <w:p w14:paraId="2CF87B2A">
      <w:pPr>
        <w:pStyle w:val="26"/>
        <w:tabs>
          <w:tab w:val="right" w:leader="dot" w:pos="8306"/>
        </w:tabs>
      </w:pPr>
      <w:r>
        <w:rPr>
          <w:highlight w:val="none"/>
        </w:rPr>
        <w:fldChar w:fldCharType="begin"/>
      </w:r>
      <w:r>
        <w:rPr>
          <w:highlight w:val="none"/>
        </w:rPr>
        <w:instrText xml:space="preserve"> HYPERLINK \l _Toc14777 </w:instrText>
      </w:r>
      <w:r>
        <w:rPr>
          <w:highlight w:val="none"/>
        </w:rPr>
        <w:fldChar w:fldCharType="separate"/>
      </w:r>
      <w:r>
        <w:rPr>
          <w:rFonts w:hint="default"/>
        </w:rPr>
        <w:t xml:space="preserve">5.3. </w:t>
      </w:r>
      <w:r>
        <w:rPr>
          <w:rFonts w:hint="eastAsia"/>
        </w:rPr>
        <w:t>质量保证措施</w:t>
      </w:r>
      <w:r>
        <w:tab/>
      </w:r>
      <w:r>
        <w:fldChar w:fldCharType="begin"/>
      </w:r>
      <w:r>
        <w:instrText xml:space="preserve"> PAGEREF _Toc14777 \h </w:instrText>
      </w:r>
      <w:r>
        <w:fldChar w:fldCharType="separate"/>
      </w:r>
      <w:r>
        <w:t>61</w:t>
      </w:r>
      <w:r>
        <w:fldChar w:fldCharType="end"/>
      </w:r>
      <w:r>
        <w:rPr>
          <w:highlight w:val="none"/>
        </w:rPr>
        <w:fldChar w:fldCharType="end"/>
      </w:r>
    </w:p>
    <w:p w14:paraId="57703BF5">
      <w:pPr>
        <w:pStyle w:val="26"/>
        <w:tabs>
          <w:tab w:val="right" w:leader="dot" w:pos="8306"/>
        </w:tabs>
      </w:pPr>
      <w:r>
        <w:rPr>
          <w:highlight w:val="none"/>
        </w:rPr>
        <w:fldChar w:fldCharType="begin"/>
      </w:r>
      <w:r>
        <w:rPr>
          <w:highlight w:val="none"/>
        </w:rPr>
        <w:instrText xml:space="preserve"> HYPERLINK \l _Toc24714 </w:instrText>
      </w:r>
      <w:r>
        <w:rPr>
          <w:highlight w:val="none"/>
        </w:rPr>
        <w:fldChar w:fldCharType="separate"/>
      </w:r>
      <w:r>
        <w:rPr>
          <w:rFonts w:hint="default"/>
        </w:rPr>
        <w:t xml:space="preserve">5.4. </w:t>
      </w:r>
      <w:r>
        <w:rPr>
          <w:rFonts w:hint="eastAsia"/>
        </w:rPr>
        <w:t>作业过程中控制点的设置</w:t>
      </w:r>
      <w:r>
        <w:tab/>
      </w:r>
      <w:r>
        <w:fldChar w:fldCharType="begin"/>
      </w:r>
      <w:r>
        <w:instrText xml:space="preserve"> PAGEREF _Toc24714 \h </w:instrText>
      </w:r>
      <w:r>
        <w:fldChar w:fldCharType="separate"/>
      </w:r>
      <w:r>
        <w:t>63</w:t>
      </w:r>
      <w:r>
        <w:fldChar w:fldCharType="end"/>
      </w:r>
      <w:r>
        <w:rPr>
          <w:highlight w:val="none"/>
        </w:rPr>
        <w:fldChar w:fldCharType="end"/>
      </w:r>
    </w:p>
    <w:p w14:paraId="5B5851A6">
      <w:pPr>
        <w:pStyle w:val="25"/>
        <w:tabs>
          <w:tab w:val="right" w:leader="dot" w:pos="8306"/>
        </w:tabs>
      </w:pPr>
      <w:r>
        <w:rPr>
          <w:highlight w:val="none"/>
        </w:rPr>
        <w:fldChar w:fldCharType="begin"/>
      </w:r>
      <w:r>
        <w:rPr>
          <w:highlight w:val="none"/>
        </w:rPr>
        <w:instrText xml:space="preserve"> HYPERLINK \l _Toc30591 </w:instrText>
      </w:r>
      <w:r>
        <w:rPr>
          <w:highlight w:val="none"/>
        </w:rPr>
        <w:fldChar w:fldCharType="separate"/>
      </w:r>
      <w:r>
        <w:rPr>
          <w:rFonts w:hint="default" w:ascii="宋体" w:hAnsi="宋体" w:eastAsia="宋体" w:cs="Times New Roman"/>
          <w:lang w:val="en-US" w:eastAsia="zh-CN"/>
        </w:rPr>
        <w:t xml:space="preserve">6. </w:t>
      </w:r>
      <w:r>
        <w:rPr>
          <w:rFonts w:hint="eastAsia" w:ascii="宋体" w:hAnsi="宋体" w:eastAsia="宋体" w:cs="Times New Roman"/>
          <w:lang w:val="en-US" w:eastAsia="zh-CN"/>
        </w:rPr>
        <w:t>施工安全保障措施</w:t>
      </w:r>
      <w:r>
        <w:tab/>
      </w:r>
      <w:r>
        <w:fldChar w:fldCharType="begin"/>
      </w:r>
      <w:r>
        <w:instrText xml:space="preserve"> PAGEREF _Toc30591 \h </w:instrText>
      </w:r>
      <w:r>
        <w:fldChar w:fldCharType="separate"/>
      </w:r>
      <w:r>
        <w:t>64</w:t>
      </w:r>
      <w:r>
        <w:fldChar w:fldCharType="end"/>
      </w:r>
      <w:r>
        <w:rPr>
          <w:highlight w:val="none"/>
        </w:rPr>
        <w:fldChar w:fldCharType="end"/>
      </w:r>
    </w:p>
    <w:p w14:paraId="7A96BFA3">
      <w:pPr>
        <w:pStyle w:val="26"/>
        <w:tabs>
          <w:tab w:val="right" w:leader="dot" w:pos="8306"/>
        </w:tabs>
      </w:pPr>
      <w:r>
        <w:rPr>
          <w:highlight w:val="none"/>
        </w:rPr>
        <w:fldChar w:fldCharType="begin"/>
      </w:r>
      <w:r>
        <w:rPr>
          <w:highlight w:val="none"/>
        </w:rPr>
        <w:instrText xml:space="preserve"> HYPERLINK \l _Toc11734 </w:instrText>
      </w:r>
      <w:r>
        <w:rPr>
          <w:highlight w:val="none"/>
        </w:rPr>
        <w:fldChar w:fldCharType="separate"/>
      </w:r>
      <w:r>
        <w:rPr>
          <w:rFonts w:hint="default"/>
        </w:rPr>
        <w:t xml:space="preserve">6.1. </w:t>
      </w:r>
      <w:r>
        <w:rPr>
          <w:rFonts w:hint="eastAsia"/>
        </w:rPr>
        <w:t>组织保障措施</w:t>
      </w:r>
      <w:r>
        <w:tab/>
      </w:r>
      <w:r>
        <w:fldChar w:fldCharType="begin"/>
      </w:r>
      <w:r>
        <w:instrText xml:space="preserve"> PAGEREF _Toc11734 \h </w:instrText>
      </w:r>
      <w:r>
        <w:fldChar w:fldCharType="separate"/>
      </w:r>
      <w:r>
        <w:t>64</w:t>
      </w:r>
      <w:r>
        <w:fldChar w:fldCharType="end"/>
      </w:r>
      <w:r>
        <w:rPr>
          <w:highlight w:val="none"/>
        </w:rPr>
        <w:fldChar w:fldCharType="end"/>
      </w:r>
    </w:p>
    <w:p w14:paraId="3333ACED">
      <w:pPr>
        <w:pStyle w:val="26"/>
        <w:tabs>
          <w:tab w:val="right" w:leader="dot" w:pos="8306"/>
        </w:tabs>
      </w:pPr>
      <w:r>
        <w:rPr>
          <w:highlight w:val="none"/>
        </w:rPr>
        <w:fldChar w:fldCharType="begin"/>
      </w:r>
      <w:r>
        <w:rPr>
          <w:highlight w:val="none"/>
        </w:rPr>
        <w:instrText xml:space="preserve"> HYPERLINK \l _Toc223 </w:instrText>
      </w:r>
      <w:r>
        <w:rPr>
          <w:highlight w:val="none"/>
        </w:rPr>
        <w:fldChar w:fldCharType="separate"/>
      </w:r>
      <w:r>
        <w:rPr>
          <w:rFonts w:hint="default"/>
        </w:rPr>
        <w:t xml:space="preserve">6.2. </w:t>
      </w:r>
      <w:r>
        <w:rPr>
          <w:rFonts w:hint="eastAsia"/>
        </w:rPr>
        <w:t>制度保障措施</w:t>
      </w:r>
      <w:r>
        <w:tab/>
      </w:r>
      <w:r>
        <w:fldChar w:fldCharType="begin"/>
      </w:r>
      <w:r>
        <w:instrText xml:space="preserve"> PAGEREF _Toc223 \h </w:instrText>
      </w:r>
      <w:r>
        <w:fldChar w:fldCharType="separate"/>
      </w:r>
      <w:r>
        <w:t>71</w:t>
      </w:r>
      <w:r>
        <w:fldChar w:fldCharType="end"/>
      </w:r>
      <w:r>
        <w:rPr>
          <w:highlight w:val="none"/>
        </w:rPr>
        <w:fldChar w:fldCharType="end"/>
      </w:r>
    </w:p>
    <w:p w14:paraId="2815703F">
      <w:pPr>
        <w:pStyle w:val="26"/>
        <w:tabs>
          <w:tab w:val="right" w:leader="dot" w:pos="8306"/>
        </w:tabs>
      </w:pPr>
      <w:r>
        <w:rPr>
          <w:highlight w:val="none"/>
        </w:rPr>
        <w:fldChar w:fldCharType="begin"/>
      </w:r>
      <w:r>
        <w:rPr>
          <w:highlight w:val="none"/>
        </w:rPr>
        <w:instrText xml:space="preserve"> HYPERLINK \l _Toc11915 </w:instrText>
      </w:r>
      <w:r>
        <w:rPr>
          <w:highlight w:val="none"/>
        </w:rPr>
        <w:fldChar w:fldCharType="separate"/>
      </w:r>
      <w:r>
        <w:rPr>
          <w:rFonts w:hint="default"/>
        </w:rPr>
        <w:t xml:space="preserve">6.3. </w:t>
      </w:r>
      <w:r>
        <w:rPr>
          <w:rFonts w:hint="eastAsia"/>
        </w:rPr>
        <w:t>监管措施</w:t>
      </w:r>
      <w:r>
        <w:tab/>
      </w:r>
      <w:r>
        <w:fldChar w:fldCharType="begin"/>
      </w:r>
      <w:r>
        <w:instrText xml:space="preserve"> PAGEREF _Toc11915 \h </w:instrText>
      </w:r>
      <w:r>
        <w:fldChar w:fldCharType="separate"/>
      </w:r>
      <w:r>
        <w:t>74</w:t>
      </w:r>
      <w:r>
        <w:fldChar w:fldCharType="end"/>
      </w:r>
      <w:r>
        <w:rPr>
          <w:highlight w:val="none"/>
        </w:rPr>
        <w:fldChar w:fldCharType="end"/>
      </w:r>
    </w:p>
    <w:p w14:paraId="3D190EC2">
      <w:pPr>
        <w:pStyle w:val="26"/>
        <w:tabs>
          <w:tab w:val="right" w:leader="dot" w:pos="8306"/>
        </w:tabs>
      </w:pPr>
      <w:r>
        <w:rPr>
          <w:highlight w:val="none"/>
        </w:rPr>
        <w:fldChar w:fldCharType="begin"/>
      </w:r>
      <w:r>
        <w:rPr>
          <w:highlight w:val="none"/>
        </w:rPr>
        <w:instrText xml:space="preserve"> HYPERLINK \l _Toc22112 </w:instrText>
      </w:r>
      <w:r>
        <w:rPr>
          <w:highlight w:val="none"/>
        </w:rPr>
        <w:fldChar w:fldCharType="separate"/>
      </w:r>
      <w:r>
        <w:rPr>
          <w:rFonts w:hint="default"/>
        </w:rPr>
        <w:t xml:space="preserve">6.4. </w:t>
      </w:r>
      <w:r>
        <w:rPr>
          <w:rFonts w:hint="eastAsia"/>
        </w:rPr>
        <w:t>施工安全技术控制措施</w:t>
      </w:r>
      <w:r>
        <w:tab/>
      </w:r>
      <w:r>
        <w:fldChar w:fldCharType="begin"/>
      </w:r>
      <w:r>
        <w:instrText xml:space="preserve"> PAGEREF _Toc22112 \h </w:instrText>
      </w:r>
      <w:r>
        <w:fldChar w:fldCharType="separate"/>
      </w:r>
      <w:r>
        <w:t>74</w:t>
      </w:r>
      <w:r>
        <w:fldChar w:fldCharType="end"/>
      </w:r>
      <w:r>
        <w:rPr>
          <w:highlight w:val="none"/>
        </w:rPr>
        <w:fldChar w:fldCharType="end"/>
      </w:r>
    </w:p>
    <w:p w14:paraId="1498F49D">
      <w:pPr>
        <w:pStyle w:val="25"/>
        <w:tabs>
          <w:tab w:val="right" w:leader="dot" w:pos="8306"/>
        </w:tabs>
      </w:pPr>
      <w:r>
        <w:rPr>
          <w:highlight w:val="none"/>
        </w:rPr>
        <w:fldChar w:fldCharType="begin"/>
      </w:r>
      <w:r>
        <w:rPr>
          <w:highlight w:val="none"/>
        </w:rPr>
        <w:instrText xml:space="preserve"> HYPERLINK \l _Toc7366 </w:instrText>
      </w:r>
      <w:r>
        <w:rPr>
          <w:highlight w:val="none"/>
        </w:rPr>
        <w:fldChar w:fldCharType="separate"/>
      </w:r>
      <w:r>
        <w:rPr>
          <w:rFonts w:hint="default"/>
        </w:rPr>
        <w:t xml:space="preserve">7. </w:t>
      </w:r>
      <w:r>
        <w:t>施工管理及作业人员配备和分工</w:t>
      </w:r>
      <w:r>
        <w:tab/>
      </w:r>
      <w:r>
        <w:fldChar w:fldCharType="begin"/>
      </w:r>
      <w:r>
        <w:instrText xml:space="preserve"> PAGEREF _Toc7366 \h </w:instrText>
      </w:r>
      <w:r>
        <w:fldChar w:fldCharType="separate"/>
      </w:r>
      <w:r>
        <w:t>86</w:t>
      </w:r>
      <w:r>
        <w:fldChar w:fldCharType="end"/>
      </w:r>
      <w:r>
        <w:rPr>
          <w:highlight w:val="none"/>
        </w:rPr>
        <w:fldChar w:fldCharType="end"/>
      </w:r>
    </w:p>
    <w:p w14:paraId="51F23962">
      <w:pPr>
        <w:pStyle w:val="26"/>
        <w:tabs>
          <w:tab w:val="right" w:leader="dot" w:pos="8306"/>
        </w:tabs>
      </w:pPr>
      <w:r>
        <w:rPr>
          <w:highlight w:val="none"/>
        </w:rPr>
        <w:fldChar w:fldCharType="begin"/>
      </w:r>
      <w:r>
        <w:rPr>
          <w:highlight w:val="none"/>
        </w:rPr>
        <w:instrText xml:space="preserve"> HYPERLINK \l _Toc24215 </w:instrText>
      </w:r>
      <w:r>
        <w:rPr>
          <w:highlight w:val="none"/>
        </w:rPr>
        <w:fldChar w:fldCharType="separate"/>
      </w:r>
      <w:r>
        <w:rPr>
          <w:rFonts w:hint="default"/>
        </w:rPr>
        <w:t xml:space="preserve">7.1. </w:t>
      </w:r>
      <w:r>
        <w:rPr>
          <w:rFonts w:hint="eastAsia"/>
          <w:highlight w:val="none"/>
        </w:rPr>
        <w:t>施工</w:t>
      </w:r>
      <w:r>
        <w:rPr>
          <w:rFonts w:hint="eastAsia" w:ascii="宋体" w:hAnsi="宋体" w:eastAsia="宋体" w:cs="Times New Roman"/>
        </w:rPr>
        <w:t>组织</w:t>
      </w:r>
      <w:r>
        <w:rPr>
          <w:rFonts w:hint="eastAsia"/>
          <w:highlight w:val="none"/>
        </w:rPr>
        <w:t>机构</w:t>
      </w:r>
      <w:r>
        <w:tab/>
      </w:r>
      <w:r>
        <w:fldChar w:fldCharType="begin"/>
      </w:r>
      <w:r>
        <w:instrText xml:space="preserve"> PAGEREF _Toc24215 \h </w:instrText>
      </w:r>
      <w:r>
        <w:fldChar w:fldCharType="separate"/>
      </w:r>
      <w:r>
        <w:t>86</w:t>
      </w:r>
      <w:r>
        <w:fldChar w:fldCharType="end"/>
      </w:r>
      <w:r>
        <w:rPr>
          <w:highlight w:val="none"/>
        </w:rPr>
        <w:fldChar w:fldCharType="end"/>
      </w:r>
    </w:p>
    <w:p w14:paraId="0CC1FDB6">
      <w:pPr>
        <w:pStyle w:val="26"/>
        <w:tabs>
          <w:tab w:val="right" w:leader="dot" w:pos="8306"/>
        </w:tabs>
      </w:pPr>
      <w:r>
        <w:rPr>
          <w:highlight w:val="none"/>
        </w:rPr>
        <w:fldChar w:fldCharType="begin"/>
      </w:r>
      <w:r>
        <w:rPr>
          <w:highlight w:val="none"/>
        </w:rPr>
        <w:instrText xml:space="preserve"> HYPERLINK \l _Toc11785 </w:instrText>
      </w:r>
      <w:r>
        <w:rPr>
          <w:highlight w:val="none"/>
        </w:rPr>
        <w:fldChar w:fldCharType="separate"/>
      </w:r>
      <w:r>
        <w:rPr>
          <w:rFonts w:hint="default"/>
        </w:rPr>
        <w:t xml:space="preserve">7.2. </w:t>
      </w:r>
      <w:r>
        <w:rPr>
          <w:rFonts w:hint="eastAsia"/>
          <w:highlight w:val="none"/>
        </w:rPr>
        <w:t>人员</w:t>
      </w:r>
      <w:r>
        <w:rPr>
          <w:rFonts w:hint="eastAsia" w:ascii="宋体" w:hAnsi="宋体" w:eastAsia="宋体" w:cs="Times New Roman"/>
        </w:rPr>
        <w:t>配置</w:t>
      </w:r>
      <w:r>
        <w:tab/>
      </w:r>
      <w:r>
        <w:fldChar w:fldCharType="begin"/>
      </w:r>
      <w:r>
        <w:instrText xml:space="preserve"> PAGEREF _Toc11785 \h </w:instrText>
      </w:r>
      <w:r>
        <w:fldChar w:fldCharType="separate"/>
      </w:r>
      <w:r>
        <w:t>86</w:t>
      </w:r>
      <w:r>
        <w:fldChar w:fldCharType="end"/>
      </w:r>
      <w:r>
        <w:rPr>
          <w:highlight w:val="none"/>
        </w:rPr>
        <w:fldChar w:fldCharType="end"/>
      </w:r>
    </w:p>
    <w:p w14:paraId="20A56AA2">
      <w:pPr>
        <w:pStyle w:val="25"/>
        <w:tabs>
          <w:tab w:val="right" w:leader="dot" w:pos="8306"/>
        </w:tabs>
      </w:pPr>
      <w:r>
        <w:rPr>
          <w:highlight w:val="none"/>
        </w:rPr>
        <w:fldChar w:fldCharType="begin"/>
      </w:r>
      <w:r>
        <w:rPr>
          <w:highlight w:val="none"/>
        </w:rPr>
        <w:instrText xml:space="preserve"> HYPERLINK \l _Toc17721 </w:instrText>
      </w:r>
      <w:r>
        <w:rPr>
          <w:highlight w:val="none"/>
        </w:rPr>
        <w:fldChar w:fldCharType="separate"/>
      </w:r>
      <w:r>
        <w:rPr>
          <w:rFonts w:hint="default"/>
        </w:rPr>
        <w:t xml:space="preserve">8. </w:t>
      </w:r>
      <w:r>
        <w:rPr>
          <w:rFonts w:hint="eastAsia"/>
          <w:lang w:val="en-US" w:eastAsia="zh-CN"/>
        </w:rPr>
        <w:t>验收要求</w:t>
      </w:r>
      <w:r>
        <w:tab/>
      </w:r>
      <w:r>
        <w:fldChar w:fldCharType="begin"/>
      </w:r>
      <w:r>
        <w:instrText xml:space="preserve"> PAGEREF _Toc17721 \h </w:instrText>
      </w:r>
      <w:r>
        <w:fldChar w:fldCharType="separate"/>
      </w:r>
      <w:r>
        <w:t>89</w:t>
      </w:r>
      <w:r>
        <w:fldChar w:fldCharType="end"/>
      </w:r>
      <w:r>
        <w:rPr>
          <w:highlight w:val="none"/>
        </w:rPr>
        <w:fldChar w:fldCharType="end"/>
      </w:r>
    </w:p>
    <w:p w14:paraId="030FD7D3">
      <w:pPr>
        <w:pStyle w:val="26"/>
        <w:tabs>
          <w:tab w:val="right" w:leader="dot" w:pos="8306"/>
        </w:tabs>
      </w:pPr>
      <w:r>
        <w:rPr>
          <w:highlight w:val="none"/>
        </w:rPr>
        <w:fldChar w:fldCharType="begin"/>
      </w:r>
      <w:r>
        <w:rPr>
          <w:highlight w:val="none"/>
        </w:rPr>
        <w:instrText xml:space="preserve"> HYPERLINK \l _Toc25223 </w:instrText>
      </w:r>
      <w:r>
        <w:rPr>
          <w:highlight w:val="none"/>
        </w:rPr>
        <w:fldChar w:fldCharType="separate"/>
      </w:r>
      <w:r>
        <w:rPr>
          <w:rFonts w:hint="default"/>
          <w:lang w:val="en-US" w:eastAsia="zh-CN"/>
        </w:rPr>
        <w:t xml:space="preserve">8.1. </w:t>
      </w:r>
      <w:r>
        <w:rPr>
          <w:rFonts w:hint="eastAsia"/>
          <w:highlight w:val="none"/>
          <w:lang w:val="en-US" w:eastAsia="zh-CN"/>
        </w:rPr>
        <w:t>验收标准</w:t>
      </w:r>
      <w:r>
        <w:tab/>
      </w:r>
      <w:r>
        <w:fldChar w:fldCharType="begin"/>
      </w:r>
      <w:r>
        <w:instrText xml:space="preserve"> PAGEREF _Toc25223 \h </w:instrText>
      </w:r>
      <w:r>
        <w:fldChar w:fldCharType="separate"/>
      </w:r>
      <w:r>
        <w:t>89</w:t>
      </w:r>
      <w:r>
        <w:fldChar w:fldCharType="end"/>
      </w:r>
      <w:r>
        <w:rPr>
          <w:highlight w:val="none"/>
        </w:rPr>
        <w:fldChar w:fldCharType="end"/>
      </w:r>
    </w:p>
    <w:p w14:paraId="40FA44BA">
      <w:pPr>
        <w:pStyle w:val="26"/>
        <w:tabs>
          <w:tab w:val="right" w:leader="dot" w:pos="8306"/>
        </w:tabs>
      </w:pPr>
      <w:r>
        <w:rPr>
          <w:highlight w:val="none"/>
        </w:rPr>
        <w:fldChar w:fldCharType="begin"/>
      </w:r>
      <w:r>
        <w:rPr>
          <w:highlight w:val="none"/>
        </w:rPr>
        <w:instrText xml:space="preserve"> HYPERLINK \l _Toc18355 </w:instrText>
      </w:r>
      <w:r>
        <w:rPr>
          <w:highlight w:val="none"/>
        </w:rPr>
        <w:fldChar w:fldCharType="separate"/>
      </w:r>
      <w:r>
        <w:rPr>
          <w:rFonts w:hint="default"/>
          <w:lang w:val="en-US" w:eastAsia="zh-CN"/>
        </w:rPr>
        <w:t xml:space="preserve">8.2. </w:t>
      </w:r>
      <w:r>
        <w:rPr>
          <w:rFonts w:hint="eastAsia"/>
          <w:lang w:val="en-US" w:eastAsia="zh-CN"/>
        </w:rPr>
        <w:t>验收程序和验收人员</w:t>
      </w:r>
      <w:r>
        <w:tab/>
      </w:r>
      <w:r>
        <w:fldChar w:fldCharType="begin"/>
      </w:r>
      <w:r>
        <w:instrText xml:space="preserve"> PAGEREF _Toc18355 \h </w:instrText>
      </w:r>
      <w:r>
        <w:fldChar w:fldCharType="separate"/>
      </w:r>
      <w:r>
        <w:t>92</w:t>
      </w:r>
      <w:r>
        <w:fldChar w:fldCharType="end"/>
      </w:r>
      <w:r>
        <w:rPr>
          <w:highlight w:val="none"/>
        </w:rPr>
        <w:fldChar w:fldCharType="end"/>
      </w:r>
    </w:p>
    <w:p w14:paraId="7B9D29D8">
      <w:pPr>
        <w:pStyle w:val="26"/>
        <w:tabs>
          <w:tab w:val="right" w:leader="dot" w:pos="8306"/>
        </w:tabs>
      </w:pPr>
      <w:r>
        <w:rPr>
          <w:highlight w:val="none"/>
        </w:rPr>
        <w:fldChar w:fldCharType="begin"/>
      </w:r>
      <w:r>
        <w:rPr>
          <w:highlight w:val="none"/>
        </w:rPr>
        <w:instrText xml:space="preserve"> HYPERLINK \l _Toc28632 </w:instrText>
      </w:r>
      <w:r>
        <w:rPr>
          <w:highlight w:val="none"/>
        </w:rPr>
        <w:fldChar w:fldCharType="separate"/>
      </w:r>
      <w:r>
        <w:rPr>
          <w:rFonts w:hint="default" w:cs="Times New Roman"/>
          <w:lang w:val="en-US" w:eastAsia="zh-CN"/>
        </w:rPr>
        <w:t xml:space="preserve">8.3. </w:t>
      </w:r>
      <w:r>
        <w:rPr>
          <w:rFonts w:hint="eastAsia" w:ascii="Arial" w:hAnsi="Arial" w:cs="Times New Roman"/>
          <w:highlight w:val="none"/>
          <w:lang w:val="en-US" w:eastAsia="zh-CN"/>
        </w:rPr>
        <w:t>验收</w:t>
      </w:r>
      <w:r>
        <w:rPr>
          <w:rFonts w:hint="eastAsia" w:cs="Times New Roman"/>
          <w:highlight w:val="none"/>
          <w:lang w:val="en-US" w:eastAsia="zh-CN"/>
        </w:rPr>
        <w:t>内容</w:t>
      </w:r>
      <w:r>
        <w:tab/>
      </w:r>
      <w:r>
        <w:fldChar w:fldCharType="begin"/>
      </w:r>
      <w:r>
        <w:instrText xml:space="preserve"> PAGEREF _Toc28632 \h </w:instrText>
      </w:r>
      <w:r>
        <w:fldChar w:fldCharType="separate"/>
      </w:r>
      <w:r>
        <w:t>94</w:t>
      </w:r>
      <w:r>
        <w:fldChar w:fldCharType="end"/>
      </w:r>
      <w:r>
        <w:rPr>
          <w:highlight w:val="none"/>
        </w:rPr>
        <w:fldChar w:fldCharType="end"/>
      </w:r>
    </w:p>
    <w:p w14:paraId="093F7381">
      <w:pPr>
        <w:pStyle w:val="25"/>
        <w:tabs>
          <w:tab w:val="right" w:leader="dot" w:pos="8306"/>
        </w:tabs>
      </w:pPr>
      <w:r>
        <w:rPr>
          <w:highlight w:val="none"/>
        </w:rPr>
        <w:fldChar w:fldCharType="begin"/>
      </w:r>
      <w:r>
        <w:rPr>
          <w:highlight w:val="none"/>
        </w:rPr>
        <w:instrText xml:space="preserve"> HYPERLINK \l _Toc922 </w:instrText>
      </w:r>
      <w:r>
        <w:rPr>
          <w:highlight w:val="none"/>
        </w:rPr>
        <w:fldChar w:fldCharType="separate"/>
      </w:r>
      <w:r>
        <w:rPr>
          <w:rFonts w:hint="default"/>
        </w:rPr>
        <w:t xml:space="preserve">9. </w:t>
      </w:r>
      <w:r>
        <w:rPr>
          <w:rFonts w:hint="eastAsia"/>
        </w:rPr>
        <w:t>应急处置</w:t>
      </w:r>
      <w:r>
        <w:rPr>
          <w:rFonts w:hint="eastAsia"/>
          <w:lang w:eastAsia="zh-CN"/>
        </w:rPr>
        <w:t>措施</w:t>
      </w:r>
      <w:r>
        <w:tab/>
      </w:r>
      <w:r>
        <w:fldChar w:fldCharType="begin"/>
      </w:r>
      <w:r>
        <w:instrText xml:space="preserve"> PAGEREF _Toc922 \h </w:instrText>
      </w:r>
      <w:r>
        <w:fldChar w:fldCharType="separate"/>
      </w:r>
      <w:r>
        <w:t>98</w:t>
      </w:r>
      <w:r>
        <w:fldChar w:fldCharType="end"/>
      </w:r>
      <w:r>
        <w:rPr>
          <w:highlight w:val="none"/>
        </w:rPr>
        <w:fldChar w:fldCharType="end"/>
      </w:r>
    </w:p>
    <w:p w14:paraId="01E60F9C">
      <w:pPr>
        <w:pStyle w:val="26"/>
        <w:tabs>
          <w:tab w:val="right" w:leader="dot" w:pos="8306"/>
        </w:tabs>
      </w:pPr>
      <w:r>
        <w:rPr>
          <w:highlight w:val="none"/>
        </w:rPr>
        <w:fldChar w:fldCharType="begin"/>
      </w:r>
      <w:r>
        <w:rPr>
          <w:highlight w:val="none"/>
        </w:rPr>
        <w:instrText xml:space="preserve"> HYPERLINK \l _Toc10806 </w:instrText>
      </w:r>
      <w:r>
        <w:rPr>
          <w:highlight w:val="none"/>
        </w:rPr>
        <w:fldChar w:fldCharType="separate"/>
      </w:r>
      <w:r>
        <w:rPr>
          <w:rFonts w:hint="default"/>
        </w:rPr>
        <w:t xml:space="preserve">9.1. </w:t>
      </w:r>
      <w:r>
        <w:rPr>
          <w:rFonts w:hint="eastAsia"/>
          <w:highlight w:val="none"/>
        </w:rPr>
        <w:t>危险源</w:t>
      </w:r>
      <w:r>
        <w:rPr>
          <w:rFonts w:hint="eastAsia" w:ascii="宋体" w:hAnsi="宋体" w:eastAsia="宋体" w:cs="Times New Roman"/>
        </w:rPr>
        <w:t>辨识</w:t>
      </w:r>
      <w:r>
        <w:tab/>
      </w:r>
      <w:r>
        <w:fldChar w:fldCharType="begin"/>
      </w:r>
      <w:r>
        <w:instrText xml:space="preserve"> PAGEREF _Toc10806 \h </w:instrText>
      </w:r>
      <w:r>
        <w:fldChar w:fldCharType="separate"/>
      </w:r>
      <w:r>
        <w:t>98</w:t>
      </w:r>
      <w:r>
        <w:fldChar w:fldCharType="end"/>
      </w:r>
      <w:r>
        <w:rPr>
          <w:highlight w:val="none"/>
        </w:rPr>
        <w:fldChar w:fldCharType="end"/>
      </w:r>
    </w:p>
    <w:p w14:paraId="7C492072">
      <w:pPr>
        <w:pStyle w:val="26"/>
        <w:tabs>
          <w:tab w:val="right" w:leader="dot" w:pos="8306"/>
        </w:tabs>
      </w:pPr>
      <w:r>
        <w:rPr>
          <w:highlight w:val="none"/>
        </w:rPr>
        <w:fldChar w:fldCharType="begin"/>
      </w:r>
      <w:r>
        <w:rPr>
          <w:highlight w:val="none"/>
        </w:rPr>
        <w:instrText xml:space="preserve"> HYPERLINK \l _Toc15719 </w:instrText>
      </w:r>
      <w:r>
        <w:rPr>
          <w:highlight w:val="none"/>
        </w:rPr>
        <w:fldChar w:fldCharType="separate"/>
      </w:r>
      <w:r>
        <w:rPr>
          <w:rFonts w:hint="default"/>
        </w:rPr>
        <w:t xml:space="preserve">9.2. </w:t>
      </w:r>
      <w:r>
        <w:rPr>
          <w:rFonts w:hint="eastAsia"/>
          <w:highlight w:val="none"/>
        </w:rPr>
        <w:t>组织</w:t>
      </w:r>
      <w:r>
        <w:rPr>
          <w:rFonts w:hint="eastAsia"/>
          <w:highlight w:val="none"/>
          <w:lang w:val="en-US" w:eastAsia="zh-CN"/>
        </w:rPr>
        <w:t>机</w:t>
      </w:r>
      <w:r>
        <w:rPr>
          <w:rFonts w:hint="eastAsia"/>
          <w:highlight w:val="none"/>
        </w:rPr>
        <w:t>构及职责</w:t>
      </w:r>
      <w:r>
        <w:tab/>
      </w:r>
      <w:r>
        <w:fldChar w:fldCharType="begin"/>
      </w:r>
      <w:r>
        <w:instrText xml:space="preserve"> PAGEREF _Toc15719 \h </w:instrText>
      </w:r>
      <w:r>
        <w:fldChar w:fldCharType="separate"/>
      </w:r>
      <w:r>
        <w:t>107</w:t>
      </w:r>
      <w:r>
        <w:fldChar w:fldCharType="end"/>
      </w:r>
      <w:r>
        <w:rPr>
          <w:highlight w:val="none"/>
        </w:rPr>
        <w:fldChar w:fldCharType="end"/>
      </w:r>
    </w:p>
    <w:p w14:paraId="55164E26">
      <w:pPr>
        <w:pStyle w:val="26"/>
        <w:tabs>
          <w:tab w:val="right" w:leader="dot" w:pos="8306"/>
        </w:tabs>
      </w:pPr>
      <w:r>
        <w:rPr>
          <w:highlight w:val="none"/>
        </w:rPr>
        <w:fldChar w:fldCharType="begin"/>
      </w:r>
      <w:r>
        <w:rPr>
          <w:highlight w:val="none"/>
        </w:rPr>
        <w:instrText xml:space="preserve"> HYPERLINK \l _Toc10419 </w:instrText>
      </w:r>
      <w:r>
        <w:rPr>
          <w:highlight w:val="none"/>
        </w:rPr>
        <w:fldChar w:fldCharType="separate"/>
      </w:r>
      <w:r>
        <w:rPr>
          <w:rFonts w:hint="default"/>
        </w:rPr>
        <w:t xml:space="preserve">9.3. </w:t>
      </w:r>
      <w:r>
        <w:rPr>
          <w:rFonts w:hint="eastAsia"/>
        </w:rPr>
        <w:t>预防与预警</w:t>
      </w:r>
      <w:r>
        <w:tab/>
      </w:r>
      <w:r>
        <w:fldChar w:fldCharType="begin"/>
      </w:r>
      <w:r>
        <w:instrText xml:space="preserve"> PAGEREF _Toc10419 \h </w:instrText>
      </w:r>
      <w:r>
        <w:fldChar w:fldCharType="separate"/>
      </w:r>
      <w:r>
        <w:t>108</w:t>
      </w:r>
      <w:r>
        <w:fldChar w:fldCharType="end"/>
      </w:r>
      <w:r>
        <w:rPr>
          <w:highlight w:val="none"/>
        </w:rPr>
        <w:fldChar w:fldCharType="end"/>
      </w:r>
    </w:p>
    <w:p w14:paraId="22B497A2">
      <w:pPr>
        <w:pStyle w:val="26"/>
        <w:tabs>
          <w:tab w:val="right" w:leader="dot" w:pos="8306"/>
        </w:tabs>
      </w:pPr>
      <w:r>
        <w:rPr>
          <w:highlight w:val="none"/>
        </w:rPr>
        <w:fldChar w:fldCharType="begin"/>
      </w:r>
      <w:r>
        <w:rPr>
          <w:highlight w:val="none"/>
        </w:rPr>
        <w:instrText xml:space="preserve"> HYPERLINK \l _Toc2661 </w:instrText>
      </w:r>
      <w:r>
        <w:rPr>
          <w:highlight w:val="none"/>
        </w:rPr>
        <w:fldChar w:fldCharType="separate"/>
      </w:r>
      <w:r>
        <w:rPr>
          <w:rFonts w:hint="default"/>
          <w:lang w:val="en-US" w:eastAsia="zh-CN"/>
        </w:rPr>
        <w:t xml:space="preserve">9.4. </w:t>
      </w:r>
      <w:r>
        <w:rPr>
          <w:rFonts w:hint="eastAsia"/>
        </w:rPr>
        <w:t>处置流程</w:t>
      </w:r>
      <w:r>
        <w:tab/>
      </w:r>
      <w:r>
        <w:fldChar w:fldCharType="begin"/>
      </w:r>
      <w:r>
        <w:instrText xml:space="preserve"> PAGEREF _Toc2661 \h </w:instrText>
      </w:r>
      <w:r>
        <w:fldChar w:fldCharType="separate"/>
      </w:r>
      <w:r>
        <w:t>109</w:t>
      </w:r>
      <w:r>
        <w:fldChar w:fldCharType="end"/>
      </w:r>
      <w:r>
        <w:rPr>
          <w:highlight w:val="none"/>
        </w:rPr>
        <w:fldChar w:fldCharType="end"/>
      </w:r>
    </w:p>
    <w:p w14:paraId="2C0B0DAB">
      <w:pPr>
        <w:pStyle w:val="26"/>
        <w:tabs>
          <w:tab w:val="right" w:leader="dot" w:pos="8306"/>
        </w:tabs>
      </w:pPr>
      <w:r>
        <w:rPr>
          <w:highlight w:val="none"/>
        </w:rPr>
        <w:fldChar w:fldCharType="begin"/>
      </w:r>
      <w:r>
        <w:rPr>
          <w:highlight w:val="none"/>
        </w:rPr>
        <w:instrText xml:space="preserve"> HYPERLINK \l _Toc1028 </w:instrText>
      </w:r>
      <w:r>
        <w:rPr>
          <w:highlight w:val="none"/>
        </w:rPr>
        <w:fldChar w:fldCharType="separate"/>
      </w:r>
      <w:r>
        <w:rPr>
          <w:rFonts w:hint="default"/>
        </w:rPr>
        <w:t xml:space="preserve">9.5. </w:t>
      </w:r>
      <w:r>
        <w:rPr>
          <w:rFonts w:hint="eastAsia"/>
        </w:rPr>
        <w:t>突发事件应急</w:t>
      </w:r>
      <w:r>
        <w:rPr>
          <w:rFonts w:hint="eastAsia"/>
          <w:lang w:val="en-US" w:eastAsia="zh-CN"/>
        </w:rPr>
        <w:t>处置措施和</w:t>
      </w:r>
      <w:r>
        <w:rPr>
          <w:rFonts w:hint="eastAsia"/>
        </w:rPr>
        <w:t>预案</w:t>
      </w:r>
      <w:r>
        <w:tab/>
      </w:r>
      <w:r>
        <w:fldChar w:fldCharType="begin"/>
      </w:r>
      <w:r>
        <w:instrText xml:space="preserve"> PAGEREF _Toc1028 \h </w:instrText>
      </w:r>
      <w:r>
        <w:fldChar w:fldCharType="separate"/>
      </w:r>
      <w:r>
        <w:t>112</w:t>
      </w:r>
      <w:r>
        <w:fldChar w:fldCharType="end"/>
      </w:r>
      <w:r>
        <w:rPr>
          <w:highlight w:val="none"/>
        </w:rPr>
        <w:fldChar w:fldCharType="end"/>
      </w:r>
    </w:p>
    <w:p w14:paraId="3E839ADD">
      <w:pPr>
        <w:pStyle w:val="26"/>
        <w:tabs>
          <w:tab w:val="right" w:leader="dot" w:pos="8306"/>
        </w:tabs>
      </w:pPr>
      <w:r>
        <w:rPr>
          <w:highlight w:val="none"/>
        </w:rPr>
        <w:fldChar w:fldCharType="begin"/>
      </w:r>
      <w:r>
        <w:rPr>
          <w:highlight w:val="none"/>
        </w:rPr>
        <w:instrText xml:space="preserve"> HYPERLINK \l _Toc24246 </w:instrText>
      </w:r>
      <w:r>
        <w:rPr>
          <w:highlight w:val="none"/>
        </w:rPr>
        <w:fldChar w:fldCharType="separate"/>
      </w:r>
      <w:r>
        <w:rPr>
          <w:rFonts w:hint="default"/>
        </w:rPr>
        <w:t xml:space="preserve">9.6. </w:t>
      </w:r>
      <w:r>
        <w:rPr>
          <w:rFonts w:hint="eastAsia" w:ascii="宋体" w:hAnsi="宋体" w:eastAsia="宋体" w:cs="Times New Roman"/>
        </w:rPr>
        <w:t>应急</w:t>
      </w:r>
      <w:r>
        <w:rPr>
          <w:rFonts w:hint="eastAsia"/>
          <w:highlight w:val="none"/>
        </w:rPr>
        <w:t>保障</w:t>
      </w:r>
      <w:r>
        <w:tab/>
      </w:r>
      <w:r>
        <w:fldChar w:fldCharType="begin"/>
      </w:r>
      <w:r>
        <w:instrText xml:space="preserve"> PAGEREF _Toc24246 \h </w:instrText>
      </w:r>
      <w:r>
        <w:fldChar w:fldCharType="separate"/>
      </w:r>
      <w:r>
        <w:t>117</w:t>
      </w:r>
      <w:r>
        <w:fldChar w:fldCharType="end"/>
      </w:r>
      <w:r>
        <w:rPr>
          <w:highlight w:val="none"/>
        </w:rPr>
        <w:fldChar w:fldCharType="end"/>
      </w:r>
    </w:p>
    <w:p w14:paraId="3D584D9B">
      <w:pPr>
        <w:pStyle w:val="26"/>
        <w:tabs>
          <w:tab w:val="right" w:leader="dot" w:pos="8306"/>
        </w:tabs>
      </w:pPr>
      <w:r>
        <w:rPr>
          <w:highlight w:val="none"/>
        </w:rPr>
        <w:fldChar w:fldCharType="begin"/>
      </w:r>
      <w:r>
        <w:rPr>
          <w:highlight w:val="none"/>
        </w:rPr>
        <w:instrText xml:space="preserve"> HYPERLINK \l _Toc19677 </w:instrText>
      </w:r>
      <w:r>
        <w:rPr>
          <w:highlight w:val="none"/>
        </w:rPr>
        <w:fldChar w:fldCharType="separate"/>
      </w:r>
      <w:r>
        <w:rPr>
          <w:rFonts w:hint="default"/>
        </w:rPr>
        <w:t xml:space="preserve">9.7. </w:t>
      </w:r>
      <w:r>
        <w:rPr>
          <w:rFonts w:hint="eastAsia"/>
        </w:rPr>
        <w:t>事故善后及恢复生产</w:t>
      </w:r>
      <w:r>
        <w:tab/>
      </w:r>
      <w:r>
        <w:fldChar w:fldCharType="begin"/>
      </w:r>
      <w:r>
        <w:instrText xml:space="preserve"> PAGEREF _Toc19677 \h </w:instrText>
      </w:r>
      <w:r>
        <w:fldChar w:fldCharType="separate"/>
      </w:r>
      <w:r>
        <w:t>118</w:t>
      </w:r>
      <w:r>
        <w:fldChar w:fldCharType="end"/>
      </w:r>
      <w:r>
        <w:rPr>
          <w:highlight w:val="none"/>
        </w:rPr>
        <w:fldChar w:fldCharType="end"/>
      </w:r>
    </w:p>
    <w:p w14:paraId="757F380C">
      <w:pPr>
        <w:pStyle w:val="25"/>
        <w:tabs>
          <w:tab w:val="right" w:leader="dot" w:pos="8306"/>
        </w:tabs>
      </w:pPr>
      <w:r>
        <w:rPr>
          <w:highlight w:val="none"/>
        </w:rPr>
        <w:fldChar w:fldCharType="begin"/>
      </w:r>
      <w:r>
        <w:rPr>
          <w:highlight w:val="none"/>
        </w:rPr>
        <w:instrText xml:space="preserve"> HYPERLINK \l _Toc18653 </w:instrText>
      </w:r>
      <w:r>
        <w:rPr>
          <w:highlight w:val="none"/>
        </w:rPr>
        <w:fldChar w:fldCharType="separate"/>
      </w:r>
      <w:r>
        <w:rPr>
          <w:rFonts w:hint="default" w:ascii="宋体" w:hAnsi="宋体" w:eastAsia="宋体" w:cs="Times New Roman"/>
        </w:rPr>
        <w:t xml:space="preserve">10. </w:t>
      </w:r>
      <w:r>
        <w:rPr>
          <w:rFonts w:hint="eastAsia" w:ascii="宋体" w:hAnsi="宋体" w:eastAsia="宋体" w:cs="Times New Roman"/>
        </w:rPr>
        <w:t>绿色及文明施工</w:t>
      </w:r>
      <w:r>
        <w:tab/>
      </w:r>
      <w:r>
        <w:fldChar w:fldCharType="begin"/>
      </w:r>
      <w:r>
        <w:instrText xml:space="preserve"> PAGEREF _Toc18653 \h </w:instrText>
      </w:r>
      <w:r>
        <w:fldChar w:fldCharType="separate"/>
      </w:r>
      <w:r>
        <w:t>119</w:t>
      </w:r>
      <w:r>
        <w:fldChar w:fldCharType="end"/>
      </w:r>
      <w:r>
        <w:rPr>
          <w:highlight w:val="none"/>
        </w:rPr>
        <w:fldChar w:fldCharType="end"/>
      </w:r>
    </w:p>
    <w:p w14:paraId="13A25E59">
      <w:pPr>
        <w:pStyle w:val="26"/>
        <w:tabs>
          <w:tab w:val="right" w:leader="dot" w:pos="8306"/>
        </w:tabs>
      </w:pPr>
      <w:r>
        <w:rPr>
          <w:highlight w:val="none"/>
        </w:rPr>
        <w:fldChar w:fldCharType="begin"/>
      </w:r>
      <w:r>
        <w:rPr>
          <w:highlight w:val="none"/>
        </w:rPr>
        <w:instrText xml:space="preserve"> HYPERLINK \l _Toc32241 </w:instrText>
      </w:r>
      <w:r>
        <w:rPr>
          <w:highlight w:val="none"/>
        </w:rPr>
        <w:fldChar w:fldCharType="separate"/>
      </w:r>
      <w:r>
        <w:rPr>
          <w:rFonts w:hint="default"/>
          <w:lang w:val="en-US" w:eastAsia="zh-CN"/>
        </w:rPr>
        <w:t xml:space="preserve">10.1. </w:t>
      </w:r>
      <w:r>
        <w:rPr>
          <w:rFonts w:hint="eastAsia"/>
          <w:lang w:val="en-US" w:eastAsia="zh-CN"/>
        </w:rPr>
        <w:t>绿色施工</w:t>
      </w:r>
      <w:r>
        <w:tab/>
      </w:r>
      <w:r>
        <w:fldChar w:fldCharType="begin"/>
      </w:r>
      <w:r>
        <w:instrText xml:space="preserve"> PAGEREF _Toc32241 \h </w:instrText>
      </w:r>
      <w:r>
        <w:fldChar w:fldCharType="separate"/>
      </w:r>
      <w:r>
        <w:t>119</w:t>
      </w:r>
      <w:r>
        <w:fldChar w:fldCharType="end"/>
      </w:r>
      <w:r>
        <w:rPr>
          <w:highlight w:val="none"/>
        </w:rPr>
        <w:fldChar w:fldCharType="end"/>
      </w:r>
    </w:p>
    <w:p w14:paraId="7EC29939">
      <w:pPr>
        <w:pStyle w:val="26"/>
        <w:tabs>
          <w:tab w:val="right" w:leader="dot" w:pos="8306"/>
        </w:tabs>
      </w:pPr>
      <w:r>
        <w:rPr>
          <w:highlight w:val="none"/>
        </w:rPr>
        <w:fldChar w:fldCharType="begin"/>
      </w:r>
      <w:r>
        <w:rPr>
          <w:highlight w:val="none"/>
        </w:rPr>
        <w:instrText xml:space="preserve"> HYPERLINK \l _Toc11819 </w:instrText>
      </w:r>
      <w:r>
        <w:rPr>
          <w:highlight w:val="none"/>
        </w:rPr>
        <w:fldChar w:fldCharType="separate"/>
      </w:r>
      <w:r>
        <w:rPr>
          <w:rFonts w:hint="default"/>
          <w:lang w:val="en-US" w:eastAsia="zh-CN"/>
        </w:rPr>
        <w:t xml:space="preserve">10.2. </w:t>
      </w:r>
      <w:r>
        <w:rPr>
          <w:rFonts w:hint="eastAsia"/>
          <w:lang w:val="en-US" w:eastAsia="zh-CN"/>
        </w:rPr>
        <w:t>文明施工</w:t>
      </w:r>
      <w:r>
        <w:tab/>
      </w:r>
      <w:r>
        <w:fldChar w:fldCharType="begin"/>
      </w:r>
      <w:r>
        <w:instrText xml:space="preserve"> PAGEREF _Toc11819 \h </w:instrText>
      </w:r>
      <w:r>
        <w:fldChar w:fldCharType="separate"/>
      </w:r>
      <w:r>
        <w:t>125</w:t>
      </w:r>
      <w:r>
        <w:fldChar w:fldCharType="end"/>
      </w:r>
      <w:r>
        <w:rPr>
          <w:highlight w:val="none"/>
        </w:rPr>
        <w:fldChar w:fldCharType="end"/>
      </w:r>
    </w:p>
    <w:p w14:paraId="46F95E2D">
      <w:pPr>
        <w:pStyle w:val="25"/>
        <w:tabs>
          <w:tab w:val="right" w:leader="dot" w:pos="8306"/>
        </w:tabs>
      </w:pPr>
      <w:r>
        <w:rPr>
          <w:highlight w:val="none"/>
        </w:rPr>
        <w:fldChar w:fldCharType="begin"/>
      </w:r>
      <w:r>
        <w:rPr>
          <w:highlight w:val="none"/>
        </w:rPr>
        <w:instrText xml:space="preserve"> HYPERLINK \l _Toc3849 </w:instrText>
      </w:r>
      <w:r>
        <w:rPr>
          <w:highlight w:val="none"/>
        </w:rPr>
        <w:fldChar w:fldCharType="separate"/>
      </w:r>
      <w:r>
        <w:rPr>
          <w:rFonts w:hint="default" w:ascii="宋体" w:hAnsi="宋体" w:eastAsia="宋体" w:cs="Times New Roman"/>
          <w:lang w:val="en-US"/>
        </w:rPr>
        <w:t xml:space="preserve">11. </w:t>
      </w:r>
      <w:r>
        <w:rPr>
          <w:rFonts w:hint="eastAsia" w:ascii="宋体" w:hAnsi="宋体" w:eastAsia="宋体" w:cs="Times New Roman"/>
          <w:lang w:val="en-US" w:eastAsia="zh-CN"/>
        </w:rPr>
        <w:t>11相关附件</w:t>
      </w:r>
      <w:r>
        <w:tab/>
      </w:r>
      <w:r>
        <w:fldChar w:fldCharType="begin"/>
      </w:r>
      <w:r>
        <w:instrText xml:space="preserve"> PAGEREF _Toc3849 \h </w:instrText>
      </w:r>
      <w:r>
        <w:fldChar w:fldCharType="separate"/>
      </w:r>
      <w:r>
        <w:t>135</w:t>
      </w:r>
      <w:r>
        <w:fldChar w:fldCharType="end"/>
      </w:r>
      <w:r>
        <w:rPr>
          <w:highlight w:val="none"/>
        </w:rPr>
        <w:fldChar w:fldCharType="end"/>
      </w:r>
    </w:p>
    <w:p w14:paraId="148DD606">
      <w:pPr>
        <w:pStyle w:val="26"/>
        <w:tabs>
          <w:tab w:val="right" w:leader="dot" w:pos="8306"/>
        </w:tabs>
      </w:pPr>
      <w:r>
        <w:rPr>
          <w:highlight w:val="none"/>
        </w:rPr>
        <w:fldChar w:fldCharType="begin"/>
      </w:r>
      <w:r>
        <w:rPr>
          <w:highlight w:val="none"/>
        </w:rPr>
        <w:instrText xml:space="preserve"> HYPERLINK \l _Toc14336 </w:instrText>
      </w:r>
      <w:r>
        <w:rPr>
          <w:highlight w:val="none"/>
        </w:rPr>
        <w:fldChar w:fldCharType="separate"/>
      </w:r>
      <w:r>
        <w:rPr>
          <w:rFonts w:hint="eastAsia"/>
          <w:lang w:val="en-US" w:eastAsia="zh-CN"/>
        </w:rPr>
        <w:t>附件1：XGT7525-16塔机立面图</w:t>
      </w:r>
      <w:r>
        <w:tab/>
      </w:r>
      <w:r>
        <w:fldChar w:fldCharType="begin"/>
      </w:r>
      <w:r>
        <w:instrText xml:space="preserve"> PAGEREF _Toc14336 \h </w:instrText>
      </w:r>
      <w:r>
        <w:fldChar w:fldCharType="separate"/>
      </w:r>
      <w:r>
        <w:t>135</w:t>
      </w:r>
      <w:r>
        <w:fldChar w:fldCharType="end"/>
      </w:r>
      <w:r>
        <w:rPr>
          <w:highlight w:val="none"/>
        </w:rPr>
        <w:fldChar w:fldCharType="end"/>
      </w:r>
    </w:p>
    <w:p w14:paraId="07FE688F">
      <w:pPr>
        <w:pStyle w:val="26"/>
        <w:tabs>
          <w:tab w:val="right" w:leader="dot" w:pos="8306"/>
        </w:tabs>
      </w:pPr>
      <w:r>
        <w:rPr>
          <w:highlight w:val="none"/>
        </w:rPr>
        <w:fldChar w:fldCharType="begin"/>
      </w:r>
      <w:r>
        <w:rPr>
          <w:highlight w:val="none"/>
        </w:rPr>
        <w:instrText xml:space="preserve"> HYPERLINK \l _Toc14808 </w:instrText>
      </w:r>
      <w:r>
        <w:rPr>
          <w:highlight w:val="none"/>
        </w:rPr>
        <w:fldChar w:fldCharType="separate"/>
      </w:r>
      <w:r>
        <w:rPr>
          <w:rFonts w:hint="eastAsia"/>
          <w:lang w:val="en-US" w:eastAsia="zh-CN"/>
        </w:rPr>
        <w:t>附件2：XGT7525-16型塔机平面布置示意图</w:t>
      </w:r>
      <w:r>
        <w:tab/>
      </w:r>
      <w:r>
        <w:fldChar w:fldCharType="begin"/>
      </w:r>
      <w:r>
        <w:instrText xml:space="preserve"> PAGEREF _Toc14808 \h </w:instrText>
      </w:r>
      <w:r>
        <w:fldChar w:fldCharType="separate"/>
      </w:r>
      <w:r>
        <w:t>136</w:t>
      </w:r>
      <w:r>
        <w:fldChar w:fldCharType="end"/>
      </w:r>
      <w:r>
        <w:rPr>
          <w:highlight w:val="none"/>
        </w:rPr>
        <w:fldChar w:fldCharType="end"/>
      </w:r>
    </w:p>
    <w:p w14:paraId="6D4EE6A3">
      <w:pPr>
        <w:pStyle w:val="26"/>
        <w:tabs>
          <w:tab w:val="right" w:leader="dot" w:pos="8306"/>
        </w:tabs>
      </w:pPr>
      <w:r>
        <w:rPr>
          <w:highlight w:val="none"/>
        </w:rPr>
        <w:fldChar w:fldCharType="begin"/>
      </w:r>
      <w:r>
        <w:rPr>
          <w:highlight w:val="none"/>
        </w:rPr>
        <w:instrText xml:space="preserve"> HYPERLINK \l _Toc24521 </w:instrText>
      </w:r>
      <w:r>
        <w:rPr>
          <w:highlight w:val="none"/>
        </w:rPr>
        <w:fldChar w:fldCharType="separate"/>
      </w:r>
      <w:r>
        <w:rPr>
          <w:rFonts w:hint="eastAsia"/>
          <w:lang w:val="en-US" w:eastAsia="zh-CN"/>
        </w:rPr>
        <w:t>附件3：相关人员、资质文件</w:t>
      </w:r>
      <w:r>
        <w:tab/>
      </w:r>
      <w:r>
        <w:fldChar w:fldCharType="begin"/>
      </w:r>
      <w:r>
        <w:instrText xml:space="preserve"> PAGEREF _Toc24521 \h </w:instrText>
      </w:r>
      <w:r>
        <w:fldChar w:fldCharType="separate"/>
      </w:r>
      <w:r>
        <w:t>137</w:t>
      </w:r>
      <w:r>
        <w:fldChar w:fldCharType="end"/>
      </w:r>
      <w:r>
        <w:rPr>
          <w:highlight w:val="none"/>
        </w:rPr>
        <w:fldChar w:fldCharType="end"/>
      </w:r>
    </w:p>
    <w:p w14:paraId="6F9A0B6D">
      <w:pPr>
        <w:pStyle w:val="12"/>
        <w:rPr>
          <w:rFonts w:ascii="宋体" w:hAnsi="宋体" w:eastAsia="宋体" w:cs="Times New Roman"/>
          <w:b/>
          <w:kern w:val="2"/>
          <w:sz w:val="21"/>
          <w:szCs w:val="2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highlight w:val="none"/>
        </w:rPr>
        <w:fldChar w:fldCharType="end"/>
      </w:r>
    </w:p>
    <w:p w14:paraId="5D66614D">
      <w:pPr>
        <w:pStyle w:val="2"/>
        <w:bidi w:val="0"/>
        <w:ind w:left="432" w:leftChars="0" w:hanging="432" w:firstLineChars="0"/>
      </w:pPr>
      <w:bookmarkStart w:id="9" w:name="_Toc15972"/>
      <w:bookmarkStart w:id="10" w:name="_Toc12526"/>
      <w:bookmarkStart w:id="11" w:name="_Toc3056"/>
      <w:bookmarkStart w:id="12" w:name="_Toc10409763"/>
      <w:bookmarkStart w:id="13" w:name="_Toc10409769"/>
      <w:r>
        <w:rPr>
          <w:rFonts w:hint="eastAsia"/>
        </w:rPr>
        <w:t>编制依据</w:t>
      </w:r>
      <w:bookmarkEnd w:id="9"/>
      <w:bookmarkEnd w:id="10"/>
      <w:bookmarkEnd w:id="11"/>
      <w:bookmarkEnd w:id="12"/>
    </w:p>
    <w:p w14:paraId="40FA6556">
      <w:pPr>
        <w:pStyle w:val="3"/>
        <w:bidi w:val="0"/>
        <w:ind w:left="575" w:leftChars="0" w:hanging="575" w:firstLineChars="0"/>
        <w:rPr>
          <w:rFonts w:hint="eastAsia"/>
          <w:lang w:val="en-US" w:eastAsia="zh-CN"/>
        </w:rPr>
      </w:pPr>
      <w:bookmarkStart w:id="14" w:name="_Toc10409764"/>
      <w:bookmarkStart w:id="15" w:name="_Toc10283"/>
      <w:bookmarkStart w:id="16" w:name="_Toc4543"/>
      <w:r>
        <w:rPr>
          <w:rFonts w:hint="eastAsia"/>
        </w:rPr>
        <w:t xml:space="preserve"> </w:t>
      </w:r>
      <w:bookmarkStart w:id="17" w:name="_Toc13695"/>
      <w:r>
        <w:rPr>
          <w:rFonts w:hint="eastAsia"/>
        </w:rPr>
        <w:t>编制</w:t>
      </w:r>
      <w:bookmarkEnd w:id="14"/>
      <w:r>
        <w:rPr>
          <w:rFonts w:hint="eastAsia"/>
          <w:lang w:val="en-US" w:eastAsia="zh-CN"/>
        </w:rPr>
        <w:t>说明</w:t>
      </w:r>
      <w:bookmarkEnd w:id="15"/>
      <w:bookmarkEnd w:id="16"/>
      <w:bookmarkEnd w:id="17"/>
    </w:p>
    <w:p w14:paraId="3B2EA34F">
      <w:pPr>
        <w:bidi w:val="0"/>
        <w:ind w:firstLine="480" w:firstLineChars="200"/>
        <w:rPr>
          <w:highlight w:val="none"/>
        </w:rPr>
      </w:pPr>
      <w:r>
        <w:rPr>
          <w:rFonts w:hint="eastAsia"/>
          <w:highlight w:val="none"/>
        </w:rPr>
        <w:t>中交二航局桂林-恭城-贺州公路（桂林至钟山段）№7合同段项目需采用</w:t>
      </w:r>
      <w:r>
        <w:rPr>
          <w:rFonts w:hint="eastAsia"/>
          <w:highlight w:val="none"/>
          <w:lang w:val="en-US" w:eastAsia="zh-CN"/>
        </w:rPr>
        <w:t>XGT7525-16</w:t>
      </w:r>
      <w:r>
        <w:rPr>
          <w:highlight w:val="none"/>
        </w:rPr>
        <w:t>塔式起重机进行桥梁施工吊装作业，为认真、全面、系统地做好起重机的安装作业，确保过程质量和安全，合理安排施工工期，</w:t>
      </w:r>
      <w:r>
        <w:rPr>
          <w:rFonts w:hint="eastAsia"/>
          <w:highlight w:val="none"/>
          <w:lang w:eastAsia="zh-CN"/>
        </w:rPr>
        <w:t>四川科斗文智能装备有限公司</w:t>
      </w:r>
      <w:r>
        <w:rPr>
          <w:highlight w:val="none"/>
        </w:rPr>
        <w:t>受项目部委托</w:t>
      </w:r>
      <w:r>
        <w:rPr>
          <w:rFonts w:hint="eastAsia"/>
          <w:highlight w:val="none"/>
        </w:rPr>
        <w:t>特编制本塔式起重机</w:t>
      </w:r>
      <w:r>
        <w:rPr>
          <w:highlight w:val="none"/>
        </w:rPr>
        <w:t>安装专项施工方案。</w:t>
      </w:r>
    </w:p>
    <w:p w14:paraId="43173BD4">
      <w:pPr>
        <w:pStyle w:val="3"/>
        <w:bidi w:val="0"/>
        <w:ind w:left="575" w:leftChars="0" w:hanging="575" w:firstLineChars="0"/>
        <w:rPr>
          <w:rFonts w:hint="default"/>
          <w:lang w:val="en-US" w:eastAsia="zh-CN"/>
        </w:rPr>
      </w:pPr>
      <w:bookmarkStart w:id="18" w:name="_Toc10409765"/>
      <w:bookmarkStart w:id="19" w:name="_Toc7022"/>
      <w:bookmarkStart w:id="20" w:name="_Toc934"/>
      <w:r>
        <w:rPr>
          <w:rFonts w:hint="eastAsia"/>
        </w:rPr>
        <w:t xml:space="preserve"> </w:t>
      </w:r>
      <w:bookmarkEnd w:id="18"/>
      <w:bookmarkStart w:id="21" w:name="_Toc28208"/>
      <w:r>
        <w:rPr>
          <w:rFonts w:hint="eastAsia"/>
          <w:lang w:val="en-US" w:eastAsia="zh-CN"/>
        </w:rPr>
        <w:t>引用文件</w:t>
      </w:r>
      <w:bookmarkEnd w:id="19"/>
      <w:bookmarkEnd w:id="20"/>
      <w:bookmarkEnd w:id="21"/>
    </w:p>
    <w:p w14:paraId="192ACC68">
      <w:pPr>
        <w:pStyle w:val="4"/>
        <w:bidi w:val="0"/>
        <w:ind w:left="720" w:leftChars="0" w:hanging="720" w:firstLineChars="0"/>
      </w:pPr>
      <w:bookmarkStart w:id="22" w:name="_Hlk42526096"/>
      <w:bookmarkStart w:id="23" w:name="_Toc6806"/>
      <w:r>
        <w:rPr>
          <w:rFonts w:hint="eastAsia"/>
        </w:rPr>
        <w:t>主要法律法规</w:t>
      </w:r>
    </w:p>
    <w:p w14:paraId="350CC49F">
      <w:pPr>
        <w:pStyle w:val="48"/>
        <w:numPr>
          <w:ilvl w:val="0"/>
          <w:numId w:val="5"/>
        </w:numPr>
        <w:ind w:firstLineChars="0"/>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w:t>
      </w:r>
      <w:r>
        <w:rPr>
          <w:rFonts w:ascii="宋体" w:hAnsi="宋体" w:eastAsia="宋体" w:cs="Times New Roman"/>
          <w:color w:val="auto"/>
          <w:kern w:val="2"/>
          <w:sz w:val="24"/>
          <w:szCs w:val="22"/>
          <w:highlight w:val="none"/>
          <w:lang w:val="en-US" w:eastAsia="zh-CN" w:bidi="ar-SA"/>
        </w:rPr>
        <w:t>中华人民共和国特种设备安全法</w:t>
      </w:r>
      <w:r>
        <w:rPr>
          <w:rFonts w:hint="eastAsia" w:ascii="宋体" w:hAnsi="宋体" w:eastAsia="宋体" w:cs="Times New Roman"/>
          <w:color w:val="auto"/>
          <w:kern w:val="2"/>
          <w:sz w:val="24"/>
          <w:szCs w:val="22"/>
          <w:highlight w:val="none"/>
          <w:lang w:val="en-US" w:eastAsia="zh-CN" w:bidi="ar-SA"/>
        </w:rPr>
        <w:t>》（中华人民共和国主席令第</w:t>
      </w:r>
      <w:r>
        <w:rPr>
          <w:rFonts w:ascii="宋体" w:hAnsi="宋体" w:eastAsia="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号）</w:t>
      </w:r>
    </w:p>
    <w:p w14:paraId="4776883D">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《中华人民共和国安全生产法》（中华人民共和国主席令第88号）</w:t>
      </w:r>
    </w:p>
    <w:p w14:paraId="4F5BA8EB">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《特种设备安全监察条例》（国务院令第549号）</w:t>
      </w:r>
    </w:p>
    <w:p w14:paraId="7691DF19">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《起重机械安全监察规定》（质监总局令第92号）</w:t>
      </w:r>
    </w:p>
    <w:p w14:paraId="42988A1D">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《特种设备作业人员监督管理办法》（质监总局令第140号）</w:t>
      </w:r>
    </w:p>
    <w:p w14:paraId="74DA5BF9">
      <w:pPr>
        <w:pStyle w:val="4"/>
        <w:bidi w:val="0"/>
        <w:ind w:left="720" w:leftChars="0" w:hanging="720" w:firstLineChars="0"/>
      </w:pPr>
      <w:r>
        <w:rPr>
          <w:rFonts w:hint="eastAsia"/>
        </w:rPr>
        <w:t>主要规范、规程</w:t>
      </w:r>
    </w:p>
    <w:p w14:paraId="03D1184B">
      <w:pPr>
        <w:numPr>
          <w:ilvl w:val="0"/>
          <w:numId w:val="6"/>
        </w:numPr>
        <w:bidi w:val="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6"/>
        </w:numPr>
        <w:bidi w:val="0"/>
        <w:rPr>
          <w:rFonts w:hint="eastAsia"/>
          <w:highlight w:val="none"/>
        </w:rPr>
      </w:pPr>
      <w:r>
        <w:rPr>
          <w:rFonts w:hint="eastAsia"/>
          <w:highlight w:val="none"/>
        </w:rPr>
        <w:t>《重要用途钢丝绳》（GB 8918-2006）</w:t>
      </w:r>
    </w:p>
    <w:p w14:paraId="2466DE2B">
      <w:pPr>
        <w:numPr>
          <w:ilvl w:val="0"/>
          <w:numId w:val="6"/>
        </w:numPr>
        <w:bidi w:val="0"/>
        <w:rPr>
          <w:rFonts w:hint="eastAsia"/>
          <w:highlight w:val="none"/>
        </w:rPr>
      </w:pPr>
      <w:r>
        <w:rPr>
          <w:rFonts w:hint="eastAsia"/>
          <w:highlight w:val="none"/>
        </w:rPr>
        <w:t>《起重设备安装工程施工及验收规范》（GB 50278-2010）</w:t>
      </w:r>
    </w:p>
    <w:p w14:paraId="484FB711">
      <w:pPr>
        <w:numPr>
          <w:ilvl w:val="0"/>
          <w:numId w:val="6"/>
        </w:numPr>
        <w:bidi w:val="0"/>
        <w:rPr>
          <w:rFonts w:hint="eastAsia"/>
          <w:highlight w:val="none"/>
        </w:rPr>
      </w:pPr>
      <w:r>
        <w:rPr>
          <w:rFonts w:hint="eastAsia"/>
          <w:highlight w:val="none"/>
        </w:rPr>
        <w:t>《起重机 安全使用 第3部分：塔式起重机》（GB/T 2372-2010）</w:t>
      </w:r>
    </w:p>
    <w:p w14:paraId="41A457B3">
      <w:pPr>
        <w:numPr>
          <w:ilvl w:val="0"/>
          <w:numId w:val="6"/>
        </w:numPr>
        <w:bidi w:val="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6"/>
        </w:numPr>
        <w:bidi w:val="0"/>
        <w:rPr>
          <w:rFonts w:hint="eastAsia"/>
          <w:highlight w:val="none"/>
        </w:rPr>
      </w:pPr>
      <w:r>
        <w:rPr>
          <w:rFonts w:hint="eastAsia"/>
          <w:highlight w:val="none"/>
        </w:rPr>
        <w:t>《塔式起重机安装与拆卸规则》（GB/T 26471-2011）</w:t>
      </w:r>
    </w:p>
    <w:p w14:paraId="06212778">
      <w:pPr>
        <w:numPr>
          <w:ilvl w:val="0"/>
          <w:numId w:val="6"/>
        </w:numPr>
        <w:bidi w:val="0"/>
        <w:rPr>
          <w:rFonts w:hint="eastAsia"/>
          <w:highlight w:val="none"/>
        </w:rPr>
      </w:pPr>
      <w:r>
        <w:rPr>
          <w:rFonts w:hint="eastAsia"/>
          <w:highlight w:val="none"/>
        </w:rPr>
        <w:t>《塔式起重机设计规范》（GB/T 13752-2017）</w:t>
      </w:r>
    </w:p>
    <w:p w14:paraId="10A56D2C">
      <w:pPr>
        <w:numPr>
          <w:ilvl w:val="0"/>
          <w:numId w:val="6"/>
        </w:numPr>
        <w:bidi w:val="0"/>
        <w:rPr>
          <w:rFonts w:hint="eastAsia"/>
          <w:highlight w:val="none"/>
        </w:rPr>
      </w:pPr>
      <w:r>
        <w:rPr>
          <w:rFonts w:hint="eastAsia"/>
          <w:highlight w:val="none"/>
        </w:rPr>
        <w:t>《起重机械定期检验规则》（TSG Q7015-2016）</w:t>
      </w:r>
    </w:p>
    <w:p w14:paraId="5271DA3E">
      <w:pPr>
        <w:numPr>
          <w:ilvl w:val="0"/>
          <w:numId w:val="6"/>
        </w:numPr>
        <w:bidi w:val="0"/>
        <w:rPr>
          <w:rFonts w:hint="eastAsia"/>
          <w:highlight w:val="none"/>
        </w:rPr>
      </w:pPr>
      <w:r>
        <w:rPr>
          <w:rFonts w:hint="eastAsia"/>
          <w:highlight w:val="none"/>
        </w:rPr>
        <w:t>《起重机械定期检验规则》（TSG Q7015-2016）</w:t>
      </w:r>
    </w:p>
    <w:p w14:paraId="50D8031C">
      <w:pPr>
        <w:numPr>
          <w:ilvl w:val="0"/>
          <w:numId w:val="6"/>
        </w:numPr>
        <w:bidi w:val="0"/>
        <w:rPr>
          <w:rFonts w:hint="eastAsia"/>
          <w:highlight w:val="none"/>
        </w:rPr>
      </w:pPr>
      <w:r>
        <w:rPr>
          <w:rFonts w:hint="eastAsia"/>
          <w:highlight w:val="none"/>
        </w:rPr>
        <w:t>《起重机械安装改造重大修理监督检验规则》（TSG Q7016-2016）</w:t>
      </w:r>
    </w:p>
    <w:p w14:paraId="6BBB67E6">
      <w:pPr>
        <w:numPr>
          <w:ilvl w:val="0"/>
          <w:numId w:val="6"/>
        </w:numPr>
        <w:bidi w:val="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6"/>
        </w:numPr>
        <w:bidi w:val="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6"/>
        </w:numPr>
        <w:bidi w:val="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numPr>
          <w:ilvl w:val="0"/>
          <w:numId w:val="6"/>
        </w:numPr>
        <w:bidi w:val="0"/>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ind w:left="720" w:leftChars="0" w:hanging="720" w:firstLineChars="0"/>
      </w:pPr>
      <w:r>
        <w:rPr>
          <w:rFonts w:hint="eastAsia"/>
        </w:rPr>
        <w:t>其他</w:t>
      </w:r>
    </w:p>
    <w:p w14:paraId="509CE369">
      <w:pPr>
        <w:numPr>
          <w:ilvl w:val="0"/>
          <w:numId w:val="7"/>
        </w:numPr>
        <w:bidi w:val="0"/>
        <w:rPr>
          <w:rFonts w:hint="eastAsia"/>
          <w:highlight w:val="none"/>
        </w:rPr>
      </w:pPr>
      <w:r>
        <w:rPr>
          <w:rFonts w:hint="eastAsia"/>
          <w:highlight w:val="none"/>
        </w:rPr>
        <w:t>中交二航局桂林-恭城-贺州公路（桂林至钟山段）№7合同段施工组织设计</w:t>
      </w:r>
    </w:p>
    <w:p w14:paraId="4C7BA662">
      <w:pPr>
        <w:numPr>
          <w:ilvl w:val="0"/>
          <w:numId w:val="7"/>
        </w:numPr>
        <w:bidi w:val="0"/>
        <w:rPr>
          <w:rFonts w:hint="eastAsia"/>
          <w:highlight w:val="none"/>
        </w:rPr>
      </w:pPr>
      <w:r>
        <w:rPr>
          <w:rFonts w:hint="eastAsia"/>
          <w:highlight w:val="none"/>
        </w:rPr>
        <w:t>桂林-恭城-贺州公路（桂林至钟山段）№7合同段施工图</w:t>
      </w:r>
    </w:p>
    <w:p w14:paraId="2C9C0EE1">
      <w:pPr>
        <w:numPr>
          <w:ilvl w:val="0"/>
          <w:numId w:val="7"/>
        </w:numPr>
        <w:bidi w:val="0"/>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numPr>
          <w:ilvl w:val="0"/>
          <w:numId w:val="7"/>
        </w:numPr>
        <w:tabs>
          <w:tab w:val="left" w:pos="920"/>
        </w:tabs>
        <w:bidi w:val="0"/>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numPr>
          <w:ilvl w:val="0"/>
          <w:numId w:val="7"/>
        </w:numPr>
        <w:tabs>
          <w:tab w:val="left" w:pos="920"/>
        </w:tabs>
        <w:bidi w:val="0"/>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14CFB6FC">
      <w:pPr>
        <w:numPr>
          <w:ilvl w:val="0"/>
          <w:numId w:val="7"/>
        </w:numPr>
        <w:tabs>
          <w:tab w:val="left" w:pos="920"/>
        </w:tabs>
        <w:bidi w:val="0"/>
        <w:rPr>
          <w:rFonts w:hint="eastAsia"/>
          <w:highlight w:val="none"/>
        </w:rPr>
      </w:pPr>
      <w:r>
        <w:rPr>
          <w:rFonts w:hint="eastAsia"/>
          <w:highlight w:val="none"/>
          <w:lang w:eastAsia="zh-CN"/>
        </w:rPr>
        <w:t>XGT7525-16</w:t>
      </w:r>
      <w:r>
        <w:rPr>
          <w:rFonts w:hint="eastAsia"/>
          <w:highlight w:val="none"/>
        </w:rPr>
        <w:t>塔式起重机安装手册</w:t>
      </w:r>
    </w:p>
    <w:bookmarkEnd w:id="22"/>
    <w:bookmarkEnd w:id="23"/>
    <w:p w14:paraId="3CE8DC3F">
      <w:pPr>
        <w:pStyle w:val="3"/>
        <w:bidi w:val="0"/>
        <w:ind w:left="575" w:leftChars="0" w:hanging="575" w:firstLineChars="0"/>
      </w:pPr>
      <w:bookmarkStart w:id="24" w:name="_Toc20926"/>
      <w:bookmarkStart w:id="25" w:name="_Toc10409766"/>
      <w:bookmarkStart w:id="26" w:name="_Toc2530"/>
      <w:r>
        <w:rPr>
          <w:rFonts w:hint="eastAsia"/>
        </w:rPr>
        <w:t xml:space="preserve"> </w:t>
      </w:r>
      <w:bookmarkStart w:id="27" w:name="_Toc24561"/>
      <w:r>
        <w:rPr>
          <w:rFonts w:hint="eastAsia"/>
        </w:rPr>
        <w:t>编制原则</w:t>
      </w:r>
      <w:bookmarkEnd w:id="24"/>
      <w:bookmarkEnd w:id="25"/>
      <w:bookmarkEnd w:id="26"/>
      <w:bookmarkEnd w:id="27"/>
    </w:p>
    <w:p w14:paraId="060AC864">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1）严格贯彻“安全第一”的原则，针对风险细化安全技术措施，预防和杜绝安全事故的发生；</w:t>
      </w:r>
    </w:p>
    <w:p w14:paraId="7C61FC7A">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2）严格按照ISO9001标准质量体系质量程序控制原则，实施安装过程动态管理；</w:t>
      </w:r>
    </w:p>
    <w:p w14:paraId="63B113E2">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3）科学合理制定安装计划，提高安装功效；</w:t>
      </w:r>
    </w:p>
    <w:p w14:paraId="22387B69">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4）</w:t>
      </w:r>
      <w:r>
        <w:rPr>
          <w:highlight w:val="none"/>
        </w:rPr>
        <w:t>加强过程管控，合理配置安装资源，合理降低安装成本。</w:t>
      </w:r>
    </w:p>
    <w:p w14:paraId="134DEFA7">
      <w:pPr>
        <w:pStyle w:val="3"/>
        <w:bidi w:val="0"/>
        <w:ind w:left="575" w:leftChars="0" w:hanging="575" w:firstLineChars="0"/>
      </w:pPr>
      <w:bookmarkStart w:id="28" w:name="_Toc1278"/>
      <w:bookmarkStart w:id="29" w:name="_Toc11324"/>
      <w:bookmarkStart w:id="30" w:name="_Toc10409767"/>
      <w:r>
        <w:rPr>
          <w:rFonts w:hint="eastAsia"/>
        </w:rPr>
        <w:t xml:space="preserve"> </w:t>
      </w:r>
      <w:bookmarkStart w:id="31" w:name="_Toc17247"/>
      <w:r>
        <w:rPr>
          <w:rFonts w:hint="eastAsia"/>
        </w:rPr>
        <w:t>隶属关系</w:t>
      </w:r>
      <w:bookmarkEnd w:id="28"/>
      <w:bookmarkEnd w:id="29"/>
      <w:bookmarkEnd w:id="30"/>
      <w:bookmarkEnd w:id="31"/>
    </w:p>
    <w:p w14:paraId="7B5F241E">
      <w:pPr>
        <w:pStyle w:val="41"/>
        <w:bidi w:val="0"/>
        <w:rPr>
          <w:highlight w:val="none"/>
        </w:rPr>
      </w:pPr>
      <w:r>
        <w:rPr>
          <w:rFonts w:hint="eastAsia"/>
          <w:highlight w:val="none"/>
        </w:rPr>
        <w:t>表</w:t>
      </w:r>
      <w:r>
        <w:rPr>
          <w:highlight w:val="none"/>
        </w:rPr>
        <w:t xml:space="preserve">-1 </w:t>
      </w:r>
      <w:r>
        <w:rPr>
          <w:rFonts w:hint="eastAsia"/>
          <w:highlight w:val="none"/>
        </w:rPr>
        <w:t>项目参与单位概况</w:t>
      </w:r>
    </w:p>
    <w:tbl>
      <w:tblPr>
        <w:tblStyle w:val="31"/>
        <w:tblW w:w="4999" w:type="pct"/>
        <w:jc w:val="center"/>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Layout w:type="autofit"/>
        <w:tblCellMar>
          <w:top w:w="0" w:type="dxa"/>
          <w:left w:w="108" w:type="dxa"/>
          <w:bottom w:w="0" w:type="dxa"/>
          <w:right w:w="108" w:type="dxa"/>
        </w:tblCellMar>
      </w:tblPr>
      <w:tblGrid>
        <w:gridCol w:w="866"/>
        <w:gridCol w:w="2446"/>
        <w:gridCol w:w="5208"/>
      </w:tblGrid>
      <w:tr w14:paraId="0ECC6B4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45F62FB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序号</w:t>
            </w:r>
          </w:p>
        </w:tc>
        <w:tc>
          <w:tcPr>
            <w:tcW w:w="1435" w:type="pct"/>
            <w:tcBorders>
              <w:tl2br w:val="nil"/>
              <w:tr2bl w:val="nil"/>
            </w:tcBorders>
            <w:vAlign w:val="center"/>
          </w:tcPr>
          <w:p w14:paraId="658DB58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项目</w:t>
            </w:r>
          </w:p>
        </w:tc>
        <w:tc>
          <w:tcPr>
            <w:tcW w:w="3055" w:type="pct"/>
            <w:tcBorders>
              <w:tl2br w:val="nil"/>
              <w:tr2bl w:val="nil"/>
            </w:tcBorders>
            <w:vAlign w:val="center"/>
          </w:tcPr>
          <w:p w14:paraId="69C17FB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内容</w:t>
            </w:r>
          </w:p>
        </w:tc>
      </w:tr>
      <w:tr w14:paraId="12AC8B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51428EF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1</w:t>
            </w:r>
          </w:p>
        </w:tc>
        <w:tc>
          <w:tcPr>
            <w:tcW w:w="1435" w:type="pct"/>
            <w:tcBorders>
              <w:tl2br w:val="nil"/>
              <w:tr2bl w:val="nil"/>
            </w:tcBorders>
            <w:vAlign w:val="center"/>
          </w:tcPr>
          <w:p w14:paraId="04BEF594">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建设单位</w:t>
            </w:r>
          </w:p>
        </w:tc>
        <w:tc>
          <w:tcPr>
            <w:tcW w:w="3055" w:type="pct"/>
            <w:tcBorders>
              <w:tl2br w:val="nil"/>
              <w:tr2bl w:val="nil"/>
            </w:tcBorders>
            <w:vAlign w:val="center"/>
          </w:tcPr>
          <w:p w14:paraId="1BCE72C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广西桂贺高速公路有限公司</w:t>
            </w:r>
          </w:p>
        </w:tc>
      </w:tr>
      <w:tr w14:paraId="302E747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10550B3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2</w:t>
            </w:r>
          </w:p>
        </w:tc>
        <w:tc>
          <w:tcPr>
            <w:tcW w:w="1435" w:type="pct"/>
            <w:tcBorders>
              <w:tl2br w:val="nil"/>
              <w:tr2bl w:val="nil"/>
            </w:tcBorders>
            <w:vAlign w:val="center"/>
          </w:tcPr>
          <w:p w14:paraId="74BDA55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勘察</w:t>
            </w:r>
            <w:r>
              <w:rPr>
                <w:rFonts w:hint="eastAsia" w:ascii="仿宋" w:hAnsi="仿宋" w:eastAsia="仿宋" w:cs="仿宋"/>
                <w:highlight w:val="none"/>
                <w:lang w:eastAsia="zh-CN"/>
              </w:rPr>
              <w:t>、</w:t>
            </w:r>
            <w:r>
              <w:rPr>
                <w:rFonts w:hint="eastAsia" w:ascii="仿宋" w:hAnsi="仿宋" w:eastAsia="仿宋" w:cs="仿宋"/>
                <w:highlight w:val="none"/>
              </w:rPr>
              <w:t>设计单位</w:t>
            </w:r>
          </w:p>
        </w:tc>
        <w:tc>
          <w:tcPr>
            <w:tcW w:w="3055" w:type="pct"/>
            <w:tcBorders>
              <w:tl2br w:val="nil"/>
              <w:tr2bl w:val="nil"/>
            </w:tcBorders>
            <w:vAlign w:val="center"/>
          </w:tcPr>
          <w:p w14:paraId="059373C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rPr>
            </w:pPr>
            <w:r>
              <w:rPr>
                <w:rFonts w:hint="eastAsia" w:ascii="仿宋" w:hAnsi="仿宋" w:eastAsia="仿宋" w:cs="仿宋"/>
                <w:highlight w:val="none"/>
                <w:lang w:val="en-US" w:eastAsia="zh-CN"/>
              </w:rPr>
              <w:t>广西交通设计集团有限公司</w:t>
            </w:r>
          </w:p>
        </w:tc>
      </w:tr>
      <w:tr w14:paraId="6F96DD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90B4B6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3</w:t>
            </w:r>
          </w:p>
        </w:tc>
        <w:tc>
          <w:tcPr>
            <w:tcW w:w="1435" w:type="pct"/>
            <w:tcBorders>
              <w:tl2br w:val="nil"/>
              <w:tr2bl w:val="nil"/>
            </w:tcBorders>
            <w:vAlign w:val="center"/>
          </w:tcPr>
          <w:p w14:paraId="6897316B">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监理单位</w:t>
            </w:r>
          </w:p>
        </w:tc>
        <w:tc>
          <w:tcPr>
            <w:tcW w:w="3055" w:type="pct"/>
            <w:tcBorders>
              <w:tl2br w:val="nil"/>
              <w:tr2bl w:val="nil"/>
            </w:tcBorders>
            <w:vAlign w:val="center"/>
          </w:tcPr>
          <w:p w14:paraId="5D73976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lang w:val="en-US" w:eastAsia="zh-CN"/>
              </w:rPr>
              <w:t>四川盛达兴工程项目管理</w:t>
            </w:r>
            <w:r>
              <w:rPr>
                <w:rFonts w:hint="eastAsia" w:ascii="仿宋" w:hAnsi="仿宋" w:eastAsia="仿宋" w:cs="仿宋"/>
                <w:highlight w:val="none"/>
              </w:rPr>
              <w:t>有限公司</w:t>
            </w:r>
          </w:p>
        </w:tc>
      </w:tr>
      <w:tr w14:paraId="5A4D77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006D4DA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4</w:t>
            </w:r>
          </w:p>
        </w:tc>
        <w:tc>
          <w:tcPr>
            <w:tcW w:w="1435" w:type="pct"/>
            <w:tcBorders>
              <w:tl2br w:val="nil"/>
              <w:tr2bl w:val="nil"/>
            </w:tcBorders>
            <w:vAlign w:val="center"/>
          </w:tcPr>
          <w:p w14:paraId="2174197C">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施工单位</w:t>
            </w:r>
          </w:p>
        </w:tc>
        <w:tc>
          <w:tcPr>
            <w:tcW w:w="3055" w:type="pct"/>
            <w:tcBorders>
              <w:tl2br w:val="nil"/>
              <w:tr2bl w:val="nil"/>
            </w:tcBorders>
            <w:vAlign w:val="center"/>
          </w:tcPr>
          <w:p w14:paraId="4FD98045">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中交第二航务工程局有限公司</w:t>
            </w:r>
          </w:p>
        </w:tc>
      </w:tr>
      <w:tr w14:paraId="3DE6C28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3145462">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5</w:t>
            </w:r>
          </w:p>
        </w:tc>
        <w:tc>
          <w:tcPr>
            <w:tcW w:w="1435" w:type="pct"/>
            <w:tcBorders>
              <w:tl2br w:val="nil"/>
              <w:tr2bl w:val="nil"/>
            </w:tcBorders>
            <w:vAlign w:val="center"/>
          </w:tcPr>
          <w:p w14:paraId="64F3244A">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lang w:val="en-US" w:eastAsia="zh-CN"/>
              </w:rPr>
              <w:t>安装</w:t>
            </w:r>
            <w:r>
              <w:rPr>
                <w:rFonts w:hint="eastAsia" w:ascii="仿宋" w:hAnsi="仿宋" w:eastAsia="仿宋" w:cs="仿宋"/>
                <w:highlight w:val="none"/>
              </w:rPr>
              <w:t>单位</w:t>
            </w:r>
          </w:p>
        </w:tc>
        <w:tc>
          <w:tcPr>
            <w:tcW w:w="3055" w:type="pct"/>
            <w:tcBorders>
              <w:tl2br w:val="nil"/>
              <w:tr2bl w:val="nil"/>
            </w:tcBorders>
            <w:vAlign w:val="center"/>
          </w:tcPr>
          <w:p w14:paraId="19CA923E">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四川科斗文智能装备有限公司</w:t>
            </w:r>
          </w:p>
        </w:tc>
      </w:tr>
    </w:tbl>
    <w:p w14:paraId="73B59B24">
      <w:pPr>
        <w:pStyle w:val="3"/>
        <w:bidi w:val="0"/>
        <w:ind w:left="575" w:leftChars="0" w:hanging="575" w:firstLineChars="0"/>
      </w:pPr>
      <w:bookmarkStart w:id="32" w:name="_Toc10409768"/>
      <w:bookmarkStart w:id="33" w:name="_Toc26819"/>
      <w:bookmarkStart w:id="34" w:name="_Toc14295"/>
      <w:r>
        <w:rPr>
          <w:rFonts w:hint="eastAsia"/>
        </w:rPr>
        <w:t xml:space="preserve"> </w:t>
      </w:r>
      <w:bookmarkStart w:id="35" w:name="_Toc2678"/>
      <w:r>
        <w:rPr>
          <w:rFonts w:hint="eastAsia"/>
        </w:rPr>
        <w:t>适用范围</w:t>
      </w:r>
      <w:bookmarkEnd w:id="32"/>
      <w:bookmarkEnd w:id="33"/>
      <w:bookmarkEnd w:id="34"/>
      <w:bookmarkEnd w:id="35"/>
    </w:p>
    <w:p w14:paraId="69D8B936">
      <w:pPr>
        <w:bidi w:val="0"/>
        <w:ind w:firstLine="480" w:firstLineChars="200"/>
        <w:rPr>
          <w:highlight w:val="none"/>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新渡坪大桥右幅10#墩XGT7525-16</w:t>
      </w:r>
      <w:r>
        <w:rPr>
          <w:highlight w:val="none"/>
        </w:rPr>
        <w:t>塔式起重机安装安全施工作业。</w:t>
      </w:r>
    </w:p>
    <w:p w14:paraId="522D2077">
      <w:pPr>
        <w:rPr>
          <w:highlight w:val="none"/>
        </w:rPr>
      </w:pPr>
      <w:r>
        <w:rPr>
          <w:highlight w:val="none"/>
        </w:rPr>
        <w:br w:type="page"/>
      </w:r>
    </w:p>
    <w:p w14:paraId="66BCE898">
      <w:pPr>
        <w:pStyle w:val="2"/>
        <w:bidi w:val="0"/>
        <w:ind w:left="432" w:leftChars="0" w:hanging="432" w:firstLineChars="0"/>
        <w:rPr>
          <w:rFonts w:hint="eastAsia"/>
        </w:rPr>
      </w:pPr>
      <w:bookmarkStart w:id="36" w:name="_Toc20162"/>
      <w:bookmarkStart w:id="37" w:name="_Toc16987"/>
      <w:bookmarkStart w:id="38" w:name="_Toc2545"/>
      <w:r>
        <w:rPr>
          <w:rFonts w:hint="eastAsia"/>
        </w:rPr>
        <w:t>工程概况</w:t>
      </w:r>
      <w:bookmarkEnd w:id="13"/>
      <w:bookmarkEnd w:id="36"/>
      <w:bookmarkEnd w:id="37"/>
      <w:bookmarkEnd w:id="38"/>
    </w:p>
    <w:p w14:paraId="3ABB5EF7">
      <w:pPr>
        <w:pStyle w:val="3"/>
        <w:bidi w:val="0"/>
        <w:ind w:left="575" w:leftChars="0" w:hanging="575" w:firstLineChars="0"/>
      </w:pPr>
      <w:bookmarkStart w:id="39" w:name="_Toc10409770"/>
      <w:bookmarkStart w:id="40" w:name="_Toc23094"/>
      <w:bookmarkStart w:id="41" w:name="_Toc8807"/>
      <w:r>
        <w:rPr>
          <w:rFonts w:hint="eastAsia"/>
        </w:rPr>
        <w:t xml:space="preserve"> </w:t>
      </w:r>
      <w:bookmarkStart w:id="42" w:name="_Toc11290"/>
      <w:r>
        <w:rPr>
          <w:rFonts w:hint="eastAsia"/>
        </w:rPr>
        <w:t>工程概况</w:t>
      </w:r>
      <w:bookmarkEnd w:id="39"/>
      <w:bookmarkEnd w:id="40"/>
      <w:bookmarkEnd w:id="41"/>
      <w:bookmarkEnd w:id="42"/>
    </w:p>
    <w:p w14:paraId="2730413B">
      <w:pPr>
        <w:bidi w:val="0"/>
        <w:ind w:firstLine="480" w:firstLineChars="200"/>
        <w:rPr>
          <w:rFonts w:hint="eastAsia"/>
          <w:highlight w:val="none"/>
        </w:rPr>
      </w:pPr>
      <w:r>
        <w:rPr>
          <w:rFonts w:hint="eastAsia"/>
          <w:highlight w:val="none"/>
        </w:rPr>
        <w:t>桂林-恭城-贺州公路（桂林至钟山段）№7合同段路线长度1</w:t>
      </w:r>
      <w:r>
        <w:rPr>
          <w:rFonts w:hint="eastAsia"/>
          <w:highlight w:val="none"/>
          <w:lang w:val="en-US" w:eastAsia="zh-CN"/>
        </w:rPr>
        <w:t>63</w:t>
      </w:r>
      <w:r>
        <w:rPr>
          <w:rFonts w:hint="eastAsia"/>
          <w:highlight w:val="none"/>
        </w:rPr>
        <w:t>km，途径莲花镇与三江乡，起讫桩号K105+8</w:t>
      </w:r>
      <w:r>
        <w:rPr>
          <w:rFonts w:hint="eastAsia"/>
          <w:highlight w:val="none"/>
          <w:lang w:val="en-US" w:eastAsia="zh-CN"/>
        </w:rPr>
        <w:t>132</w:t>
      </w:r>
      <w:r>
        <w:rPr>
          <w:rFonts w:hint="eastAsia"/>
          <w:highlight w:val="none"/>
        </w:rPr>
        <w:t>-K120+780,施工内容包含路基、路面（不含沥青面层）、桥涵、隧道、线路交叉、交安及绿化等工程。线路主线为双向4车道，</w:t>
      </w:r>
      <w:r>
        <w:rPr>
          <w:rFonts w:hint="eastAsia"/>
          <w:highlight w:val="none"/>
          <w:lang w:val="en-US" w:eastAsia="zh-CN"/>
        </w:rPr>
        <w:t>路基总长46km，</w:t>
      </w:r>
      <w:r>
        <w:rPr>
          <w:rFonts w:hint="eastAsia"/>
          <w:highlight w:val="none"/>
        </w:rPr>
        <w:t>整体式路基全幅宽26m，分离式路基宽13m，设计速度：100km/h，设计荷载公路-I级；沿线共设桥梁61km/12座（含天桥1座、立交桥1座）</w:t>
      </w:r>
      <w:r>
        <w:rPr>
          <w:rFonts w:hint="eastAsia"/>
          <w:highlight w:val="none"/>
          <w:lang w:eastAsia="zh-CN"/>
        </w:rPr>
        <w:t>。</w:t>
      </w:r>
      <w:r>
        <w:rPr>
          <w:rFonts w:hint="eastAsia"/>
          <w:highlight w:val="none"/>
        </w:rPr>
        <w:t>隧道56km/4座，建筑限界净宽15米，净高米，均为长隧道。标段内有通道、涵洞9座。</w:t>
      </w:r>
    </w:p>
    <w:p w14:paraId="03D37B00">
      <w:pPr>
        <w:bidi w:val="0"/>
        <w:ind w:firstLine="240" w:firstLineChars="100"/>
        <w:rPr>
          <w:rFonts w:hint="eastAsia"/>
          <w:highlight w:val="none"/>
          <w:lang w:val="en-US" w:eastAsia="zh-CN"/>
        </w:rPr>
      </w:pPr>
      <w:r>
        <w:rPr>
          <w:rFonts w:hint="eastAsia"/>
          <w:highlight w:val="none"/>
          <w:lang w:val="en-US" w:eastAsia="zh-CN"/>
        </w:rPr>
        <w:t>经综合考虑，本项目计划于新渡坪大桥右幅10#墩布置XGT7525-16</w:t>
      </w:r>
      <w:r>
        <w:rPr>
          <w:rFonts w:hint="eastAsia"/>
          <w:highlight w:val="none"/>
        </w:rPr>
        <w:t>塔式起重机</w:t>
      </w:r>
      <w:r>
        <w:rPr>
          <w:rFonts w:hint="eastAsia"/>
          <w:highlight w:val="none"/>
          <w:lang w:val="en-US" w:eastAsia="zh-CN"/>
        </w:rPr>
        <w:t>进行作业。</w:t>
      </w:r>
    </w:p>
    <w:p w14:paraId="62B04685">
      <w:pPr>
        <w:pStyle w:val="3"/>
        <w:bidi w:val="0"/>
        <w:ind w:left="575" w:leftChars="0" w:hanging="575" w:firstLineChars="0"/>
      </w:pPr>
      <w:bookmarkStart w:id="43" w:name="_Toc28203"/>
      <w:bookmarkStart w:id="44" w:name="_Toc168"/>
      <w:bookmarkStart w:id="45" w:name="_Toc10409771"/>
      <w:r>
        <w:rPr>
          <w:rFonts w:hint="eastAsia"/>
        </w:rPr>
        <w:t xml:space="preserve"> </w:t>
      </w:r>
      <w:bookmarkStart w:id="46" w:name="_Toc28811"/>
      <w:r>
        <w:rPr>
          <w:rFonts w:hint="eastAsia"/>
        </w:rPr>
        <w:t>自然条件</w:t>
      </w:r>
      <w:bookmarkEnd w:id="43"/>
      <w:bookmarkEnd w:id="44"/>
      <w:bookmarkEnd w:id="45"/>
      <w:bookmarkEnd w:id="46"/>
    </w:p>
    <w:p w14:paraId="17875853">
      <w:pPr>
        <w:pStyle w:val="4"/>
        <w:bidi w:val="0"/>
        <w:ind w:left="720" w:leftChars="0" w:hanging="720" w:firstLineChars="0"/>
      </w:pPr>
      <w:bookmarkStart w:id="47" w:name="_Toc25768"/>
      <w:bookmarkStart w:id="48" w:name="_Toc23914"/>
      <w:bookmarkStart w:id="49" w:name="_Toc17515"/>
      <w:bookmarkStart w:id="50" w:name="_Toc6405"/>
      <w:bookmarkStart w:id="51" w:name="_Toc29865"/>
      <w:bookmarkStart w:id="52" w:name="_Toc17689"/>
      <w:bookmarkStart w:id="53" w:name="_Toc14274"/>
      <w:bookmarkStart w:id="54" w:name="_Toc2198"/>
      <w:bookmarkStart w:id="55" w:name="_Toc9111"/>
      <w:bookmarkStart w:id="56" w:name="_Toc496071095"/>
      <w:bookmarkStart w:id="57" w:name="_Toc14203"/>
      <w:bookmarkStart w:id="58" w:name="_Toc494007915"/>
      <w:bookmarkStart w:id="59" w:name="_Toc30608"/>
      <w:bookmarkStart w:id="60" w:name="_Toc30067"/>
      <w:bookmarkStart w:id="61" w:name="_Toc14307"/>
      <w:bookmarkStart w:id="62" w:name="_Toc17986"/>
      <w:bookmarkStart w:id="63" w:name="_Toc23792"/>
      <w:bookmarkStart w:id="64" w:name="_Toc492907359"/>
      <w:bookmarkStart w:id="65" w:name="_Toc15055"/>
      <w:bookmarkStart w:id="66" w:name="_Toc24351"/>
      <w:r>
        <w:t xml:space="preserve"> </w:t>
      </w:r>
      <w:r>
        <w:rPr>
          <w:rFonts w:hint="eastAsia"/>
        </w:rPr>
        <w:t>地形地貌</w:t>
      </w:r>
    </w:p>
    <w:p w14:paraId="0CE98318">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桥位区属低山丘陵~河谷地貌，地形起伏较大。设计路线大致呈西~东走向，拟建桥梁跨越 冲沟、河流。拟建桥梁墩台多位于低山丘陵斜坡，其地表高程 300~480m，覆盖第四系残坡积层，</w:t>
      </w:r>
    </w:p>
    <w:p w14:paraId="52B6F852">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highlight w:val="none"/>
        </w:rPr>
      </w:pPr>
      <w:r>
        <w:rPr>
          <w:szCs w:val="21"/>
          <w:highlight w:val="none"/>
        </w:rPr>
        <w:t>覆盖层较薄，主要种植松树、杂树等经济林。 K117+250~300 段可见大型滑坡堆积体。</w:t>
      </w:r>
    </w:p>
    <w:p w14:paraId="5483EC23">
      <w:pPr>
        <w:pStyle w:val="4"/>
        <w:bidi w:val="0"/>
        <w:ind w:left="720" w:leftChars="0" w:hanging="720" w:firstLineChars="0"/>
      </w:pPr>
      <w:r>
        <w:t xml:space="preserve"> </w:t>
      </w:r>
      <w:r>
        <w:rPr>
          <w:rFonts w:hint="eastAsia"/>
        </w:rPr>
        <w:t>水文</w:t>
      </w:r>
    </w:p>
    <w:p w14:paraId="565D8DEE">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1)地表水</w:t>
      </w:r>
    </w:p>
    <w:p w14:paraId="6FC328A7">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本桥位地表水体主要为势江河， 大致呈东~西流向， 水面宽 8~20m，水深 0~0m，常年 有水，主要接收大气降水补给，水量受季节影响较大。勘察期间测得河水位 300~310m(2021 年 5 月 10 日量测)，经走访当地村民，该段小溪水位年际变化幅度一般在 0~0m，历史最高 水位为 310m。</w:t>
      </w:r>
    </w:p>
    <w:p w14:paraId="472F3513">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2)地下水</w:t>
      </w:r>
    </w:p>
    <w:p w14:paraId="64E8AB5F">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根据地下水的埋藏条件、赋存介质和分布范围，场地地下水类型有孔隙水、基岩裂隙水。孔 隙水，属潜水，赋存于卵石中，强富水，主要受大气降水或地表水补给，以蒸发、垂直向下渗流 至基岩裂隙水或以补给地表水的方式排泄，水位随季节而变化。基岩裂隙水，赋存于岩石中的基 岩裂隙中，中等富水，受地表水和孔隙水补给，在接受补给后，以泉眼、越流等形式分散排泄于 低洼部位，其水量因岩石裂隙发育程度不同而差异较大。勘察期间钻孔混合稳定地下水位高程为 300~397m，水位埋深为 0~20m。</w:t>
      </w:r>
    </w:p>
    <w:p w14:paraId="71F53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根据地质调查结果，卵石 (Qal+pl)、碎石 (Qel+dl) 为强透水层， 基岩的透水性因岩石风化 程度和裂隙发育程度不同而差异较大。</w:t>
      </w:r>
    </w:p>
    <w:p w14:paraId="5B196EB2">
      <w:pPr>
        <w:pStyle w:val="4"/>
        <w:bidi w:val="0"/>
        <w:ind w:left="720" w:leftChars="0" w:hanging="720" w:firstLineChars="0"/>
      </w:pPr>
      <w:bookmarkStart w:id="67" w:name="_Toc22832"/>
      <w:bookmarkEnd w:id="67"/>
      <w:r>
        <w:t xml:space="preserve"> </w:t>
      </w:r>
      <w:r>
        <w:rPr>
          <w:rFonts w:hint="eastAsia"/>
        </w:rPr>
        <w:t>地震</w:t>
      </w:r>
    </w:p>
    <w:p w14:paraId="3A373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根据《中国地震动参数区划图》(GB18306-2015)，场地的基本地震动峰值加速度为5g，对应的地震基本烈度为Ⅵ度，基本地震动加速度反应谱特征周期为5s。</w:t>
      </w:r>
    </w:p>
    <w:p w14:paraId="61DE56E7">
      <w:pPr>
        <w:pStyle w:val="4"/>
        <w:bidi w:val="0"/>
        <w:ind w:left="720" w:leftChars="0" w:hanging="720" w:firstLineChars="0"/>
      </w:pPr>
      <w:r>
        <w:t xml:space="preserve"> </w:t>
      </w:r>
      <w:r>
        <w:rPr>
          <w:rFonts w:hint="eastAsia"/>
        </w:rPr>
        <w:t>气象</w:t>
      </w:r>
    </w:p>
    <w:p w14:paraId="6BBE2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拟建项目本项目区属于亚热带季风气候区，太阳辐射较大，降水充沛，夏季多暴雨高温。项目区境内平均地面温度 1℃ 。最热月 7 月平均 2℃ ，最冷月 1 月平均℃ 。 日照时数年平 均为 171 小时， 日照百分率年平均 39％ 。一年中日照时数 6 月最多， 为 19 小时。多年平 均降水量约 1200~1600mm。一年中 11 月至翌年 2 月降水量最少；4~8 月为丰水期， 占全年降水 量的 60~65%；3、9、10 月为平水期。多年平均蒸发量为 130~1413mm，最高 1561mm，最低 130mm。年平均风速为 m/s，一年中春季风速大， 秋季风速小，盛行偏东风。</w:t>
      </w:r>
    </w:p>
    <w:p w14:paraId="5F199242">
      <w:pPr>
        <w:pStyle w:val="4"/>
        <w:bidi w:val="0"/>
        <w:ind w:left="720" w:leftChars="0" w:hanging="720" w:firstLineChars="0"/>
      </w:pPr>
      <w:r>
        <w:t xml:space="preserve"> </w:t>
      </w:r>
      <w:r>
        <w:rPr>
          <w:rFonts w:hint="eastAsia"/>
        </w:rPr>
        <w:t>地质</w:t>
      </w:r>
    </w:p>
    <w:p w14:paraId="65D784A7">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根据野外地质调查及钻探资料，场地内地层主要由第四系冲洪积层(Qal+pl)、残坡积层(Qel+dl) 及寒武系(e) 基岩组成。</w:t>
      </w:r>
    </w:p>
    <w:p w14:paraId="389E4BB8">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13C34D3E">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0m。</w:t>
      </w:r>
    </w:p>
    <w:p w14:paraId="252A255C">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4EBD6E82">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碎石 (Qel+dl)，褐、褐红色，稍密~中密状，稍湿，碎石含量 50~70%，粒径 20~100mm， 次棱角状，母岩为砂岩，间隙充填黏性土及少量砂。该层主要分布于斜坡表层， 本次勘察钻孔 21个，其中 19 个钻孔有揭示，部分斜坡地段因整理机台挖除，揭示厚度 0~20m。</w:t>
      </w:r>
    </w:p>
    <w:p w14:paraId="395BD3E9">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6EAE81D2">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根据地质调查及钻探资料，场地内岩性为砂岩，根据岩性及岩石风化程度不同，分述如下：</w:t>
      </w:r>
    </w:p>
    <w:p w14:paraId="6BD3F54A">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10~10m，岩体基本质量等级为Ⅴ级。</w:t>
      </w:r>
    </w:p>
    <w:p w14:paraId="7FE20DDF">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0~20m，岩体基本质量等级为Ⅴ级。</w:t>
      </w:r>
    </w:p>
    <w:p w14:paraId="0FD7A904">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0~ 20m，岩体基本质量等级为III级，局部破碎地段为IV级。</w:t>
      </w:r>
    </w:p>
    <w:p w14:paraId="280F6727">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highlight w:val="none"/>
          <w:lang w:val="en-US" w:eastAsia="zh-CN"/>
        </w:rPr>
      </w:pPr>
      <w:r>
        <w:rPr>
          <w:szCs w:val="21"/>
          <w:highlight w:val="none"/>
        </w:rPr>
        <w:t>根据区域地质资料并结合地质调查及钻孔资料，勘察区内未见区域性断裂构造和软弱构造破碎带，区域稳定性较好。</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51E8C50E">
      <w:pPr>
        <w:pStyle w:val="3"/>
        <w:bidi w:val="0"/>
        <w:ind w:left="575" w:leftChars="0" w:hanging="575" w:firstLineChars="0"/>
      </w:pPr>
      <w:bookmarkStart w:id="68" w:name="_Toc13099"/>
      <w:bookmarkStart w:id="69" w:name="_Toc878"/>
      <w:bookmarkStart w:id="70" w:name="_Toc10409772"/>
      <w:r>
        <w:rPr>
          <w:rFonts w:hint="eastAsia"/>
        </w:rPr>
        <w:t xml:space="preserve"> </w:t>
      </w:r>
      <w:bookmarkStart w:id="71" w:name="_Toc15420"/>
      <w:r>
        <w:rPr>
          <w:rFonts w:hint="eastAsia"/>
        </w:rPr>
        <w:t>安装现场工作环境及条件</w:t>
      </w:r>
      <w:bookmarkEnd w:id="68"/>
      <w:bookmarkEnd w:id="69"/>
      <w:bookmarkEnd w:id="70"/>
      <w:bookmarkEnd w:id="71"/>
    </w:p>
    <w:p w14:paraId="14C403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根据新渡坪大桥桥位布置及高墩结构特点、现场地形条件，结合高墩施工安装最大起吊重量、爬架施工最大起吊重量及塔机最大施工悬臂要求，拟在新渡坪大桥安装一台徐工XGT7525-16塔机作为高墩施工垂直起重设备。塔机主要承担高墩钢筋、劲性骨架以及辅助材料等吊装，待施工完成盖梁后拆除。</w:t>
      </w:r>
    </w:p>
    <w:p w14:paraId="289B044E">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根据野外地质调查及钻探资料，场地内地层主要由第四系冲洪积层(Qal+pl)、残坡积层(Qel+dl) 及寒武系(e) 基岩组成。</w:t>
      </w:r>
    </w:p>
    <w:p w14:paraId="1DFA41C1">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24BA4EF5">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0m。</w:t>
      </w:r>
    </w:p>
    <w:p w14:paraId="78E45C47">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6694594A">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碎石 (Qel+dl)，褐、褐红色，稍密~中密状，稍湿，碎石含量 50~70%，粒径 20~100mm，次棱角状，母岩为砂岩，间隙充填黏性土及少量砂。该层主要分布于斜坡表层，本次勘察钻孔21个，其中19个钻孔有揭示，部分斜坡地段因整理机台挖除，揭示厚度 0~20m。</w:t>
      </w:r>
    </w:p>
    <w:p w14:paraId="4655E04F">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0F4D495D">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根据地质调查及钻探资料，场地内岩性为砂岩，根据岩性及岩石风化程度不同，分述如下：</w:t>
      </w:r>
    </w:p>
    <w:p w14:paraId="7EB3DECC">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10~10m，岩体基本质量等级为Ⅴ级。</w:t>
      </w:r>
    </w:p>
    <w:p w14:paraId="68EEF222">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0~20m，岩体基本质量等级为Ⅴ级。</w:t>
      </w:r>
    </w:p>
    <w:p w14:paraId="598C09C9">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0~ 20m，岩体基本质量等级为III级，局部破碎地段为IV级。</w:t>
      </w:r>
    </w:p>
    <w:p w14:paraId="59AFB81F">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根据区域地质资料并结合地质调查及钻孔资料，勘察区内未见区域性断裂构造和软弱构造破碎带，区域稳定性较好。</w:t>
      </w:r>
    </w:p>
    <w:p w14:paraId="43F2EC26">
      <w:pPr>
        <w:pStyle w:val="15"/>
      </w:pPr>
      <w:r>
        <w:t xml:space="preserve">表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eastAsia="黑体" w:cs="Times New Roman"/>
          <w:kern w:val="2"/>
          <w:sz w:val="21"/>
          <w:szCs w:val="21"/>
          <w:highlight w:val="none"/>
          <w:lang w:val="en-US" w:eastAsia="zh-CN" w:bidi="ar-SA"/>
        </w:rPr>
        <w:t>塔式起重机分布统计表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486"/>
        <w:gridCol w:w="1574"/>
        <w:gridCol w:w="1180"/>
        <w:gridCol w:w="1045"/>
        <w:gridCol w:w="1301"/>
        <w:gridCol w:w="1933"/>
      </w:tblGrid>
      <w:tr w14:paraId="4604EAD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872" w:type="pct"/>
            <w:tcBorders>
              <w:tl2br w:val="nil"/>
              <w:tr2bl w:val="nil"/>
            </w:tcBorders>
            <w:shd w:val="clear" w:color="auto" w:fill="DAE3F3" w:themeFill="accent5" w:themeFillTint="32"/>
            <w:vAlign w:val="center"/>
          </w:tcPr>
          <w:p w14:paraId="5347E5F9">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923" w:type="pct"/>
            <w:tcBorders>
              <w:tl2br w:val="nil"/>
              <w:tr2bl w:val="nil"/>
            </w:tcBorders>
            <w:shd w:val="clear" w:color="auto" w:fill="DAE3F3" w:themeFill="accent5" w:themeFillTint="32"/>
            <w:vAlign w:val="center"/>
          </w:tcPr>
          <w:p w14:paraId="0D73D1C1">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692" w:type="pct"/>
            <w:tcBorders>
              <w:tl2br w:val="nil"/>
              <w:tr2bl w:val="nil"/>
            </w:tcBorders>
            <w:shd w:val="clear" w:color="auto" w:fill="DAE3F3" w:themeFill="accent5" w:themeFillTint="32"/>
            <w:vAlign w:val="center"/>
          </w:tcPr>
          <w:p w14:paraId="1CFF14C1">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cs="宋体"/>
                <w:bCs/>
                <w:color w:val="000000" w:themeColor="text1"/>
                <w:sz w:val="16"/>
                <w:szCs w:val="16"/>
                <w:highlight w:val="none"/>
                <w:lang w:val="en-US" w:eastAsia="zh-CN"/>
                <w14:textFill>
                  <w14:solidFill>
                    <w14:schemeClr w14:val="tx1"/>
                  </w14:solidFill>
                </w14:textFill>
              </w:rPr>
              <w:t>安装</w:t>
            </w:r>
            <w:r>
              <w:rPr>
                <w:rFonts w:hint="eastAsia" w:ascii="宋体" w:hAnsi="宋体" w:eastAsia="宋体" w:cs="宋体"/>
                <w:bCs/>
                <w:color w:val="000000" w:themeColor="text1"/>
                <w:sz w:val="16"/>
                <w:szCs w:val="16"/>
                <w:highlight w:val="none"/>
                <w14:textFill>
                  <w14:solidFill>
                    <w14:schemeClr w14:val="tx1"/>
                  </w14:solidFill>
                </w14:textFill>
              </w:rPr>
              <w:t>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613" w:type="pct"/>
            <w:tcBorders>
              <w:tl2br w:val="nil"/>
              <w:tr2bl w:val="nil"/>
            </w:tcBorders>
            <w:shd w:val="clear" w:color="auto" w:fill="DAE3F3" w:themeFill="accent5" w:themeFillTint="32"/>
            <w:vAlign w:val="center"/>
          </w:tcPr>
          <w:p w14:paraId="648C6C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763" w:type="pct"/>
            <w:tcBorders>
              <w:tl2br w:val="nil"/>
              <w:tr2bl w:val="nil"/>
            </w:tcBorders>
            <w:shd w:val="clear" w:color="auto" w:fill="DAE3F3" w:themeFill="accent5" w:themeFillTint="32"/>
            <w:vAlign w:val="center"/>
          </w:tcPr>
          <w:p w14:paraId="0EAC9BCD">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134" w:type="pct"/>
            <w:tcBorders>
              <w:tl2br w:val="nil"/>
              <w:tr2bl w:val="nil"/>
            </w:tcBorders>
            <w:shd w:val="clear" w:color="auto" w:fill="DAE3F3" w:themeFill="accent5" w:themeFillTint="32"/>
            <w:vAlign w:val="center"/>
          </w:tcPr>
          <w:p w14:paraId="6A50D80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2F335C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872" w:type="pct"/>
            <w:tcBorders>
              <w:tl2br w:val="nil"/>
              <w:tr2bl w:val="nil"/>
            </w:tcBorders>
            <w:vAlign w:val="center"/>
          </w:tcPr>
          <w:p w14:paraId="3A96CED8">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72" w:name="_Toc18009"/>
            <w:r>
              <w:rPr>
                <w:rFonts w:hint="eastAsia" w:cs="宋体"/>
                <w:bCs/>
                <w:color w:val="000000" w:themeColor="text1"/>
                <w:sz w:val="16"/>
                <w:szCs w:val="16"/>
                <w:highlight w:val="none"/>
                <w:lang w:val="en-US" w:eastAsia="zh-CN"/>
                <w14:textFill>
                  <w14:solidFill>
                    <w14:schemeClr w14:val="tx1"/>
                  </w14:solidFill>
                </w14:textFill>
              </w:rPr>
              <w:t>新渡坪右幅10#墩</w:t>
            </w:r>
          </w:p>
        </w:tc>
        <w:tc>
          <w:tcPr>
            <w:tcW w:w="923" w:type="pct"/>
            <w:tcBorders>
              <w:tl2br w:val="nil"/>
              <w:tr2bl w:val="nil"/>
            </w:tcBorders>
            <w:vAlign w:val="center"/>
          </w:tcPr>
          <w:p w14:paraId="239C685C">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w:t>
            </w:r>
            <w:r>
              <w:rPr>
                <w:rFonts w:hint="eastAsia" w:cs="宋体"/>
                <w:color w:val="000000" w:themeColor="text1"/>
                <w:sz w:val="16"/>
                <w:szCs w:val="16"/>
                <w:highlight w:val="none"/>
                <w:lang w:val="en-US" w:eastAsia="zh-CN"/>
                <w14:textFill>
                  <w14:solidFill>
                    <w14:schemeClr w14:val="tx1"/>
                  </w14:solidFill>
                </w14:textFill>
              </w:rPr>
              <w:t>XGT7525-16</w:t>
            </w:r>
          </w:p>
        </w:tc>
        <w:tc>
          <w:tcPr>
            <w:tcW w:w="692" w:type="pct"/>
            <w:tcBorders>
              <w:tl2br w:val="nil"/>
              <w:tr2bl w:val="nil"/>
            </w:tcBorders>
            <w:vAlign w:val="center"/>
          </w:tcPr>
          <w:p w14:paraId="3ABE97DF">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cs="宋体"/>
                <w:color w:val="000000" w:themeColor="text1"/>
                <w:sz w:val="16"/>
                <w:szCs w:val="16"/>
                <w:highlight w:val="none"/>
                <w:lang w:val="en-US" w:eastAsia="zh-CN"/>
                <w14:textFill>
                  <w14:solidFill>
                    <w14:schemeClr w14:val="tx1"/>
                  </w14:solidFill>
                </w14:textFill>
              </w:rPr>
              <w:t>52.5</w:t>
            </w:r>
          </w:p>
        </w:tc>
        <w:tc>
          <w:tcPr>
            <w:tcW w:w="613" w:type="pct"/>
            <w:tcBorders>
              <w:tl2br w:val="nil"/>
              <w:tr2bl w:val="nil"/>
            </w:tcBorders>
            <w:vAlign w:val="center"/>
          </w:tcPr>
          <w:p w14:paraId="78F45902">
            <w:pPr>
              <w:spacing w:after="0" w:afterLines="0" w:line="240" w:lineRule="auto"/>
              <w:ind w:left="0" w:leftChars="0"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763" w:type="pct"/>
            <w:tcBorders>
              <w:tl2br w:val="nil"/>
              <w:tr2bl w:val="nil"/>
            </w:tcBorders>
            <w:vAlign w:val="center"/>
          </w:tcPr>
          <w:p w14:paraId="5375FBF3">
            <w:pPr>
              <w:spacing w:after="0" w:afterLines="0" w:line="240" w:lineRule="auto"/>
              <w:ind w:left="0" w:leftChars="0" w:firstLine="320" w:firstLineChars="200"/>
              <w:jc w:val="both"/>
              <w:rPr>
                <w:rFonts w:hint="default" w:ascii="宋体" w:hAnsi="宋体" w:cs="宋体"/>
                <w:bCs/>
                <w:color w:val="000000" w:themeColor="text1"/>
                <w:sz w:val="16"/>
                <w:szCs w:val="16"/>
                <w:highlight w:val="none"/>
                <w:lang w:val="en-US" w:eastAsia="zh-CN"/>
                <w14:textFill>
                  <w14:solidFill>
                    <w14:schemeClr w14:val="tx1"/>
                  </w14:solidFill>
                </w14:textFill>
              </w:rPr>
            </w:pPr>
            <w:r>
              <w:rPr>
                <w:rFonts w:hint="eastAsia" w:cs="宋体"/>
                <w:bCs/>
                <w:color w:val="000000" w:themeColor="text1"/>
                <w:sz w:val="16"/>
                <w:szCs w:val="16"/>
                <w:highlight w:val="none"/>
                <w:lang w:val="en-US" w:eastAsia="zh-CN"/>
                <w14:textFill>
                  <w14:solidFill>
                    <w14:schemeClr w14:val="tx1"/>
                  </w14:solidFill>
                </w14:textFill>
              </w:rPr>
              <w:t>55</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1134" w:type="pct"/>
            <w:tcBorders>
              <w:tl2br w:val="nil"/>
              <w:tr2bl w:val="nil"/>
            </w:tcBorders>
            <w:vAlign w:val="center"/>
          </w:tcPr>
          <w:p w14:paraId="28ED9570">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72"/>
    </w:tbl>
    <w:p w14:paraId="10810302">
      <w:pPr>
        <w:keepNext w:val="0"/>
        <w:keepLines w:val="0"/>
        <w:widowControl/>
        <w:suppressLineNumbers w:val="0"/>
        <w:jc w:val="center"/>
      </w:pPr>
      <w:r>
        <w:drawing>
          <wp:inline distT="0" distB="0" distL="114300" distR="114300">
            <wp:extent cx="5272405" cy="4384040"/>
            <wp:effectExtent l="0" t="0" r="444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272405" cy="4384040"/>
                    </a:xfrm>
                    <a:prstGeom prst="rect">
                      <a:avLst/>
                    </a:prstGeom>
                    <a:noFill/>
                    <a:ln>
                      <a:noFill/>
                    </a:ln>
                  </pic:spPr>
                </pic:pic>
              </a:graphicData>
            </a:graphic>
          </wp:inline>
        </w:drawing>
      </w:r>
    </w:p>
    <w:p w14:paraId="2FBA180C">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塔式起重机立面布置示意图</w:t>
      </w:r>
    </w:p>
    <w:p w14:paraId="5045A6FB">
      <w:pPr>
        <w:pStyle w:val="15"/>
      </w:pPr>
      <w:r>
        <w:drawing>
          <wp:inline distT="0" distB="0" distL="114300" distR="114300">
            <wp:extent cx="3858260" cy="3209925"/>
            <wp:effectExtent l="0" t="0" r="8890"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2"/>
                    <a:stretch>
                      <a:fillRect/>
                    </a:stretch>
                  </pic:blipFill>
                  <pic:spPr>
                    <a:xfrm>
                      <a:off x="0" y="0"/>
                      <a:ext cx="3858260" cy="3209925"/>
                    </a:xfrm>
                    <a:prstGeom prst="rect">
                      <a:avLst/>
                    </a:prstGeom>
                    <a:noFill/>
                    <a:ln>
                      <a:noFill/>
                    </a:ln>
                  </pic:spPr>
                </pic:pic>
              </a:graphicData>
            </a:graphic>
          </wp:inline>
        </w:drawing>
      </w:r>
    </w:p>
    <w:p w14:paraId="1C888391">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塔式起重机平面布置示意图</w:t>
      </w:r>
    </w:p>
    <w:p w14:paraId="44ADD6CC">
      <w:pPr>
        <w:pStyle w:val="3"/>
        <w:bidi w:val="0"/>
        <w:ind w:left="575" w:leftChars="0" w:hanging="575" w:firstLineChars="0"/>
      </w:pPr>
      <w:bookmarkStart w:id="73" w:name="_Toc10409773"/>
      <w:bookmarkStart w:id="74" w:name="_Toc10047"/>
      <w:bookmarkStart w:id="75" w:name="_Toc25907"/>
      <w:r>
        <w:rPr>
          <w:rFonts w:hint="eastAsia"/>
        </w:rPr>
        <w:t xml:space="preserve"> </w:t>
      </w:r>
      <w:bookmarkStart w:id="76" w:name="_Toc17099"/>
      <w:r>
        <w:rPr>
          <w:rFonts w:hint="eastAsia"/>
        </w:rPr>
        <w:t>塔式起重机概况</w:t>
      </w:r>
      <w:bookmarkEnd w:id="73"/>
      <w:bookmarkEnd w:id="74"/>
      <w:bookmarkEnd w:id="75"/>
      <w:bookmarkEnd w:id="76"/>
    </w:p>
    <w:p w14:paraId="73D2FD6D">
      <w:pPr>
        <w:pStyle w:val="4"/>
        <w:bidi w:val="0"/>
        <w:ind w:left="720" w:leftChars="0" w:hanging="720" w:firstLineChars="0"/>
      </w:pPr>
      <w:bookmarkStart w:id="77" w:name="_Toc10409774"/>
      <w:r>
        <w:rPr>
          <w:rFonts w:hint="eastAsia"/>
        </w:rPr>
        <w:t>塔式起重机用途</w:t>
      </w:r>
      <w:r>
        <w:t>和</w:t>
      </w:r>
      <w:r>
        <w:rPr>
          <w:rFonts w:hint="eastAsia"/>
        </w:rPr>
        <w:t>使用环境</w:t>
      </w:r>
      <w:bookmarkEnd w:id="77"/>
    </w:p>
    <w:p w14:paraId="1EAFCB3B">
      <w:pPr>
        <w:pStyle w:val="48"/>
        <w:ind w:firstLine="480"/>
        <w:rPr>
          <w:rFonts w:ascii="宋体" w:hAnsi="宋体"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XGT7525-16</w:t>
      </w:r>
      <w:r>
        <w:rPr>
          <w:rFonts w:ascii="宋体" w:hAnsi="宋体" w:eastAsia="宋体" w:cs="Times New Roman"/>
          <w:color w:val="auto"/>
          <w:kern w:val="2"/>
          <w:sz w:val="24"/>
          <w:szCs w:val="22"/>
          <w:highlight w:val="none"/>
          <w:lang w:val="en-US" w:eastAsia="zh-CN" w:bidi="ar-SA"/>
        </w:rPr>
        <w:t>塔式起重机用于</w:t>
      </w:r>
      <w:r>
        <w:rPr>
          <w:rFonts w:hint="eastAsia" w:ascii="宋体" w:hAnsi="宋体" w:eastAsia="宋体" w:cs="Times New Roman"/>
          <w:color w:val="auto"/>
          <w:kern w:val="2"/>
          <w:sz w:val="24"/>
          <w:szCs w:val="22"/>
          <w:highlight w:val="none"/>
          <w:lang w:val="en-US" w:eastAsia="zh-CN" w:bidi="ar-SA"/>
        </w:rPr>
        <w:t>桂林-恭城-贺州公路（桂林至钟山段）№7合同段</w:t>
      </w:r>
      <w:r>
        <w:rPr>
          <w:rFonts w:ascii="宋体" w:hAnsi="宋体" w:eastAsia="宋体" w:cs="Times New Roman"/>
          <w:color w:val="auto"/>
          <w:kern w:val="2"/>
          <w:sz w:val="24"/>
          <w:szCs w:val="22"/>
          <w:highlight w:val="none"/>
          <w:lang w:val="en-US" w:eastAsia="zh-CN" w:bidi="ar-SA"/>
        </w:rPr>
        <w:t>项目</w:t>
      </w:r>
      <w:r>
        <w:rPr>
          <w:rFonts w:hint="eastAsia" w:ascii="宋体" w:hAnsi="宋体" w:eastAsia="宋体" w:cs="Times New Roman"/>
          <w:color w:val="auto"/>
          <w:kern w:val="2"/>
          <w:sz w:val="24"/>
          <w:szCs w:val="22"/>
          <w:highlight w:val="none"/>
          <w:lang w:val="en-US" w:eastAsia="zh-CN" w:bidi="ar-SA"/>
        </w:rPr>
        <w:t>新渡坪大桥</w:t>
      </w:r>
      <w:r>
        <w:rPr>
          <w:rFonts w:hint="eastAsia" w:cs="Times New Roman"/>
          <w:color w:val="auto"/>
          <w:kern w:val="2"/>
          <w:sz w:val="24"/>
          <w:szCs w:val="22"/>
          <w:highlight w:val="none"/>
          <w:lang w:val="en-US" w:eastAsia="zh-CN" w:bidi="ar-SA"/>
        </w:rPr>
        <w:t>右幅10#</w:t>
      </w:r>
      <w:r>
        <w:rPr>
          <w:rFonts w:hint="eastAsia" w:ascii="宋体" w:hAnsi="宋体" w:eastAsia="宋体" w:cs="Times New Roman"/>
          <w:color w:val="auto"/>
          <w:kern w:val="2"/>
          <w:sz w:val="24"/>
          <w:szCs w:val="22"/>
          <w:highlight w:val="none"/>
          <w:lang w:val="en-US" w:eastAsia="zh-CN" w:bidi="ar-SA"/>
        </w:rPr>
        <w:t>墩桥梁施工吊装等工作。工作环境要求，最大工作风速≤</w:t>
      </w:r>
      <w:r>
        <w:rPr>
          <w:rFonts w:ascii="宋体" w:hAnsi="宋体" w:eastAsia="宋体" w:cs="Times New Roman"/>
          <w:color w:val="auto"/>
          <w:kern w:val="2"/>
          <w:sz w:val="24"/>
          <w:szCs w:val="22"/>
          <w:highlight w:val="none"/>
          <w:lang w:val="en-US" w:eastAsia="zh-CN" w:bidi="ar-SA"/>
        </w:rPr>
        <w:t>20m/s（6级风），工作环境温度10℃～42℃。</w:t>
      </w:r>
    </w:p>
    <w:p w14:paraId="7E03B6EA">
      <w:pPr>
        <w:pStyle w:val="4"/>
        <w:bidi w:val="0"/>
        <w:ind w:left="720" w:leftChars="0" w:hanging="720" w:firstLineChars="0"/>
      </w:pPr>
      <w:bookmarkStart w:id="78" w:name="_Toc10409775"/>
      <w:r>
        <w:rPr>
          <w:rFonts w:hint="eastAsia"/>
        </w:rPr>
        <w:t>塔式起重机技术参数</w:t>
      </w:r>
      <w:bookmarkEnd w:id="78"/>
    </w:p>
    <w:p w14:paraId="08C59049">
      <w:pPr>
        <w:bidi w:val="0"/>
        <w:spacing w:line="360" w:lineRule="auto"/>
        <w:ind w:firstLine="480" w:firstLineChars="200"/>
        <w:rPr>
          <w:highlight w:val="none"/>
        </w:rPr>
      </w:pPr>
      <w:bookmarkStart w:id="79" w:name="_Toc3545"/>
      <w:bookmarkStart w:id="80" w:name="_Toc10409778"/>
      <w:r>
        <w:rPr>
          <w:rFonts w:hint="eastAsia"/>
          <w:highlight w:val="none"/>
          <w:lang w:val="en-US" w:eastAsia="zh-CN"/>
        </w:rPr>
        <w:t>XGT7525-16</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75</w:t>
      </w:r>
      <w:r>
        <w:rPr>
          <w:highlight w:val="none"/>
        </w:rPr>
        <w:t>m,在臂端</w:t>
      </w:r>
      <w:r>
        <w:rPr>
          <w:rFonts w:hint="eastAsia"/>
          <w:highlight w:val="none"/>
          <w:lang w:val="en-US" w:eastAsia="zh-CN"/>
        </w:rPr>
        <w:t>75</w:t>
      </w:r>
      <w:r>
        <w:rPr>
          <w:highlight w:val="none"/>
        </w:rPr>
        <w:t>m幅度处最大起重量为</w:t>
      </w:r>
      <w:r>
        <w:rPr>
          <w:rFonts w:hint="eastAsia"/>
          <w:highlight w:val="none"/>
          <w:lang w:val="en-US" w:eastAsia="zh-CN"/>
        </w:rPr>
        <w:t>2.5</w:t>
      </w:r>
      <w:r>
        <w:rPr>
          <w:highlight w:val="none"/>
        </w:rPr>
        <w:t>t,整机最大起重量为1</w:t>
      </w:r>
      <w:r>
        <w:rPr>
          <w:rFonts w:hint="eastAsia"/>
          <w:highlight w:val="none"/>
          <w:lang w:val="en-US" w:eastAsia="zh-CN"/>
        </w:rPr>
        <w:t>6</w:t>
      </w:r>
      <w:r>
        <w:rPr>
          <w:highlight w:val="none"/>
        </w:rPr>
        <w:t>t。</w:t>
      </w:r>
    </w:p>
    <w:p w14:paraId="20638BB8">
      <w:pPr>
        <w:ind w:left="0" w:leftChars="0" w:firstLine="0" w:firstLineChars="0"/>
        <w:jc w:val="center"/>
      </w:pPr>
      <w:r>
        <w:rPr>
          <w:highlight w:val="none"/>
        </w:rPr>
        <w:drawing>
          <wp:inline distT="0" distB="0" distL="114300" distR="114300">
            <wp:extent cx="5269865" cy="4165600"/>
            <wp:effectExtent l="0" t="0" r="6985" b="6350"/>
            <wp:docPr id="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9"/>
                    <pic:cNvPicPr>
                      <a:picLocks noChangeAspect="1"/>
                    </pic:cNvPicPr>
                  </pic:nvPicPr>
                  <pic:blipFill>
                    <a:blip r:embed="rId13"/>
                    <a:stretch>
                      <a:fillRect/>
                    </a:stretch>
                  </pic:blipFill>
                  <pic:spPr>
                    <a:xfrm>
                      <a:off x="0" y="0"/>
                      <a:ext cx="5269865" cy="4165600"/>
                    </a:xfrm>
                    <a:prstGeom prst="rect">
                      <a:avLst/>
                    </a:prstGeom>
                    <a:noFill/>
                    <a:ln>
                      <a:noFill/>
                    </a:ln>
                  </pic:spPr>
                </pic:pic>
              </a:graphicData>
            </a:graphic>
          </wp:inline>
        </w:drawing>
      </w:r>
    </w:p>
    <w:p w14:paraId="5D7B0007">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塔机组成示意图</w:t>
      </w:r>
    </w:p>
    <w:p w14:paraId="4BDC5A7C">
      <w:pPr>
        <w:pStyle w:val="4"/>
        <w:bidi w:val="0"/>
        <w:ind w:left="720" w:leftChars="0" w:hanging="720" w:firstLineChars="0"/>
        <w:rPr>
          <w:rFonts w:hint="default"/>
          <w:lang w:val="en-US" w:eastAsia="zh-CN"/>
        </w:rPr>
      </w:pPr>
      <w:bookmarkStart w:id="81" w:name="_Toc23068"/>
      <w:bookmarkStart w:id="82" w:name="_Toc1784"/>
      <w:bookmarkStart w:id="83" w:name="_Toc5066"/>
      <w:r>
        <w:rPr>
          <w:rFonts w:hint="eastAsia"/>
          <w:lang w:val="en-US" w:eastAsia="zh-CN"/>
        </w:rPr>
        <w:t>整机外形尺寸</w:t>
      </w:r>
      <w:bookmarkEnd w:id="81"/>
      <w:bookmarkEnd w:id="82"/>
      <w:bookmarkEnd w:id="83"/>
    </w:p>
    <w:p w14:paraId="51EA5F48">
      <w:pPr>
        <w:ind w:left="0" w:leftChars="0" w:firstLine="0" w:firstLineChars="0"/>
        <w:jc w:val="center"/>
      </w:pPr>
      <w:r>
        <w:rPr>
          <w:highlight w:val="none"/>
        </w:rPr>
        <w:drawing>
          <wp:inline distT="0" distB="0" distL="114300" distR="114300">
            <wp:extent cx="5271135" cy="5584190"/>
            <wp:effectExtent l="0" t="0" r="5715" b="16510"/>
            <wp:docPr id="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pic:cNvPicPr>
                      <a:picLocks noChangeAspect="1"/>
                    </pic:cNvPicPr>
                  </pic:nvPicPr>
                  <pic:blipFill>
                    <a:blip r:embed="rId14"/>
                    <a:stretch>
                      <a:fillRect/>
                    </a:stretch>
                  </pic:blipFill>
                  <pic:spPr>
                    <a:xfrm>
                      <a:off x="0" y="0"/>
                      <a:ext cx="5271135" cy="5584190"/>
                    </a:xfrm>
                    <a:prstGeom prst="rect">
                      <a:avLst/>
                    </a:prstGeom>
                    <a:noFill/>
                    <a:ln>
                      <a:noFill/>
                    </a:ln>
                  </pic:spPr>
                </pic:pic>
              </a:graphicData>
            </a:graphic>
          </wp:inline>
        </w:drawing>
      </w:r>
    </w:p>
    <w:p w14:paraId="5719E678">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highlight w:val="none"/>
          <w:lang w:val="en-US" w:eastAsia="zh-CN"/>
        </w:rPr>
        <w:t>整机外形示意图</w:t>
      </w:r>
    </w:p>
    <w:p w14:paraId="60057F2F">
      <w:pPr>
        <w:rPr>
          <w:rFonts w:hint="default"/>
          <w:lang w:val="en-US" w:eastAsia="zh-CN"/>
        </w:rPr>
      </w:pPr>
      <w:bookmarkStart w:id="84" w:name="_Toc7342"/>
      <w:bookmarkStart w:id="85" w:name="_Toc24908"/>
      <w:bookmarkStart w:id="86" w:name="_Toc18527"/>
      <w:r>
        <w:rPr>
          <w:rFonts w:hint="eastAsia"/>
          <w:lang w:val="en-US" w:eastAsia="zh-CN"/>
        </w:rPr>
        <w:br w:type="page"/>
      </w:r>
    </w:p>
    <w:p w14:paraId="27F36EC7">
      <w:pPr>
        <w:pStyle w:val="4"/>
        <w:bidi w:val="0"/>
        <w:ind w:left="720" w:leftChars="0" w:hanging="720" w:firstLineChars="0"/>
        <w:rPr>
          <w:rFonts w:hint="default"/>
          <w:lang w:val="en-US" w:eastAsia="zh-CN"/>
        </w:rPr>
      </w:pPr>
      <w:r>
        <w:rPr>
          <w:rFonts w:hint="eastAsia"/>
          <w:lang w:val="en-US" w:eastAsia="zh-CN"/>
        </w:rPr>
        <w:t>整机主要技术参数</w:t>
      </w:r>
      <w:bookmarkEnd w:id="84"/>
      <w:bookmarkEnd w:id="85"/>
      <w:bookmarkEnd w:id="86"/>
    </w:p>
    <w:p w14:paraId="017A1A6D">
      <w:pPr>
        <w:pStyle w:val="15"/>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pPr>
      <w:r>
        <w:t xml:space="preserve">表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rPr>
        <w:t>主机性能参数表</w:t>
      </w:r>
      <w:r>
        <w:rPr>
          <w:highlight w:val="none"/>
        </w:rPr>
        <w:drawing>
          <wp:inline distT="0" distB="0" distL="114300" distR="114300">
            <wp:extent cx="4568825" cy="1685925"/>
            <wp:effectExtent l="0" t="0" r="3175" b="9525"/>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15"/>
                    <a:stretch>
                      <a:fillRect/>
                    </a:stretch>
                  </pic:blipFill>
                  <pic:spPr>
                    <a:xfrm>
                      <a:off x="0" y="0"/>
                      <a:ext cx="4568825" cy="1685925"/>
                    </a:xfrm>
                    <a:prstGeom prst="rect">
                      <a:avLst/>
                    </a:prstGeom>
                    <a:noFill/>
                    <a:ln>
                      <a:noFill/>
                    </a:ln>
                  </pic:spPr>
                </pic:pic>
              </a:graphicData>
            </a:graphic>
          </wp:inline>
        </w:drawing>
      </w:r>
      <w:r>
        <w:rPr>
          <w:highlight w:val="none"/>
        </w:rPr>
        <w:drawing>
          <wp:inline distT="0" distB="0" distL="114300" distR="114300">
            <wp:extent cx="4531360" cy="6530340"/>
            <wp:effectExtent l="0" t="0" r="2540" b="3810"/>
            <wp:docPr id="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pic:cNvPicPr>
                      <a:picLocks noChangeAspect="1"/>
                    </pic:cNvPicPr>
                  </pic:nvPicPr>
                  <pic:blipFill>
                    <a:blip r:embed="rId16"/>
                    <a:stretch>
                      <a:fillRect/>
                    </a:stretch>
                  </pic:blipFill>
                  <pic:spPr>
                    <a:xfrm>
                      <a:off x="0" y="0"/>
                      <a:ext cx="4531360" cy="6530340"/>
                    </a:xfrm>
                    <a:prstGeom prst="rect">
                      <a:avLst/>
                    </a:prstGeom>
                    <a:noFill/>
                    <a:ln>
                      <a:noFill/>
                    </a:ln>
                  </pic:spPr>
                </pic:pic>
              </a:graphicData>
            </a:graphic>
          </wp:inline>
        </w:drawing>
      </w:r>
    </w:p>
    <w:p w14:paraId="444B61CB">
      <w:pPr>
        <w:ind w:left="0" w:leftChars="0" w:firstLine="0" w:firstLineChars="0"/>
        <w:jc w:val="center"/>
        <w:rPr>
          <w:highlight w:val="none"/>
        </w:rPr>
      </w:pPr>
    </w:p>
    <w:p w14:paraId="5972DF4C">
      <w:pPr>
        <w:ind w:left="0" w:leftChars="0" w:firstLine="0" w:firstLineChars="0"/>
        <w:jc w:val="center"/>
      </w:pPr>
      <w:r>
        <w:rPr>
          <w:sz w:val="24"/>
        </w:rPr>
        <mc:AlternateContent>
          <mc:Choice Requires="wps">
            <w:drawing>
              <wp:anchor distT="0" distB="0" distL="114300" distR="114300" simplePos="0" relativeHeight="251663360" behindDoc="0" locked="0" layoutInCell="1" allowOverlap="1">
                <wp:simplePos x="0" y="0"/>
                <wp:positionH relativeFrom="column">
                  <wp:posOffset>-12700</wp:posOffset>
                </wp:positionH>
                <wp:positionV relativeFrom="paragraph">
                  <wp:posOffset>2463165</wp:posOffset>
                </wp:positionV>
                <wp:extent cx="4035425" cy="571500"/>
                <wp:effectExtent l="9525" t="9525" r="12700" b="9525"/>
                <wp:wrapNone/>
                <wp:docPr id="83" name="矩形 83"/>
                <wp:cNvGraphicFramePr/>
                <a:graphic xmlns:a="http://schemas.openxmlformats.org/drawingml/2006/main">
                  <a:graphicData uri="http://schemas.microsoft.com/office/word/2010/wordprocessingShape">
                    <wps:wsp>
                      <wps:cNvSpPr/>
                      <wps:spPr>
                        <a:xfrm>
                          <a:off x="1130300" y="3377565"/>
                          <a:ext cx="4035425" cy="571500"/>
                        </a:xfrm>
                        <a:prstGeom prst="rect">
                          <a:avLst/>
                        </a:prstGeom>
                        <a:ln>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pt;margin-top:193.95pt;height:45pt;width:317.75pt;z-index:251663360;v-text-anchor:middle;mso-width-relative:page;mso-height-relative:page;" filled="f" stroked="t" coordsize="21600,21600" o:gfxdata="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&#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AgoadkAAAAKAQAADwAAAAAAAAABACAAAAAiAAAA&#10;ZHJzL2Rvd25yZXYueG1sUEsBAhQAFAAAAAgAh07iQMyS06p4AgAA2QQAAA4AAAAAAAAAAQAgAAAA&#10;KAEAAGRycy9lMm9Eb2MueG1sUEsFBgAAAAAGAAYAWQEAABIGAAAAAA==&#10;">
                <v:fill on="f" focussize="0,0"/>
                <v:stroke weight="1.5pt" color="#FF0000 [3204]" miterlimit="8" joinstyle="miter"/>
                <v:imagedata o:title=""/>
                <o:lock v:ext="edit" aspectratio="f"/>
              </v:rect>
            </w:pict>
          </mc:Fallback>
        </mc:AlternateContent>
      </w:r>
      <w:r>
        <w:rPr>
          <w:highlight w:val="none"/>
        </w:rPr>
        <w:drawing>
          <wp:inline distT="0" distB="0" distL="114300" distR="114300">
            <wp:extent cx="5271135" cy="4666615"/>
            <wp:effectExtent l="9525" t="9525" r="15240" b="10160"/>
            <wp:docPr id="8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3"/>
                    <pic:cNvPicPr>
                      <a:picLocks noChangeAspect="1"/>
                    </pic:cNvPicPr>
                  </pic:nvPicPr>
                  <pic:blipFill>
                    <a:blip r:embed="rId17"/>
                    <a:stretch>
                      <a:fillRect/>
                    </a:stretch>
                  </pic:blipFill>
                  <pic:spPr>
                    <a:xfrm>
                      <a:off x="0" y="0"/>
                      <a:ext cx="5271135" cy="4666615"/>
                    </a:xfrm>
                    <a:prstGeom prst="rect">
                      <a:avLst/>
                    </a:prstGeom>
                    <a:noFill/>
                    <a:ln>
                      <a:solidFill>
                        <a:schemeClr val="bg1"/>
                      </a:solidFill>
                    </a:ln>
                  </pic:spPr>
                </pic:pic>
              </a:graphicData>
            </a:graphic>
          </wp:inline>
        </w:drawing>
      </w:r>
    </w:p>
    <w:p w14:paraId="75D8C1AD">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w:t>
      </w:r>
      <w:r>
        <w:rPr>
          <w:rFonts w:hint="eastAsia"/>
          <w:highlight w:val="none"/>
          <w:lang w:val="en-US" w:eastAsia="zh-CN"/>
        </w:rPr>
        <w:t>起重性能表</w:t>
      </w:r>
    </w:p>
    <w:p w14:paraId="45709922">
      <w:pPr>
        <w:pStyle w:val="3"/>
        <w:bidi w:val="0"/>
        <w:ind w:left="575" w:leftChars="0" w:hanging="575" w:firstLineChars="0"/>
      </w:pPr>
      <w:bookmarkStart w:id="87" w:name="_Toc23656"/>
      <w:r>
        <w:rPr>
          <w:rFonts w:hint="eastAsia"/>
        </w:rPr>
        <w:t xml:space="preserve"> </w:t>
      </w:r>
      <w:bookmarkStart w:id="88" w:name="_Toc5165"/>
      <w:r>
        <w:rPr>
          <w:rFonts w:hint="eastAsia"/>
        </w:rPr>
        <w:t>施工要求和技术保证条件</w:t>
      </w:r>
      <w:bookmarkEnd w:id="79"/>
      <w:bookmarkEnd w:id="87"/>
      <w:bookmarkEnd w:id="88"/>
    </w:p>
    <w:p w14:paraId="0E21193E">
      <w:pPr>
        <w:pStyle w:val="4"/>
        <w:bidi w:val="0"/>
        <w:ind w:left="720" w:leftChars="0" w:hanging="720" w:firstLineChars="0"/>
      </w:pPr>
      <w:r>
        <w:rPr>
          <w:rFonts w:hint="eastAsia"/>
        </w:rPr>
        <w:t>安装的重点及难点</w:t>
      </w:r>
      <w:bookmarkEnd w:id="80"/>
    </w:p>
    <w:p w14:paraId="5D2690C1">
      <w:pPr>
        <w:pStyle w:val="48"/>
        <w:ind w:firstLine="480"/>
        <w:rPr>
          <w:highlight w:val="none"/>
        </w:rPr>
      </w:pPr>
      <w:r>
        <w:rPr>
          <w:rFonts w:hint="eastAsia"/>
          <w:highlight w:val="none"/>
        </w:rPr>
        <w:t>本方案充分考虑了以下重点和难点问题：</w:t>
      </w:r>
    </w:p>
    <w:p w14:paraId="219F22DF">
      <w:pPr>
        <w:pStyle w:val="48"/>
        <w:ind w:firstLine="480"/>
        <w:rPr>
          <w:highlight w:val="none"/>
        </w:rPr>
      </w:pPr>
      <w:r>
        <w:rPr>
          <w:rFonts w:hint="eastAsia"/>
          <w:highlight w:val="none"/>
        </w:rPr>
        <w:t>（1）套架、</w:t>
      </w:r>
      <w:r>
        <w:rPr>
          <w:rFonts w:hint="eastAsia"/>
          <w:highlight w:val="none"/>
          <w:lang w:eastAsia="zh-CN"/>
        </w:rPr>
        <w:t>回转支承</w:t>
      </w:r>
      <w:r>
        <w:rPr>
          <w:rFonts w:hint="eastAsia"/>
          <w:highlight w:val="none"/>
        </w:rPr>
        <w:t>单件重量重需要分解安装；</w:t>
      </w:r>
    </w:p>
    <w:p w14:paraId="53FDD1E5">
      <w:pPr>
        <w:pStyle w:val="48"/>
        <w:ind w:firstLine="480"/>
        <w:rPr>
          <w:highlight w:val="none"/>
        </w:rPr>
      </w:pPr>
      <w:r>
        <w:rPr>
          <w:rFonts w:hint="eastAsia"/>
          <w:highlight w:val="none"/>
        </w:rPr>
        <w:t>（2）起重臂单件重量重，吊装</w:t>
      </w:r>
      <w:r>
        <w:rPr>
          <w:rFonts w:hint="eastAsia"/>
          <w:highlight w:val="none"/>
          <w:lang w:val="en-US" w:eastAsia="zh-CN"/>
        </w:rPr>
        <w:t>要求高</w:t>
      </w:r>
      <w:r>
        <w:rPr>
          <w:rFonts w:hint="eastAsia"/>
          <w:highlight w:val="none"/>
        </w:rPr>
        <w:t>；</w:t>
      </w:r>
    </w:p>
    <w:p w14:paraId="55954A51">
      <w:pPr>
        <w:pStyle w:val="48"/>
        <w:ind w:firstLine="480"/>
        <w:rPr>
          <w:highlight w:val="none"/>
        </w:rPr>
      </w:pPr>
      <w:r>
        <w:rPr>
          <w:rFonts w:hint="eastAsia"/>
          <w:highlight w:val="none"/>
        </w:rPr>
        <w:t>（3）现场安装场地受限，大型设备吊装难度大；</w:t>
      </w:r>
    </w:p>
    <w:p w14:paraId="60B79040">
      <w:pPr>
        <w:pStyle w:val="48"/>
        <w:ind w:firstLine="480"/>
        <w:rPr>
          <w:highlight w:val="none"/>
        </w:rPr>
      </w:pPr>
      <w:r>
        <w:rPr>
          <w:rFonts w:hint="eastAsia"/>
          <w:highlight w:val="none"/>
        </w:rPr>
        <w:t>（4）</w:t>
      </w:r>
      <w:r>
        <w:rPr>
          <w:rFonts w:hint="eastAsia"/>
          <w:highlight w:val="none"/>
          <w:lang w:val="en-US" w:eastAsia="zh-CN"/>
        </w:rPr>
        <w:t>构件</w:t>
      </w:r>
      <w:r>
        <w:rPr>
          <w:rFonts w:hint="eastAsia"/>
          <w:highlight w:val="none"/>
        </w:rPr>
        <w:t>数量多，现场无法堆放，需多次进行转运；</w:t>
      </w:r>
    </w:p>
    <w:p w14:paraId="2251A062">
      <w:pPr>
        <w:pStyle w:val="48"/>
        <w:ind w:firstLine="480"/>
        <w:rPr>
          <w:highlight w:val="none"/>
        </w:rPr>
      </w:pPr>
      <w:r>
        <w:rPr>
          <w:rFonts w:hint="eastAsia"/>
          <w:highlight w:val="none"/>
        </w:rPr>
        <w:t>（5）高空作业安全风险大。</w:t>
      </w:r>
    </w:p>
    <w:p w14:paraId="22A762D9">
      <w:pPr>
        <w:pStyle w:val="4"/>
        <w:bidi w:val="0"/>
        <w:ind w:left="720" w:leftChars="0" w:hanging="720" w:firstLineChars="0"/>
      </w:pPr>
      <w:bookmarkStart w:id="89" w:name="_Toc27671"/>
      <w:bookmarkStart w:id="90" w:name="_Toc10409779"/>
      <w:r>
        <w:rPr>
          <w:rFonts w:hint="eastAsia"/>
        </w:rPr>
        <w:t xml:space="preserve"> 运输及进场要求</w:t>
      </w:r>
      <w:bookmarkEnd w:id="89"/>
      <w:bookmarkEnd w:id="90"/>
    </w:p>
    <w:p w14:paraId="59FA7D4D">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0664F39">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发货时要根据现场拼装步骤按</w:t>
      </w:r>
      <w:r>
        <w:rPr>
          <w:rFonts w:hint="eastAsia" w:cs="宋体"/>
          <w:sz w:val="24"/>
          <w:szCs w:val="24"/>
          <w:highlight w:val="none"/>
          <w:lang w:eastAsia="zh-CN"/>
        </w:rPr>
        <w:t>基础节</w:t>
      </w:r>
      <w:r>
        <w:rPr>
          <w:rFonts w:hint="eastAsia" w:ascii="宋体" w:hAnsi="宋体" w:eastAsia="宋体" w:cs="宋体"/>
          <w:sz w:val="24"/>
          <w:szCs w:val="24"/>
          <w:highlight w:val="none"/>
        </w:rPr>
        <w:t>、套架、</w:t>
      </w:r>
      <w:r>
        <w:rPr>
          <w:rFonts w:hint="eastAsia" w:cs="宋体"/>
          <w:sz w:val="24"/>
          <w:szCs w:val="24"/>
          <w:highlight w:val="none"/>
          <w:lang w:val="en-US" w:eastAsia="zh-CN"/>
        </w:rPr>
        <w:t>特殊节</w:t>
      </w:r>
      <w:r>
        <w:rPr>
          <w:rFonts w:hint="eastAsia" w:cs="宋体"/>
          <w:sz w:val="24"/>
          <w:szCs w:val="24"/>
          <w:highlight w:val="none"/>
          <w:lang w:eastAsia="zh-CN"/>
        </w:rPr>
        <w:t>、回转</w:t>
      </w:r>
      <w:r>
        <w:rPr>
          <w:rFonts w:hint="eastAsia" w:cs="宋体"/>
          <w:sz w:val="24"/>
          <w:szCs w:val="24"/>
          <w:highlight w:val="none"/>
          <w:lang w:val="en-US" w:eastAsia="zh-CN"/>
        </w:rPr>
        <w:t>总成</w:t>
      </w:r>
      <w:r>
        <w:rPr>
          <w:rFonts w:hint="eastAsia" w:ascii="宋体" w:hAnsi="宋体" w:eastAsia="宋体" w:cs="宋体"/>
          <w:sz w:val="24"/>
          <w:szCs w:val="24"/>
          <w:highlight w:val="none"/>
        </w:rPr>
        <w:t>、平衡臂、起重机臂、配重及标准节等顺序。前后协调，统筹配发，以免现场造成堆压和不必要的周转拨运。</w:t>
      </w:r>
    </w:p>
    <w:p w14:paraId="51B6C2CC">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装卸车时，要确保装吊安全，特别是主梁等大件，要利用所设专用吊耳，临时存放时，大件下要支垫枕木，并进行固定绑扎，防止倾倒。</w:t>
      </w:r>
    </w:p>
    <w:p w14:paraId="137E7BB6">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电气及电机设备的吊装时注意不能倒置，不得以大压小，运输及存放时要有防雨防潮措施。</w:t>
      </w:r>
    </w:p>
    <w:p w14:paraId="5097576B">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在设备装卸期间，如果物体的最大尺寸阻挡了起升控制人员的视野，应该由另外的操作人员来指引进行操作。</w:t>
      </w:r>
    </w:p>
    <w:p w14:paraId="6BF53E1A">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在装卸设备之前，检查起升设备和相关物品中（绳索、手拉葫芦等）是否满足所吊负载和适当的稳定性的要求。</w:t>
      </w:r>
    </w:p>
    <w:p w14:paraId="2FF15175">
      <w:pPr>
        <w:pStyle w:val="4"/>
        <w:bidi w:val="0"/>
        <w:ind w:left="720" w:leftChars="0" w:hanging="720" w:firstLineChars="0"/>
      </w:pPr>
      <w:r>
        <w:rPr>
          <w:rFonts w:hint="eastAsia"/>
        </w:rPr>
        <w:t xml:space="preserve"> 技术保证条件</w:t>
      </w:r>
    </w:p>
    <w:p w14:paraId="0874E681">
      <w:pPr>
        <w:pStyle w:val="48"/>
        <w:ind w:firstLine="480"/>
        <w:rPr>
          <w:highlight w:val="none"/>
        </w:rPr>
      </w:pPr>
      <w:r>
        <w:rPr>
          <w:rFonts w:hint="eastAsia"/>
          <w:highlight w:val="none"/>
        </w:rPr>
        <w:t>本方案的技术保证条件主要有：</w:t>
      </w:r>
    </w:p>
    <w:p w14:paraId="38DCAC52">
      <w:pPr>
        <w:pStyle w:val="48"/>
        <w:ind w:firstLine="480"/>
        <w:rPr>
          <w:highlight w:val="none"/>
        </w:rPr>
      </w:pPr>
      <w:r>
        <w:rPr>
          <w:rFonts w:hint="eastAsia"/>
          <w:highlight w:val="none"/>
        </w:rPr>
        <w:t>（1）对安装的起吊构件的重量、幅度进行详细的核算；</w:t>
      </w:r>
    </w:p>
    <w:p w14:paraId="2A609C79">
      <w:pPr>
        <w:pStyle w:val="48"/>
        <w:ind w:firstLine="480"/>
        <w:rPr>
          <w:highlight w:val="none"/>
        </w:rPr>
      </w:pPr>
      <w:r>
        <w:rPr>
          <w:rFonts w:hint="eastAsia"/>
          <w:highlight w:val="none"/>
        </w:rPr>
        <w:t>（2）对进场设备进行进场检验，对地基进行验收，确保设备性能及施工条件可靠；</w:t>
      </w:r>
    </w:p>
    <w:p w14:paraId="30D74197">
      <w:pPr>
        <w:pStyle w:val="48"/>
        <w:ind w:firstLine="480"/>
        <w:rPr>
          <w:highlight w:val="none"/>
        </w:rPr>
      </w:pPr>
      <w:r>
        <w:rPr>
          <w:rFonts w:hint="eastAsia"/>
          <w:highlight w:val="none"/>
        </w:rPr>
        <w:t>（3）模拟现场的实际作业情况，保证安装场地空间足够，避免吊装过程中的干涉；</w:t>
      </w:r>
    </w:p>
    <w:p w14:paraId="7DF056B1">
      <w:pPr>
        <w:pStyle w:val="48"/>
        <w:ind w:firstLine="480"/>
        <w:rPr>
          <w:highlight w:val="none"/>
        </w:rPr>
      </w:pPr>
      <w:r>
        <w:rPr>
          <w:rFonts w:hint="eastAsia"/>
          <w:highlight w:val="none"/>
        </w:rPr>
        <w:t>（4）合理安排</w:t>
      </w:r>
      <w:r>
        <w:rPr>
          <w:rFonts w:hint="eastAsia"/>
          <w:highlight w:val="none"/>
          <w:lang w:val="en-US" w:eastAsia="zh-CN"/>
        </w:rPr>
        <w:t>安装</w:t>
      </w:r>
      <w:r>
        <w:rPr>
          <w:rFonts w:hint="eastAsia"/>
          <w:highlight w:val="none"/>
        </w:rPr>
        <w:t>工序，协调好场地堆放及构件倒运顺序；</w:t>
      </w:r>
    </w:p>
    <w:p w14:paraId="06B7A98F">
      <w:pPr>
        <w:pStyle w:val="48"/>
        <w:ind w:firstLine="480"/>
        <w:rPr>
          <w:highlight w:val="none"/>
        </w:rPr>
      </w:pPr>
      <w:r>
        <w:rPr>
          <w:rFonts w:hint="eastAsia"/>
          <w:highlight w:val="none"/>
        </w:rPr>
        <w:t>（5）加强技术交底，确保作业过程安全。</w:t>
      </w:r>
    </w:p>
    <w:p w14:paraId="6138F805">
      <w:pPr>
        <w:rPr>
          <w:rFonts w:hint="eastAsia"/>
        </w:rPr>
      </w:pPr>
      <w:bookmarkStart w:id="91" w:name="_Toc10409780"/>
      <w:bookmarkStart w:id="92" w:name="_Toc8311"/>
      <w:bookmarkStart w:id="93" w:name="_Toc23981"/>
      <w:r>
        <w:rPr>
          <w:rFonts w:hint="eastAsia"/>
        </w:rPr>
        <w:br w:type="page"/>
      </w:r>
    </w:p>
    <w:p w14:paraId="6BAEBD43">
      <w:pPr>
        <w:pStyle w:val="2"/>
        <w:bidi w:val="0"/>
        <w:ind w:left="432" w:leftChars="0" w:hanging="432" w:firstLineChars="0"/>
        <w:rPr>
          <w:rFonts w:hint="eastAsia"/>
        </w:rPr>
      </w:pPr>
      <w:bookmarkStart w:id="94" w:name="_Toc19205"/>
      <w:r>
        <w:rPr>
          <w:rFonts w:hint="eastAsia"/>
        </w:rPr>
        <w:t>施工</w:t>
      </w:r>
      <w:bookmarkEnd w:id="91"/>
      <w:r>
        <w:rPr>
          <w:rFonts w:hint="eastAsia"/>
        </w:rPr>
        <w:t>计划</w:t>
      </w:r>
      <w:bookmarkEnd w:id="92"/>
      <w:bookmarkEnd w:id="93"/>
      <w:bookmarkEnd w:id="94"/>
    </w:p>
    <w:p w14:paraId="1E9EAD06">
      <w:pPr>
        <w:pStyle w:val="3"/>
        <w:bidi w:val="0"/>
        <w:ind w:left="575" w:leftChars="0" w:hanging="575" w:firstLineChars="0"/>
        <w:rPr>
          <w:rFonts w:hint="eastAsia"/>
          <w:lang w:val="en-US" w:eastAsia="zh-CN"/>
        </w:rPr>
      </w:pPr>
      <w:bookmarkStart w:id="95" w:name="_Toc20966"/>
      <w:bookmarkEnd w:id="95"/>
      <w:bookmarkStart w:id="96" w:name="_Toc10863"/>
      <w:bookmarkEnd w:id="96"/>
      <w:bookmarkStart w:id="97" w:name="_Toc54567323"/>
      <w:bookmarkEnd w:id="97"/>
      <w:bookmarkStart w:id="98" w:name="_Toc42642000"/>
      <w:bookmarkEnd w:id="98"/>
      <w:bookmarkStart w:id="99" w:name="_Toc42642001"/>
      <w:bookmarkEnd w:id="99"/>
      <w:bookmarkStart w:id="100" w:name="_Toc42641828"/>
      <w:bookmarkEnd w:id="100"/>
      <w:bookmarkStart w:id="101" w:name="_Toc54567324"/>
      <w:bookmarkEnd w:id="101"/>
      <w:bookmarkStart w:id="102" w:name="_Toc42641135"/>
      <w:bookmarkEnd w:id="102"/>
      <w:bookmarkStart w:id="103" w:name="_Toc5540"/>
      <w:bookmarkEnd w:id="103"/>
      <w:bookmarkStart w:id="104" w:name="_Toc10380"/>
      <w:bookmarkEnd w:id="104"/>
      <w:bookmarkStart w:id="105" w:name="_Toc42642287"/>
      <w:bookmarkEnd w:id="105"/>
      <w:bookmarkStart w:id="106" w:name="_Toc23662"/>
      <w:bookmarkEnd w:id="106"/>
      <w:bookmarkStart w:id="107" w:name="_Toc14043"/>
      <w:bookmarkEnd w:id="107"/>
      <w:bookmarkStart w:id="108" w:name="_Toc42641829"/>
      <w:bookmarkEnd w:id="108"/>
      <w:bookmarkStart w:id="109" w:name="_Toc42642288"/>
      <w:bookmarkEnd w:id="109"/>
      <w:bookmarkStart w:id="110" w:name="_Toc42640445"/>
      <w:bookmarkEnd w:id="110"/>
      <w:bookmarkStart w:id="111" w:name="_Toc42641136"/>
      <w:bookmarkEnd w:id="111"/>
      <w:bookmarkStart w:id="112" w:name="_Toc42640446"/>
      <w:bookmarkEnd w:id="112"/>
      <w:bookmarkStart w:id="113" w:name="_Toc22257"/>
      <w:bookmarkEnd w:id="113"/>
      <w:bookmarkStart w:id="114" w:name="_Toc32658"/>
      <w:bookmarkEnd w:id="114"/>
      <w:bookmarkStart w:id="115" w:name="_Toc21946"/>
      <w:bookmarkStart w:id="116" w:name="_Toc24021"/>
      <w:bookmarkStart w:id="117" w:name="_Toc22261"/>
      <w:bookmarkStart w:id="118" w:name="_Toc12261"/>
      <w:bookmarkStart w:id="119" w:name="_Toc31294"/>
      <w:bookmarkStart w:id="120" w:name="_Toc18506"/>
      <w:bookmarkStart w:id="121" w:name="_Toc10409781"/>
      <w:r>
        <w:rPr>
          <w:rFonts w:hint="eastAsia"/>
          <w:lang w:val="en-US" w:eastAsia="zh-CN"/>
        </w:rPr>
        <w:t>施工总体部署</w:t>
      </w:r>
      <w:bookmarkEnd w:id="115"/>
      <w:bookmarkEnd w:id="116"/>
      <w:bookmarkEnd w:id="117"/>
      <w:bookmarkEnd w:id="118"/>
    </w:p>
    <w:p w14:paraId="3DB05DBB">
      <w:pPr>
        <w:pStyle w:val="4"/>
        <w:bidi w:val="0"/>
        <w:ind w:left="720" w:leftChars="0" w:hanging="720" w:firstLineChars="0"/>
        <w:rPr>
          <w:rFonts w:hint="eastAsia"/>
          <w:lang w:val="en-US" w:eastAsia="zh-CN"/>
        </w:rPr>
      </w:pPr>
      <w:bookmarkStart w:id="122" w:name="_Toc3018"/>
      <w:bookmarkStart w:id="123" w:name="_Toc30635"/>
      <w:r>
        <w:rPr>
          <w:rFonts w:hint="eastAsia"/>
          <w:lang w:val="en-US" w:eastAsia="zh-CN"/>
        </w:rPr>
        <w:t>施工管理组织机构</w:t>
      </w:r>
      <w:bookmarkEnd w:id="122"/>
      <w:bookmarkEnd w:id="123"/>
    </w:p>
    <w:p w14:paraId="7E063B62">
      <w:pPr>
        <w:bidi w:val="0"/>
        <w:spacing w:line="360" w:lineRule="auto"/>
        <w:ind w:firstLine="480" w:firstLineChars="200"/>
        <w:rPr>
          <w:rFonts w:hint="default"/>
          <w:highlight w:val="none"/>
          <w:lang w:val="en-US" w:eastAsia="zh-CN"/>
        </w:rPr>
      </w:pPr>
      <w:r>
        <w:rPr>
          <w:rFonts w:hint="default"/>
          <w:highlight w:val="none"/>
          <w:lang w:val="en-US" w:eastAsia="zh-CN"/>
        </w:rPr>
        <w:t>由项目经理总揽全局施工，项目总工和副经理</w:t>
      </w:r>
      <w:r>
        <w:rPr>
          <w:rFonts w:hint="eastAsia"/>
          <w:highlight w:val="none"/>
          <w:lang w:val="en-US" w:eastAsia="zh-CN"/>
        </w:rPr>
        <w:t>以及安全总监</w:t>
      </w:r>
      <w:r>
        <w:rPr>
          <w:rFonts w:hint="default"/>
          <w:highlight w:val="none"/>
          <w:lang w:val="en-US" w:eastAsia="zh-CN"/>
        </w:rPr>
        <w:t>分别为</w:t>
      </w:r>
      <w:r>
        <w:rPr>
          <w:rFonts w:hint="eastAsia"/>
          <w:highlight w:val="none"/>
          <w:lang w:val="en-US" w:eastAsia="zh-CN"/>
        </w:rPr>
        <w:t>塔机安拆的</w:t>
      </w:r>
      <w:r>
        <w:rPr>
          <w:rFonts w:hint="default"/>
          <w:highlight w:val="none"/>
          <w:lang w:val="en-US" w:eastAsia="zh-CN"/>
        </w:rPr>
        <w:t>技术负责人</w:t>
      </w:r>
      <w:r>
        <w:rPr>
          <w:rFonts w:hint="eastAsia"/>
          <w:highlight w:val="none"/>
          <w:lang w:val="en-US" w:eastAsia="zh-CN"/>
        </w:rPr>
        <w:t>、</w:t>
      </w:r>
      <w:r>
        <w:rPr>
          <w:rFonts w:hint="default"/>
          <w:highlight w:val="none"/>
          <w:lang w:val="en-US" w:eastAsia="zh-CN"/>
        </w:rPr>
        <w:t>生产负责人</w:t>
      </w:r>
      <w:r>
        <w:rPr>
          <w:rFonts w:hint="eastAsia"/>
          <w:highlight w:val="none"/>
          <w:lang w:val="en-US" w:eastAsia="zh-CN"/>
        </w:rPr>
        <w:t>和安全监督责任人</w:t>
      </w:r>
      <w:r>
        <w:rPr>
          <w:rFonts w:hint="default"/>
          <w:highlight w:val="none"/>
          <w:lang w:val="en-US" w:eastAsia="zh-CN"/>
        </w:rPr>
        <w:t>，下设</w:t>
      </w:r>
      <w:r>
        <w:rPr>
          <w:rFonts w:hint="eastAsia"/>
          <w:highlight w:val="none"/>
          <w:lang w:val="en-US" w:eastAsia="zh-CN"/>
        </w:rPr>
        <w:t>七</w:t>
      </w:r>
      <w:r>
        <w:rPr>
          <w:rFonts w:hint="default"/>
          <w:highlight w:val="none"/>
          <w:lang w:val="en-US" w:eastAsia="zh-CN"/>
        </w:rPr>
        <w:t>部</w:t>
      </w:r>
      <w:r>
        <w:rPr>
          <w:rFonts w:hint="eastAsia"/>
          <w:highlight w:val="none"/>
          <w:lang w:val="en-US" w:eastAsia="zh-CN"/>
        </w:rPr>
        <w:t>二</w:t>
      </w:r>
      <w:r>
        <w:rPr>
          <w:rFonts w:hint="default"/>
          <w:highlight w:val="none"/>
          <w:lang w:val="en-US" w:eastAsia="zh-CN"/>
        </w:rPr>
        <w:t>室为</w:t>
      </w:r>
      <w:r>
        <w:rPr>
          <w:rFonts w:hint="eastAsia"/>
          <w:highlight w:val="none"/>
          <w:lang w:val="en-US" w:eastAsia="zh-CN"/>
        </w:rPr>
        <w:t>塔机安拆</w:t>
      </w:r>
      <w:r>
        <w:rPr>
          <w:rFonts w:hint="default"/>
          <w:highlight w:val="none"/>
          <w:lang w:val="en-US" w:eastAsia="zh-CN"/>
        </w:rPr>
        <w:t>提供技术、质量、安全、材料设备、资金及后勤保障，由现场技术管理人员和专职安全员直接负责</w:t>
      </w:r>
      <w:r>
        <w:rPr>
          <w:rFonts w:hint="eastAsia"/>
          <w:highlight w:val="none"/>
          <w:lang w:val="en-US" w:eastAsia="zh-CN"/>
        </w:rPr>
        <w:t>塔机安拆</w:t>
      </w:r>
      <w:r>
        <w:rPr>
          <w:rFonts w:hint="default"/>
          <w:highlight w:val="none"/>
          <w:lang w:val="en-US" w:eastAsia="zh-CN"/>
        </w:rPr>
        <w:t>的安全、质量和进度</w:t>
      </w:r>
      <w:r>
        <w:rPr>
          <w:rFonts w:hint="eastAsia"/>
          <w:highlight w:val="none"/>
          <w:lang w:val="en-US" w:eastAsia="zh-CN"/>
        </w:rPr>
        <w:t>的日常管理工作</w:t>
      </w:r>
      <w:r>
        <w:rPr>
          <w:rFonts w:hint="default"/>
          <w:highlight w:val="none"/>
          <w:lang w:val="en-US" w:eastAsia="zh-CN"/>
        </w:rPr>
        <w:t>，保证各队伍之间互相配合，按工期要求完成施工任务。</w:t>
      </w:r>
    </w:p>
    <w:p w14:paraId="096236C9">
      <w:pPr>
        <w:bidi w:val="0"/>
        <w:spacing w:line="360" w:lineRule="auto"/>
        <w:ind w:firstLine="480" w:firstLineChars="200"/>
        <w:rPr>
          <w:rFonts w:hint="eastAsia"/>
          <w:highlight w:val="none"/>
          <w:lang w:val="en-US" w:eastAsia="zh-CN"/>
        </w:rPr>
      </w:pPr>
      <w:r>
        <w:rPr>
          <w:rFonts w:hint="eastAsia"/>
          <w:highlight w:val="none"/>
          <w:lang w:val="en-US" w:eastAsia="zh-CN"/>
        </w:rPr>
        <w:t>同时要求专业分包单位安排工技术负责人、专职安全员驻场，并安排足够的专业技术人员（班组长）、持证安拆工、起重工、司索工、机械设备进行塔机的安拆工作。</w:t>
      </w:r>
    </w:p>
    <w:p w14:paraId="194371AA">
      <w:pPr>
        <w:ind w:left="0" w:leftChars="0" w:firstLine="0" w:firstLineChars="0"/>
        <w:jc w:val="cente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drawing>
          <wp:inline distT="0" distB="0" distL="114300" distR="114300">
            <wp:extent cx="4338955" cy="4237990"/>
            <wp:effectExtent l="0" t="0" r="0" b="0"/>
            <wp:docPr id="82" name="图片 82" descr="组织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组织流程图--(2)"/>
                    <pic:cNvPicPr>
                      <a:picLocks noChangeAspect="1"/>
                    </pic:cNvPicPr>
                  </pic:nvPicPr>
                  <pic:blipFill>
                    <a:blip r:embed="rId18"/>
                    <a:stretch>
                      <a:fillRect/>
                    </a:stretch>
                  </pic:blipFill>
                  <pic:spPr>
                    <a:xfrm>
                      <a:off x="0" y="0"/>
                      <a:ext cx="4338955" cy="4237990"/>
                    </a:xfrm>
                    <a:prstGeom prst="rect">
                      <a:avLst/>
                    </a:prstGeom>
                  </pic:spPr>
                </pic:pic>
              </a:graphicData>
            </a:graphic>
          </wp:inline>
        </w:drawing>
      </w:r>
    </w:p>
    <w:p w14:paraId="4530F706">
      <w:pPr>
        <w:pStyle w:val="15"/>
        <w:rPr>
          <w:rFonts w:hint="default"/>
          <w:lang w:val="en-US" w:eastAsia="zh-CN"/>
        </w:rPr>
      </w:pPr>
      <w:r>
        <w:t xml:space="preserve">图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highlight w:val="none"/>
          <w:lang w:val="en-US" w:eastAsia="zh-CN"/>
        </w:rPr>
        <w:t>塔机安拆施工管理组织机构图</w:t>
      </w:r>
    </w:p>
    <w:p w14:paraId="75DC6760">
      <w:pPr>
        <w:pStyle w:val="4"/>
        <w:bidi w:val="0"/>
        <w:ind w:left="720" w:leftChars="0" w:hanging="720" w:firstLineChars="0"/>
        <w:rPr>
          <w:rFonts w:hint="eastAsia"/>
          <w:lang w:val="en-US" w:eastAsia="zh-CN"/>
        </w:rPr>
      </w:pPr>
      <w:bookmarkStart w:id="124" w:name="_Toc11794"/>
      <w:bookmarkStart w:id="125" w:name="_Toc24913"/>
      <w:r>
        <w:rPr>
          <w:rFonts w:hint="eastAsia"/>
          <w:lang w:val="en-US" w:eastAsia="zh-CN"/>
        </w:rPr>
        <w:t>施工任务划分</w:t>
      </w:r>
      <w:bookmarkEnd w:id="124"/>
      <w:bookmarkEnd w:id="125"/>
    </w:p>
    <w:p w14:paraId="02C13859">
      <w:pPr>
        <w:bidi w:val="0"/>
        <w:spacing w:line="360" w:lineRule="auto"/>
        <w:ind w:firstLine="480" w:firstLineChars="20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项目经理部根据与建设单位签订的施工总承包合同，将</w:t>
      </w:r>
      <w:r>
        <w:rPr>
          <w:rFonts w:hint="eastAsia" w:ascii="Times New Roman" w:hAnsi="Times New Roman"/>
          <w:highlight w:val="none"/>
          <w:lang w:val="en-US" w:eastAsia="zh-CN"/>
        </w:rPr>
        <w:t>塔机</w:t>
      </w:r>
      <w:r>
        <w:rPr>
          <w:rFonts w:hint="eastAsia" w:ascii="Times New Roman" w:hAnsi="Times New Roman" w:eastAsia="宋体"/>
          <w:highlight w:val="none"/>
          <w:lang w:val="en-US" w:eastAsia="zh-CN"/>
        </w:rPr>
        <w:t>安拆施工任务合法发包给具有相应资质的施工协作单位，项目经理部管理人员负责日常进度、安全、质量、资源配置等管理工作。</w:t>
      </w:r>
    </w:p>
    <w:p w14:paraId="6E7FA956">
      <w:pPr>
        <w:pStyle w:val="15"/>
      </w:pPr>
      <w:r>
        <w:t xml:space="preserve">表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塔机安拆施工任务划分计划表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108" w:type="dxa"/>
          <w:bottom w:w="0" w:type="dxa"/>
          <w:right w:w="108" w:type="dxa"/>
        </w:tblCellMar>
      </w:tblPr>
      <w:tblGrid>
        <w:gridCol w:w="871"/>
        <w:gridCol w:w="3986"/>
        <w:gridCol w:w="1999"/>
        <w:gridCol w:w="1663"/>
      </w:tblGrid>
      <w:tr w14:paraId="46DDFF6F">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454" w:hRule="atLeast"/>
          <w:tblHeader/>
          <w:jc w:val="center"/>
        </w:trPr>
        <w:tc>
          <w:tcPr>
            <w:tcW w:w="511" w:type="pct"/>
            <w:tcBorders>
              <w:tl2br w:val="nil"/>
              <w:tr2bl w:val="nil"/>
            </w:tcBorders>
            <w:shd w:val="clear" w:color="auto" w:fill="DAE3F3" w:themeFill="accent5" w:themeFillTint="32"/>
            <w:vAlign w:val="center"/>
          </w:tcPr>
          <w:p w14:paraId="7C1EF0F3">
            <w:pPr>
              <w:pStyle w:val="105"/>
              <w:bidi w:val="0"/>
              <w:rPr>
                <w:rFonts w:hint="eastAsia"/>
                <w:highlight w:val="none"/>
                <w:lang w:val="en-US" w:eastAsia="zh-CN"/>
              </w:rPr>
            </w:pPr>
            <w:r>
              <w:rPr>
                <w:rFonts w:hint="eastAsia"/>
                <w:highlight w:val="none"/>
                <w:lang w:val="en-US" w:eastAsia="zh-CN"/>
              </w:rPr>
              <w:t>序号</w:t>
            </w:r>
          </w:p>
        </w:tc>
        <w:tc>
          <w:tcPr>
            <w:tcW w:w="2339" w:type="pct"/>
            <w:tcBorders>
              <w:tl2br w:val="nil"/>
              <w:tr2bl w:val="nil"/>
            </w:tcBorders>
            <w:shd w:val="clear" w:color="auto" w:fill="DAE3F3" w:themeFill="accent5" w:themeFillTint="32"/>
            <w:vAlign w:val="center"/>
          </w:tcPr>
          <w:p w14:paraId="1A66E425">
            <w:pPr>
              <w:pStyle w:val="105"/>
              <w:bidi w:val="0"/>
              <w:rPr>
                <w:rFonts w:hint="default"/>
                <w:highlight w:val="none"/>
                <w:lang w:val="en-US" w:eastAsia="zh-CN"/>
              </w:rPr>
            </w:pPr>
            <w:r>
              <w:rPr>
                <w:rFonts w:hint="eastAsia"/>
                <w:highlight w:val="none"/>
                <w:lang w:val="en-US" w:eastAsia="zh-CN"/>
              </w:rPr>
              <w:t>塔机使用单位工程</w:t>
            </w:r>
          </w:p>
        </w:tc>
        <w:tc>
          <w:tcPr>
            <w:tcW w:w="1173" w:type="pct"/>
            <w:tcBorders>
              <w:tl2br w:val="nil"/>
              <w:tr2bl w:val="nil"/>
            </w:tcBorders>
            <w:shd w:val="clear" w:color="auto" w:fill="DAE3F3" w:themeFill="accent5" w:themeFillTint="32"/>
            <w:vAlign w:val="center"/>
          </w:tcPr>
          <w:p w14:paraId="633208B2">
            <w:pPr>
              <w:pStyle w:val="105"/>
              <w:bidi w:val="0"/>
              <w:rPr>
                <w:rFonts w:hint="default"/>
                <w:highlight w:val="none"/>
                <w:lang w:val="en-US" w:eastAsia="zh-CN"/>
              </w:rPr>
            </w:pPr>
            <w:r>
              <w:rPr>
                <w:rFonts w:hint="eastAsia"/>
                <w:highlight w:val="none"/>
                <w:lang w:val="en-US" w:eastAsia="zh-CN"/>
              </w:rPr>
              <w:t>专业分包单位</w:t>
            </w:r>
          </w:p>
        </w:tc>
        <w:tc>
          <w:tcPr>
            <w:tcW w:w="976" w:type="pct"/>
            <w:tcBorders>
              <w:tl2br w:val="nil"/>
              <w:tr2bl w:val="nil"/>
            </w:tcBorders>
            <w:shd w:val="clear" w:color="auto" w:fill="DAE3F3" w:themeFill="accent5" w:themeFillTint="32"/>
            <w:vAlign w:val="center"/>
          </w:tcPr>
          <w:p w14:paraId="5028BDB0">
            <w:pPr>
              <w:pStyle w:val="105"/>
              <w:bidi w:val="0"/>
              <w:rPr>
                <w:rFonts w:hint="eastAsia"/>
                <w:highlight w:val="none"/>
                <w:lang w:val="en-US" w:eastAsia="zh-CN"/>
              </w:rPr>
            </w:pPr>
            <w:r>
              <w:rPr>
                <w:rFonts w:hint="eastAsia"/>
                <w:highlight w:val="none"/>
                <w:lang w:val="en-US" w:eastAsia="zh-CN"/>
              </w:rPr>
              <w:t>备注</w:t>
            </w:r>
          </w:p>
        </w:tc>
      </w:tr>
      <w:tr w14:paraId="63C56147">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AE0903F">
            <w:pPr>
              <w:pStyle w:val="105"/>
              <w:bidi w:val="0"/>
              <w:rPr>
                <w:rFonts w:hint="eastAsia"/>
                <w:highlight w:val="none"/>
                <w:lang w:val="en-US" w:eastAsia="zh-CN"/>
              </w:rPr>
            </w:pPr>
            <w:r>
              <w:rPr>
                <w:rFonts w:hint="eastAsia"/>
                <w:highlight w:val="none"/>
                <w:lang w:val="en-US" w:eastAsia="zh-CN"/>
              </w:rPr>
              <w:t>1</w:t>
            </w:r>
          </w:p>
        </w:tc>
        <w:tc>
          <w:tcPr>
            <w:tcW w:w="2339" w:type="pct"/>
            <w:tcBorders>
              <w:tl2br w:val="nil"/>
              <w:tr2bl w:val="nil"/>
            </w:tcBorders>
            <w:vAlign w:val="center"/>
          </w:tcPr>
          <w:p w14:paraId="1D6C70ED">
            <w:pPr>
              <w:pStyle w:val="105"/>
              <w:bidi w:val="0"/>
              <w:rPr>
                <w:rFonts w:hint="default"/>
                <w:highlight w:val="none"/>
                <w:lang w:val="en-US" w:eastAsia="zh-CN"/>
              </w:rPr>
            </w:pPr>
            <w:r>
              <w:rPr>
                <w:rFonts w:hint="eastAsia"/>
                <w:highlight w:val="none"/>
                <w:lang w:val="en-US" w:eastAsia="zh-CN"/>
              </w:rPr>
              <w:t>新渡坪大桥右幅10#墩施工。</w:t>
            </w:r>
          </w:p>
        </w:tc>
        <w:tc>
          <w:tcPr>
            <w:tcW w:w="1173" w:type="pct"/>
            <w:tcBorders>
              <w:tl2br w:val="nil"/>
              <w:tr2bl w:val="nil"/>
            </w:tcBorders>
            <w:vAlign w:val="center"/>
          </w:tcPr>
          <w:p w14:paraId="49646BEF">
            <w:pPr>
              <w:pStyle w:val="105"/>
              <w:bidi w:val="0"/>
              <w:rPr>
                <w:rFonts w:hint="default"/>
                <w:highlight w:val="none"/>
                <w:lang w:val="en-US" w:eastAsia="zh-CN"/>
              </w:rPr>
            </w:pPr>
            <w:r>
              <w:rPr>
                <w:rFonts w:hint="eastAsia"/>
                <w:highlight w:val="none"/>
                <w:lang w:val="en-US" w:eastAsia="zh-CN"/>
              </w:rPr>
              <w:t>四川科斗文智能装备有限公司</w:t>
            </w:r>
          </w:p>
        </w:tc>
        <w:tc>
          <w:tcPr>
            <w:tcW w:w="976" w:type="pct"/>
            <w:tcBorders>
              <w:tl2br w:val="nil"/>
              <w:tr2bl w:val="nil"/>
            </w:tcBorders>
            <w:vAlign w:val="center"/>
          </w:tcPr>
          <w:p w14:paraId="49934A5E">
            <w:pPr>
              <w:pStyle w:val="105"/>
              <w:bidi w:val="0"/>
              <w:rPr>
                <w:rFonts w:hint="default"/>
                <w:highlight w:val="none"/>
                <w:lang w:val="en-US" w:eastAsia="zh-CN"/>
              </w:rPr>
            </w:pPr>
          </w:p>
        </w:tc>
      </w:tr>
    </w:tbl>
    <w:p w14:paraId="47B3C373">
      <w:pPr>
        <w:pStyle w:val="3"/>
        <w:bidi w:val="0"/>
        <w:ind w:left="575" w:leftChars="0" w:hanging="575" w:firstLineChars="0"/>
        <w:rPr>
          <w:rFonts w:hint="eastAsia"/>
          <w:lang w:val="en-US" w:eastAsia="zh-CN"/>
        </w:rPr>
      </w:pPr>
      <w:bookmarkStart w:id="126" w:name="_Toc9350"/>
      <w:bookmarkStart w:id="127" w:name="_Toc22295"/>
      <w:bookmarkStart w:id="128" w:name="_Toc14473"/>
      <w:r>
        <w:rPr>
          <w:rFonts w:hint="eastAsia"/>
        </w:rPr>
        <w:t xml:space="preserve"> </w:t>
      </w:r>
      <w:bookmarkEnd w:id="119"/>
      <w:bookmarkEnd w:id="120"/>
      <w:bookmarkStart w:id="129" w:name="_Toc19822"/>
      <w:r>
        <w:rPr>
          <w:rFonts w:hint="eastAsia"/>
          <w:lang w:val="en-US" w:eastAsia="zh-CN"/>
        </w:rPr>
        <w:t>施工进度计划</w:t>
      </w:r>
      <w:bookmarkEnd w:id="126"/>
      <w:bookmarkEnd w:id="127"/>
      <w:bookmarkEnd w:id="128"/>
      <w:bookmarkEnd w:id="129"/>
    </w:p>
    <w:p w14:paraId="6D0E8A41">
      <w:pPr>
        <w:bidi w:val="0"/>
        <w:spacing w:line="360" w:lineRule="auto"/>
        <w:ind w:firstLine="480" w:firstLineChars="200"/>
        <w:rPr>
          <w:rFonts w:hint="default"/>
          <w:highlight w:val="none"/>
          <w:lang w:val="en-US" w:eastAsia="zh-CN"/>
        </w:rPr>
      </w:pPr>
      <w:r>
        <w:rPr>
          <w:rFonts w:hint="default"/>
          <w:highlight w:val="none"/>
          <w:lang w:val="en-US" w:eastAsia="zh-CN"/>
        </w:rPr>
        <w:t>每台</w:t>
      </w:r>
      <w:r>
        <w:rPr>
          <w:rFonts w:hint="eastAsia"/>
          <w:highlight w:val="none"/>
          <w:lang w:val="en-US" w:eastAsia="zh-CN"/>
        </w:rPr>
        <w:t>塔机</w:t>
      </w:r>
      <w:r>
        <w:rPr>
          <w:rFonts w:hint="default"/>
          <w:highlight w:val="none"/>
          <w:lang w:val="en-US" w:eastAsia="zh-CN"/>
        </w:rPr>
        <w:t>的安装时间主要考虑基础施工时间及首节安装时间，根据项目部工期安排及承台施工时间安排基础及首节安装时间，其他时间随着构筑物的上升而相应设置（同时需根据天气及环境因素调整合适的时间）。</w:t>
      </w:r>
    </w:p>
    <w:p w14:paraId="66521DFD">
      <w:pPr>
        <w:pStyle w:val="15"/>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新渡坪大桥主墩塔机使用时间汇总表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0" w:type="dxa"/>
          <w:bottom w:w="0" w:type="dxa"/>
          <w:right w:w="0" w:type="dxa"/>
        </w:tblCellMar>
      </w:tblPr>
      <w:tblGrid>
        <w:gridCol w:w="692"/>
        <w:gridCol w:w="1640"/>
        <w:gridCol w:w="1590"/>
        <w:gridCol w:w="1590"/>
        <w:gridCol w:w="1410"/>
        <w:gridCol w:w="1411"/>
      </w:tblGrid>
      <w:tr w14:paraId="1F274790">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tblHeader/>
          <w:jc w:val="center"/>
        </w:trPr>
        <w:tc>
          <w:tcPr>
            <w:tcW w:w="415" w:type="pct"/>
            <w:tcBorders>
              <w:tl2br w:val="nil"/>
              <w:tr2bl w:val="nil"/>
            </w:tcBorders>
            <w:shd w:val="clear" w:color="auto" w:fill="DAE3F3" w:themeFill="accent5" w:themeFillTint="32"/>
            <w:noWrap/>
            <w:tcMar>
              <w:top w:w="15" w:type="dxa"/>
              <w:left w:w="15" w:type="dxa"/>
              <w:right w:w="15" w:type="dxa"/>
            </w:tcMar>
            <w:vAlign w:val="center"/>
          </w:tcPr>
          <w:p w14:paraId="4A24FD3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序号</w:t>
            </w:r>
          </w:p>
        </w:tc>
        <w:tc>
          <w:tcPr>
            <w:tcW w:w="984" w:type="pct"/>
            <w:tcBorders>
              <w:tl2br w:val="nil"/>
              <w:tr2bl w:val="nil"/>
            </w:tcBorders>
            <w:shd w:val="clear" w:color="auto" w:fill="DAE3F3" w:themeFill="accent5" w:themeFillTint="32"/>
            <w:noWrap/>
            <w:tcMar>
              <w:top w:w="15" w:type="dxa"/>
              <w:left w:w="15" w:type="dxa"/>
              <w:right w:w="15" w:type="dxa"/>
            </w:tcMar>
            <w:vAlign w:val="center"/>
          </w:tcPr>
          <w:p w14:paraId="7C97D3C8">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安装位置</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190FCF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塔机型号</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C46BF4B">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计划开始时间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295A053A">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计划结束时间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55418459">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使用期限</w:t>
            </w:r>
          </w:p>
        </w:tc>
      </w:tr>
      <w:tr w14:paraId="2CB6A381">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jc w:val="center"/>
        </w:trPr>
        <w:tc>
          <w:tcPr>
            <w:tcW w:w="415" w:type="pct"/>
            <w:tcBorders>
              <w:tl2br w:val="nil"/>
              <w:tr2bl w:val="nil"/>
            </w:tcBorders>
            <w:noWrap/>
            <w:tcMar>
              <w:top w:w="15" w:type="dxa"/>
              <w:left w:w="15" w:type="dxa"/>
              <w:right w:w="15" w:type="dxa"/>
            </w:tcMar>
            <w:vAlign w:val="center"/>
          </w:tcPr>
          <w:p w14:paraId="5D256A41">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0"/>
                <w:szCs w:val="20"/>
                <w:highlight w:val="none"/>
                <w:u w:val="none"/>
                <w:lang w:val="en-US" w:eastAsia="zh-CN"/>
              </w:rPr>
            </w:pPr>
            <w:r>
              <w:rPr>
                <w:rFonts w:hint="eastAsia" w:cs="宋体"/>
                <w:i w:val="0"/>
                <w:color w:val="000000"/>
                <w:sz w:val="20"/>
                <w:szCs w:val="20"/>
                <w:highlight w:val="none"/>
                <w:u w:val="none"/>
                <w:lang w:val="en-US" w:eastAsia="zh-CN"/>
              </w:rPr>
              <w:t>1</w:t>
            </w:r>
          </w:p>
        </w:tc>
        <w:tc>
          <w:tcPr>
            <w:tcW w:w="984" w:type="pct"/>
            <w:tcBorders>
              <w:tl2br w:val="nil"/>
              <w:tr2bl w:val="nil"/>
            </w:tcBorders>
            <w:noWrap/>
            <w:tcMar>
              <w:top w:w="15" w:type="dxa"/>
              <w:left w:w="15" w:type="dxa"/>
              <w:right w:w="15" w:type="dxa"/>
            </w:tcMar>
            <w:vAlign w:val="center"/>
          </w:tcPr>
          <w:p w14:paraId="012547ED">
            <w:pPr>
              <w:spacing w:after="0" w:afterLines="0" w:line="240" w:lineRule="auto"/>
              <w:ind w:firstLine="0" w:firstLineChars="0"/>
              <w:jc w:val="center"/>
              <w:rPr>
                <w:rFonts w:hint="eastAsia" w:ascii="宋体" w:hAnsi="宋体" w:eastAsia="宋体" w:cs="宋体"/>
                <w:i w:val="0"/>
                <w:color w:val="000000"/>
                <w:sz w:val="18"/>
                <w:szCs w:val="18"/>
                <w:highlight w:val="none"/>
                <w:u w:val="none"/>
                <w:lang w:val="en-US" w:eastAsia="zh-CN"/>
              </w:rPr>
            </w:pPr>
            <w:r>
              <w:rPr>
                <w:rFonts w:hint="eastAsia" w:cs="宋体"/>
                <w:bCs/>
                <w:color w:val="000000" w:themeColor="text1"/>
                <w:sz w:val="18"/>
                <w:szCs w:val="18"/>
                <w:highlight w:val="none"/>
                <w:lang w:val="en-US" w:eastAsia="zh-CN"/>
                <w14:textFill>
                  <w14:solidFill>
                    <w14:schemeClr w14:val="tx1"/>
                  </w14:solidFill>
                </w14:textFill>
              </w:rPr>
              <w:t>新渡坪右幅10#墩</w:t>
            </w:r>
          </w:p>
        </w:tc>
        <w:tc>
          <w:tcPr>
            <w:tcW w:w="954" w:type="pct"/>
            <w:tcBorders>
              <w:tl2br w:val="nil"/>
              <w:tr2bl w:val="nil"/>
            </w:tcBorders>
            <w:noWrap/>
            <w:tcMar>
              <w:top w:w="15" w:type="dxa"/>
              <w:left w:w="15" w:type="dxa"/>
              <w:right w:w="15" w:type="dxa"/>
            </w:tcMar>
            <w:vAlign w:val="center"/>
          </w:tcPr>
          <w:p w14:paraId="351361A5">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徐工</w:t>
            </w:r>
            <w:r>
              <w:rPr>
                <w:rFonts w:hint="eastAsia" w:cs="宋体"/>
                <w:bCs/>
                <w:color w:val="000000" w:themeColor="text1"/>
                <w:sz w:val="18"/>
                <w:szCs w:val="18"/>
                <w:highlight w:val="none"/>
                <w:lang w:val="en-US" w:eastAsia="zh-CN"/>
                <w14:textFill>
                  <w14:solidFill>
                    <w14:schemeClr w14:val="tx1"/>
                  </w14:solidFill>
                </w14:textFill>
              </w:rPr>
              <w:t>XGT7525-16</w:t>
            </w:r>
          </w:p>
        </w:tc>
        <w:tc>
          <w:tcPr>
            <w:tcW w:w="954" w:type="pct"/>
            <w:tcBorders>
              <w:tl2br w:val="nil"/>
              <w:tr2bl w:val="nil"/>
            </w:tcBorders>
            <w:noWrap/>
            <w:tcMar>
              <w:top w:w="15" w:type="dxa"/>
              <w:left w:w="15" w:type="dxa"/>
              <w:right w:w="15" w:type="dxa"/>
            </w:tcMar>
            <w:vAlign w:val="center"/>
          </w:tcPr>
          <w:p w14:paraId="67CA964F">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58383405">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66E95163">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p>
        </w:tc>
      </w:tr>
    </w:tbl>
    <w:p w14:paraId="5B4BA1FE">
      <w:pPr>
        <w:pStyle w:val="15"/>
      </w:pPr>
      <w:bookmarkStart w:id="130" w:name="_Toc26659"/>
      <w:bookmarkStart w:id="131" w:name="_Toc27494"/>
      <w:bookmarkStart w:id="132" w:name="_Toc12309"/>
      <w:bookmarkStart w:id="133" w:name="_Toc11288"/>
      <w:bookmarkStart w:id="134" w:name="_Toc29155"/>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塔机安装施工计划</w:t>
      </w:r>
    </w:p>
    <w:tbl>
      <w:tblPr>
        <w:tblStyle w:val="30"/>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585"/>
        <w:gridCol w:w="5094"/>
        <w:gridCol w:w="1654"/>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AE3F3"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AE3F3"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特殊节、回转总成，起重臂臂节1</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bl>
    <w:p w14:paraId="0CBB0D83">
      <w:pPr>
        <w:pStyle w:val="3"/>
        <w:bidi w:val="0"/>
        <w:ind w:left="575" w:leftChars="0" w:hanging="575" w:firstLineChars="0"/>
      </w:pPr>
      <w:r>
        <w:t xml:space="preserve"> </w:t>
      </w:r>
      <w:bookmarkStart w:id="135" w:name="_Toc22549"/>
      <w:r>
        <w:rPr>
          <w:rFonts w:hint="eastAsia"/>
          <w:lang w:val="en-US" w:eastAsia="zh-CN"/>
        </w:rPr>
        <w:t>施工设备计划</w:t>
      </w:r>
      <w:bookmarkEnd w:id="130"/>
      <w:bookmarkEnd w:id="131"/>
      <w:bookmarkEnd w:id="132"/>
      <w:bookmarkEnd w:id="133"/>
      <w:bookmarkEnd w:id="134"/>
      <w:bookmarkEnd w:id="135"/>
    </w:p>
    <w:p w14:paraId="27C41570">
      <w:pPr>
        <w:pStyle w:val="15"/>
      </w:pPr>
      <w:bookmarkStart w:id="136" w:name="_Toc6681"/>
      <w:bookmarkStart w:id="137" w:name="_Toc1366"/>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基础施工设备表</w:t>
      </w:r>
    </w:p>
    <w:tbl>
      <w:tblPr>
        <w:tblStyle w:val="31"/>
        <w:tblW w:w="0" w:type="auto"/>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52"/>
        <w:gridCol w:w="1766"/>
        <w:gridCol w:w="1582"/>
        <w:gridCol w:w="1404"/>
        <w:gridCol w:w="2900"/>
      </w:tblGrid>
      <w:tr w14:paraId="329624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trPr>
        <w:tc>
          <w:tcPr>
            <w:tcW w:w="852" w:type="dxa"/>
            <w:tcBorders>
              <w:tl2br w:val="nil"/>
              <w:tr2bl w:val="nil"/>
            </w:tcBorders>
            <w:shd w:val="clear" w:color="auto" w:fill="DAE3F3" w:themeFill="accent5" w:themeFillTint="32"/>
            <w:noWrap w:val="0"/>
            <w:vAlign w:val="center"/>
          </w:tcPr>
          <w:p w14:paraId="58F33BE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序号</w:t>
            </w:r>
          </w:p>
        </w:tc>
        <w:tc>
          <w:tcPr>
            <w:tcW w:w="1766" w:type="dxa"/>
            <w:tcBorders>
              <w:tl2br w:val="nil"/>
              <w:tr2bl w:val="nil"/>
            </w:tcBorders>
            <w:shd w:val="clear" w:color="auto" w:fill="DAE3F3" w:themeFill="accent5" w:themeFillTint="32"/>
            <w:noWrap w:val="0"/>
            <w:vAlign w:val="center"/>
          </w:tcPr>
          <w:p w14:paraId="16F9460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名称</w:t>
            </w:r>
          </w:p>
        </w:tc>
        <w:tc>
          <w:tcPr>
            <w:tcW w:w="1582" w:type="dxa"/>
            <w:tcBorders>
              <w:tl2br w:val="nil"/>
              <w:tr2bl w:val="nil"/>
            </w:tcBorders>
            <w:shd w:val="clear" w:color="auto" w:fill="DAE3F3" w:themeFill="accent5" w:themeFillTint="32"/>
            <w:noWrap w:val="0"/>
            <w:vAlign w:val="center"/>
          </w:tcPr>
          <w:p w14:paraId="34FDA4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单位</w:t>
            </w:r>
          </w:p>
        </w:tc>
        <w:tc>
          <w:tcPr>
            <w:tcW w:w="1404" w:type="dxa"/>
            <w:tcBorders>
              <w:tl2br w:val="nil"/>
              <w:tr2bl w:val="nil"/>
            </w:tcBorders>
            <w:shd w:val="clear" w:color="auto" w:fill="DAE3F3" w:themeFill="accent5" w:themeFillTint="32"/>
            <w:noWrap w:val="0"/>
            <w:vAlign w:val="center"/>
          </w:tcPr>
          <w:p w14:paraId="7A73B7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数量</w:t>
            </w:r>
          </w:p>
        </w:tc>
        <w:tc>
          <w:tcPr>
            <w:tcW w:w="2900" w:type="dxa"/>
            <w:tcBorders>
              <w:tl2br w:val="nil"/>
              <w:tr2bl w:val="nil"/>
            </w:tcBorders>
            <w:shd w:val="clear" w:color="auto" w:fill="DAE3F3" w:themeFill="accent5" w:themeFillTint="32"/>
            <w:noWrap w:val="0"/>
            <w:vAlign w:val="center"/>
          </w:tcPr>
          <w:p w14:paraId="583D46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备注</w:t>
            </w:r>
          </w:p>
        </w:tc>
      </w:tr>
      <w:tr w14:paraId="72F851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AA243C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766" w:type="dxa"/>
            <w:tcBorders>
              <w:tl2br w:val="nil"/>
              <w:tr2bl w:val="nil"/>
            </w:tcBorders>
            <w:noWrap w:val="0"/>
            <w:vAlign w:val="center"/>
          </w:tcPr>
          <w:p w14:paraId="50434C8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挖掘机</w:t>
            </w:r>
          </w:p>
        </w:tc>
        <w:tc>
          <w:tcPr>
            <w:tcW w:w="1582" w:type="dxa"/>
            <w:tcBorders>
              <w:tl2br w:val="nil"/>
              <w:tr2bl w:val="nil"/>
            </w:tcBorders>
            <w:noWrap w:val="0"/>
            <w:vAlign w:val="center"/>
          </w:tcPr>
          <w:p w14:paraId="1194B6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9A47F8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2873DA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挖基坑、平场地</w:t>
            </w:r>
          </w:p>
        </w:tc>
      </w:tr>
      <w:tr w14:paraId="5068DB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68A2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766" w:type="dxa"/>
            <w:tcBorders>
              <w:tl2br w:val="nil"/>
              <w:tr2bl w:val="nil"/>
            </w:tcBorders>
            <w:noWrap w:val="0"/>
            <w:vAlign w:val="center"/>
          </w:tcPr>
          <w:p w14:paraId="03D5C52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装载机</w:t>
            </w:r>
          </w:p>
        </w:tc>
        <w:tc>
          <w:tcPr>
            <w:tcW w:w="1582" w:type="dxa"/>
            <w:tcBorders>
              <w:tl2br w:val="nil"/>
              <w:tr2bl w:val="nil"/>
            </w:tcBorders>
            <w:noWrap w:val="0"/>
            <w:vAlign w:val="center"/>
          </w:tcPr>
          <w:p w14:paraId="59281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B085C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784BC63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装渣</w:t>
            </w:r>
          </w:p>
        </w:tc>
      </w:tr>
      <w:tr w14:paraId="4E9AB35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124FE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766" w:type="dxa"/>
            <w:tcBorders>
              <w:tl2br w:val="nil"/>
              <w:tr2bl w:val="nil"/>
            </w:tcBorders>
            <w:noWrap w:val="0"/>
            <w:vAlign w:val="center"/>
          </w:tcPr>
          <w:p w14:paraId="670B04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自卸式汽车</w:t>
            </w:r>
          </w:p>
        </w:tc>
        <w:tc>
          <w:tcPr>
            <w:tcW w:w="1582" w:type="dxa"/>
            <w:tcBorders>
              <w:tl2br w:val="nil"/>
              <w:tr2bl w:val="nil"/>
            </w:tcBorders>
            <w:noWrap w:val="0"/>
            <w:vAlign w:val="center"/>
          </w:tcPr>
          <w:p w14:paraId="210E207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辆</w:t>
            </w:r>
          </w:p>
        </w:tc>
        <w:tc>
          <w:tcPr>
            <w:tcW w:w="1404" w:type="dxa"/>
            <w:tcBorders>
              <w:tl2br w:val="nil"/>
              <w:tr2bl w:val="nil"/>
            </w:tcBorders>
            <w:noWrap w:val="0"/>
            <w:vAlign w:val="center"/>
          </w:tcPr>
          <w:p w14:paraId="395AE3F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0FB2A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运渣</w:t>
            </w:r>
          </w:p>
        </w:tc>
      </w:tr>
      <w:tr w14:paraId="49CC45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90E8D8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766" w:type="dxa"/>
            <w:tcBorders>
              <w:tl2br w:val="nil"/>
              <w:tr2bl w:val="nil"/>
            </w:tcBorders>
            <w:noWrap w:val="0"/>
            <w:vAlign w:val="center"/>
          </w:tcPr>
          <w:p w14:paraId="3EB9EA2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模板</w:t>
            </w:r>
          </w:p>
        </w:tc>
        <w:tc>
          <w:tcPr>
            <w:tcW w:w="1582" w:type="dxa"/>
            <w:tcBorders>
              <w:tl2br w:val="nil"/>
              <w:tr2bl w:val="nil"/>
            </w:tcBorders>
            <w:noWrap w:val="0"/>
            <w:vAlign w:val="center"/>
          </w:tcPr>
          <w:p w14:paraId="4B9FB7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168636F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648C46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定型钢模板</w:t>
            </w:r>
          </w:p>
        </w:tc>
      </w:tr>
      <w:tr w14:paraId="79FB0D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C28D0B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766" w:type="dxa"/>
            <w:tcBorders>
              <w:tl2br w:val="nil"/>
              <w:tr2bl w:val="nil"/>
            </w:tcBorders>
            <w:noWrap w:val="0"/>
            <w:vAlign w:val="center"/>
          </w:tcPr>
          <w:p w14:paraId="1493B2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钢筋冷弯机</w:t>
            </w:r>
          </w:p>
        </w:tc>
        <w:tc>
          <w:tcPr>
            <w:tcW w:w="1582" w:type="dxa"/>
            <w:tcBorders>
              <w:tl2br w:val="nil"/>
              <w:tr2bl w:val="nil"/>
            </w:tcBorders>
            <w:noWrap w:val="0"/>
            <w:vAlign w:val="center"/>
          </w:tcPr>
          <w:p w14:paraId="43ABB97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20E728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332B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30AC2B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045DB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766" w:type="dxa"/>
            <w:tcBorders>
              <w:tl2br w:val="nil"/>
              <w:tr2bl w:val="nil"/>
            </w:tcBorders>
            <w:noWrap w:val="0"/>
            <w:vAlign w:val="center"/>
          </w:tcPr>
          <w:p w14:paraId="151EDE7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钢筋直切机</w:t>
            </w:r>
          </w:p>
        </w:tc>
        <w:tc>
          <w:tcPr>
            <w:tcW w:w="1582" w:type="dxa"/>
            <w:tcBorders>
              <w:tl2br w:val="nil"/>
              <w:tr2bl w:val="nil"/>
            </w:tcBorders>
            <w:noWrap w:val="0"/>
            <w:vAlign w:val="center"/>
          </w:tcPr>
          <w:p w14:paraId="1BDF6E5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73B29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0AEC74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1AE8720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4628F3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766" w:type="dxa"/>
            <w:tcBorders>
              <w:tl2br w:val="nil"/>
              <w:tr2bl w:val="nil"/>
            </w:tcBorders>
            <w:noWrap w:val="0"/>
            <w:vAlign w:val="center"/>
          </w:tcPr>
          <w:p w14:paraId="45C7EB0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钢筋调直机</w:t>
            </w:r>
          </w:p>
        </w:tc>
        <w:tc>
          <w:tcPr>
            <w:tcW w:w="1582" w:type="dxa"/>
            <w:tcBorders>
              <w:tl2br w:val="nil"/>
              <w:tr2bl w:val="nil"/>
            </w:tcBorders>
            <w:noWrap w:val="0"/>
            <w:vAlign w:val="center"/>
          </w:tcPr>
          <w:p w14:paraId="6025CC1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D106FF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55810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2A8839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648FBEC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766" w:type="dxa"/>
            <w:tcBorders>
              <w:tl2br w:val="nil"/>
              <w:tr2bl w:val="nil"/>
            </w:tcBorders>
            <w:noWrap w:val="0"/>
            <w:vAlign w:val="center"/>
          </w:tcPr>
          <w:p w14:paraId="6091D6D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电焊机</w:t>
            </w:r>
          </w:p>
        </w:tc>
        <w:tc>
          <w:tcPr>
            <w:tcW w:w="1582" w:type="dxa"/>
            <w:tcBorders>
              <w:tl2br w:val="nil"/>
              <w:tr2bl w:val="nil"/>
            </w:tcBorders>
            <w:noWrap w:val="0"/>
            <w:vAlign w:val="center"/>
          </w:tcPr>
          <w:p w14:paraId="02A2E43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1E92B2D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3C2E36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钢筋场</w:t>
            </w:r>
            <w:r>
              <w:rPr>
                <w:rFonts w:hint="eastAsia" w:ascii="仿宋" w:hAnsi="仿宋" w:eastAsia="仿宋" w:cs="仿宋"/>
                <w:b w:val="0"/>
                <w:bCs/>
                <w:sz w:val="21"/>
                <w:szCs w:val="21"/>
                <w:highlight w:val="none"/>
                <w:vertAlign w:val="baseline"/>
                <w:lang w:val="en-US" w:eastAsia="zh-CN"/>
              </w:rPr>
              <w:t>1台，现场1台</w:t>
            </w:r>
          </w:p>
        </w:tc>
      </w:tr>
      <w:tr w14:paraId="11F277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350CC7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766" w:type="dxa"/>
            <w:tcBorders>
              <w:tl2br w:val="nil"/>
              <w:tr2bl w:val="nil"/>
            </w:tcBorders>
            <w:noWrap w:val="0"/>
            <w:vAlign w:val="center"/>
          </w:tcPr>
          <w:p w14:paraId="7623F5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振捣棒</w:t>
            </w:r>
          </w:p>
        </w:tc>
        <w:tc>
          <w:tcPr>
            <w:tcW w:w="1582" w:type="dxa"/>
            <w:tcBorders>
              <w:tl2br w:val="nil"/>
              <w:tr2bl w:val="nil"/>
            </w:tcBorders>
            <w:noWrap w:val="0"/>
            <w:vAlign w:val="center"/>
          </w:tcPr>
          <w:p w14:paraId="39DED64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75CA1C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7832370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w:t>
            </w:r>
          </w:p>
        </w:tc>
      </w:tr>
      <w:tr w14:paraId="3540BC4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627984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766" w:type="dxa"/>
            <w:tcBorders>
              <w:tl2br w:val="nil"/>
              <w:tr2bl w:val="nil"/>
            </w:tcBorders>
            <w:noWrap w:val="0"/>
            <w:vAlign w:val="center"/>
          </w:tcPr>
          <w:p w14:paraId="4DD3AF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拌和站</w:t>
            </w:r>
          </w:p>
        </w:tc>
        <w:tc>
          <w:tcPr>
            <w:tcW w:w="1582" w:type="dxa"/>
            <w:tcBorders>
              <w:tl2br w:val="nil"/>
              <w:tr2bl w:val="nil"/>
            </w:tcBorders>
            <w:noWrap w:val="0"/>
            <w:vAlign w:val="center"/>
          </w:tcPr>
          <w:p w14:paraId="6621A61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0890EA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42816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673755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025C48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766" w:type="dxa"/>
            <w:tcBorders>
              <w:tl2br w:val="nil"/>
              <w:tr2bl w:val="nil"/>
            </w:tcBorders>
            <w:noWrap w:val="0"/>
            <w:vAlign w:val="center"/>
          </w:tcPr>
          <w:p w14:paraId="6205BC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混凝土罐车</w:t>
            </w:r>
          </w:p>
        </w:tc>
        <w:tc>
          <w:tcPr>
            <w:tcW w:w="1582" w:type="dxa"/>
            <w:tcBorders>
              <w:tl2br w:val="nil"/>
              <w:tr2bl w:val="nil"/>
            </w:tcBorders>
            <w:noWrap w:val="0"/>
            <w:vAlign w:val="center"/>
          </w:tcPr>
          <w:p w14:paraId="764A3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4919330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900" w:type="dxa"/>
            <w:tcBorders>
              <w:tl2br w:val="nil"/>
              <w:tr2bl w:val="nil"/>
            </w:tcBorders>
            <w:noWrap w:val="0"/>
            <w:vAlign w:val="center"/>
          </w:tcPr>
          <w:p w14:paraId="62B7A9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4FC629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EC5702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w:t>
            </w:r>
          </w:p>
        </w:tc>
        <w:tc>
          <w:tcPr>
            <w:tcW w:w="1766" w:type="dxa"/>
            <w:tcBorders>
              <w:tl2br w:val="nil"/>
              <w:tr2bl w:val="nil"/>
            </w:tcBorders>
            <w:noWrap w:val="0"/>
            <w:vAlign w:val="center"/>
          </w:tcPr>
          <w:p w14:paraId="3B393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吊车</w:t>
            </w:r>
          </w:p>
        </w:tc>
        <w:tc>
          <w:tcPr>
            <w:tcW w:w="1582" w:type="dxa"/>
            <w:tcBorders>
              <w:tl2br w:val="nil"/>
              <w:tr2bl w:val="nil"/>
            </w:tcBorders>
            <w:noWrap w:val="0"/>
            <w:vAlign w:val="center"/>
          </w:tcPr>
          <w:p w14:paraId="06A312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30B0B10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371562A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安装模板</w:t>
            </w:r>
          </w:p>
        </w:tc>
      </w:tr>
      <w:tr w14:paraId="124FCE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0FEECF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13</w:t>
            </w:r>
          </w:p>
        </w:tc>
        <w:tc>
          <w:tcPr>
            <w:tcW w:w="1766" w:type="dxa"/>
            <w:tcBorders>
              <w:tl2br w:val="nil"/>
              <w:tr2bl w:val="nil"/>
            </w:tcBorders>
            <w:noWrap w:val="0"/>
            <w:vAlign w:val="center"/>
          </w:tcPr>
          <w:p w14:paraId="0E670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测量仪器</w:t>
            </w:r>
          </w:p>
        </w:tc>
        <w:tc>
          <w:tcPr>
            <w:tcW w:w="1582" w:type="dxa"/>
            <w:tcBorders>
              <w:tl2br w:val="nil"/>
              <w:tr2bl w:val="nil"/>
            </w:tcBorders>
            <w:noWrap w:val="0"/>
            <w:vAlign w:val="center"/>
          </w:tcPr>
          <w:p w14:paraId="5D0E3F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2BBD7E3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F35FF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214D00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D03F30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14</w:t>
            </w:r>
          </w:p>
        </w:tc>
        <w:tc>
          <w:tcPr>
            <w:tcW w:w="1766" w:type="dxa"/>
            <w:tcBorders>
              <w:tl2br w:val="nil"/>
              <w:tr2bl w:val="nil"/>
            </w:tcBorders>
            <w:noWrap w:val="0"/>
            <w:vAlign w:val="center"/>
          </w:tcPr>
          <w:p w14:paraId="0AB38C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试验仪器</w:t>
            </w:r>
          </w:p>
        </w:tc>
        <w:tc>
          <w:tcPr>
            <w:tcW w:w="1582" w:type="dxa"/>
            <w:tcBorders>
              <w:tl2br w:val="nil"/>
              <w:tr2bl w:val="nil"/>
            </w:tcBorders>
            <w:noWrap w:val="0"/>
            <w:vAlign w:val="center"/>
          </w:tcPr>
          <w:p w14:paraId="3D5FE90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77F008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ADF89C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3EF439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F720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15</w:t>
            </w:r>
          </w:p>
        </w:tc>
        <w:tc>
          <w:tcPr>
            <w:tcW w:w="1766" w:type="dxa"/>
            <w:tcBorders>
              <w:tl2br w:val="nil"/>
              <w:tr2bl w:val="nil"/>
            </w:tcBorders>
            <w:noWrap w:val="0"/>
            <w:vAlign w:val="center"/>
          </w:tcPr>
          <w:p w14:paraId="27771A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板车</w:t>
            </w:r>
          </w:p>
        </w:tc>
        <w:tc>
          <w:tcPr>
            <w:tcW w:w="1582" w:type="dxa"/>
            <w:tcBorders>
              <w:tl2br w:val="nil"/>
              <w:tr2bl w:val="nil"/>
            </w:tcBorders>
            <w:noWrap w:val="0"/>
            <w:vAlign w:val="center"/>
          </w:tcPr>
          <w:p w14:paraId="13DE7D2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18BDED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A17F9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运送材料</w:t>
            </w:r>
          </w:p>
        </w:tc>
      </w:tr>
      <w:tr w14:paraId="5FC421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93633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c>
          <w:tcPr>
            <w:tcW w:w="1766" w:type="dxa"/>
            <w:tcBorders>
              <w:tl2br w:val="nil"/>
              <w:tr2bl w:val="nil"/>
            </w:tcBorders>
            <w:noWrap w:val="0"/>
            <w:vAlign w:val="center"/>
          </w:tcPr>
          <w:p w14:paraId="46D66F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小型夯实机</w:t>
            </w:r>
          </w:p>
        </w:tc>
        <w:tc>
          <w:tcPr>
            <w:tcW w:w="1582" w:type="dxa"/>
            <w:tcBorders>
              <w:tl2br w:val="nil"/>
              <w:tr2bl w:val="nil"/>
            </w:tcBorders>
            <w:noWrap w:val="0"/>
            <w:vAlign w:val="center"/>
          </w:tcPr>
          <w:p w14:paraId="09F1A09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1D78B2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65F37B0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夯实基础</w:t>
            </w:r>
          </w:p>
        </w:tc>
      </w:tr>
    </w:tbl>
    <w:p w14:paraId="03C3482E">
      <w:pPr>
        <w:pStyle w:val="15"/>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安装吊索具和专用工具的配备统计表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56"/>
        <w:gridCol w:w="1521"/>
        <w:gridCol w:w="2550"/>
        <w:gridCol w:w="786"/>
        <w:gridCol w:w="1561"/>
        <w:gridCol w:w="1301"/>
      </w:tblGrid>
      <w:tr w14:paraId="3E3CE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9" w:hRule="exact"/>
          <w:jc w:val="center"/>
        </w:trPr>
        <w:tc>
          <w:tcPr>
            <w:tcW w:w="756" w:type="dxa"/>
            <w:tcBorders>
              <w:tl2br w:val="nil"/>
              <w:tr2bl w:val="nil"/>
            </w:tcBorders>
            <w:shd w:val="clear" w:color="auto" w:fill="DAE3F3" w:themeFill="accent5" w:themeFillTint="32"/>
            <w:noWrap w:val="0"/>
            <w:vAlign w:val="center"/>
          </w:tcPr>
          <w:p w14:paraId="20A9F4B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1521" w:type="dxa"/>
            <w:tcBorders>
              <w:tl2br w:val="nil"/>
              <w:tr2bl w:val="nil"/>
            </w:tcBorders>
            <w:shd w:val="clear" w:color="auto" w:fill="DAE3F3" w:themeFill="accent5" w:themeFillTint="32"/>
            <w:noWrap w:val="0"/>
            <w:vAlign w:val="center"/>
          </w:tcPr>
          <w:p w14:paraId="04D623C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名称</w:t>
            </w:r>
          </w:p>
        </w:tc>
        <w:tc>
          <w:tcPr>
            <w:tcW w:w="2550" w:type="dxa"/>
            <w:tcBorders>
              <w:tl2br w:val="nil"/>
              <w:tr2bl w:val="nil"/>
            </w:tcBorders>
            <w:shd w:val="clear" w:color="auto" w:fill="DAE3F3" w:themeFill="accent5" w:themeFillTint="32"/>
            <w:noWrap w:val="0"/>
            <w:vAlign w:val="center"/>
          </w:tcPr>
          <w:p w14:paraId="3132BAC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规格</w:t>
            </w:r>
          </w:p>
        </w:tc>
        <w:tc>
          <w:tcPr>
            <w:tcW w:w="786" w:type="dxa"/>
            <w:tcBorders>
              <w:tl2br w:val="nil"/>
              <w:tr2bl w:val="nil"/>
            </w:tcBorders>
            <w:shd w:val="clear" w:color="auto" w:fill="DAE3F3" w:themeFill="accent5" w:themeFillTint="32"/>
            <w:noWrap w:val="0"/>
            <w:vAlign w:val="center"/>
          </w:tcPr>
          <w:p w14:paraId="3DB75DB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精度等级</w:t>
            </w:r>
          </w:p>
        </w:tc>
        <w:tc>
          <w:tcPr>
            <w:tcW w:w="1561" w:type="dxa"/>
            <w:tcBorders>
              <w:tl2br w:val="nil"/>
              <w:tr2bl w:val="nil"/>
            </w:tcBorders>
            <w:shd w:val="clear" w:color="auto" w:fill="DAE3F3" w:themeFill="accent5" w:themeFillTint="32"/>
            <w:noWrap w:val="0"/>
            <w:vAlign w:val="center"/>
          </w:tcPr>
          <w:p w14:paraId="73BECF5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301" w:type="dxa"/>
            <w:tcBorders>
              <w:tl2br w:val="nil"/>
              <w:tr2bl w:val="nil"/>
            </w:tcBorders>
            <w:shd w:val="clear" w:color="auto" w:fill="DAE3F3" w:themeFill="accent5" w:themeFillTint="32"/>
            <w:noWrap w:val="0"/>
            <w:vAlign w:val="center"/>
          </w:tcPr>
          <w:p w14:paraId="3E996A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备注</w:t>
            </w:r>
          </w:p>
        </w:tc>
      </w:tr>
      <w:tr w14:paraId="4BCC367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49C6ECE">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521" w:type="dxa"/>
            <w:tcBorders>
              <w:tl2br w:val="nil"/>
              <w:tr2bl w:val="nil"/>
            </w:tcBorders>
            <w:noWrap w:val="0"/>
            <w:vAlign w:val="center"/>
          </w:tcPr>
          <w:p w14:paraId="70612D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2550" w:type="dxa"/>
            <w:tcBorders>
              <w:tl2br w:val="nil"/>
              <w:tr2bl w:val="nil"/>
            </w:tcBorders>
            <w:noWrap w:val="0"/>
            <w:vAlign w:val="center"/>
          </w:tcPr>
          <w:p w14:paraId="01C4A2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50t</w:t>
            </w:r>
          </w:p>
        </w:tc>
        <w:tc>
          <w:tcPr>
            <w:tcW w:w="786" w:type="dxa"/>
            <w:tcBorders>
              <w:tl2br w:val="nil"/>
              <w:tr2bl w:val="nil"/>
            </w:tcBorders>
            <w:noWrap w:val="0"/>
            <w:vAlign w:val="center"/>
          </w:tcPr>
          <w:p w14:paraId="601060B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A5920C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70F416A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7D2121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7DF0E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3" w:hRule="exact"/>
          <w:jc w:val="center"/>
        </w:trPr>
        <w:tc>
          <w:tcPr>
            <w:tcW w:w="756" w:type="dxa"/>
            <w:tcBorders>
              <w:tl2br w:val="nil"/>
              <w:tr2bl w:val="nil"/>
            </w:tcBorders>
            <w:noWrap w:val="0"/>
            <w:vAlign w:val="center"/>
          </w:tcPr>
          <w:p w14:paraId="7074939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521" w:type="dxa"/>
            <w:tcBorders>
              <w:tl2br w:val="nil"/>
              <w:tr2bl w:val="nil"/>
            </w:tcBorders>
            <w:noWrap w:val="0"/>
            <w:vAlign w:val="center"/>
          </w:tcPr>
          <w:p w14:paraId="7F98DE5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550" w:type="dxa"/>
            <w:tcBorders>
              <w:tl2br w:val="nil"/>
              <w:tr2bl w:val="nil"/>
            </w:tcBorders>
            <w:noWrap w:val="0"/>
            <w:vAlign w:val="center"/>
          </w:tcPr>
          <w:p w14:paraId="18AF729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18mm6×19W+IWR1870Mpa</w:t>
            </w:r>
          </w:p>
        </w:tc>
        <w:tc>
          <w:tcPr>
            <w:tcW w:w="786" w:type="dxa"/>
            <w:tcBorders>
              <w:tl2br w:val="nil"/>
              <w:tr2bl w:val="nil"/>
            </w:tcBorders>
            <w:noWrap w:val="0"/>
            <w:vAlign w:val="center"/>
          </w:tcPr>
          <w:p w14:paraId="4BAD46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6061BE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4根</w:t>
            </w:r>
          </w:p>
        </w:tc>
        <w:tc>
          <w:tcPr>
            <w:tcW w:w="1301" w:type="dxa"/>
            <w:tcBorders>
              <w:tl2br w:val="nil"/>
              <w:tr2bl w:val="nil"/>
            </w:tcBorders>
            <w:noWrap w:val="0"/>
            <w:vAlign w:val="center"/>
          </w:tcPr>
          <w:p w14:paraId="105889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BE8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5018BED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4</w:t>
            </w:r>
          </w:p>
        </w:tc>
        <w:tc>
          <w:tcPr>
            <w:tcW w:w="1521" w:type="dxa"/>
            <w:tcBorders>
              <w:tl2br w:val="nil"/>
              <w:tr2bl w:val="nil"/>
            </w:tcBorders>
            <w:noWrap w:val="0"/>
            <w:vAlign w:val="center"/>
          </w:tcPr>
          <w:p w14:paraId="603296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钢丝绳卸扣</w:t>
            </w:r>
          </w:p>
        </w:tc>
        <w:tc>
          <w:tcPr>
            <w:tcW w:w="2550" w:type="dxa"/>
            <w:tcBorders>
              <w:tl2br w:val="nil"/>
              <w:tr2bl w:val="nil"/>
            </w:tcBorders>
            <w:noWrap w:val="0"/>
            <w:vAlign w:val="center"/>
          </w:tcPr>
          <w:p w14:paraId="5B0E3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GB/T 25854-6-DW5</w:t>
            </w:r>
          </w:p>
        </w:tc>
        <w:tc>
          <w:tcPr>
            <w:tcW w:w="786" w:type="dxa"/>
            <w:tcBorders>
              <w:tl2br w:val="nil"/>
              <w:tr2bl w:val="nil"/>
            </w:tcBorders>
            <w:noWrap w:val="0"/>
            <w:vAlign w:val="center"/>
          </w:tcPr>
          <w:p w14:paraId="1E6B7F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2DD6B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1对</w:t>
            </w:r>
          </w:p>
        </w:tc>
        <w:tc>
          <w:tcPr>
            <w:tcW w:w="1301" w:type="dxa"/>
            <w:tcBorders>
              <w:tl2br w:val="nil"/>
              <w:tr2bl w:val="nil"/>
            </w:tcBorders>
            <w:noWrap w:val="0"/>
            <w:vAlign w:val="center"/>
          </w:tcPr>
          <w:p w14:paraId="19D7186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F4A510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74CB49D7">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5</w:t>
            </w:r>
          </w:p>
        </w:tc>
        <w:tc>
          <w:tcPr>
            <w:tcW w:w="1521" w:type="dxa"/>
            <w:tcBorders>
              <w:tl2br w:val="nil"/>
              <w:tr2bl w:val="nil"/>
            </w:tcBorders>
            <w:noWrap w:val="0"/>
            <w:vAlign w:val="center"/>
          </w:tcPr>
          <w:p w14:paraId="46506E7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倒链</w:t>
            </w:r>
          </w:p>
        </w:tc>
        <w:tc>
          <w:tcPr>
            <w:tcW w:w="2550" w:type="dxa"/>
            <w:tcBorders>
              <w:tl2br w:val="nil"/>
              <w:tr2bl w:val="nil"/>
            </w:tcBorders>
            <w:noWrap w:val="0"/>
            <w:vAlign w:val="center"/>
          </w:tcPr>
          <w:p w14:paraId="711BC6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2t、3t</w:t>
            </w:r>
          </w:p>
        </w:tc>
        <w:tc>
          <w:tcPr>
            <w:tcW w:w="786" w:type="dxa"/>
            <w:tcBorders>
              <w:tl2br w:val="nil"/>
              <w:tr2bl w:val="nil"/>
            </w:tcBorders>
            <w:noWrap w:val="0"/>
            <w:vAlign w:val="center"/>
          </w:tcPr>
          <w:p w14:paraId="69901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7770F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各2个</w:t>
            </w:r>
          </w:p>
        </w:tc>
        <w:tc>
          <w:tcPr>
            <w:tcW w:w="1301" w:type="dxa"/>
            <w:tcBorders>
              <w:tl2br w:val="nil"/>
              <w:tr2bl w:val="nil"/>
            </w:tcBorders>
            <w:noWrap w:val="0"/>
            <w:vAlign w:val="center"/>
          </w:tcPr>
          <w:p w14:paraId="57634E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31B4B5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5A50F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6</w:t>
            </w:r>
          </w:p>
        </w:tc>
        <w:tc>
          <w:tcPr>
            <w:tcW w:w="1521" w:type="dxa"/>
            <w:tcBorders>
              <w:tl2br w:val="nil"/>
              <w:tr2bl w:val="nil"/>
            </w:tcBorders>
            <w:noWrap w:val="0"/>
            <w:vAlign w:val="center"/>
          </w:tcPr>
          <w:p w14:paraId="5ACB993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550" w:type="dxa"/>
            <w:tcBorders>
              <w:tl2br w:val="nil"/>
              <w:tr2bl w:val="nil"/>
            </w:tcBorders>
            <w:noWrap w:val="0"/>
            <w:vAlign w:val="center"/>
          </w:tcPr>
          <w:p w14:paraId="6A2A641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10t</w:t>
            </w:r>
          </w:p>
        </w:tc>
        <w:tc>
          <w:tcPr>
            <w:tcW w:w="786" w:type="dxa"/>
            <w:tcBorders>
              <w:tl2br w:val="nil"/>
              <w:tr2bl w:val="nil"/>
            </w:tcBorders>
            <w:noWrap w:val="0"/>
            <w:vAlign w:val="center"/>
          </w:tcPr>
          <w:p w14:paraId="650861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4437F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2个</w:t>
            </w:r>
          </w:p>
        </w:tc>
        <w:tc>
          <w:tcPr>
            <w:tcW w:w="1301" w:type="dxa"/>
            <w:tcBorders>
              <w:tl2br w:val="nil"/>
              <w:tr2bl w:val="nil"/>
            </w:tcBorders>
            <w:noWrap w:val="0"/>
            <w:vAlign w:val="center"/>
          </w:tcPr>
          <w:p w14:paraId="0F69D21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B587F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E4F75C2">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7</w:t>
            </w:r>
          </w:p>
        </w:tc>
        <w:tc>
          <w:tcPr>
            <w:tcW w:w="1521" w:type="dxa"/>
            <w:tcBorders>
              <w:tl2br w:val="nil"/>
              <w:tr2bl w:val="nil"/>
            </w:tcBorders>
            <w:noWrap w:val="0"/>
            <w:vAlign w:val="center"/>
          </w:tcPr>
          <w:p w14:paraId="6B6B4B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550" w:type="dxa"/>
            <w:tcBorders>
              <w:tl2br w:val="nil"/>
              <w:tr2bl w:val="nil"/>
            </w:tcBorders>
            <w:noWrap w:val="0"/>
            <w:vAlign w:val="center"/>
          </w:tcPr>
          <w:p w14:paraId="43A48C2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5t</w:t>
            </w:r>
          </w:p>
        </w:tc>
        <w:tc>
          <w:tcPr>
            <w:tcW w:w="786" w:type="dxa"/>
            <w:tcBorders>
              <w:tl2br w:val="nil"/>
              <w:tr2bl w:val="nil"/>
            </w:tcBorders>
            <w:noWrap w:val="0"/>
            <w:vAlign w:val="center"/>
          </w:tcPr>
          <w:p w14:paraId="640C93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30C3B33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 xml:space="preserve"> 4个</w:t>
            </w:r>
          </w:p>
        </w:tc>
        <w:tc>
          <w:tcPr>
            <w:tcW w:w="1301" w:type="dxa"/>
            <w:tcBorders>
              <w:tl2br w:val="nil"/>
              <w:tr2bl w:val="nil"/>
            </w:tcBorders>
            <w:noWrap w:val="0"/>
            <w:vAlign w:val="center"/>
          </w:tcPr>
          <w:p w14:paraId="06F5D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08401D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19F352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8</w:t>
            </w:r>
          </w:p>
        </w:tc>
        <w:tc>
          <w:tcPr>
            <w:tcW w:w="1521" w:type="dxa"/>
            <w:tcBorders>
              <w:tl2br w:val="nil"/>
              <w:tr2bl w:val="nil"/>
            </w:tcBorders>
            <w:noWrap w:val="0"/>
            <w:vAlign w:val="center"/>
          </w:tcPr>
          <w:p w14:paraId="286FE3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大锤</w:t>
            </w:r>
          </w:p>
        </w:tc>
        <w:tc>
          <w:tcPr>
            <w:tcW w:w="2550" w:type="dxa"/>
            <w:tcBorders>
              <w:tl2br w:val="nil"/>
              <w:tr2bl w:val="nil"/>
            </w:tcBorders>
            <w:noWrap w:val="0"/>
            <w:vAlign w:val="center"/>
          </w:tcPr>
          <w:p w14:paraId="254A85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20磅</w:t>
            </w:r>
          </w:p>
        </w:tc>
        <w:tc>
          <w:tcPr>
            <w:tcW w:w="786" w:type="dxa"/>
            <w:tcBorders>
              <w:tl2br w:val="nil"/>
              <w:tr2bl w:val="nil"/>
            </w:tcBorders>
            <w:noWrap w:val="0"/>
            <w:vAlign w:val="center"/>
          </w:tcPr>
          <w:p w14:paraId="695531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5987A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4把</w:t>
            </w:r>
          </w:p>
        </w:tc>
        <w:tc>
          <w:tcPr>
            <w:tcW w:w="1301" w:type="dxa"/>
            <w:tcBorders>
              <w:tl2br w:val="nil"/>
              <w:tr2bl w:val="nil"/>
            </w:tcBorders>
            <w:noWrap w:val="0"/>
            <w:vAlign w:val="center"/>
          </w:tcPr>
          <w:p w14:paraId="6BCE79A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E09A7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2BBE824">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9</w:t>
            </w:r>
          </w:p>
        </w:tc>
        <w:tc>
          <w:tcPr>
            <w:tcW w:w="1521" w:type="dxa"/>
            <w:tcBorders>
              <w:tl2br w:val="nil"/>
              <w:tr2bl w:val="nil"/>
            </w:tcBorders>
            <w:noWrap w:val="0"/>
            <w:vAlign w:val="center"/>
          </w:tcPr>
          <w:p w14:paraId="10C1A7B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手锤</w:t>
            </w:r>
          </w:p>
        </w:tc>
        <w:tc>
          <w:tcPr>
            <w:tcW w:w="2550" w:type="dxa"/>
            <w:tcBorders>
              <w:tl2br w:val="nil"/>
              <w:tr2bl w:val="nil"/>
            </w:tcBorders>
            <w:noWrap w:val="0"/>
            <w:vAlign w:val="center"/>
          </w:tcPr>
          <w:p w14:paraId="1752BA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8磅</w:t>
            </w:r>
          </w:p>
        </w:tc>
        <w:tc>
          <w:tcPr>
            <w:tcW w:w="786" w:type="dxa"/>
            <w:tcBorders>
              <w:tl2br w:val="nil"/>
              <w:tr2bl w:val="nil"/>
            </w:tcBorders>
            <w:noWrap w:val="0"/>
            <w:vAlign w:val="center"/>
          </w:tcPr>
          <w:p w14:paraId="3AE64CC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1C571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2把</w:t>
            </w:r>
          </w:p>
        </w:tc>
        <w:tc>
          <w:tcPr>
            <w:tcW w:w="1301" w:type="dxa"/>
            <w:tcBorders>
              <w:tl2br w:val="nil"/>
              <w:tr2bl w:val="nil"/>
            </w:tcBorders>
            <w:noWrap w:val="0"/>
            <w:vAlign w:val="center"/>
          </w:tcPr>
          <w:p w14:paraId="3BA8B9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0C63B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7E0677D5">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10</w:t>
            </w:r>
          </w:p>
        </w:tc>
        <w:tc>
          <w:tcPr>
            <w:tcW w:w="1521" w:type="dxa"/>
            <w:tcBorders>
              <w:tl2br w:val="nil"/>
              <w:tr2bl w:val="nil"/>
            </w:tcBorders>
            <w:noWrap w:val="0"/>
            <w:vAlign w:val="center"/>
          </w:tcPr>
          <w:p w14:paraId="70E5136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溜绳</w:t>
            </w:r>
          </w:p>
        </w:tc>
        <w:tc>
          <w:tcPr>
            <w:tcW w:w="2550" w:type="dxa"/>
            <w:tcBorders>
              <w:tl2br w:val="nil"/>
              <w:tr2bl w:val="nil"/>
            </w:tcBorders>
            <w:noWrap w:val="0"/>
            <w:vAlign w:val="center"/>
          </w:tcPr>
          <w:p w14:paraId="1BDEC7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（16（50m</w:t>
            </w:r>
          </w:p>
        </w:tc>
        <w:tc>
          <w:tcPr>
            <w:tcW w:w="786" w:type="dxa"/>
            <w:tcBorders>
              <w:tl2br w:val="nil"/>
              <w:tr2bl w:val="nil"/>
            </w:tcBorders>
            <w:noWrap w:val="0"/>
            <w:vAlign w:val="center"/>
          </w:tcPr>
          <w:p w14:paraId="21CC4D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19610CF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30A34C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3FD5B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A6AF73B">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521" w:type="dxa"/>
            <w:tcBorders>
              <w:tl2br w:val="nil"/>
              <w:tr2bl w:val="nil"/>
            </w:tcBorders>
            <w:noWrap w:val="0"/>
            <w:vAlign w:val="center"/>
          </w:tcPr>
          <w:p w14:paraId="0691CF7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小绳扣</w:t>
            </w:r>
          </w:p>
        </w:tc>
        <w:tc>
          <w:tcPr>
            <w:tcW w:w="2550" w:type="dxa"/>
            <w:tcBorders>
              <w:tl2br w:val="nil"/>
              <w:tr2bl w:val="nil"/>
            </w:tcBorders>
            <w:noWrap w:val="0"/>
            <w:vAlign w:val="center"/>
          </w:tcPr>
          <w:p w14:paraId="27C761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（1（2m</w:t>
            </w:r>
          </w:p>
        </w:tc>
        <w:tc>
          <w:tcPr>
            <w:tcW w:w="786" w:type="dxa"/>
            <w:tcBorders>
              <w:tl2br w:val="nil"/>
              <w:tr2bl w:val="nil"/>
            </w:tcBorders>
            <w:noWrap w:val="0"/>
            <w:vAlign w:val="center"/>
          </w:tcPr>
          <w:p w14:paraId="6CD1C9B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2B37C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4832522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bl>
    <w:p w14:paraId="02C1B4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w:t>
      </w:r>
      <w:r>
        <w:rPr>
          <w:rFonts w:hint="eastAsia" w:ascii="仿宋" w:hAnsi="仿宋" w:eastAsia="仿宋" w:cs="仿宋"/>
          <w:color w:val="000000"/>
          <w:sz w:val="21"/>
          <w:szCs w:val="21"/>
          <w:highlight w:val="none"/>
        </w:rPr>
        <w:t>施工机械、机具进行检修，保证运转良好；做好易损、易坏件的备品工作；机械、机具有关的负荷实验、计量鉴定证书、使用证、能力鉴定等资料应齐全。</w:t>
      </w:r>
    </w:p>
    <w:p w14:paraId="254BABF6">
      <w:pPr>
        <w:pStyle w:val="15"/>
        <w:spacing w:line="360" w:lineRule="auto"/>
        <w:ind w:firstLine="0" w:firstLineChars="0"/>
        <w:jc w:val="cente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安装安全器具</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21"/>
        <w:gridCol w:w="2408"/>
        <w:gridCol w:w="2127"/>
        <w:gridCol w:w="1560"/>
        <w:gridCol w:w="1522"/>
      </w:tblGrid>
      <w:tr w14:paraId="0E2835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shd w:val="clear" w:color="auto" w:fill="DAE3F3" w:themeFill="accent5" w:themeFillTint="32"/>
            <w:noWrap w:val="0"/>
            <w:vAlign w:val="center"/>
          </w:tcPr>
          <w:p w14:paraId="79B083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2408" w:type="dxa"/>
            <w:tcBorders>
              <w:tl2br w:val="nil"/>
              <w:tr2bl w:val="nil"/>
            </w:tcBorders>
            <w:shd w:val="clear" w:color="auto" w:fill="DAE3F3" w:themeFill="accent5" w:themeFillTint="32"/>
            <w:noWrap w:val="0"/>
            <w:vAlign w:val="center"/>
          </w:tcPr>
          <w:p w14:paraId="452AE7B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  称</w:t>
            </w:r>
          </w:p>
        </w:tc>
        <w:tc>
          <w:tcPr>
            <w:tcW w:w="2127" w:type="dxa"/>
            <w:tcBorders>
              <w:tl2br w:val="nil"/>
              <w:tr2bl w:val="nil"/>
            </w:tcBorders>
            <w:shd w:val="clear" w:color="auto" w:fill="DAE3F3" w:themeFill="accent5" w:themeFillTint="32"/>
            <w:noWrap w:val="0"/>
            <w:vAlign w:val="center"/>
          </w:tcPr>
          <w:p w14:paraId="426F995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  格</w:t>
            </w:r>
          </w:p>
        </w:tc>
        <w:tc>
          <w:tcPr>
            <w:tcW w:w="1560" w:type="dxa"/>
            <w:tcBorders>
              <w:tl2br w:val="nil"/>
              <w:tr2bl w:val="nil"/>
            </w:tcBorders>
            <w:shd w:val="clear" w:color="auto" w:fill="DAE3F3" w:themeFill="accent5" w:themeFillTint="32"/>
            <w:noWrap w:val="0"/>
            <w:vAlign w:val="center"/>
          </w:tcPr>
          <w:p w14:paraId="20DA9D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522" w:type="dxa"/>
            <w:tcBorders>
              <w:tl2br w:val="nil"/>
              <w:tr2bl w:val="nil"/>
            </w:tcBorders>
            <w:shd w:val="clear" w:color="auto" w:fill="DAE3F3" w:themeFill="accent5" w:themeFillTint="32"/>
            <w:noWrap w:val="0"/>
            <w:vAlign w:val="center"/>
          </w:tcPr>
          <w:p w14:paraId="4EB9D2C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数量</w:t>
            </w:r>
          </w:p>
        </w:tc>
      </w:tr>
      <w:tr w14:paraId="083EE4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AE160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408" w:type="dxa"/>
            <w:tcBorders>
              <w:tl2br w:val="nil"/>
              <w:tr2bl w:val="nil"/>
            </w:tcBorders>
            <w:noWrap w:val="0"/>
            <w:vAlign w:val="center"/>
          </w:tcPr>
          <w:p w14:paraId="7362A07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安全带</w:t>
            </w:r>
          </w:p>
        </w:tc>
        <w:tc>
          <w:tcPr>
            <w:tcW w:w="2127" w:type="dxa"/>
            <w:tcBorders>
              <w:tl2br w:val="nil"/>
              <w:tr2bl w:val="nil"/>
            </w:tcBorders>
            <w:noWrap w:val="0"/>
            <w:vAlign w:val="center"/>
          </w:tcPr>
          <w:p w14:paraId="3A8652E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15AB0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条</w:t>
            </w:r>
          </w:p>
        </w:tc>
        <w:tc>
          <w:tcPr>
            <w:tcW w:w="1522" w:type="dxa"/>
            <w:tcBorders>
              <w:tl2br w:val="nil"/>
              <w:tr2bl w:val="nil"/>
            </w:tcBorders>
            <w:noWrap w:val="0"/>
            <w:vAlign w:val="center"/>
          </w:tcPr>
          <w:p w14:paraId="6F7743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A199A7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59C521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408" w:type="dxa"/>
            <w:tcBorders>
              <w:tl2br w:val="nil"/>
              <w:tr2bl w:val="nil"/>
            </w:tcBorders>
            <w:noWrap w:val="0"/>
            <w:vAlign w:val="center"/>
          </w:tcPr>
          <w:p w14:paraId="3A8177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工具袋</w:t>
            </w:r>
          </w:p>
        </w:tc>
        <w:tc>
          <w:tcPr>
            <w:tcW w:w="2127" w:type="dxa"/>
            <w:tcBorders>
              <w:tl2br w:val="nil"/>
              <w:tr2bl w:val="nil"/>
            </w:tcBorders>
            <w:noWrap w:val="0"/>
            <w:vAlign w:val="center"/>
          </w:tcPr>
          <w:p w14:paraId="19EC5A3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5E5E6D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7F3558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4EE920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7FEB24A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408" w:type="dxa"/>
            <w:tcBorders>
              <w:tl2br w:val="nil"/>
              <w:tr2bl w:val="nil"/>
            </w:tcBorders>
            <w:noWrap w:val="0"/>
            <w:vAlign w:val="center"/>
          </w:tcPr>
          <w:p w14:paraId="1E6E030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安全帽</w:t>
            </w:r>
          </w:p>
        </w:tc>
        <w:tc>
          <w:tcPr>
            <w:tcW w:w="2127" w:type="dxa"/>
            <w:tcBorders>
              <w:tl2br w:val="nil"/>
              <w:tr2bl w:val="nil"/>
            </w:tcBorders>
            <w:noWrap w:val="0"/>
            <w:vAlign w:val="center"/>
          </w:tcPr>
          <w:p w14:paraId="562B887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189D08E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BE756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1FAB295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E0B776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2408" w:type="dxa"/>
            <w:tcBorders>
              <w:tl2br w:val="nil"/>
              <w:tr2bl w:val="nil"/>
            </w:tcBorders>
            <w:noWrap w:val="0"/>
            <w:vAlign w:val="center"/>
          </w:tcPr>
          <w:p w14:paraId="2D7B19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防滑鞋</w:t>
            </w:r>
          </w:p>
        </w:tc>
        <w:tc>
          <w:tcPr>
            <w:tcW w:w="2127" w:type="dxa"/>
            <w:tcBorders>
              <w:tl2br w:val="nil"/>
              <w:tr2bl w:val="nil"/>
            </w:tcBorders>
            <w:noWrap w:val="0"/>
            <w:vAlign w:val="center"/>
          </w:tcPr>
          <w:p w14:paraId="75E384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85594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44612C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5BB573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6F897BC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2408" w:type="dxa"/>
            <w:tcBorders>
              <w:tl2br w:val="nil"/>
              <w:tr2bl w:val="nil"/>
            </w:tcBorders>
            <w:noWrap w:val="0"/>
            <w:vAlign w:val="center"/>
          </w:tcPr>
          <w:p w14:paraId="31CFBD5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手套</w:t>
            </w:r>
          </w:p>
        </w:tc>
        <w:tc>
          <w:tcPr>
            <w:tcW w:w="2127" w:type="dxa"/>
            <w:tcBorders>
              <w:tl2br w:val="nil"/>
              <w:tr2bl w:val="nil"/>
            </w:tcBorders>
            <w:noWrap w:val="0"/>
            <w:vAlign w:val="center"/>
          </w:tcPr>
          <w:p w14:paraId="4A2170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3B39B6B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779AA3D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r>
      <w:tr w14:paraId="4888A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3A78EA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2408" w:type="dxa"/>
            <w:tcBorders>
              <w:tl2br w:val="nil"/>
              <w:tr2bl w:val="nil"/>
            </w:tcBorders>
            <w:noWrap w:val="0"/>
            <w:vAlign w:val="center"/>
          </w:tcPr>
          <w:p w14:paraId="468EAD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对讲机（口哨）</w:t>
            </w:r>
          </w:p>
        </w:tc>
        <w:tc>
          <w:tcPr>
            <w:tcW w:w="2127" w:type="dxa"/>
            <w:tcBorders>
              <w:tl2br w:val="nil"/>
              <w:tr2bl w:val="nil"/>
            </w:tcBorders>
            <w:noWrap w:val="0"/>
            <w:vAlign w:val="center"/>
          </w:tcPr>
          <w:p w14:paraId="495EB5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21FA60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61CE62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r>
    </w:tbl>
    <w:p w14:paraId="2323C993">
      <w:pPr>
        <w:pStyle w:val="3"/>
        <w:bidi w:val="0"/>
        <w:ind w:left="575" w:leftChars="0" w:hanging="575" w:firstLineChars="0"/>
        <w:rPr>
          <w:rFonts w:hint="default"/>
          <w:lang w:val="en-US" w:eastAsia="zh-CN"/>
        </w:rPr>
      </w:pPr>
      <w:bookmarkStart w:id="138" w:name="_Toc30493"/>
      <w:bookmarkStart w:id="139" w:name="_Toc16523"/>
      <w:r>
        <w:rPr>
          <w:rFonts w:hint="eastAsia"/>
          <w:lang w:val="en-US" w:eastAsia="zh-CN"/>
        </w:rPr>
        <w:t>施工</w:t>
      </w:r>
      <w:r>
        <w:rPr>
          <w:rFonts w:hint="eastAsia"/>
        </w:rPr>
        <w:t>材料</w:t>
      </w:r>
      <w:r>
        <w:rPr>
          <w:rFonts w:hint="eastAsia"/>
          <w:lang w:val="en-US" w:eastAsia="zh-CN"/>
        </w:rPr>
        <w:t>与安全工机具</w:t>
      </w:r>
      <w:bookmarkEnd w:id="136"/>
      <w:bookmarkEnd w:id="137"/>
      <w:bookmarkEnd w:id="138"/>
      <w:bookmarkEnd w:id="139"/>
    </w:p>
    <w:bookmarkEnd w:id="121"/>
    <w:p w14:paraId="5951855E">
      <w:pPr>
        <w:ind w:firstLine="480"/>
        <w:rPr>
          <w:highlight w:val="none"/>
        </w:rPr>
      </w:pPr>
      <w:bookmarkStart w:id="140" w:name="_Toc10409791"/>
      <w:r>
        <w:rPr>
          <w:rFonts w:hint="eastAsia"/>
          <w:highlight w:val="none"/>
        </w:rPr>
        <w:t>工程材料根据</w:t>
      </w:r>
      <w:r>
        <w:rPr>
          <w:rFonts w:hint="eastAsia"/>
          <w:highlight w:val="none"/>
          <w:lang w:val="en-US" w:eastAsia="zh-CN"/>
        </w:rPr>
        <w:t>工</w:t>
      </w:r>
      <w:r>
        <w:rPr>
          <w:rFonts w:hint="eastAsia"/>
          <w:highlight w:val="none"/>
        </w:rPr>
        <w:t>期要求，结合施工进度，在保证原材质量的前提下，所有工程材料满足业主及施工现场进度要求。</w:t>
      </w:r>
    </w:p>
    <w:p w14:paraId="67EAE5FD">
      <w:pPr>
        <w:ind w:firstLine="480"/>
        <w:rPr>
          <w:highlight w:val="none"/>
        </w:rPr>
      </w:pPr>
      <w:r>
        <w:rPr>
          <w:rFonts w:hint="eastAsia"/>
          <w:highlight w:val="none"/>
        </w:rPr>
        <w:t>水泥、钢材</w:t>
      </w:r>
      <w:r>
        <w:rPr>
          <w:rFonts w:hint="eastAsia"/>
          <w:highlight w:val="none"/>
          <w:lang w:val="en-US" w:eastAsia="zh-CN"/>
        </w:rPr>
        <w:t>等</w:t>
      </w:r>
      <w:r>
        <w:rPr>
          <w:rFonts w:hint="eastAsia"/>
          <w:highlight w:val="none"/>
        </w:rPr>
        <w:t>主材由业主方提供。</w:t>
      </w:r>
    </w:p>
    <w:p w14:paraId="04C2E8F3">
      <w:pPr>
        <w:ind w:firstLine="480"/>
        <w:rPr>
          <w:highlight w:val="none"/>
        </w:rPr>
      </w:pPr>
      <w:r>
        <w:rPr>
          <w:rFonts w:hint="eastAsia"/>
          <w:highlight w:val="none"/>
        </w:rPr>
        <w:t>项目通过自建拌合站专门负责供应混凝土，其生产能力及运输能力均能满足施工需求。</w:t>
      </w:r>
    </w:p>
    <w:p w14:paraId="03560A63">
      <w:pPr>
        <w:ind w:firstLine="480"/>
        <w:rPr>
          <w:rFonts w:hint="eastAsia"/>
          <w:highlight w:val="none"/>
        </w:rPr>
      </w:pPr>
      <w:r>
        <w:rPr>
          <w:rFonts w:hint="eastAsia"/>
          <w:highlight w:val="none"/>
        </w:rPr>
        <w:t>由项目部出资购买的材料及甲供材料，现场技术员均应按制度规定提前向物设部报备，其他施工辅材由现场技术员督促协作单位购买进场。</w:t>
      </w:r>
    </w:p>
    <w:p w14:paraId="3E3B6664">
      <w:pPr>
        <w:pStyle w:val="15"/>
        <w:spacing w:line="360" w:lineRule="auto"/>
        <w:ind w:firstLine="0" w:firstLineChars="0"/>
        <w:jc w:val="center"/>
        <w:rPr>
          <w:rFonts w:hint="default"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.4</w:t>
      </w:r>
      <w:r>
        <w:rPr>
          <w:highlight w:val="none"/>
        </w:rPr>
        <w:t>-</w:t>
      </w:r>
      <w:r>
        <w:rPr>
          <w:rFonts w:hint="eastAsia"/>
          <w:highlight w:val="none"/>
          <w:lang w:val="en-US" w:eastAsia="zh-CN"/>
        </w:rPr>
        <w:t>1每台</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基础材料用量表</w:t>
      </w:r>
    </w:p>
    <w:tbl>
      <w:tblPr>
        <w:tblStyle w:val="30"/>
        <w:tblW w:w="0" w:type="auto"/>
        <w:jc w:val="center"/>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382"/>
        <w:gridCol w:w="1382"/>
        <w:gridCol w:w="1382"/>
        <w:gridCol w:w="1382"/>
        <w:gridCol w:w="1382"/>
        <w:gridCol w:w="1594"/>
      </w:tblGrid>
      <w:tr w14:paraId="3529CAF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tblHeader/>
          <w:jc w:val="center"/>
        </w:trPr>
        <w:tc>
          <w:tcPr>
            <w:tcW w:w="1382" w:type="dxa"/>
            <w:tcBorders>
              <w:top w:val="doub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49B3D1B">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序号</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80BE9A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名称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23B723F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规格</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71B869B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根数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41B35144">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单位</w:t>
            </w:r>
          </w:p>
        </w:tc>
        <w:tc>
          <w:tcPr>
            <w:tcW w:w="1594" w:type="dxa"/>
            <w:tcBorders>
              <w:top w:val="doub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shd w:val="clear" w:color="auto" w:fill="DAE3F3" w:themeFill="accent5" w:themeFillTint="32"/>
            <w:noWrap/>
            <w:tcMar>
              <w:top w:w="15" w:type="dxa"/>
              <w:left w:w="15" w:type="dxa"/>
              <w:right w:w="15" w:type="dxa"/>
            </w:tcMar>
            <w:vAlign w:val="center"/>
          </w:tcPr>
          <w:p w14:paraId="0C748B9D">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数量</w:t>
            </w:r>
          </w:p>
        </w:tc>
      </w:tr>
      <w:tr w14:paraId="04E6B44B">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5B52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0F694D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5DBA7D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811CDE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12B437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531E99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64@1500mm</w:t>
            </w:r>
          </w:p>
        </w:tc>
      </w:tr>
      <w:tr w14:paraId="27C3B58C">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CD76FB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8731FB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4D2736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708E6D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00EA5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86B0E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64@1500mm</w:t>
            </w:r>
          </w:p>
        </w:tc>
      </w:tr>
      <w:tr w14:paraId="08379C4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4703B8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3</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BFD837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Φ25圆钢</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711D3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Q235B</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DF5FC6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843839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C550EB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r>
      <w:tr w14:paraId="55F4CD4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4C49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BCC290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Φ12钢筋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A8A7A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C87CC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80E373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D8090AB">
            <w:pPr>
              <w:keepNext w:val="0"/>
              <w:keepLines w:val="0"/>
              <w:widowControl/>
              <w:suppressLineNumbers w:val="0"/>
              <w:spacing w:line="240" w:lineRule="auto"/>
              <w:ind w:firstLine="0" w:firstLineChars="0"/>
              <w:jc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256@300mm</w:t>
            </w:r>
          </w:p>
        </w:tc>
      </w:tr>
      <w:tr w14:paraId="61B7DAA2">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B39799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880B7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水泥</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0C226D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P4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DA2F28D">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4FAA4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21CE01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w:t>
            </w:r>
          </w:p>
        </w:tc>
      </w:tr>
      <w:tr w14:paraId="10321D19">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9D06F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003D2D">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砂</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6C84E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2123C16">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FF19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2F1B72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52E68D7D">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4947B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7</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76147F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碎石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BC587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7AFE5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F13641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B606D5B">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37413FF8">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0279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FC75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接地杆</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EAA4514">
            <w:pPr>
              <w:spacing w:line="240" w:lineRule="auto"/>
              <w:ind w:firstLine="0" w:firstLineChars="0"/>
              <w:jc w:val="center"/>
              <w:rPr>
                <w:rFonts w:hint="eastAsia" w:ascii="仿宋" w:hAnsi="仿宋" w:eastAsia="仿宋" w:cs="仿宋"/>
                <w:i w:val="0"/>
                <w:color w:val="000000"/>
                <w:sz w:val="21"/>
                <w:szCs w:val="21"/>
                <w:highlight w:val="none"/>
                <w:u w:val="none"/>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DB8A368">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98CD5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7E2F602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p>
        </w:tc>
      </w:tr>
      <w:tr w14:paraId="6201DCB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59295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9</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8BE13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锚栓</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626B4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M12*40-8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4B55B20">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887BA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88691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r>
      <w:tr w14:paraId="01658BDE">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A7D49D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0A6C9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螺母</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6B70E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52DDC3E">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9607E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136536D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r>
      <w:tr w14:paraId="2F690EF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F72BBB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EDB24F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枕木</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12A48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20987C4">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17039C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358268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16</w:t>
            </w:r>
          </w:p>
        </w:tc>
      </w:tr>
      <w:tr w14:paraId="3B2A976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60584D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241DFB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麻绳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4FC926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F51AF4B">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91061B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9FD43C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50</w:t>
            </w:r>
          </w:p>
        </w:tc>
      </w:tr>
      <w:tr w14:paraId="0C6D0D66">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0EDE758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13</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212B544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预埋螺栓</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43399A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M48-1350</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7F63453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24</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606944F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double" w:color="2F5496" w:themeColor="accent5" w:themeShade="BF" w:sz="4" w:space="0"/>
              <w:right w:val="double" w:color="2F5496" w:themeColor="accent5" w:themeShade="BF" w:sz="4" w:space="0"/>
            </w:tcBorders>
            <w:noWrap/>
            <w:tcMar>
              <w:top w:w="15" w:type="dxa"/>
              <w:left w:w="15" w:type="dxa"/>
              <w:right w:w="15" w:type="dxa"/>
            </w:tcMar>
            <w:vAlign w:val="center"/>
          </w:tcPr>
          <w:p w14:paraId="151E691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24</w:t>
            </w:r>
          </w:p>
        </w:tc>
      </w:tr>
    </w:tbl>
    <w:p w14:paraId="73CCDFC3">
      <w:pPr>
        <w:adjustRightInd w:val="0"/>
        <w:snapToGrid w:val="0"/>
        <w:spacing w:line="360" w:lineRule="auto"/>
        <w:rPr>
          <w:rFonts w:ascii="宋体" w:hAnsi="宋体" w:eastAsia="宋体"/>
          <w:snapToGrid w:val="0"/>
          <w:kern w:val="0"/>
          <w:sz w:val="24"/>
          <w:szCs w:val="20"/>
          <w:highlight w:val="none"/>
        </w:rPr>
      </w:pPr>
      <w:r>
        <w:rPr>
          <w:rFonts w:hint="eastAsia" w:ascii="宋体" w:hAnsi="宋体" w:eastAsia="宋体"/>
          <w:snapToGrid w:val="0"/>
          <w:kern w:val="0"/>
          <w:sz w:val="24"/>
          <w:szCs w:val="20"/>
          <w:highlight w:val="none"/>
        </w:rPr>
        <w:br w:type="page"/>
      </w:r>
    </w:p>
    <w:p w14:paraId="208E5FBD">
      <w:pPr>
        <w:pStyle w:val="2"/>
        <w:bidi w:val="0"/>
        <w:ind w:left="432" w:leftChars="0" w:hanging="432" w:firstLineChars="0"/>
        <w:rPr>
          <w:rFonts w:hint="eastAsia"/>
        </w:rPr>
      </w:pPr>
      <w:bookmarkStart w:id="141" w:name="_Toc42642293"/>
      <w:bookmarkEnd w:id="141"/>
      <w:bookmarkStart w:id="142" w:name="_Toc42641835"/>
      <w:bookmarkEnd w:id="142"/>
      <w:bookmarkStart w:id="143" w:name="_Toc42642294"/>
      <w:bookmarkEnd w:id="143"/>
      <w:bookmarkStart w:id="144" w:name="_Toc42642006"/>
      <w:bookmarkEnd w:id="144"/>
      <w:bookmarkStart w:id="145" w:name="_Toc42641834"/>
      <w:bookmarkEnd w:id="145"/>
      <w:bookmarkStart w:id="146" w:name="_Toc42642007"/>
      <w:bookmarkEnd w:id="146"/>
      <w:bookmarkStart w:id="147" w:name="_Toc3445"/>
      <w:bookmarkStart w:id="148" w:name="_Toc30301"/>
      <w:bookmarkStart w:id="149" w:name="_Toc379"/>
      <w:r>
        <w:rPr>
          <w:rFonts w:hint="eastAsia"/>
        </w:rPr>
        <w:t>施工工艺</w:t>
      </w:r>
      <w:bookmarkEnd w:id="140"/>
      <w:bookmarkEnd w:id="147"/>
      <w:bookmarkEnd w:id="148"/>
      <w:bookmarkEnd w:id="149"/>
    </w:p>
    <w:p w14:paraId="6C14B36A">
      <w:pPr>
        <w:pStyle w:val="3"/>
        <w:bidi w:val="0"/>
        <w:ind w:left="575" w:leftChars="0" w:hanging="575" w:firstLineChars="0"/>
      </w:pPr>
      <w:bookmarkStart w:id="150" w:name="_Toc12984"/>
      <w:bookmarkStart w:id="151" w:name="_Toc32434"/>
      <w:bookmarkStart w:id="152" w:name="_Toc22706"/>
      <w:bookmarkStart w:id="153" w:name="_Toc23545"/>
      <w:bookmarkStart w:id="154" w:name="_Toc21345"/>
      <w:bookmarkStart w:id="155" w:name="_Toc10409792"/>
      <w:r>
        <w:rPr>
          <w:rFonts w:hint="eastAsia"/>
        </w:rPr>
        <w:t>塔机安装施工工艺流程</w:t>
      </w:r>
      <w:bookmarkEnd w:id="150"/>
      <w:bookmarkEnd w:id="151"/>
      <w:bookmarkEnd w:id="152"/>
    </w:p>
    <w:p w14:paraId="23C8ADF6">
      <w:pPr>
        <w:bidi w:val="0"/>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安装主要包括基础施工、部件组装、部件吊装</w:t>
      </w:r>
      <w:r>
        <w:rPr>
          <w:rFonts w:hint="eastAsia"/>
          <w:highlight w:val="none"/>
          <w:lang w:val="en-US" w:eastAsia="zh-CN"/>
        </w:rPr>
        <w:t>、</w:t>
      </w:r>
      <w:r>
        <w:rPr>
          <w:rFonts w:hint="default"/>
          <w:highlight w:val="none"/>
          <w:lang w:val="en-US" w:eastAsia="zh-CN"/>
        </w:rPr>
        <w:t>顶升、调试等。</w:t>
      </w:r>
      <w:r>
        <w:rPr>
          <w:rFonts w:hint="eastAsia"/>
          <w:highlight w:val="none"/>
          <w:lang w:val="en-US" w:eastAsia="zh-CN"/>
        </w:rPr>
        <w:t>XGT7525-16塔机</w:t>
      </w:r>
      <w:r>
        <w:rPr>
          <w:rFonts w:hint="default"/>
          <w:highlight w:val="none"/>
          <w:lang w:val="en-US" w:eastAsia="zh-CN"/>
        </w:rPr>
        <w:t>安装工艺流程如下：</w:t>
      </w:r>
    </w:p>
    <w:p w14:paraId="796177A9">
      <w:pPr>
        <w:spacing w:line="360" w:lineRule="auto"/>
        <w:ind w:firstLine="480" w:firstLineChars="200"/>
        <w:rPr>
          <w:rFonts w:hint="default"/>
          <w:highlight w:val="none"/>
          <w:lang w:val="en-US" w:eastAsia="zh-CN"/>
        </w:rPr>
      </w:pPr>
      <w:r>
        <w:rPr>
          <w:rFonts w:hint="eastAsia"/>
          <w:highlight w:val="none"/>
          <w:lang w:val="en-US" w:eastAsia="zh-CN"/>
        </w:rPr>
        <w:t>安装基础节→安装爬升架→安装特殊节、回转支承单元→司机室安装→安装平衡臂臂节一和起重臂臂节一→安装平衡臂、平衡臂拉杆→安装一块3.64t平衡重→安装剩余起重臂→安装剩余平衡重→穿绕牵引、起升钢丝绳→塔机试运行</w:t>
      </w:r>
    </w:p>
    <w:p w14:paraId="6656207A">
      <w:pPr>
        <w:pStyle w:val="3"/>
        <w:bidi w:val="0"/>
        <w:ind w:left="575" w:leftChars="0" w:hanging="575" w:firstLineChars="0"/>
        <w:rPr>
          <w:rFonts w:hint="default"/>
          <w:lang w:val="en-US" w:eastAsia="zh-CN"/>
        </w:rPr>
      </w:pPr>
      <w:bookmarkStart w:id="156" w:name="_Toc31241"/>
      <w:r>
        <w:rPr>
          <w:rFonts w:hint="eastAsia"/>
          <w:lang w:val="en-US" w:eastAsia="zh-CN"/>
        </w:rPr>
        <w:t>主要设备选型</w:t>
      </w:r>
      <w:bookmarkEnd w:id="153"/>
      <w:bookmarkEnd w:id="154"/>
      <w:bookmarkEnd w:id="156"/>
    </w:p>
    <w:p w14:paraId="0BA286F2">
      <w:pPr>
        <w:pStyle w:val="4"/>
        <w:bidi w:val="0"/>
        <w:ind w:left="720" w:leftChars="0" w:hanging="720" w:firstLineChars="0"/>
      </w:pPr>
      <w:r>
        <w:rPr>
          <w:rFonts w:hint="eastAsia"/>
        </w:rPr>
        <w:t>辅助起重设备选型</w:t>
      </w:r>
    </w:p>
    <w:p w14:paraId="1DE3A4A1">
      <w:pPr>
        <w:bidi w:val="0"/>
        <w:ind w:firstLine="480" w:firstLineChars="200"/>
        <w:rPr>
          <w:rFonts w:hint="default" w:eastAsia="宋体"/>
          <w:highlight w:val="none"/>
          <w:lang w:val="en-US" w:eastAsia="zh-CN"/>
        </w:rPr>
      </w:pPr>
      <w:r>
        <w:rPr>
          <w:rFonts w:hint="eastAsia"/>
          <w:highlight w:val="none"/>
          <w:lang w:val="en-US" w:eastAsia="zh-CN"/>
        </w:rPr>
        <w:t>结合XGT7525-16</w:t>
      </w:r>
      <w:r>
        <w:rPr>
          <w:rFonts w:hint="default"/>
          <w:highlight w:val="none"/>
          <w:lang w:val="en-US" w:eastAsia="zh-CN"/>
        </w:rPr>
        <w:t>塔吊</w:t>
      </w:r>
      <w:r>
        <w:rPr>
          <w:rFonts w:hint="eastAsia"/>
          <w:highlight w:val="none"/>
          <w:lang w:val="en-US" w:eastAsia="zh-CN"/>
        </w:rPr>
        <w:t>主要部件重量，</w:t>
      </w:r>
      <w:r>
        <w:rPr>
          <w:rFonts w:hint="default"/>
          <w:highlight w:val="none"/>
          <w:lang w:val="en-US" w:eastAsia="zh-CN"/>
        </w:rPr>
        <w:t>选用一台</w:t>
      </w:r>
      <w:r>
        <w:rPr>
          <w:rFonts w:hint="eastAsia"/>
          <w:highlight w:val="none"/>
          <w:lang w:val="en-US" w:eastAsia="zh-CN"/>
        </w:rPr>
        <w:t>STC500C5-8型</w:t>
      </w:r>
      <w:r>
        <w:rPr>
          <w:rFonts w:hint="default"/>
          <w:highlight w:val="none"/>
          <w:lang w:val="en-US" w:eastAsia="zh-CN"/>
        </w:rPr>
        <w:t>汽车吊进行塔吊部件组装</w:t>
      </w:r>
      <w:r>
        <w:rPr>
          <w:rFonts w:hint="eastAsia"/>
          <w:highlight w:val="none"/>
          <w:lang w:val="en-US" w:eastAsia="zh-CN"/>
        </w:rPr>
        <w:t>、</w:t>
      </w:r>
      <w:r>
        <w:rPr>
          <w:rFonts w:hint="default"/>
          <w:highlight w:val="none"/>
          <w:lang w:val="en-US" w:eastAsia="zh-CN"/>
        </w:rPr>
        <w:t>吊装</w:t>
      </w:r>
      <w:r>
        <w:rPr>
          <w:rFonts w:hint="eastAsia"/>
          <w:highlight w:val="none"/>
          <w:lang w:val="en-US" w:eastAsia="zh-CN"/>
        </w:rPr>
        <w:t>作业</w:t>
      </w:r>
      <w:r>
        <w:rPr>
          <w:rFonts w:hint="default"/>
          <w:highlight w:val="none"/>
          <w:lang w:val="en-US" w:eastAsia="zh-CN"/>
        </w:rPr>
        <w:t>，工作半径</w:t>
      </w:r>
      <w:r>
        <w:rPr>
          <w:rFonts w:hint="eastAsia"/>
          <w:highlight w:val="none"/>
          <w:lang w:val="en-US" w:eastAsia="zh-CN"/>
        </w:rPr>
        <w:t>16</w:t>
      </w:r>
      <w:r>
        <w:rPr>
          <w:rFonts w:hint="default"/>
          <w:highlight w:val="none"/>
          <w:lang w:val="en-US" w:eastAsia="zh-CN"/>
        </w:rPr>
        <w:t>米</w:t>
      </w:r>
      <w:r>
        <w:rPr>
          <w:rFonts w:hint="eastAsia"/>
          <w:highlight w:val="none"/>
          <w:lang w:val="en-US" w:eastAsia="zh-CN"/>
        </w:rPr>
        <w:t>，允许吊重7.9t＞5.835t(爬升架)</w:t>
      </w:r>
      <w:r>
        <w:rPr>
          <w:rFonts w:hint="default"/>
          <w:highlight w:val="none"/>
          <w:lang w:val="en-US" w:eastAsia="zh-CN"/>
        </w:rPr>
        <w:t>满足使用要求。</w:t>
      </w:r>
      <w:r>
        <w:rPr>
          <w:rFonts w:hint="eastAsia"/>
          <w:highlight w:val="none"/>
          <w:lang w:val="en-US" w:eastAsia="zh-CN"/>
        </w:rPr>
        <w:t>施工场地</w:t>
      </w:r>
      <w:r>
        <w:rPr>
          <w:rFonts w:hint="eastAsia"/>
          <w:highlight w:val="none"/>
        </w:rPr>
        <w:t>局部冲沟发育</w:t>
      </w:r>
      <w:r>
        <w:rPr>
          <w:rFonts w:hint="eastAsia"/>
          <w:highlight w:val="none"/>
          <w:lang w:eastAsia="zh-CN"/>
        </w:rPr>
        <w:t>，</w:t>
      </w:r>
      <w:r>
        <w:rPr>
          <w:rFonts w:hint="eastAsia"/>
          <w:highlight w:val="none"/>
          <w:lang w:val="en-US" w:eastAsia="zh-CN"/>
        </w:rPr>
        <w:t>原地面经过清表后</w:t>
      </w:r>
      <w:r>
        <w:rPr>
          <w:rFonts w:hint="eastAsia"/>
          <w:highlight w:val="none"/>
        </w:rPr>
        <w:t>上层杂填土、素填土已清理出场,现阶段场区内</w:t>
      </w:r>
      <w:r>
        <w:rPr>
          <w:rFonts w:hint="eastAsia"/>
          <w:highlight w:val="none"/>
          <w:lang w:val="en-US" w:eastAsia="zh-CN"/>
        </w:rPr>
        <w:t>基本采用片石、碎石土回填完善，</w:t>
      </w:r>
      <w:r>
        <w:rPr>
          <w:rFonts w:hint="eastAsia"/>
          <w:highlight w:val="none"/>
        </w:rPr>
        <w:t>地基土承载力</w:t>
      </w:r>
      <w:r>
        <w:rPr>
          <w:rFonts w:hint="eastAsia"/>
          <w:highlight w:val="none"/>
          <w:lang w:val="en-US" w:eastAsia="zh-CN"/>
        </w:rPr>
        <w:t>不低于</w:t>
      </w:r>
      <w:r>
        <w:rPr>
          <w:rFonts w:hint="eastAsia"/>
          <w:highlight w:val="none"/>
        </w:rPr>
        <w:t>150kpa</w:t>
      </w:r>
      <w:r>
        <w:rPr>
          <w:rFonts w:hint="eastAsia"/>
          <w:highlight w:val="none"/>
          <w:lang w:eastAsia="zh-CN"/>
        </w:rPr>
        <w:t>，</w:t>
      </w:r>
      <w:r>
        <w:rPr>
          <w:rFonts w:hint="eastAsia" w:ascii="宋体" w:hAnsi="宋体" w:eastAsia="宋体" w:cs="Times New Roman"/>
          <w:highlight w:val="none"/>
          <w:lang w:val="en-US" w:eastAsia="zh-CN"/>
        </w:rPr>
        <w:t>符合起重吊装作业要对吊装场地的地基承载力要求。</w:t>
      </w:r>
    </w:p>
    <w:p w14:paraId="2896B872">
      <w:pPr>
        <w:bidi w:val="0"/>
        <w:jc w:val="center"/>
        <w:rPr>
          <w:rFonts w:hint="eastAsia"/>
          <w:highlight w:val="none"/>
          <w:lang w:val="en-US" w:eastAsia="zh-CN"/>
        </w:rPr>
      </w:pPr>
      <w:r>
        <w:rPr>
          <w:highlight w:val="none"/>
        </w:rPr>
        <w:drawing>
          <wp:inline distT="0" distB="0" distL="114300" distR="114300">
            <wp:extent cx="5029835" cy="4096385"/>
            <wp:effectExtent l="0" t="0" r="18415" b="18415"/>
            <wp:docPr id="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9"/>
                    <pic:cNvPicPr>
                      <a:picLocks noChangeAspect="1"/>
                    </pic:cNvPicPr>
                  </pic:nvPicPr>
                  <pic:blipFill>
                    <a:blip r:embed="rId19"/>
                    <a:stretch>
                      <a:fillRect/>
                    </a:stretch>
                  </pic:blipFill>
                  <pic:spPr>
                    <a:xfrm>
                      <a:off x="0" y="0"/>
                      <a:ext cx="5029835" cy="4096385"/>
                    </a:xfrm>
                    <a:prstGeom prst="rect">
                      <a:avLst/>
                    </a:prstGeom>
                    <a:noFill/>
                    <a:ln>
                      <a:noFill/>
                    </a:ln>
                  </pic:spPr>
                </pic:pic>
              </a:graphicData>
            </a:graphic>
          </wp:inline>
        </w:drawing>
      </w:r>
    </w:p>
    <w:p w14:paraId="6DD8A754">
      <w:pPr>
        <w:pStyle w:val="41"/>
        <w:bidi w:val="0"/>
        <w:rPr>
          <w:rFonts w:hint="eastAsia"/>
          <w:highlight w:val="none"/>
          <w:lang w:val="en-US" w:eastAsia="zh-CN"/>
        </w:rPr>
      </w:pPr>
      <w:r>
        <w:rPr>
          <w:highlight w:val="none"/>
        </w:rPr>
        <w:t>图4-</w:t>
      </w:r>
      <w:r>
        <w:rPr>
          <w:rFonts w:hint="eastAsia"/>
          <w:highlight w:val="none"/>
          <w:lang w:val="en-US" w:eastAsia="zh-CN"/>
        </w:rPr>
        <w:t>1 50吨</w:t>
      </w:r>
      <w:r>
        <w:rPr>
          <w:rFonts w:hint="eastAsia"/>
          <w:highlight w:val="none"/>
        </w:rPr>
        <w:t>汽车吊起重量表</w:t>
      </w:r>
    </w:p>
    <w:p w14:paraId="028A4FB4">
      <w:pPr>
        <w:bidi w:val="0"/>
        <w:jc w:val="center"/>
        <w:rPr>
          <w:rFonts w:hint="default" w:eastAsia="宋体"/>
          <w:highlight w:val="none"/>
          <w:lang w:val="en-US" w:eastAsia="zh-CN"/>
        </w:rPr>
      </w:pPr>
      <w:r>
        <w:rPr>
          <w:highlight w:val="none"/>
        </w:rPr>
        <w:drawing>
          <wp:inline distT="0" distB="0" distL="114300" distR="114300">
            <wp:extent cx="5272405" cy="6066790"/>
            <wp:effectExtent l="0" t="0" r="4445" b="10160"/>
            <wp:docPr id="9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8"/>
                    <pic:cNvPicPr>
                      <a:picLocks noChangeAspect="1"/>
                    </pic:cNvPicPr>
                  </pic:nvPicPr>
                  <pic:blipFill>
                    <a:blip r:embed="rId20"/>
                    <a:stretch>
                      <a:fillRect/>
                    </a:stretch>
                  </pic:blipFill>
                  <pic:spPr>
                    <a:xfrm>
                      <a:off x="0" y="0"/>
                      <a:ext cx="5272405" cy="6066790"/>
                    </a:xfrm>
                    <a:prstGeom prst="rect">
                      <a:avLst/>
                    </a:prstGeom>
                    <a:noFill/>
                    <a:ln>
                      <a:noFill/>
                    </a:ln>
                  </pic:spPr>
                </pic:pic>
              </a:graphicData>
            </a:graphic>
          </wp:inline>
        </w:drawing>
      </w:r>
    </w:p>
    <w:p w14:paraId="5A66F51B">
      <w:pPr>
        <w:pStyle w:val="41"/>
        <w:bidi w:val="0"/>
        <w:rPr>
          <w:rFonts w:hint="eastAsia"/>
          <w:highlight w:val="none"/>
          <w:lang w:val="en-US" w:eastAsia="zh-CN"/>
        </w:rPr>
      </w:pPr>
      <w:r>
        <w:rPr>
          <w:highlight w:val="none"/>
        </w:rPr>
        <w:t>图4</w:t>
      </w:r>
      <w:r>
        <w:rPr>
          <w:rFonts w:hint="eastAsia"/>
          <w:highlight w:val="none"/>
          <w:lang w:val="en-US" w:eastAsia="zh-CN"/>
        </w:rPr>
        <w:t>-2 50吨汽车吊起重性能曲线图</w:t>
      </w:r>
    </w:p>
    <w:p w14:paraId="1BEFDEAA">
      <w:pPr>
        <w:pStyle w:val="4"/>
        <w:bidi w:val="0"/>
        <w:ind w:left="720" w:leftChars="0" w:hanging="720" w:firstLineChars="0"/>
        <w:rPr>
          <w:rFonts w:hint="eastAsia"/>
          <w:lang w:val="en-US" w:eastAsia="zh-CN"/>
        </w:rPr>
      </w:pPr>
      <w:r>
        <w:rPr>
          <w:rFonts w:hint="eastAsia"/>
          <w:lang w:val="en-US" w:eastAsia="zh-CN"/>
        </w:rPr>
        <w:t>吊装钢丝绳选型</w:t>
      </w:r>
    </w:p>
    <w:p w14:paraId="062FE3BB">
      <w:pPr>
        <w:rPr>
          <w:color w:val="auto"/>
        </w:rPr>
      </w:pPr>
      <w:r>
        <w:rPr>
          <w:rFonts w:hint="eastAsia"/>
          <w:color w:val="auto"/>
          <w:lang w:val="en-US" w:eastAsia="zh-CN"/>
        </w:rPr>
        <w:t>1、</w:t>
      </w:r>
      <w:r>
        <w:rPr>
          <w:color w:val="auto"/>
        </w:rPr>
        <w:t>钢丝绳选型依据</w:t>
      </w:r>
    </w:p>
    <w:p w14:paraId="0B65EEC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4CFDCF0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70E4A18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52F742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32"/>
        <w:gridCol w:w="7286"/>
      </w:tblGrid>
      <w:tr w14:paraId="38BE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DFC396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73469B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54AD3B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23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0624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38FA6E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15C5BC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DF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49B33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7D49B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6AAC100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——接头形式效能近似系数，压制接头取，插编接头取5；</w:t>
            </w:r>
          </w:p>
        </w:tc>
      </w:tr>
      <w:tr w14:paraId="53C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59EB6D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9FC730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5D391A1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——肢的数量与垂直方向角度的相关系数，两肢吊索取，3～4肢吊索取；</w:t>
            </w:r>
          </w:p>
        </w:tc>
      </w:tr>
      <w:tr w14:paraId="164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86EB9E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7CCC0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2CD336B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D70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C62FB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ED101F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0BCC12F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——质量与力的转换系数，取值为0665。</w:t>
            </w:r>
          </w:p>
        </w:tc>
      </w:tr>
    </w:tbl>
    <w:p w14:paraId="5432BA0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3E64925">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00C7F164">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3253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A3A8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75275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396A7BC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96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dxa"/>
          </w:tcPr>
          <w:p w14:paraId="078179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5583AA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E38C3B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0D2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dxa"/>
          </w:tcPr>
          <w:p w14:paraId="41AF4A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62096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5A871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14E5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AD8CC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9736A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13D543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bookmarkEnd w:id="155"/>
    </w:tbl>
    <w:p w14:paraId="4E89594C">
      <w:pPr>
        <w:ind w:firstLine="480"/>
        <w:rPr>
          <w:rFonts w:ascii="Times New Roman" w:hAnsi="Times New Roman" w:eastAsia="宋体" w:cs="Times New Roman"/>
          <w:highlight w:val="none"/>
        </w:rPr>
      </w:pPr>
      <w:bookmarkStart w:id="157" w:name="_Toc25689"/>
      <w:bookmarkStart w:id="158" w:name="_Toc25257"/>
      <w:r>
        <w:rPr>
          <w:rFonts w:hint="eastAsia" w:ascii="Times New Roman" w:hAnsi="Times New Roman" w:eastAsia="宋体" w:cs="Times New Roman"/>
          <w:highlight w:val="none"/>
        </w:rPr>
        <w:t>采用四点吊的塔吊主要部件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cs="Times New Roman"/>
          <w:highlight w:val="none"/>
          <w:lang w:val="en-US" w:eastAsia="zh-CN"/>
        </w:rPr>
        <w:t>爬升架</w:t>
      </w:r>
      <w:r>
        <w:rPr>
          <w:rFonts w:hint="eastAsia" w:ascii="Times New Roman" w:hAnsi="Times New Roman" w:eastAsia="宋体" w:cs="Times New Roman"/>
          <w:highlight w:val="none"/>
        </w:rPr>
        <w:t>，</w:t>
      </w:r>
      <w:r>
        <w:rPr>
          <w:rFonts w:hint="eastAsia" w:cs="Times New Roman"/>
          <w:highlight w:val="none"/>
          <w:lang w:val="en-US" w:eastAsia="zh-CN"/>
        </w:rPr>
        <w:t>爬升架最大</w:t>
      </w:r>
      <w:r>
        <w:rPr>
          <w:rFonts w:hint="eastAsia" w:ascii="Times New Roman" w:hAnsi="Times New Roman" w:eastAsia="宋体" w:cs="Times New Roman"/>
          <w:highlight w:val="none"/>
        </w:rPr>
        <w:t>重量约</w:t>
      </w:r>
      <w:r>
        <w:rPr>
          <w:rFonts w:hint="eastAsia" w:cs="Times New Roman"/>
          <w:highlight w:val="none"/>
          <w:lang w:val="en-US" w:eastAsia="zh-CN"/>
        </w:rPr>
        <w:t>5.835</w:t>
      </w:r>
      <w:r>
        <w:rPr>
          <w:rFonts w:hint="eastAsia" w:ascii="Times New Roman" w:hAnsi="Times New Roman" w:eastAsia="宋体" w:cs="Times New Roman"/>
          <w:highlight w:val="none"/>
        </w:rPr>
        <w:t>t，钢丝绳与</w:t>
      </w:r>
      <w:r>
        <w:rPr>
          <w:rFonts w:hint="eastAsia" w:cs="Times New Roman"/>
          <w:highlight w:val="none"/>
          <w:lang w:val="en-US" w:eastAsia="zh-CN"/>
        </w:rPr>
        <w:t>爬升架</w:t>
      </w:r>
      <w:r>
        <w:rPr>
          <w:rFonts w:hint="eastAsia" w:ascii="Times New Roman" w:hAnsi="Times New Roman" w:eastAsia="宋体" w:cs="Times New Roman"/>
          <w:highlight w:val="none"/>
        </w:rPr>
        <w:t>60°夹角，以</w:t>
      </w:r>
      <w:r>
        <w:rPr>
          <w:rFonts w:hint="eastAsia" w:cs="Times New Roman"/>
          <w:highlight w:val="none"/>
          <w:lang w:val="en-US" w:eastAsia="zh-CN"/>
        </w:rPr>
        <w:t>爬升架</w:t>
      </w:r>
      <w:r>
        <w:rPr>
          <w:rFonts w:hint="eastAsia" w:ascii="Times New Roman" w:hAnsi="Times New Roman" w:eastAsia="宋体" w:cs="Times New Roman"/>
          <w:highlight w:val="none"/>
        </w:rPr>
        <w:t>顶部四个销轴孔作为吊装孔，钢丝绳采用压制接头。</w:t>
      </w:r>
    </w:p>
    <w:p w14:paraId="7FCC6C33">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5.835</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181.66</m:t>
          </m:r>
          <m:r>
            <m:rPr>
              <m:nor/>
              <m:sty m:val="p"/>
            </m:rPr>
            <w:rPr>
              <w:b w:val="0"/>
              <w:i w:val="0"/>
              <w:highlight w:val="none"/>
            </w:rPr>
            <m:t>kN</m:t>
          </m:r>
        </m:oMath>
      </m:oMathPara>
    </w:p>
    <w:p w14:paraId="6D246934">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181.66</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17.16</m:t>
          </m:r>
          <m:r>
            <m:rPr>
              <m:nor/>
              <m:sty m:val="p"/>
            </m:rPr>
            <w:rPr>
              <w:b w:val="0"/>
              <w:i w:val="0"/>
              <w:highlight w:val="none"/>
            </w:rPr>
            <m:t>mm</m:t>
          </m:r>
        </m:oMath>
      </m:oMathPara>
    </w:p>
    <w:p w14:paraId="5AFB819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φ</w:t>
      </w:r>
      <w:r>
        <w:rPr>
          <w:rFonts w:hint="eastAsia" w:ascii="SJQY" w:hAnsi="SJQY" w:eastAsia="SJQY" w:cs="Times New Roman"/>
          <w:highlight w:val="none"/>
          <w:lang w:val="en-US" w:eastAsia="zh-CN"/>
        </w:rPr>
        <w:t>18</w:t>
      </w:r>
      <w:r>
        <w:rPr>
          <w:rFonts w:hint="eastAsia" w:ascii="Times New Roman" w:hAnsi="Times New Roman" w:eastAsia="宋体" w:cs="Times New Roman"/>
          <w:highlight w:val="none"/>
        </w:rPr>
        <w:t>mm钢丝绳可满足要求。</w:t>
      </w:r>
    </w:p>
    <w:p w14:paraId="32D1DC52">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两</w:t>
      </w:r>
      <w:r>
        <w:rPr>
          <w:rFonts w:hint="eastAsia" w:ascii="Times New Roman" w:hAnsi="Times New Roman" w:eastAsia="宋体" w:cs="Times New Roman"/>
          <w:highlight w:val="none"/>
        </w:rPr>
        <w:t>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平衡重</w:t>
      </w:r>
      <w:r>
        <w:rPr>
          <w:rFonts w:hint="eastAsia" w:ascii="Times New Roman" w:hAnsi="Times New Roman" w:eastAsia="宋体" w:cs="Times New Roman"/>
          <w:highlight w:val="none"/>
        </w:rPr>
        <w:t>最大重量约</w:t>
      </w:r>
      <w:r>
        <w:rPr>
          <w:rFonts w:hint="eastAsia" w:cs="Times New Roman"/>
          <w:highlight w:val="none"/>
          <w:lang w:val="en-US" w:eastAsia="zh-CN"/>
        </w:rPr>
        <w:t>3.64</w:t>
      </w:r>
      <w:r>
        <w:rPr>
          <w:rFonts w:hint="eastAsia" w:ascii="Times New Roman" w:hAnsi="Times New Roman" w:eastAsia="宋体" w:cs="Times New Roman"/>
          <w:highlight w:val="none"/>
        </w:rPr>
        <w:t>t，钢丝绳与</w:t>
      </w:r>
      <w:r>
        <w:rPr>
          <w:rFonts w:hint="eastAsia" w:cs="Times New Roman"/>
          <w:highlight w:val="none"/>
          <w:lang w:val="en-US" w:eastAsia="zh-CN"/>
        </w:rPr>
        <w:t>平衡重</w:t>
      </w:r>
      <w:r>
        <w:rPr>
          <w:rFonts w:hint="eastAsia" w:ascii="Times New Roman" w:hAnsi="Times New Roman" w:eastAsia="宋体" w:cs="Times New Roman"/>
          <w:highlight w:val="none"/>
        </w:rPr>
        <w:t>成60°夹角，</w:t>
      </w:r>
      <w:r>
        <w:rPr>
          <w:rFonts w:hint="eastAsia" w:cs="Times New Roman"/>
          <w:highlight w:val="none"/>
          <w:lang w:val="en-US" w:eastAsia="zh-CN"/>
        </w:rPr>
        <w:t>平衡重</w:t>
      </w:r>
      <w:r>
        <w:rPr>
          <w:rFonts w:hint="eastAsia" w:ascii="Times New Roman" w:hAnsi="Times New Roman" w:eastAsia="宋体" w:cs="Times New Roman"/>
          <w:highlight w:val="none"/>
        </w:rPr>
        <w:t>吊装采用两点吊，在</w:t>
      </w:r>
      <w:r>
        <w:rPr>
          <w:rFonts w:hint="eastAsia" w:cs="Times New Roman"/>
          <w:highlight w:val="none"/>
          <w:lang w:val="en-US" w:eastAsia="zh-CN"/>
        </w:rPr>
        <w:t>平衡重</w:t>
      </w:r>
      <w:r>
        <w:rPr>
          <w:rFonts w:hint="eastAsia" w:ascii="Times New Roman" w:hAnsi="Times New Roman" w:eastAsia="宋体" w:cs="Times New Roman"/>
          <w:highlight w:val="none"/>
        </w:rPr>
        <w:t>上设置2个吊点，钢丝绳采用压制接头。</w:t>
      </w:r>
    </w:p>
    <w:p w14:paraId="2A4ECA3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3.64</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0.9×1.4</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169.99</m:t>
          </m:r>
          <m:r>
            <m:rPr>
              <m:nor/>
              <m:sty m:val="p"/>
            </m:rPr>
            <w:rPr>
              <w:b w:val="0"/>
              <w:i w:val="0"/>
              <w:highlight w:val="none"/>
            </w:rPr>
            <m:t>kN</m:t>
          </m:r>
        </m:oMath>
      </m:oMathPara>
    </w:p>
    <w:p w14:paraId="3388D4F8">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169.99</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16.60</m:t>
          </m:r>
          <m:r>
            <m:rPr>
              <m:nor/>
              <m:sty m:val="p"/>
            </m:rPr>
            <w:rPr>
              <w:b w:val="0"/>
              <w:i w:val="0"/>
              <w:highlight w:val="none"/>
            </w:rPr>
            <m:t>mm</m:t>
          </m:r>
        </m:oMath>
      </m:oMathPara>
    </w:p>
    <w:p w14:paraId="35B135EE">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cs="Times New Roman"/>
          <w:highlight w:val="none"/>
          <w:lang w:val="en-US" w:eastAsia="zh-CN"/>
        </w:rPr>
        <w:t>18</w:t>
      </w:r>
      <w:r>
        <w:rPr>
          <w:rFonts w:hint="eastAsia" w:ascii="Times New Roman" w:hAnsi="Times New Roman" w:eastAsia="宋体" w:cs="Times New Roman"/>
          <w:highlight w:val="none"/>
        </w:rPr>
        <w:t>mm钢丝绳可满足要求。</w:t>
      </w:r>
    </w:p>
    <w:p w14:paraId="43F11658">
      <w:pPr>
        <w:bidi w:val="0"/>
        <w:rPr>
          <w:highlight w:val="none"/>
          <w:lang w:val="en-US" w:eastAsia="zh-CN"/>
        </w:rPr>
      </w:pPr>
      <w:bookmarkStart w:id="159" w:name="_Toc132535969"/>
      <w:r>
        <w:rPr>
          <w:rFonts w:hint="eastAsia"/>
          <w:highlight w:val="none"/>
          <w:lang w:val="en-US" w:eastAsia="zh-CN"/>
        </w:rPr>
        <w:t>卸扣选型</w:t>
      </w:r>
      <w:bookmarkEnd w:id="159"/>
    </w:p>
    <w:p w14:paraId="4C24094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3390CA82">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表4.2.2</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 D形卸扣尺寸</w:t>
      </w:r>
    </w:p>
    <w:tbl>
      <w:tblPr>
        <w:tblStyle w:val="16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0C174BB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四点吊的塔吊主要部件</w:t>
      </w:r>
      <w:r>
        <w:rPr>
          <w:rFonts w:hint="eastAsia" w:cs="Times New Roman"/>
          <w:highlight w:val="none"/>
          <w:lang w:val="en-US" w:eastAsia="zh-CN"/>
        </w:rPr>
        <w:t>为</w:t>
      </w:r>
      <w:r>
        <w:rPr>
          <w:rFonts w:hint="eastAsia" w:ascii="Times New Roman" w:hAnsi="Times New Roman" w:eastAsia="宋体" w:cs="Times New Roman"/>
          <w:highlight w:val="none"/>
        </w:rPr>
        <w:t>为</w:t>
      </w:r>
      <w:r>
        <w:rPr>
          <w:rFonts w:hint="eastAsia" w:cs="Times New Roman"/>
          <w:highlight w:val="none"/>
          <w:lang w:val="en-US" w:eastAsia="zh-CN"/>
        </w:rPr>
        <w:t>爬升架</w:t>
      </w:r>
      <w:r>
        <w:rPr>
          <w:rFonts w:hint="eastAsia" w:ascii="Times New Roman" w:hAnsi="Times New Roman" w:eastAsia="宋体" w:cs="Times New Roman"/>
          <w:highlight w:val="none"/>
        </w:rPr>
        <w:t>，</w:t>
      </w:r>
      <w:r>
        <w:rPr>
          <w:rFonts w:hint="eastAsia" w:cs="Times New Roman"/>
          <w:highlight w:val="none"/>
          <w:lang w:val="en-US" w:eastAsia="zh-CN"/>
        </w:rPr>
        <w:t>爬升架最大</w:t>
      </w:r>
      <w:r>
        <w:rPr>
          <w:rFonts w:hint="eastAsia" w:ascii="Times New Roman" w:hAnsi="Times New Roman" w:eastAsia="宋体" w:cs="Times New Roman"/>
          <w:highlight w:val="none"/>
        </w:rPr>
        <w:t>重量约</w:t>
      </w:r>
      <w:r>
        <w:rPr>
          <w:rFonts w:hint="eastAsia" w:cs="Times New Roman"/>
          <w:highlight w:val="none"/>
          <w:lang w:val="en-US" w:eastAsia="zh-CN"/>
        </w:rPr>
        <w:t>5.835</w:t>
      </w:r>
      <w:r>
        <w:rPr>
          <w:rFonts w:hint="eastAsia" w:ascii="Times New Roman" w:hAnsi="Times New Roman" w:eastAsia="宋体" w:cs="Times New Roman"/>
          <w:highlight w:val="none"/>
        </w:rPr>
        <w:t>t，钢丝绳连接卸扣工作荷载：</w:t>
      </w:r>
    </w:p>
    <w:p w14:paraId="5B3DC6D6">
      <w:pPr>
        <w:ind w:firstLine="480"/>
        <w:rPr>
          <w:rFonts w:ascii="Times New Roman" w:hAnsi="Times New Roman" w:eastAsia="宋体" w:cs="Times New Roman"/>
          <w:highlight w:val="none"/>
        </w:rPr>
      </w:pPr>
      <m:oMath>
        <m:r>
          <m:rPr>
            <m:nor/>
            <m:sty m:val="p"/>
          </m:rPr>
          <w:rPr>
            <w:b w:val="0"/>
            <w:i w:val="0"/>
            <w:highlight w:val="none"/>
          </w:rPr>
          <m:t>WL</m:t>
        </m:r>
        <m:sSub>
          <m:sSubPr>
            <m:ctrlPr>
              <w:rPr>
                <w:rFonts w:ascii="Cambria Math" w:hAnsi="Cambria Math"/>
                <w:i/>
                <w:highlight w:val="none"/>
              </w:rPr>
            </m:ctrlPr>
          </m:sSubPr>
          <m:e>
            <m:r>
              <m:rPr>
                <m:nor/>
                <m:sty m:val="p"/>
              </m:rPr>
              <w:rPr>
                <w:b w:val="0"/>
                <w:i w:val="0"/>
                <w:highlight w:val="none"/>
              </w:rPr>
              <m:t>L</m:t>
            </m:r>
            <m:ctrlPr>
              <w:rPr>
                <w:rFonts w:ascii="Cambria Math" w:hAnsi="Cambria Math"/>
                <w:i/>
                <w:highlight w:val="none"/>
              </w:rPr>
            </m:ctrlPr>
          </m:e>
          <m:sub>
            <m:r>
              <m:rPr>
                <m:nor/>
                <m:sty m:val="p"/>
              </m:rPr>
              <w:rPr>
                <w:b w:val="0"/>
                <w:i w:val="0"/>
                <w:highlight w:val="none"/>
              </w:rPr>
              <m:t>0</m:t>
            </m:r>
            <m:ctrlPr>
              <w:rPr>
                <w:rFonts w:ascii="Cambria Math" w:hAnsi="Cambria Math"/>
                <w:i/>
                <w:highlight w:val="none"/>
              </w:rPr>
            </m:ctrlPr>
          </m:sub>
        </m:sSub>
        <m:r>
          <m:rPr>
            <m:nor/>
            <m:sty m:val="p"/>
          </m:rPr>
          <w:rPr>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181.66</m:t>
            </m:r>
            <m:ctrlPr>
              <w:rPr>
                <w:rFonts w:ascii="Cambria Math" w:hAnsi="Cambria Math"/>
                <w:i/>
                <w:highlight w:val="none"/>
              </w:rPr>
            </m:ctrlPr>
          </m:num>
          <m:den>
            <m:r>
              <m:rPr>
                <m:nor/>
                <m:sty m:val="p"/>
              </m:rPr>
              <w:rPr>
                <w:b w:val="0"/>
                <w:i w:val="0"/>
                <w:highlight w:val="none"/>
              </w:rPr>
              <m:t>6</m:t>
            </m:r>
            <m:ctrlPr>
              <w:rPr>
                <w:rFonts w:ascii="Cambria Math" w:hAnsi="Cambria Math"/>
                <w:i/>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30.28</m:t>
        </m:r>
        <m:r>
          <m:rPr>
            <m:nor/>
            <m:sty m:val="p"/>
          </m:rPr>
          <w:rPr>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2ED4569">
      <w:pPr>
        <w:ind w:firstLine="480"/>
        <w:rPr>
          <w:rFonts w:ascii="Times New Roman" w:hAnsi="Times New Roman" w:eastAsia="宋体" w:cs="Times New Roman"/>
          <w:highlight w:val="none"/>
        </w:rPr>
      </w:pPr>
      <w:r>
        <w:rPr>
          <w:rFonts w:hint="eastAsia" w:cs="Times New Roman"/>
          <w:highlight w:val="none"/>
          <w:lang w:val="en-US" w:eastAsia="zh-CN"/>
        </w:rPr>
        <w:t>两</w:t>
      </w:r>
      <w:r>
        <w:rPr>
          <w:rFonts w:hint="eastAsia" w:ascii="Times New Roman" w:hAnsi="Times New Roman" w:eastAsia="宋体" w:cs="Times New Roman"/>
          <w:highlight w:val="none"/>
        </w:rPr>
        <w:t>点吊的塔吊主要部件为</w:t>
      </w: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平衡重</w:t>
      </w:r>
      <w:r>
        <w:rPr>
          <w:rFonts w:hint="eastAsia" w:ascii="Times New Roman" w:hAnsi="Times New Roman" w:eastAsia="宋体" w:cs="Times New Roman"/>
          <w:highlight w:val="none"/>
        </w:rPr>
        <w:t>最大重量约</w:t>
      </w:r>
      <w:r>
        <w:rPr>
          <w:rFonts w:hint="eastAsia" w:cs="Times New Roman"/>
          <w:highlight w:val="none"/>
          <w:lang w:val="en-US" w:eastAsia="zh-CN"/>
        </w:rPr>
        <w:t>3.64</w:t>
      </w:r>
      <w:r>
        <w:rPr>
          <w:rFonts w:hint="eastAsia" w:ascii="Times New Roman" w:hAnsi="Times New Roman" w:eastAsia="宋体" w:cs="Times New Roman"/>
          <w:highlight w:val="none"/>
        </w:rPr>
        <w:t>t，钢丝绳连接卸扣工作荷载：</w:t>
      </w:r>
    </w:p>
    <w:p w14:paraId="6C4EA10F">
      <w:pPr>
        <w:ind w:firstLine="480"/>
        <w:rPr>
          <w:rFonts w:ascii="Times New Roman" w:hAnsi="Times New Roman" w:eastAsia="宋体" w:cs="Times New Roman"/>
          <w:highlight w:val="none"/>
        </w:rPr>
      </w:pPr>
      <m:oMath>
        <m:r>
          <m:rPr>
            <m:nor/>
            <m:sty m:val="p"/>
          </m:rPr>
          <w:rPr>
            <w:rFonts w:asci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cs="Times New Roman"/>
                <w:b w:val="0"/>
                <w:i w:val="0"/>
                <w:highlight w:val="none"/>
              </w:rPr>
              <m:t>L</m:t>
            </m:r>
            <m:ctrlPr>
              <w:rPr>
                <w:rFonts w:ascii="Cambria Math" w:hAnsi="Cambria Math" w:cs="Times New Roman"/>
                <w:i/>
                <w:highlight w:val="none"/>
              </w:rPr>
            </m:ctrlPr>
          </m:e>
          <m:sub>
            <m:r>
              <m:rPr>
                <m:nor/>
                <m:sty m:val="p"/>
              </m:rPr>
              <w:rPr>
                <w:rFonts w:ascii="Cambria Math" w:cs="Times New Roman"/>
                <w:b w:val="0"/>
                <w:i w:val="0"/>
                <w:highlight w:val="none"/>
              </w:rPr>
              <m:t>0</m:t>
            </m:r>
            <m:ctrlPr>
              <w:rPr>
                <w:rFonts w:ascii="Cambria Math" w:hAnsi="Cambria Math" w:cs="Times New Roman"/>
                <w:i/>
                <w:highlight w:val="none"/>
              </w:rPr>
            </m:ctrlPr>
          </m:sub>
        </m:sSub>
        <m:r>
          <m:rPr>
            <m:nor/>
            <m:sty m:val="p"/>
          </m:rPr>
          <w:rPr>
            <w:rFonts w:ascii="Cambria Math" w:cs="Times New Roman"/>
            <w:b w:val="0"/>
            <w:i w:val="0"/>
            <w:highlight w:val="none"/>
          </w:rPr>
          <m:t>=</m:t>
        </m:r>
        <m:f>
          <m:fPr>
            <m:ctrlPr>
              <w:rPr>
                <w:rFonts w:ascii="Cambria Math" w:hAnsi="Cambria Math" w:cs="Times New Roman"/>
                <w:i/>
                <w:highlight w:val="none"/>
              </w:rPr>
            </m:ctrlPr>
          </m:fPr>
          <m:num>
            <m:r>
              <m:rPr>
                <m:sty m:val="p"/>
              </m:rPr>
              <w:rPr>
                <w:rFonts w:hint="default" w:ascii="Cambria Math" w:cs="Times New Roman"/>
                <w:highlight w:val="none"/>
                <w:lang w:val="en-US" w:eastAsia="zh-CN"/>
              </w:rPr>
              <m:t>169.99</m:t>
            </m:r>
            <m:ctrlPr>
              <w:rPr>
                <w:rFonts w:ascii="Cambria Math" w:hAnsi="Cambria Math" w:cs="Times New Roman"/>
                <w:i/>
                <w:highlight w:val="none"/>
              </w:rPr>
            </m:ctrlPr>
          </m:num>
          <m:den>
            <m:r>
              <m:rPr>
                <m:nor/>
                <m:sty m:val="p"/>
              </m:rPr>
              <w:rPr>
                <w:rFonts w:ascii="Cambria Math" w:cs="Times New Roman"/>
                <w:b w:val="0"/>
                <w:i w:val="0"/>
                <w:highlight w:val="none"/>
              </w:rPr>
              <m:t>6</m:t>
            </m:r>
            <m:ctrlPr>
              <w:rPr>
                <w:rFonts w:ascii="Cambria Math" w:hAnsi="Cambria Math" w:cs="Times New Roman"/>
                <w:i/>
                <w:highlight w:val="none"/>
              </w:rPr>
            </m:ctrlPr>
          </m:den>
        </m:f>
        <m:r>
          <m:rPr>
            <m:nor/>
            <m:sty m:val="p"/>
          </m:rPr>
          <w:rPr>
            <w:rFonts w:ascii="Cambria Math" w:cs="Times New Roman"/>
            <w:b w:val="0"/>
            <w:i w:val="0"/>
            <w:highlight w:val="none"/>
          </w:rPr>
          <m:t>=</m:t>
        </m:r>
        <m:r>
          <m:rPr>
            <m:nor/>
            <m:sty m:val="p"/>
          </m:rPr>
          <w:rPr>
            <w:rFonts w:hint="default" w:ascii="Cambria Math" w:cs="Times New Roman"/>
            <w:b w:val="0"/>
            <w:i w:val="0"/>
            <w:highlight w:val="none"/>
            <w:lang w:val="en-US" w:eastAsia="zh-CN"/>
          </w:rPr>
          <m:t>28.34</m:t>
        </m:r>
        <m:r>
          <m:rPr>
            <m:nor/>
            <m:sty m:val="p"/>
          </m:rPr>
          <w:rPr>
            <w:rFonts w:asci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pPr>
        <w:rPr>
          <w:highlight w:val="none"/>
        </w:rPr>
      </w:pPr>
      <w:r>
        <w:rPr>
          <w:color w:val="auto"/>
          <w:highlight w:val="none"/>
        </w:rPr>
        <w:t>根据塔吊基础设计参数及塔吊主要部件重量及吊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6598208D">
      <w:pPr>
        <w:pStyle w:val="15"/>
        <w:rPr>
          <w:color w:val="auto"/>
          <w:highlight w:val="none"/>
        </w:rPr>
      </w:pPr>
      <w:r>
        <w:rPr>
          <w:color w:val="auto"/>
          <w:highlight w:val="none"/>
        </w:rPr>
        <w:t xml:space="preserve">表 </w:t>
      </w:r>
      <w:r>
        <w:rPr>
          <w:rFonts w:hint="eastAsia" w:ascii="Times New Roman" w:hAnsi="Times New Roman" w:cs="Times New Roman"/>
          <w:kern w:val="2"/>
          <w:sz w:val="21"/>
          <w:highlight w:val="none"/>
          <w:lang w:val="en-US" w:eastAsia="zh-CN" w:bidi="ar-SA"/>
        </w:rPr>
        <w:t>4.2.2</w:t>
      </w:r>
      <w:r>
        <w:rPr>
          <w:rFonts w:hint="eastAsia"/>
          <w:color w:val="auto"/>
          <w:highlight w:val="none"/>
          <w:lang w:val="en-US" w:eastAsia="zh-CN"/>
        </w:rPr>
        <w:t xml:space="preserve">-2 </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166"/>
              <w:rPr>
                <w:b w:val="0"/>
                <w:color w:val="auto"/>
                <w:highlight w:val="none"/>
              </w:rPr>
            </w:pPr>
            <w:r>
              <w:rPr>
                <w:b/>
                <w:color w:val="auto"/>
                <w:highlight w:val="none"/>
              </w:rPr>
              <w:t>序号</w:t>
            </w:r>
          </w:p>
        </w:tc>
        <w:tc>
          <w:tcPr>
            <w:tcW w:w="1559" w:type="dxa"/>
            <w:vAlign w:val="center"/>
          </w:tcPr>
          <w:p w14:paraId="2B69C5FF">
            <w:pPr>
              <w:pStyle w:val="166"/>
              <w:rPr>
                <w:b w:val="0"/>
                <w:color w:val="auto"/>
                <w:highlight w:val="none"/>
              </w:rPr>
            </w:pPr>
            <w:r>
              <w:rPr>
                <w:b/>
                <w:color w:val="auto"/>
                <w:highlight w:val="none"/>
              </w:rPr>
              <w:t>设备名称</w:t>
            </w:r>
          </w:p>
        </w:tc>
        <w:tc>
          <w:tcPr>
            <w:tcW w:w="2835" w:type="dxa"/>
            <w:vAlign w:val="center"/>
          </w:tcPr>
          <w:p w14:paraId="591DE1A5">
            <w:pPr>
              <w:pStyle w:val="166"/>
              <w:rPr>
                <w:b w:val="0"/>
                <w:color w:val="auto"/>
                <w:highlight w:val="none"/>
              </w:rPr>
            </w:pPr>
            <w:r>
              <w:rPr>
                <w:b/>
                <w:color w:val="auto"/>
                <w:highlight w:val="none"/>
              </w:rPr>
              <w:t>规格型号</w:t>
            </w:r>
          </w:p>
        </w:tc>
        <w:tc>
          <w:tcPr>
            <w:tcW w:w="567" w:type="dxa"/>
            <w:vAlign w:val="center"/>
          </w:tcPr>
          <w:p w14:paraId="3C505794">
            <w:pPr>
              <w:pStyle w:val="166"/>
              <w:rPr>
                <w:b w:val="0"/>
                <w:color w:val="auto"/>
                <w:highlight w:val="none"/>
              </w:rPr>
            </w:pPr>
            <w:r>
              <w:rPr>
                <w:b/>
                <w:color w:val="auto"/>
                <w:highlight w:val="none"/>
              </w:rPr>
              <w:t>单位</w:t>
            </w:r>
          </w:p>
        </w:tc>
        <w:tc>
          <w:tcPr>
            <w:tcW w:w="567" w:type="dxa"/>
            <w:vAlign w:val="center"/>
          </w:tcPr>
          <w:p w14:paraId="7564A4F8">
            <w:pPr>
              <w:pStyle w:val="166"/>
              <w:rPr>
                <w:b w:val="0"/>
                <w:color w:val="auto"/>
                <w:highlight w:val="none"/>
              </w:rPr>
            </w:pPr>
            <w:r>
              <w:rPr>
                <w:b/>
                <w:color w:val="auto"/>
                <w:highlight w:val="none"/>
              </w:rPr>
              <w:t>数量</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166"/>
              <w:rPr>
                <w:rFonts w:hint="default" w:eastAsia="宋体"/>
                <w:color w:val="auto"/>
                <w:highlight w:val="none"/>
                <w:lang w:val="en-US" w:eastAsia="zh-CN"/>
              </w:rPr>
            </w:pPr>
            <w:r>
              <w:rPr>
                <w:rFonts w:hint="eastAsia"/>
                <w:color w:val="auto"/>
                <w:highlight w:val="none"/>
                <w:lang w:val="en-US" w:eastAsia="zh-CN"/>
              </w:rPr>
              <w:t>1</w:t>
            </w:r>
          </w:p>
        </w:tc>
        <w:tc>
          <w:tcPr>
            <w:tcW w:w="1559" w:type="dxa"/>
            <w:vAlign w:val="center"/>
          </w:tcPr>
          <w:p w14:paraId="5873FBC6">
            <w:pPr>
              <w:pStyle w:val="166"/>
              <w:rPr>
                <w:color w:val="auto"/>
                <w:highlight w:val="none"/>
              </w:rPr>
            </w:pPr>
            <w:r>
              <w:rPr>
                <w:color w:val="auto"/>
                <w:highlight w:val="none"/>
              </w:rPr>
              <w:t>起重用钢丝绳</w:t>
            </w:r>
          </w:p>
        </w:tc>
        <w:tc>
          <w:tcPr>
            <w:tcW w:w="2835" w:type="dxa"/>
            <w:vAlign w:val="center"/>
          </w:tcPr>
          <w:p w14:paraId="383C94F7">
            <w:pPr>
              <w:pStyle w:val="166"/>
              <w:rPr>
                <w:color w:val="auto"/>
                <w:highlight w:val="none"/>
              </w:rPr>
            </w:pPr>
            <w:r>
              <w:rPr>
                <w:rFonts w:hint="eastAsia" w:cs="Times New Roman"/>
                <w:b w:val="0"/>
                <w:bCs w:val="0"/>
                <w:highlight w:val="none"/>
                <w:lang w:val="en-US" w:eastAsia="zh-CN"/>
              </w:rPr>
              <w:t>18</w:t>
            </w:r>
            <w:r>
              <w:rPr>
                <w:rFonts w:cs="Times New Roman"/>
                <w:b w:val="0"/>
                <w:bCs w:val="0"/>
                <w:highlight w:val="none"/>
              </w:rPr>
              <w:t>mm</w:t>
            </w:r>
            <w:r>
              <w:rPr>
                <w:rFonts w:hint="eastAsia" w:eastAsia="仿宋" w:cs="Times New Roman"/>
                <w:b w:val="0"/>
                <w:bCs w:val="0"/>
                <w:highlight w:val="none"/>
                <w:lang w:eastAsia="zh-CN"/>
              </w:rPr>
              <w:t>6×19W+IWR</w:t>
            </w:r>
            <w:r>
              <w:rPr>
                <w:rFonts w:eastAsia="仿宋" w:cs="Times New Roman"/>
                <w:b w:val="0"/>
                <w:bCs w:val="0"/>
                <w:highlight w:val="none"/>
              </w:rPr>
              <w:t>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vAlign w:val="center"/>
          </w:tcPr>
          <w:p w14:paraId="11AD972C">
            <w:pPr>
              <w:pStyle w:val="166"/>
              <w:rPr>
                <w:color w:val="auto"/>
                <w:highlight w:val="none"/>
              </w:rPr>
            </w:pPr>
            <w:r>
              <w:rPr>
                <w:color w:val="auto"/>
                <w:highlight w:val="none"/>
              </w:rPr>
              <w:t>根</w:t>
            </w:r>
          </w:p>
        </w:tc>
        <w:tc>
          <w:tcPr>
            <w:tcW w:w="567" w:type="dxa"/>
            <w:vAlign w:val="center"/>
          </w:tcPr>
          <w:p w14:paraId="5F961709">
            <w:pPr>
              <w:pStyle w:val="166"/>
              <w:rPr>
                <w:rFonts w:hint="eastAsia" w:eastAsia="宋体"/>
                <w:color w:val="auto"/>
                <w:highlight w:val="none"/>
                <w:lang w:eastAsia="zh-CN"/>
              </w:rPr>
            </w:pPr>
            <w:r>
              <w:rPr>
                <w:rFonts w:hint="eastAsia"/>
                <w:color w:val="auto"/>
                <w:highlight w:val="none"/>
                <w:lang w:val="en-US" w:eastAsia="zh-CN"/>
              </w:rPr>
              <w:t>4</w:t>
            </w:r>
          </w:p>
        </w:tc>
      </w:tr>
      <w:tr w14:paraId="5D210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1021C1A">
            <w:pPr>
              <w:pStyle w:val="166"/>
              <w:rPr>
                <w:rFonts w:hint="eastAsia" w:eastAsia="宋体"/>
                <w:color w:val="auto"/>
                <w:highlight w:val="none"/>
                <w:lang w:val="en-US" w:eastAsia="zh-CN"/>
              </w:rPr>
            </w:pPr>
            <w:r>
              <w:rPr>
                <w:rFonts w:hint="eastAsia"/>
                <w:color w:val="auto"/>
                <w:highlight w:val="none"/>
                <w:lang w:val="en-US" w:eastAsia="zh-CN"/>
              </w:rPr>
              <w:t>2</w:t>
            </w:r>
          </w:p>
        </w:tc>
        <w:tc>
          <w:tcPr>
            <w:tcW w:w="1559" w:type="dxa"/>
            <w:vAlign w:val="center"/>
          </w:tcPr>
          <w:p w14:paraId="209A7D16">
            <w:pPr>
              <w:pStyle w:val="166"/>
              <w:ind w:firstLine="0" w:firstLineChars="0"/>
              <w:rPr>
                <w:color w:val="auto"/>
                <w:highlight w:val="none"/>
              </w:rPr>
            </w:pPr>
            <w:r>
              <w:rPr>
                <w:color w:val="auto"/>
                <w:highlight w:val="none"/>
              </w:rPr>
              <w:t>卸扣</w:t>
            </w:r>
          </w:p>
        </w:tc>
        <w:tc>
          <w:tcPr>
            <w:tcW w:w="2835" w:type="dxa"/>
            <w:vAlign w:val="center"/>
          </w:tcPr>
          <w:p w14:paraId="0CA9CD5D">
            <w:pPr>
              <w:pStyle w:val="166"/>
              <w:ind w:firstLine="0" w:firstLineChars="0"/>
              <w:rPr>
                <w:color w:val="auto"/>
                <w:highlight w:val="none"/>
              </w:rPr>
            </w:pPr>
            <w:r>
              <w:rPr>
                <w:highlight w:val="none"/>
              </w:rPr>
              <w:t>GB/T 25854-6-DW</w:t>
            </w:r>
            <w:r>
              <w:rPr>
                <w:rFonts w:hint="eastAsia"/>
                <w:highlight w:val="none"/>
                <w:lang w:val="en-US" w:eastAsia="zh-CN"/>
              </w:rPr>
              <w:t>5</w:t>
            </w:r>
          </w:p>
        </w:tc>
        <w:tc>
          <w:tcPr>
            <w:tcW w:w="567" w:type="dxa"/>
            <w:vAlign w:val="center"/>
          </w:tcPr>
          <w:p w14:paraId="32160006">
            <w:pPr>
              <w:pStyle w:val="166"/>
              <w:ind w:firstLine="0" w:firstLineChars="0"/>
              <w:rPr>
                <w:color w:val="auto"/>
                <w:highlight w:val="none"/>
              </w:rPr>
            </w:pPr>
            <w:r>
              <w:rPr>
                <w:color w:val="auto"/>
                <w:highlight w:val="none"/>
              </w:rPr>
              <w:t>个</w:t>
            </w:r>
          </w:p>
        </w:tc>
        <w:tc>
          <w:tcPr>
            <w:tcW w:w="567" w:type="dxa"/>
            <w:vAlign w:val="center"/>
          </w:tcPr>
          <w:p w14:paraId="6EAF7027">
            <w:pPr>
              <w:pStyle w:val="166"/>
              <w:ind w:firstLine="0" w:firstLineChars="0"/>
              <w:rPr>
                <w:color w:val="auto"/>
                <w:highlight w:val="none"/>
              </w:rPr>
            </w:pPr>
            <w:r>
              <w:rPr>
                <w:color w:val="auto"/>
                <w:highlight w:val="none"/>
              </w:rPr>
              <w:t>4</w:t>
            </w:r>
          </w:p>
        </w:tc>
      </w:tr>
    </w:tbl>
    <w:p w14:paraId="168BFC03">
      <w:pPr>
        <w:pStyle w:val="3"/>
        <w:bidi w:val="0"/>
        <w:ind w:left="575" w:leftChars="0" w:hanging="575" w:firstLineChars="0"/>
        <w:rPr>
          <w:rFonts w:hint="eastAsia"/>
          <w:lang w:val="en-US" w:eastAsia="zh-CN"/>
        </w:rPr>
      </w:pPr>
      <w:r>
        <w:rPr>
          <w:rFonts w:hint="eastAsia"/>
          <w:lang w:val="en-US" w:eastAsia="zh-CN"/>
        </w:rPr>
        <w:t xml:space="preserve"> </w:t>
      </w:r>
      <w:bookmarkStart w:id="160" w:name="_Toc6030"/>
      <w:bookmarkStart w:id="161" w:name="_Toc5951"/>
      <w:r>
        <w:rPr>
          <w:rFonts w:hint="eastAsia"/>
          <w:lang w:val="en-US" w:eastAsia="zh-CN"/>
        </w:rPr>
        <w:t>塔机安装前施工准备</w:t>
      </w:r>
      <w:bookmarkEnd w:id="157"/>
      <w:bookmarkEnd w:id="158"/>
      <w:bookmarkEnd w:id="160"/>
      <w:bookmarkEnd w:id="161"/>
    </w:p>
    <w:p w14:paraId="00BF59A8">
      <w:pPr>
        <w:pStyle w:val="4"/>
        <w:bidi w:val="0"/>
        <w:ind w:left="720" w:leftChars="0" w:hanging="720" w:firstLineChars="0"/>
        <w:rPr>
          <w:rFonts w:hint="default"/>
          <w:lang w:val="en-US"/>
        </w:rPr>
      </w:pPr>
      <w:r>
        <w:rPr>
          <w:rFonts w:hint="eastAsia"/>
          <w:lang w:val="en-US" w:eastAsia="zh-CN"/>
        </w:rPr>
        <w:t>工艺准备</w:t>
      </w:r>
    </w:p>
    <w:p w14:paraId="6B15E3C3">
      <w:pPr>
        <w:bidi w:val="0"/>
        <w:spacing w:line="360" w:lineRule="auto"/>
        <w:ind w:firstLine="480" w:firstLineChars="200"/>
        <w:rPr>
          <w:rFonts w:hint="eastAsia"/>
          <w:highlight w:val="none"/>
        </w:rPr>
      </w:pPr>
      <w:r>
        <w:rPr>
          <w:rFonts w:hint="eastAsia"/>
          <w:highlight w:val="none"/>
          <w:lang w:eastAsia="zh-CN"/>
        </w:rPr>
        <w:t>塔机</w:t>
      </w:r>
      <w:r>
        <w:rPr>
          <w:rFonts w:hint="eastAsia"/>
          <w:highlight w:val="none"/>
        </w:rPr>
        <w:t>基础</w:t>
      </w:r>
      <w:r>
        <w:rPr>
          <w:rFonts w:hint="eastAsia"/>
          <w:highlight w:val="none"/>
          <w:lang w:val="en-US" w:eastAsia="zh-CN"/>
        </w:rPr>
        <w:t>混凝土</w:t>
      </w:r>
      <w:r>
        <w:rPr>
          <w:rFonts w:hint="eastAsia"/>
          <w:highlight w:val="none"/>
        </w:rPr>
        <w:t>平台制作：吊装前，应根据</w:t>
      </w:r>
      <w:r>
        <w:rPr>
          <w:rFonts w:hint="eastAsia"/>
          <w:highlight w:val="none"/>
          <w:lang w:val="en-US" w:eastAsia="zh-CN"/>
        </w:rPr>
        <w:t>XGT7525-16</w:t>
      </w:r>
      <w:r>
        <w:rPr>
          <w:rFonts w:hint="eastAsia"/>
          <w:highlight w:val="none"/>
        </w:rPr>
        <w:t>塔式起重机的支反力及尺寸误差要求设计制作</w:t>
      </w:r>
      <w:r>
        <w:rPr>
          <w:rFonts w:hint="eastAsia"/>
          <w:highlight w:val="none"/>
          <w:lang w:val="en-US" w:eastAsia="zh-CN"/>
        </w:rPr>
        <w:t>混凝土</w:t>
      </w:r>
      <w:r>
        <w:rPr>
          <w:rFonts w:hint="eastAsia"/>
          <w:highlight w:val="none"/>
        </w:rPr>
        <w:t>平台，制作完成后应对结构</w:t>
      </w:r>
      <w:r>
        <w:rPr>
          <w:rFonts w:hint="eastAsia"/>
          <w:highlight w:val="none"/>
          <w:lang w:val="en-US" w:eastAsia="zh-CN"/>
        </w:rPr>
        <w:t>等</w:t>
      </w:r>
      <w:r>
        <w:rPr>
          <w:rFonts w:hint="eastAsia"/>
          <w:highlight w:val="none"/>
        </w:rPr>
        <w:t>施工工艺进行检查，确认是否符合设计和塔式起重机基础规范要求。</w:t>
      </w:r>
    </w:p>
    <w:p w14:paraId="10EC24C7">
      <w:pPr>
        <w:bidi w:val="0"/>
        <w:spacing w:line="360" w:lineRule="auto"/>
        <w:ind w:firstLine="480" w:firstLineChars="200"/>
        <w:rPr>
          <w:rFonts w:hint="eastAsia"/>
          <w:highlight w:val="none"/>
        </w:rPr>
      </w:pPr>
      <w:r>
        <w:rPr>
          <w:rFonts w:hint="eastAsia"/>
          <w:highlight w:val="none"/>
        </w:rPr>
        <w:t>使用前需安装单位、项目部协同监理工程师及业主合验，并确认合格后方能用于安装施工。</w:t>
      </w:r>
    </w:p>
    <w:p w14:paraId="72063E45">
      <w:pPr>
        <w:pStyle w:val="4"/>
        <w:bidi w:val="0"/>
        <w:ind w:left="720" w:leftChars="0" w:hanging="720" w:firstLineChars="0"/>
        <w:rPr>
          <w:rFonts w:hint="default"/>
          <w:lang w:val="en-US"/>
        </w:rPr>
      </w:pPr>
      <w:r>
        <w:rPr>
          <w:rFonts w:hint="eastAsia"/>
          <w:lang w:val="en-US" w:eastAsia="zh-CN"/>
        </w:rPr>
        <w:t>组织准备</w:t>
      </w:r>
    </w:p>
    <w:p w14:paraId="3A24FDE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（1）施工队伍应有合格的安装资质，且熟悉塔式起重机安</w:t>
      </w:r>
      <w:r>
        <w:rPr>
          <w:rFonts w:hint="eastAsia" w:ascii="宋体" w:hAnsi="宋体" w:eastAsia="宋体"/>
          <w:highlight w:val="none"/>
          <w:lang w:val="en-US" w:eastAsia="zh-CN"/>
        </w:rPr>
        <w:t>装</w:t>
      </w:r>
      <w:r>
        <w:rPr>
          <w:rFonts w:hint="eastAsia" w:ascii="宋体" w:hAnsi="宋体" w:eastAsia="宋体"/>
          <w:highlight w:val="none"/>
        </w:rPr>
        <w:t>工艺。</w:t>
      </w:r>
    </w:p>
    <w:p w14:paraId="7D69A8D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（2）成立安装安全领导小组和安装工作小组，对整个安装过程进行有效监管。</w:t>
      </w:r>
    </w:p>
    <w:p w14:paraId="440117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（3）组织学习安全技术措施，现场进行技术交底，落实每项工作。</w:t>
      </w:r>
    </w:p>
    <w:p w14:paraId="1D4D1EC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（4）所有进行安装的有关人员，均需持证上岗，并针对本工程经过培训。</w:t>
      </w:r>
    </w:p>
    <w:p w14:paraId="3569AA60">
      <w:pPr>
        <w:bidi w:val="0"/>
        <w:spacing w:line="360" w:lineRule="auto"/>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w:t>
      </w:r>
      <w:r>
        <w:rPr>
          <w:rFonts w:hint="eastAsia"/>
          <w:highlight w:val="none"/>
          <w:lang w:val="en-US" w:eastAsia="zh-CN"/>
        </w:rPr>
        <w:t>5</w:t>
      </w:r>
      <w:r>
        <w:rPr>
          <w:rFonts w:hint="default" w:ascii="宋体" w:hAnsi="宋体" w:eastAsia="宋体"/>
          <w:highlight w:val="none"/>
          <w:lang w:val="en-US" w:eastAsia="zh-CN"/>
        </w:rPr>
        <w:t>）</w:t>
      </w:r>
      <w:r>
        <w:rPr>
          <w:rFonts w:hint="eastAsia"/>
          <w:highlight w:val="none"/>
          <w:lang w:val="en-US" w:eastAsia="zh-CN"/>
        </w:rPr>
        <w:t>塔机</w:t>
      </w:r>
      <w:r>
        <w:rPr>
          <w:rFonts w:hint="default" w:ascii="宋体" w:hAnsi="宋体" w:eastAsia="宋体"/>
          <w:highlight w:val="none"/>
          <w:lang w:val="en-US" w:eastAsia="zh-CN"/>
        </w:rPr>
        <w:t>在施工现场的安装位置，必须保证</w:t>
      </w:r>
      <w:r>
        <w:rPr>
          <w:rFonts w:hint="eastAsia"/>
          <w:highlight w:val="none"/>
          <w:lang w:val="en-US" w:eastAsia="zh-CN"/>
        </w:rPr>
        <w:t>塔机</w:t>
      </w:r>
      <w:r>
        <w:rPr>
          <w:rFonts w:hint="default" w:ascii="宋体" w:hAnsi="宋体" w:eastAsia="宋体"/>
          <w:highlight w:val="none"/>
          <w:lang w:val="en-US" w:eastAsia="zh-CN"/>
        </w:rPr>
        <w:t>的最大旋转部分与周围建筑物的距离不小于1.5m，</w:t>
      </w:r>
      <w:r>
        <w:rPr>
          <w:rFonts w:hint="eastAsia"/>
          <w:highlight w:val="none"/>
          <w:lang w:val="en-US" w:eastAsia="zh-CN"/>
        </w:rPr>
        <w:t>塔机</w:t>
      </w:r>
      <w:r>
        <w:rPr>
          <w:rFonts w:hint="default" w:ascii="宋体" w:hAnsi="宋体" w:eastAsia="宋体"/>
          <w:highlight w:val="none"/>
          <w:lang w:val="en-US" w:eastAsia="zh-CN"/>
        </w:rPr>
        <w:t>任何部位与架空电线的安全距离应符合下表的规定。</w:t>
      </w:r>
    </w:p>
    <w:p w14:paraId="44D8D2AB">
      <w:pPr>
        <w:pStyle w:val="15"/>
      </w:pPr>
      <w:r>
        <w:t xml:space="preserve">表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Fonts w:hint="eastAsia" w:ascii="宋体" w:hAnsi="宋体" w:eastAsia="宋体"/>
          <w:highlight w:val="none"/>
          <w:lang w:val="en-US" w:eastAsia="zh-CN"/>
        </w:rPr>
        <w:t>起重机在带电线路之间安全距离</w:t>
      </w:r>
    </w:p>
    <w:tbl>
      <w:tblPr>
        <w:tblStyle w:val="30"/>
        <w:tblW w:w="4999"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15" w:type="dxa"/>
          <w:left w:w="15" w:type="dxa"/>
          <w:bottom w:w="15" w:type="dxa"/>
          <w:right w:w="15" w:type="dxa"/>
        </w:tblCellMar>
      </w:tblPr>
      <w:tblGrid>
        <w:gridCol w:w="2698"/>
        <w:gridCol w:w="857"/>
        <w:gridCol w:w="1129"/>
        <w:gridCol w:w="1129"/>
        <w:gridCol w:w="1654"/>
        <w:gridCol w:w="867"/>
      </w:tblGrid>
      <w:tr w14:paraId="7D4DA87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restart"/>
            <w:tcBorders>
              <w:tl2br w:val="nil"/>
              <w:tr2bl w:val="nil"/>
            </w:tcBorders>
            <w:shd w:val="clear" w:color="auto" w:fill="DAE3F3" w:themeFill="accent5" w:themeFillTint="32"/>
            <w:noWrap/>
            <w:vAlign w:val="center"/>
          </w:tcPr>
          <w:p w14:paraId="208A6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安全距离/m</w:t>
            </w:r>
          </w:p>
        </w:tc>
        <w:tc>
          <w:tcPr>
            <w:tcW w:w="3380" w:type="pct"/>
            <w:gridSpan w:val="5"/>
            <w:tcBorders>
              <w:tl2br w:val="nil"/>
              <w:tr2bl w:val="nil"/>
            </w:tcBorders>
            <w:shd w:val="clear" w:color="auto" w:fill="DAE3F3" w:themeFill="accent5" w:themeFillTint="32"/>
            <w:noWrap/>
            <w:vAlign w:val="center"/>
          </w:tcPr>
          <w:p w14:paraId="1878F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电压/kV</w:t>
            </w:r>
          </w:p>
        </w:tc>
      </w:tr>
      <w:tr w14:paraId="444F176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vMerge w:val="continue"/>
            <w:tcBorders>
              <w:tl2br w:val="nil"/>
              <w:tr2bl w:val="nil"/>
            </w:tcBorders>
            <w:shd w:val="clear" w:color="auto" w:fill="DAE3F3" w:themeFill="accent5" w:themeFillTint="32"/>
            <w:noWrap/>
            <w:vAlign w:val="center"/>
          </w:tcPr>
          <w:p w14:paraId="371B2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p>
        </w:tc>
        <w:tc>
          <w:tcPr>
            <w:tcW w:w="857" w:type="dxa"/>
            <w:tcBorders>
              <w:tl2br w:val="nil"/>
              <w:tr2bl w:val="nil"/>
            </w:tcBorders>
            <w:shd w:val="clear" w:color="auto" w:fill="DAE3F3" w:themeFill="accent5" w:themeFillTint="32"/>
            <w:noWrap/>
            <w:vAlign w:val="center"/>
          </w:tcPr>
          <w:p w14:paraId="438F7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1129" w:type="dxa"/>
            <w:tcBorders>
              <w:tl2br w:val="nil"/>
              <w:tr2bl w:val="nil"/>
            </w:tcBorders>
            <w:shd w:val="clear" w:color="auto" w:fill="DAE3F3" w:themeFill="accent5" w:themeFillTint="32"/>
            <w:noWrap/>
            <w:vAlign w:val="center"/>
          </w:tcPr>
          <w:p w14:paraId="64F65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1~15</w:t>
            </w:r>
          </w:p>
        </w:tc>
        <w:tc>
          <w:tcPr>
            <w:tcW w:w="1129" w:type="dxa"/>
            <w:tcBorders>
              <w:tl2br w:val="nil"/>
              <w:tr2bl w:val="nil"/>
            </w:tcBorders>
            <w:shd w:val="clear" w:color="auto" w:fill="DAE3F3" w:themeFill="accent5" w:themeFillTint="32"/>
            <w:noWrap/>
            <w:vAlign w:val="center"/>
          </w:tcPr>
          <w:p w14:paraId="46BA2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20</w:t>
            </w:r>
            <w:r>
              <w:rPr>
                <w:rFonts w:hint="eastAsia" w:ascii="宋体" w:hAnsi="宋体" w:eastAsia="宋体"/>
                <w:highlight w:val="none"/>
                <w:lang w:val="en-US" w:eastAsia="zh-CN"/>
              </w:rPr>
              <w:t>~</w:t>
            </w:r>
            <w:r>
              <w:rPr>
                <w:rFonts w:hint="default" w:ascii="宋体" w:hAnsi="宋体" w:eastAsia="宋体"/>
                <w:highlight w:val="none"/>
                <w:lang w:val="en-US" w:eastAsia="zh-CN"/>
              </w:rPr>
              <w:t>40</w:t>
            </w:r>
          </w:p>
        </w:tc>
        <w:tc>
          <w:tcPr>
            <w:tcW w:w="1654" w:type="dxa"/>
            <w:tcBorders>
              <w:tl2br w:val="nil"/>
              <w:tr2bl w:val="nil"/>
            </w:tcBorders>
            <w:shd w:val="clear" w:color="auto" w:fill="DAE3F3" w:themeFill="accent5" w:themeFillTint="32"/>
            <w:noWrap/>
            <w:vAlign w:val="center"/>
          </w:tcPr>
          <w:p w14:paraId="54192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60~110</w:t>
            </w:r>
          </w:p>
        </w:tc>
        <w:tc>
          <w:tcPr>
            <w:tcW w:w="867" w:type="dxa"/>
            <w:tcBorders>
              <w:tl2br w:val="nil"/>
              <w:tr2bl w:val="nil"/>
            </w:tcBorders>
            <w:shd w:val="clear" w:color="auto" w:fill="DAE3F3" w:themeFill="accent5" w:themeFillTint="32"/>
            <w:noWrap/>
            <w:vAlign w:val="center"/>
          </w:tcPr>
          <w:p w14:paraId="7A62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22</w:t>
            </w:r>
            <w:r>
              <w:rPr>
                <w:rFonts w:hint="eastAsia" w:ascii="宋体" w:hAnsi="宋体" w:eastAsia="宋体"/>
                <w:highlight w:val="none"/>
                <w:lang w:val="en-US" w:eastAsia="zh-CN"/>
              </w:rPr>
              <w:t>0</w:t>
            </w:r>
          </w:p>
        </w:tc>
      </w:tr>
      <w:tr w14:paraId="24C5C5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17B6F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沿垂直方向</w:t>
            </w:r>
          </w:p>
        </w:tc>
        <w:tc>
          <w:tcPr>
            <w:tcW w:w="857" w:type="dxa"/>
            <w:tcBorders>
              <w:tl2br w:val="nil"/>
              <w:tr2bl w:val="nil"/>
            </w:tcBorders>
            <w:shd w:val="clear" w:color="auto" w:fill="auto"/>
            <w:noWrap/>
            <w:vAlign w:val="center"/>
          </w:tcPr>
          <w:p w14:paraId="58460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1129" w:type="dxa"/>
            <w:tcBorders>
              <w:tl2br w:val="nil"/>
              <w:tr2bl w:val="nil"/>
            </w:tcBorders>
            <w:shd w:val="clear" w:color="auto" w:fill="auto"/>
            <w:noWrap/>
            <w:vAlign w:val="center"/>
          </w:tcPr>
          <w:p w14:paraId="43BD1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3.</w:t>
            </w:r>
            <w:r>
              <w:rPr>
                <w:rFonts w:hint="eastAsia" w:ascii="宋体" w:hAnsi="宋体" w:eastAsia="宋体"/>
                <w:highlight w:val="none"/>
                <w:lang w:val="en-US" w:eastAsia="zh-CN"/>
              </w:rPr>
              <w:t>0</w:t>
            </w:r>
          </w:p>
        </w:tc>
        <w:tc>
          <w:tcPr>
            <w:tcW w:w="1129" w:type="dxa"/>
            <w:tcBorders>
              <w:tl2br w:val="nil"/>
              <w:tr2bl w:val="nil"/>
            </w:tcBorders>
            <w:shd w:val="clear" w:color="auto" w:fill="auto"/>
            <w:noWrap/>
            <w:vAlign w:val="center"/>
          </w:tcPr>
          <w:p w14:paraId="32930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1654" w:type="dxa"/>
            <w:tcBorders>
              <w:tl2br w:val="nil"/>
              <w:tr2bl w:val="nil"/>
            </w:tcBorders>
            <w:shd w:val="clear" w:color="auto" w:fill="auto"/>
            <w:noWrap/>
            <w:vAlign w:val="center"/>
          </w:tcPr>
          <w:p w14:paraId="270B8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5</w:t>
            </w:r>
            <w:r>
              <w:rPr>
                <w:rFonts w:hint="eastAsia" w:ascii="宋体" w:hAnsi="宋体" w:eastAsia="宋体"/>
                <w:highlight w:val="none"/>
                <w:lang w:val="en-US" w:eastAsia="zh-CN"/>
              </w:rPr>
              <w:t>.0</w:t>
            </w:r>
          </w:p>
        </w:tc>
        <w:tc>
          <w:tcPr>
            <w:tcW w:w="867" w:type="dxa"/>
            <w:tcBorders>
              <w:tl2br w:val="nil"/>
              <w:tr2bl w:val="nil"/>
            </w:tcBorders>
            <w:shd w:val="clear" w:color="auto" w:fill="auto"/>
            <w:noWrap/>
            <w:vAlign w:val="center"/>
          </w:tcPr>
          <w:p w14:paraId="2B53E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r w14:paraId="6007C5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74E18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沿水平方向</w:t>
            </w:r>
          </w:p>
        </w:tc>
        <w:tc>
          <w:tcPr>
            <w:tcW w:w="857" w:type="dxa"/>
            <w:tcBorders>
              <w:tl2br w:val="nil"/>
              <w:tr2bl w:val="nil"/>
            </w:tcBorders>
            <w:shd w:val="clear" w:color="auto" w:fill="auto"/>
            <w:noWrap/>
            <w:vAlign w:val="center"/>
          </w:tcPr>
          <w:p w14:paraId="0366C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r>
              <w:rPr>
                <w:rFonts w:hint="eastAsia" w:ascii="宋体" w:hAnsi="宋体" w:eastAsia="宋体"/>
                <w:highlight w:val="none"/>
                <w:lang w:val="en-US" w:eastAsia="zh-CN"/>
              </w:rPr>
              <w:t>0</w:t>
            </w:r>
          </w:p>
        </w:tc>
        <w:tc>
          <w:tcPr>
            <w:tcW w:w="1129" w:type="dxa"/>
            <w:tcBorders>
              <w:tl2br w:val="nil"/>
              <w:tr2bl w:val="nil"/>
            </w:tcBorders>
            <w:shd w:val="clear" w:color="auto" w:fill="auto"/>
            <w:noWrap/>
            <w:vAlign w:val="center"/>
          </w:tcPr>
          <w:p w14:paraId="76867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1129" w:type="dxa"/>
            <w:tcBorders>
              <w:tl2br w:val="nil"/>
              <w:tr2bl w:val="nil"/>
            </w:tcBorders>
            <w:shd w:val="clear" w:color="auto" w:fill="auto"/>
            <w:noWrap/>
            <w:vAlign w:val="center"/>
          </w:tcPr>
          <w:p w14:paraId="4F40A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w:t>
            </w:r>
            <w:r>
              <w:rPr>
                <w:rFonts w:hint="eastAsia" w:ascii="宋体" w:hAnsi="宋体" w:eastAsia="宋体"/>
                <w:highlight w:val="none"/>
                <w:lang w:val="en-US" w:eastAsia="zh-CN"/>
              </w:rPr>
              <w:t>.0</w:t>
            </w:r>
          </w:p>
        </w:tc>
        <w:tc>
          <w:tcPr>
            <w:tcW w:w="1654" w:type="dxa"/>
            <w:tcBorders>
              <w:tl2br w:val="nil"/>
              <w:tr2bl w:val="nil"/>
            </w:tcBorders>
            <w:shd w:val="clear" w:color="auto" w:fill="auto"/>
            <w:noWrap/>
            <w:vAlign w:val="center"/>
          </w:tcPr>
          <w:p w14:paraId="3332F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867" w:type="dxa"/>
            <w:tcBorders>
              <w:tl2br w:val="nil"/>
              <w:tr2bl w:val="nil"/>
            </w:tcBorders>
            <w:shd w:val="clear" w:color="auto" w:fill="auto"/>
            <w:noWrap/>
            <w:vAlign w:val="center"/>
          </w:tcPr>
          <w:p w14:paraId="20DB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bl>
    <w:p w14:paraId="4DA858A3">
      <w:pPr>
        <w:bidi w:val="0"/>
        <w:spacing w:line="360" w:lineRule="auto"/>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w:t>
      </w:r>
      <w:r>
        <w:rPr>
          <w:rFonts w:hint="eastAsia"/>
          <w:highlight w:val="none"/>
          <w:lang w:val="en-US" w:eastAsia="zh-CN"/>
        </w:rPr>
        <w:t>6</w:t>
      </w:r>
      <w:r>
        <w:rPr>
          <w:rFonts w:hint="eastAsia" w:ascii="宋体" w:hAnsi="宋体" w:eastAsia="宋体"/>
          <w:highlight w:val="none"/>
          <w:lang w:val="en-US" w:eastAsia="zh-CN"/>
        </w:rPr>
        <w:t>）</w:t>
      </w:r>
      <w:r>
        <w:rPr>
          <w:rFonts w:hint="default" w:ascii="宋体" w:hAnsi="宋体" w:eastAsia="宋体"/>
          <w:highlight w:val="none"/>
          <w:lang w:val="en-US" w:eastAsia="zh-CN"/>
        </w:rPr>
        <w:t>两台塔机之间的最小架设距离应保证处于低位塔机的起重臂端部与另一台塔机的塔身之间至少有2m的距离</w:t>
      </w:r>
      <w:r>
        <w:rPr>
          <w:rFonts w:hint="eastAsia" w:ascii="宋体" w:hAnsi="宋体" w:eastAsia="宋体"/>
          <w:highlight w:val="none"/>
          <w:lang w:val="en-US" w:eastAsia="zh-CN"/>
        </w:rPr>
        <w:t>；</w:t>
      </w:r>
      <w:r>
        <w:rPr>
          <w:rFonts w:hint="default" w:ascii="宋体" w:hAnsi="宋体" w:eastAsia="宋体"/>
          <w:highlight w:val="none"/>
          <w:lang w:val="en-US" w:eastAsia="zh-CN"/>
        </w:rPr>
        <w:t>处于高位塔机的最低位置的部件</w:t>
      </w:r>
      <w:r>
        <w:rPr>
          <w:rFonts w:hint="eastAsia" w:ascii="宋体" w:hAnsi="宋体" w:eastAsia="宋体"/>
          <w:highlight w:val="none"/>
          <w:lang w:val="en-US" w:eastAsia="zh-CN"/>
        </w:rPr>
        <w:t>（</w:t>
      </w:r>
      <w:r>
        <w:rPr>
          <w:rFonts w:hint="default" w:ascii="宋体" w:hAnsi="宋体" w:eastAsia="宋体"/>
          <w:highlight w:val="none"/>
          <w:lang w:val="en-US" w:eastAsia="zh-CN"/>
        </w:rPr>
        <w:t>吊钩升至最高点或平衡重的最低部位</w:t>
      </w:r>
      <w:r>
        <w:rPr>
          <w:rFonts w:hint="eastAsia" w:ascii="宋体" w:hAnsi="宋体" w:eastAsia="宋体"/>
          <w:highlight w:val="none"/>
          <w:lang w:val="en-US" w:eastAsia="zh-CN"/>
        </w:rPr>
        <w:t>）</w:t>
      </w:r>
      <w:r>
        <w:rPr>
          <w:rFonts w:hint="default" w:ascii="宋体" w:hAnsi="宋体" w:eastAsia="宋体"/>
          <w:highlight w:val="none"/>
          <w:lang w:val="en-US" w:eastAsia="zh-CN"/>
        </w:rPr>
        <w:t>与低位塔机中处于最高位置部件之间的垂直距离不应小于2m</w:t>
      </w:r>
      <w:r>
        <w:rPr>
          <w:rFonts w:hint="eastAsia" w:ascii="宋体" w:hAnsi="宋体" w:eastAsia="宋体"/>
          <w:highlight w:val="none"/>
          <w:lang w:val="en-US" w:eastAsia="zh-CN"/>
        </w:rPr>
        <w:t>。</w:t>
      </w:r>
    </w:p>
    <w:p w14:paraId="51B1023A">
      <w:pPr>
        <w:bidi w:val="0"/>
        <w:ind w:left="0" w:leftChars="0" w:firstLine="0" w:firstLineChars="0"/>
        <w:jc w:val="center"/>
        <w:rPr>
          <w:highlight w:val="none"/>
        </w:rPr>
      </w:pPr>
      <w:r>
        <w:rPr>
          <w:highlight w:val="none"/>
        </w:rPr>
        <w:drawing>
          <wp:inline distT="0" distB="0" distL="0" distR="0">
            <wp:extent cx="2167890" cy="3743325"/>
            <wp:effectExtent l="0" t="0" r="381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1"/>
                    <a:srcRect l="8275" t="3236" r="4255" b="2941"/>
                    <a:stretch>
                      <a:fillRect/>
                    </a:stretch>
                  </pic:blipFill>
                  <pic:spPr>
                    <a:xfrm>
                      <a:off x="0" y="0"/>
                      <a:ext cx="2167890" cy="3743325"/>
                    </a:xfrm>
                    <a:prstGeom prst="rect">
                      <a:avLst/>
                    </a:prstGeom>
                    <a:ln>
                      <a:noFill/>
                    </a:ln>
                  </pic:spPr>
                </pic:pic>
              </a:graphicData>
            </a:graphic>
          </wp:inline>
        </w:drawing>
      </w:r>
    </w:p>
    <w:p w14:paraId="644A64CB">
      <w:pPr>
        <w:pStyle w:val="15"/>
        <w:bidi w:val="0"/>
        <w:ind w:left="0" w:leftChars="0" w:firstLine="0" w:firstLineChars="0"/>
        <w:jc w:val="center"/>
        <w:rPr>
          <w:rFonts w:hint="default" w:eastAsia="黑体"/>
          <w:highlight w:val="none"/>
          <w:lang w:val="en-US" w:eastAsia="zh-CN"/>
        </w:rPr>
      </w:pPr>
      <w:r>
        <w:t xml:space="preserve">图 </w:t>
      </w:r>
      <w:r>
        <w:fldChar w:fldCharType="begin"/>
      </w:r>
      <w:r>
        <w:instrText xml:space="preserve"> STYLEREF 3 \s </w:instrText>
      </w:r>
      <w:r>
        <w:fldChar w:fldCharType="separate"/>
      </w:r>
      <w:r>
        <w:t>4.3.2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相邻塔机安装示意图</w:t>
      </w:r>
    </w:p>
    <w:p w14:paraId="007C6CB6">
      <w:pPr>
        <w:pStyle w:val="4"/>
        <w:bidi w:val="0"/>
        <w:ind w:left="720" w:leftChars="0" w:hanging="720" w:firstLineChars="0"/>
        <w:rPr>
          <w:rFonts w:hint="default"/>
          <w:lang w:val="en-US"/>
        </w:rPr>
      </w:pPr>
      <w:r>
        <w:rPr>
          <w:rFonts w:hint="eastAsia"/>
        </w:rPr>
        <w:t>工索具、起重设备</w:t>
      </w:r>
      <w:r>
        <w:rPr>
          <w:rFonts w:hint="eastAsia"/>
          <w:lang w:val="en-US" w:eastAsia="zh-CN"/>
        </w:rPr>
        <w:t>准备</w:t>
      </w:r>
    </w:p>
    <w:p w14:paraId="1589AD04">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（1）准备好安装人员的安全带，安全绳，防滑鞋，安全帽等。</w:t>
      </w:r>
    </w:p>
    <w:p w14:paraId="4FABCD2E">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（2）定好吊装主要部件的尺寸，重量，高度，确定起重设备规格，并准备好吊装机具，安装工具（扳手、大锤、钢丝绳、手拉葫芦、氧气乙炔）等。</w:t>
      </w:r>
    </w:p>
    <w:p w14:paraId="016BFDB2">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（3）所有起重设备应进行试吊，确保设备完好。</w:t>
      </w:r>
    </w:p>
    <w:p w14:paraId="629301A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（4）所有手动吊装、焊接、测量等工具，均需经计量检验合格，方可用于本工程。</w:t>
      </w:r>
    </w:p>
    <w:p w14:paraId="2FAA8BD8">
      <w:pPr>
        <w:pStyle w:val="4"/>
        <w:bidi w:val="0"/>
        <w:ind w:left="720" w:leftChars="0" w:hanging="720" w:firstLineChars="0"/>
        <w:rPr>
          <w:rFonts w:hint="default"/>
          <w:lang w:val="en-US"/>
        </w:rPr>
      </w:pPr>
      <w:r>
        <w:rPr>
          <w:rFonts w:hint="eastAsia"/>
          <w:lang w:val="en-US" w:eastAsia="zh-CN"/>
        </w:rPr>
        <w:t>检查准备</w:t>
      </w:r>
    </w:p>
    <w:p w14:paraId="5169E823">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正式施工前，做好主要施工机具和分项工艺的检验工作。根据检验结果，对工艺进行进一步的修改及细化。</w:t>
      </w:r>
    </w:p>
    <w:p w14:paraId="46BF7F5C">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（1）设备检查</w:t>
      </w:r>
    </w:p>
    <w:p w14:paraId="7EFE75D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a</w:t>
      </w:r>
      <w:r>
        <w:rPr>
          <w:rFonts w:hint="eastAsia"/>
          <w:highlight w:val="none"/>
          <w:lang w:eastAsia="zh-CN"/>
        </w:rPr>
        <w:t>塔机</w:t>
      </w:r>
      <w:r>
        <w:rPr>
          <w:rFonts w:hint="eastAsia" w:ascii="宋体" w:hAnsi="宋体" w:eastAsia="宋体"/>
          <w:highlight w:val="none"/>
        </w:rPr>
        <w:t>所有钢构件无变形、无裂纹；</w:t>
      </w:r>
      <w:r>
        <w:rPr>
          <w:rFonts w:hint="eastAsia"/>
          <w:highlight w:val="none"/>
          <w:lang w:eastAsia="zh-CN"/>
        </w:rPr>
        <w:t>塔机</w:t>
      </w:r>
      <w:r>
        <w:rPr>
          <w:rFonts w:hint="eastAsia" w:ascii="宋体" w:hAnsi="宋体" w:eastAsia="宋体"/>
          <w:highlight w:val="none"/>
        </w:rPr>
        <w:t>所有电机机座是否固定牢靠，传动部位有无变形、裂纹；</w:t>
      </w:r>
    </w:p>
    <w:p w14:paraId="6E7FC72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b</w:t>
      </w:r>
      <w:r>
        <w:rPr>
          <w:rFonts w:hint="eastAsia"/>
          <w:highlight w:val="none"/>
          <w:lang w:eastAsia="zh-CN"/>
        </w:rPr>
        <w:t>塔机</w:t>
      </w:r>
      <w:r>
        <w:rPr>
          <w:rFonts w:hint="eastAsia" w:ascii="宋体" w:hAnsi="宋体" w:eastAsia="宋体"/>
          <w:highlight w:val="none"/>
        </w:rPr>
        <w:t>所有滑轮部位有无防钢丝绳脱槽装置，滑轮轴有无磨损，滑轮座是否固定牢靠；</w:t>
      </w:r>
      <w:r>
        <w:rPr>
          <w:rFonts w:hint="eastAsia"/>
          <w:highlight w:val="none"/>
          <w:lang w:eastAsia="zh-CN"/>
        </w:rPr>
        <w:t>塔机</w:t>
      </w:r>
      <w:r>
        <w:rPr>
          <w:rFonts w:hint="eastAsia" w:ascii="宋体" w:hAnsi="宋体" w:eastAsia="宋体"/>
          <w:highlight w:val="none"/>
        </w:rPr>
        <w:t>所有防护栏杆是否完好，焊接牢靠，无锈蚀；</w:t>
      </w:r>
    </w:p>
    <w:p w14:paraId="02C340F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c</w:t>
      </w:r>
      <w:r>
        <w:rPr>
          <w:rFonts w:hint="eastAsia"/>
          <w:highlight w:val="none"/>
          <w:lang w:eastAsia="zh-CN"/>
        </w:rPr>
        <w:t>塔机</w:t>
      </w:r>
      <w:r>
        <w:rPr>
          <w:rFonts w:hint="eastAsia" w:ascii="宋体" w:hAnsi="宋体" w:eastAsia="宋体"/>
          <w:highlight w:val="none"/>
        </w:rPr>
        <w:t>所有柱销孔和销柱体符合要求，无晃动、无严重磨损；</w:t>
      </w:r>
    </w:p>
    <w:p w14:paraId="3631657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d</w:t>
      </w:r>
      <w:r>
        <w:rPr>
          <w:rFonts w:hint="eastAsia"/>
          <w:highlight w:val="none"/>
          <w:lang w:eastAsia="zh-CN"/>
        </w:rPr>
        <w:t>塔机</w:t>
      </w:r>
      <w:r>
        <w:rPr>
          <w:rFonts w:hint="eastAsia" w:ascii="宋体" w:hAnsi="宋体" w:eastAsia="宋体"/>
          <w:highlight w:val="none"/>
        </w:rPr>
        <w:t>所有柱销上的开口销是否配套，并开口；</w:t>
      </w:r>
    </w:p>
    <w:p w14:paraId="173292B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e检查钢丝绳磨损状况；检查顶升套架围栏支撑连接部位部件是否完好；</w:t>
      </w:r>
    </w:p>
    <w:p w14:paraId="25339D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f检查顶升套架机构滑动部位及支撑的爪钩等处是否完好；</w:t>
      </w:r>
    </w:p>
    <w:p w14:paraId="22A8C7D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 xml:space="preserve">g检查顶升套架标准节安装推入机构是否完好，各部件无变形； </w:t>
      </w:r>
    </w:p>
    <w:p w14:paraId="7131C63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h检查回转支撑机构是否润滑良好，螺栓是否紧固；</w:t>
      </w:r>
    </w:p>
    <w:p w14:paraId="739EFBB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i检查电器是否完好无损，电缆线无老化、裸露，各电气绝缘保证良好；</w:t>
      </w:r>
    </w:p>
    <w:p w14:paraId="394BD18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2CA1520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k检查刹车部位是否完好，刹车皮是否磨损严重；</w:t>
      </w:r>
    </w:p>
    <w:p w14:paraId="04B8435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l查</w:t>
      </w:r>
      <w:r>
        <w:rPr>
          <w:rFonts w:hint="eastAsia"/>
          <w:highlight w:val="none"/>
          <w:lang w:eastAsia="zh-CN"/>
        </w:rPr>
        <w:t>塔机</w:t>
      </w:r>
      <w:r>
        <w:rPr>
          <w:rFonts w:hint="eastAsia" w:ascii="宋体" w:hAnsi="宋体" w:eastAsia="宋体"/>
          <w:highlight w:val="none"/>
        </w:rPr>
        <w:t>小车行走轮是否润滑良好，有无严重磨损和裂纹；检查配重、配重吊环是否牢固，完好。</w:t>
      </w:r>
    </w:p>
    <w:p w14:paraId="24362B61">
      <w:pPr>
        <w:pStyle w:val="3"/>
        <w:bidi w:val="0"/>
        <w:ind w:left="575" w:leftChars="0" w:hanging="575" w:firstLineChars="0"/>
        <w:rPr>
          <w:rFonts w:hint="eastAsia"/>
        </w:rPr>
      </w:pPr>
      <w:bookmarkStart w:id="162" w:name="_Toc4365"/>
      <w:bookmarkStart w:id="163" w:name="_Toc18873"/>
      <w:r>
        <w:rPr>
          <w:rFonts w:hint="eastAsia"/>
        </w:rPr>
        <w:t xml:space="preserve"> </w:t>
      </w:r>
      <w:bookmarkStart w:id="164" w:name="_Toc6491"/>
      <w:r>
        <w:rPr>
          <w:rFonts w:hint="eastAsia"/>
        </w:rPr>
        <w:t>塔机安装具体步骤</w:t>
      </w:r>
      <w:bookmarkEnd w:id="162"/>
      <w:bookmarkEnd w:id="163"/>
      <w:bookmarkEnd w:id="164"/>
    </w:p>
    <w:p w14:paraId="60F0F265">
      <w:pPr>
        <w:pStyle w:val="4"/>
        <w:bidi w:val="0"/>
        <w:ind w:left="720" w:leftChars="0" w:hanging="720" w:firstLineChars="0"/>
        <w:rPr>
          <w:rFonts w:hint="default"/>
          <w:lang w:val="en-US" w:eastAsia="zh-CN"/>
        </w:rPr>
      </w:pPr>
      <w:r>
        <w:rPr>
          <w:rFonts w:hint="eastAsia"/>
          <w:lang w:eastAsia="zh-CN"/>
        </w:rPr>
        <w:t>塔机</w:t>
      </w:r>
      <w:r>
        <w:rPr>
          <w:rFonts w:hint="eastAsia"/>
        </w:rPr>
        <w:t>基础</w:t>
      </w:r>
    </w:p>
    <w:p w14:paraId="4350E5DA">
      <w:pPr>
        <w:bidi w:val="0"/>
        <w:ind w:firstLine="480" w:firstLineChars="200"/>
        <w:rPr>
          <w:rFonts w:hint="default"/>
          <w:highlight w:val="none"/>
          <w:lang w:val="en-US" w:eastAsia="zh-CN"/>
        </w:rPr>
      </w:pPr>
      <w:bookmarkStart w:id="165" w:name="_Toc436231006"/>
      <w:bookmarkStart w:id="166" w:name="_Toc436231254"/>
      <w:bookmarkStart w:id="167" w:name="_Toc530055670"/>
      <w:bookmarkStart w:id="168" w:name="_Toc455129802"/>
      <w:bookmarkStart w:id="169" w:name="_Toc437075970"/>
      <w:r>
        <w:rPr>
          <w:rFonts w:hint="eastAsia"/>
          <w:highlight w:val="none"/>
          <w:lang w:val="en-US" w:eastAsia="zh-CN"/>
        </w:rPr>
        <w:t>徐工XGT7525-16塔机</w:t>
      </w:r>
      <w:r>
        <w:rPr>
          <w:rFonts w:hint="default"/>
          <w:highlight w:val="none"/>
          <w:lang w:val="en-US" w:eastAsia="zh-CN"/>
        </w:rPr>
        <w:t>基础</w:t>
      </w:r>
      <w:r>
        <w:rPr>
          <w:rFonts w:hint="eastAsia"/>
          <w:lang w:val="en-US" w:eastAsia="zh-CN"/>
        </w:rPr>
        <w:t>采用混凝土基础形式，地基承载力≥0.2MPa，如现场地耐力不符合，根据说明书选择对应的基础尺寸</w:t>
      </w:r>
      <w:r>
        <w:rPr>
          <w:rFonts w:hint="default"/>
          <w:highlight w:val="none"/>
          <w:lang w:val="en-US" w:eastAsia="zh-CN"/>
        </w:rPr>
        <w:t>。如下图、表所示：</w:t>
      </w:r>
    </w:p>
    <w:p w14:paraId="6DEB31FD">
      <w:pPr>
        <w:pStyle w:val="15"/>
        <w:bidi w:val="0"/>
      </w:pPr>
      <w:r>
        <w:drawing>
          <wp:inline distT="0" distB="0" distL="114300" distR="114300">
            <wp:extent cx="2834005" cy="3857625"/>
            <wp:effectExtent l="0" t="0" r="444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2834005" cy="3857625"/>
                    </a:xfrm>
                    <a:prstGeom prst="rect">
                      <a:avLst/>
                    </a:prstGeom>
                    <a:noFill/>
                    <a:ln>
                      <a:noFill/>
                    </a:ln>
                  </pic:spPr>
                </pic:pic>
              </a:graphicData>
            </a:graphic>
          </wp:inline>
        </w:drawing>
      </w:r>
      <w:r>
        <w:drawing>
          <wp:inline distT="0" distB="0" distL="114300" distR="114300">
            <wp:extent cx="5267325" cy="1648460"/>
            <wp:effectExtent l="0" t="0" r="9525"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5267325" cy="1648460"/>
                    </a:xfrm>
                    <a:prstGeom prst="rect">
                      <a:avLst/>
                    </a:prstGeom>
                    <a:noFill/>
                    <a:ln>
                      <a:noFill/>
                    </a:ln>
                  </pic:spPr>
                </pic:pic>
              </a:graphicData>
            </a:graphic>
          </wp:inline>
        </w:drawing>
      </w:r>
    </w:p>
    <w:p w14:paraId="028E6802">
      <w:pPr>
        <w:pStyle w:val="15"/>
      </w:pPr>
      <w:r>
        <w:t xml:space="preserve">图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塔</w:t>
      </w:r>
      <w:r>
        <w:rPr>
          <w:rFonts w:hint="default"/>
          <w:highlight w:val="none"/>
          <w:lang w:val="en-US" w:eastAsia="zh-CN"/>
        </w:rPr>
        <w:t>机基础施工图</w:t>
      </w:r>
    </w:p>
    <w:bookmarkEnd w:id="165"/>
    <w:bookmarkEnd w:id="166"/>
    <w:bookmarkEnd w:id="167"/>
    <w:bookmarkEnd w:id="168"/>
    <w:bookmarkEnd w:id="169"/>
    <w:p w14:paraId="060799AD">
      <w:pPr>
        <w:pStyle w:val="4"/>
        <w:bidi w:val="0"/>
        <w:ind w:left="720" w:leftChars="0" w:hanging="720" w:firstLineChars="0"/>
        <w:rPr>
          <w:rFonts w:hint="default"/>
          <w:lang w:val="en-US" w:eastAsia="zh-CN"/>
        </w:rPr>
      </w:pPr>
      <w:bookmarkStart w:id="170" w:name="_Toc27855"/>
      <w:bookmarkStart w:id="171" w:name="_Toc21000"/>
      <w:bookmarkStart w:id="172" w:name="_Toc29396"/>
      <w:r>
        <w:rPr>
          <w:rFonts w:hint="eastAsia"/>
          <w:lang w:val="en-US" w:eastAsia="zh-CN"/>
        </w:rPr>
        <w:t>塔机安装步骤</w:t>
      </w:r>
      <w:bookmarkEnd w:id="170"/>
      <w:bookmarkEnd w:id="171"/>
      <w:bookmarkEnd w:id="172"/>
    </w:p>
    <w:p w14:paraId="7521C7B3">
      <w:pPr>
        <w:spacing w:line="360" w:lineRule="auto"/>
        <w:ind w:firstLine="480" w:firstLineChars="200"/>
        <w:rPr>
          <w:rFonts w:hint="default"/>
          <w:highlight w:val="none"/>
          <w:lang w:val="en-US" w:eastAsia="zh-CN"/>
        </w:rPr>
      </w:pPr>
      <w:bookmarkStart w:id="173" w:name="_Toc16960"/>
      <w:bookmarkStart w:id="174" w:name="_Toc12424"/>
      <w:bookmarkStart w:id="175" w:name="_Toc26757"/>
      <w:r>
        <w:rPr>
          <w:rFonts w:hint="eastAsia"/>
          <w:highlight w:val="none"/>
          <w:lang w:val="en-US" w:eastAsia="zh-CN"/>
        </w:rPr>
        <w:t>安装2节基础节→安装爬升架→安装特殊节、回转总成→安装起重臂臂节一→安装平衡臂、平衡臂拉杆→安装1块3.2t平衡重→安装剩余起重臂→安装剩余平衡重→穿绕牵引、起升钢丝绳→塔机试运行</w:t>
      </w:r>
    </w:p>
    <w:p w14:paraId="4EC434BB">
      <w:pPr>
        <w:pStyle w:val="4"/>
        <w:bidi w:val="0"/>
        <w:ind w:left="720" w:leftChars="0" w:hanging="720" w:firstLineChars="0"/>
        <w:rPr>
          <w:rFonts w:hint="default"/>
          <w:lang w:val="en-US" w:eastAsia="zh-CN"/>
        </w:rPr>
      </w:pPr>
      <w:r>
        <w:rPr>
          <w:rFonts w:hint="eastAsia"/>
          <w:lang w:val="en-US" w:eastAsia="zh-CN"/>
        </w:rPr>
        <w:t xml:space="preserve"> XGT7525-16塔机</w:t>
      </w:r>
      <w:r>
        <w:rPr>
          <w:rFonts w:hint="default"/>
          <w:lang w:val="en-US" w:eastAsia="zh-CN"/>
        </w:rPr>
        <w:t>安装</w:t>
      </w:r>
      <w:bookmarkEnd w:id="173"/>
      <w:bookmarkEnd w:id="174"/>
      <w:bookmarkEnd w:id="175"/>
    </w:p>
    <w:p w14:paraId="68E66589">
      <w:pPr>
        <w:pStyle w:val="5"/>
        <w:bidi w:val="0"/>
        <w:rPr>
          <w:rFonts w:hint="default"/>
          <w:highlight w:val="none"/>
          <w:lang w:val="en-US" w:eastAsia="zh-CN"/>
        </w:rPr>
      </w:pPr>
      <w:r>
        <w:rPr>
          <w:rFonts w:hint="eastAsia"/>
          <w:highlight w:val="none"/>
          <w:lang w:val="en-US" w:eastAsia="zh-CN"/>
        </w:rPr>
        <w:t>吊装设备的设置</w:t>
      </w:r>
    </w:p>
    <w:p w14:paraId="41662F48">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塔吊各安装部件重量表及吊点位置</w:t>
      </w:r>
    </w:p>
    <w:p w14:paraId="57D9B081">
      <w:pPr>
        <w:bidi w:val="0"/>
        <w:ind w:firstLine="480" w:firstLineChars="200"/>
        <w:rPr>
          <w:highlight w:val="none"/>
        </w:rPr>
      </w:pPr>
      <w:r>
        <w:rPr>
          <w:rFonts w:hint="eastAsia"/>
          <w:highlight w:val="none"/>
        </w:rPr>
        <w:t>安装臂架时吊索吊挂的位置：</w:t>
      </w:r>
    </w:p>
    <w:p w14:paraId="176620CF">
      <w:pPr>
        <w:spacing w:line="360" w:lineRule="auto"/>
        <w:ind w:left="0" w:leftChars="0" w:firstLine="0" w:firstLineChars="0"/>
        <w:jc w:val="center"/>
        <w:rPr>
          <w:color w:val="000000"/>
          <w:szCs w:val="21"/>
          <w:highlight w:val="none"/>
        </w:rPr>
      </w:pPr>
      <w:r>
        <w:rPr>
          <w:color w:val="000000"/>
          <w:sz w:val="24"/>
          <w:szCs w:val="24"/>
          <w:highlight w:val="none"/>
        </w:rPr>
        <w:drawing>
          <wp:inline distT="0" distB="0" distL="114300" distR="114300">
            <wp:extent cx="4087495" cy="1127760"/>
            <wp:effectExtent l="0" t="0" r="8255" b="152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24"/>
                    <a:stretch>
                      <a:fillRect/>
                    </a:stretch>
                  </pic:blipFill>
                  <pic:spPr>
                    <a:xfrm>
                      <a:off x="0" y="0"/>
                      <a:ext cx="4087495" cy="1127760"/>
                    </a:xfrm>
                    <a:prstGeom prst="rect">
                      <a:avLst/>
                    </a:prstGeom>
                    <a:noFill/>
                    <a:ln w="9525" cap="flat" cmpd="sng">
                      <a:noFill/>
                      <a:prstDash val="solid"/>
                      <a:miter/>
                      <a:headEnd type="none" w="med" len="med"/>
                      <a:tailEnd type="none" w="med" len="med"/>
                    </a:ln>
                  </pic:spPr>
                </pic:pic>
              </a:graphicData>
            </a:graphic>
          </wp:inline>
        </w:drawing>
      </w:r>
    </w:p>
    <w:p w14:paraId="17E3BDF3">
      <w:pPr>
        <w:pStyle w:val="15"/>
        <w:rPr>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w:t>
      </w:r>
      <w:r>
        <w:rPr>
          <w:highlight w:val="none"/>
        </w:rPr>
        <w:fldChar w:fldCharType="end"/>
      </w:r>
      <w:r>
        <w:rPr>
          <w:rFonts w:hint="eastAsia"/>
          <w:highlight w:val="none"/>
        </w:rPr>
        <w:t>各个安装部件上均设置有固定吊点</w:t>
      </w:r>
      <w:bookmarkStart w:id="176" w:name="_Toc320967324"/>
    </w:p>
    <w:bookmarkEnd w:id="176"/>
    <w:p w14:paraId="3B729702">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塔吊安装用吊车型号、性能及布置位置</w:t>
      </w:r>
    </w:p>
    <w:p w14:paraId="3212DAE8">
      <w:pPr>
        <w:ind w:firstLine="480" w:firstLineChars="200"/>
        <w:rPr>
          <w:rFonts w:hint="default"/>
          <w:highlight w:val="none"/>
          <w:lang w:val="en-US" w:eastAsia="zh-CN"/>
        </w:rPr>
      </w:pPr>
      <w:r>
        <w:rPr>
          <w:rFonts w:hint="eastAsia"/>
          <w:highlight w:val="none"/>
          <w:lang w:val="en-US" w:eastAsia="zh-CN"/>
        </w:rPr>
        <w:t>XGT7525-16</w:t>
      </w:r>
      <w:r>
        <w:rPr>
          <w:rFonts w:hint="default"/>
          <w:highlight w:val="none"/>
          <w:lang w:val="en-US" w:eastAsia="zh-CN"/>
        </w:rPr>
        <w:t>塔吊安装汽车吊选择为：选用一台</w:t>
      </w:r>
      <w:r>
        <w:rPr>
          <w:rFonts w:hint="eastAsia"/>
          <w:highlight w:val="none"/>
          <w:lang w:val="en-US" w:eastAsia="zh-CN"/>
        </w:rPr>
        <w:t>50吨</w:t>
      </w:r>
      <w:r>
        <w:rPr>
          <w:rFonts w:hint="default"/>
          <w:highlight w:val="none"/>
          <w:lang w:val="en-US" w:eastAsia="zh-CN"/>
        </w:rPr>
        <w:t>汽车吊进行塔吊部件组装同时进行吊装，工作半径1</w:t>
      </w:r>
      <w:r>
        <w:rPr>
          <w:rFonts w:hint="eastAsia"/>
          <w:highlight w:val="none"/>
          <w:lang w:val="en-US" w:eastAsia="zh-CN"/>
        </w:rPr>
        <w:t>6</w:t>
      </w:r>
      <w:r>
        <w:rPr>
          <w:rFonts w:hint="default"/>
          <w:highlight w:val="none"/>
          <w:lang w:val="en-US" w:eastAsia="zh-CN"/>
        </w:rPr>
        <w:t>米</w:t>
      </w:r>
      <w:r>
        <w:rPr>
          <w:rFonts w:hint="eastAsia"/>
          <w:highlight w:val="none"/>
          <w:lang w:val="en-US" w:eastAsia="zh-CN"/>
        </w:rPr>
        <w:t>，</w:t>
      </w:r>
      <w:r>
        <w:rPr>
          <w:rFonts w:hint="default"/>
          <w:highlight w:val="none"/>
          <w:lang w:val="en-US" w:eastAsia="zh-CN"/>
        </w:rPr>
        <w:t>满足使用要求。</w:t>
      </w:r>
    </w:p>
    <w:p w14:paraId="483E3020">
      <w:pPr>
        <w:ind w:firstLine="480" w:firstLineChars="200"/>
        <w:rPr>
          <w:rFonts w:hint="default"/>
          <w:highlight w:val="none"/>
          <w:lang w:val="en-US" w:eastAsia="zh-CN"/>
        </w:rPr>
      </w:pPr>
    </w:p>
    <w:p w14:paraId="5C8435A0">
      <w:pPr>
        <w:pStyle w:val="15"/>
        <w:keepNext/>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highlight w:val="none"/>
          <w:lang w:val="en-US" w:eastAsia="zh-CN"/>
        </w:rPr>
      </w:pPr>
      <w:r>
        <w:t xml:space="preserve">表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XGT7525-16塔吊各部件重量表</w:t>
      </w:r>
    </w:p>
    <w:p w14:paraId="1359B0B7">
      <w:pPr>
        <w:jc w:val="center"/>
        <w:rPr>
          <w:rFonts w:hint="default"/>
          <w:highlight w:val="none"/>
          <w:lang w:val="en-US" w:eastAsia="zh-CN"/>
        </w:rPr>
      </w:pPr>
      <w:r>
        <w:rPr>
          <w:highlight w:val="none"/>
        </w:rPr>
        <w:drawing>
          <wp:inline distT="0" distB="0" distL="114300" distR="114300">
            <wp:extent cx="5332730" cy="7284085"/>
            <wp:effectExtent l="0" t="0" r="1270" b="12065"/>
            <wp:docPr id="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pic:cNvPicPr>
                      <a:picLocks noChangeAspect="1"/>
                    </pic:cNvPicPr>
                  </pic:nvPicPr>
                  <pic:blipFill>
                    <a:blip r:embed="rId25"/>
                    <a:stretch>
                      <a:fillRect/>
                    </a:stretch>
                  </pic:blipFill>
                  <pic:spPr>
                    <a:xfrm>
                      <a:off x="0" y="0"/>
                      <a:ext cx="5332730" cy="7284085"/>
                    </a:xfrm>
                    <a:prstGeom prst="rect">
                      <a:avLst/>
                    </a:prstGeom>
                    <a:noFill/>
                    <a:ln>
                      <a:noFill/>
                    </a:ln>
                  </pic:spPr>
                </pic:pic>
              </a:graphicData>
            </a:graphic>
          </wp:inline>
        </w:drawing>
      </w:r>
      <w:r>
        <w:rPr>
          <w:highlight w:val="none"/>
        </w:rPr>
        <w:drawing>
          <wp:inline distT="0" distB="0" distL="114300" distR="114300">
            <wp:extent cx="5328920" cy="6639560"/>
            <wp:effectExtent l="0" t="0" r="5080" b="8890"/>
            <wp:docPr id="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pic:cNvPicPr>
                      <a:picLocks noChangeAspect="1"/>
                    </pic:cNvPicPr>
                  </pic:nvPicPr>
                  <pic:blipFill>
                    <a:blip r:embed="rId26"/>
                    <a:stretch>
                      <a:fillRect/>
                    </a:stretch>
                  </pic:blipFill>
                  <pic:spPr>
                    <a:xfrm>
                      <a:off x="0" y="0"/>
                      <a:ext cx="5328920" cy="6639560"/>
                    </a:xfrm>
                    <a:prstGeom prst="rect">
                      <a:avLst/>
                    </a:prstGeom>
                    <a:noFill/>
                    <a:ln>
                      <a:noFill/>
                    </a:ln>
                  </pic:spPr>
                </pic:pic>
              </a:graphicData>
            </a:graphic>
          </wp:inline>
        </w:drawing>
      </w:r>
      <w:r>
        <w:rPr>
          <w:highlight w:val="none"/>
        </w:rPr>
        <w:drawing>
          <wp:inline distT="0" distB="0" distL="114300" distR="114300">
            <wp:extent cx="5354955" cy="7265035"/>
            <wp:effectExtent l="0" t="0" r="17145" b="12065"/>
            <wp:docPr id="5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pic:cNvPicPr>
                      <a:picLocks noChangeAspect="1"/>
                    </pic:cNvPicPr>
                  </pic:nvPicPr>
                  <pic:blipFill>
                    <a:blip r:embed="rId27"/>
                    <a:stretch>
                      <a:fillRect/>
                    </a:stretch>
                  </pic:blipFill>
                  <pic:spPr>
                    <a:xfrm>
                      <a:off x="0" y="0"/>
                      <a:ext cx="5354955" cy="7265035"/>
                    </a:xfrm>
                    <a:prstGeom prst="rect">
                      <a:avLst/>
                    </a:prstGeom>
                    <a:noFill/>
                    <a:ln>
                      <a:noFill/>
                    </a:ln>
                  </pic:spPr>
                </pic:pic>
              </a:graphicData>
            </a:graphic>
          </wp:inline>
        </w:drawing>
      </w:r>
      <w:r>
        <w:rPr>
          <w:highlight w:val="none"/>
        </w:rPr>
        <w:drawing>
          <wp:inline distT="0" distB="0" distL="114300" distR="114300">
            <wp:extent cx="4619625" cy="6334125"/>
            <wp:effectExtent l="0" t="0" r="9525" b="9525"/>
            <wp:docPr id="1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
                    <pic:cNvPicPr>
                      <a:picLocks noChangeAspect="1"/>
                    </pic:cNvPicPr>
                  </pic:nvPicPr>
                  <pic:blipFill>
                    <a:blip r:embed="rId28"/>
                    <a:stretch>
                      <a:fillRect/>
                    </a:stretch>
                  </pic:blipFill>
                  <pic:spPr>
                    <a:xfrm>
                      <a:off x="0" y="0"/>
                      <a:ext cx="4619625" cy="6334125"/>
                    </a:xfrm>
                    <a:prstGeom prst="rect">
                      <a:avLst/>
                    </a:prstGeom>
                    <a:noFill/>
                    <a:ln>
                      <a:noFill/>
                    </a:ln>
                  </pic:spPr>
                </pic:pic>
              </a:graphicData>
            </a:graphic>
          </wp:inline>
        </w:drawing>
      </w:r>
    </w:p>
    <w:p w14:paraId="7F9BC603">
      <w:pPr>
        <w:bidi w:val="0"/>
        <w:ind w:left="0" w:leftChars="0" w:firstLine="0" w:firstLineChars="0"/>
        <w:jc w:val="center"/>
        <w:rPr>
          <w:highlight w:val="none"/>
        </w:rPr>
      </w:pPr>
      <w:r>
        <w:rPr>
          <w:highlight w:val="none"/>
        </w:rPr>
        <w:drawing>
          <wp:inline distT="0" distB="0" distL="114300" distR="114300">
            <wp:extent cx="5269230" cy="41529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9230" cy="4152900"/>
                    </a:xfrm>
                    <a:prstGeom prst="rect">
                      <a:avLst/>
                    </a:prstGeom>
                    <a:noFill/>
                    <a:ln>
                      <a:noFill/>
                    </a:ln>
                  </pic:spPr>
                </pic:pic>
              </a:graphicData>
            </a:graphic>
          </wp:inline>
        </w:drawing>
      </w:r>
    </w:p>
    <w:p w14:paraId="58FEE8E9">
      <w:pPr>
        <w:pStyle w:val="15"/>
        <w:bidi w:val="0"/>
        <w:ind w:left="0" w:leftChars="0" w:firstLine="0" w:firstLineChars="0"/>
        <w:jc w:val="center"/>
        <w:rPr>
          <w:rFonts w:hint="eastAsia"/>
          <w:highlight w:val="none"/>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50t</w:t>
      </w:r>
      <w:r>
        <w:rPr>
          <w:rFonts w:hint="eastAsia"/>
          <w:highlight w:val="none"/>
        </w:rPr>
        <w:t>汽车吊起重量表</w:t>
      </w:r>
    </w:p>
    <w:p w14:paraId="5B785F34">
      <w:pPr>
        <w:ind w:left="0" w:leftChars="0" w:firstLine="0" w:firstLineChars="0"/>
        <w:jc w:val="center"/>
        <w:rPr>
          <w:highlight w:val="none"/>
        </w:rPr>
      </w:pPr>
      <w:r>
        <w:rPr>
          <w:highlight w:val="none"/>
        </w:rPr>
        <w:drawing>
          <wp:inline distT="0" distB="0" distL="114300" distR="114300">
            <wp:extent cx="4795520" cy="3779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rcRect t="31759"/>
                    <a:stretch>
                      <a:fillRect/>
                    </a:stretch>
                  </pic:blipFill>
                  <pic:spPr>
                    <a:xfrm>
                      <a:off x="0" y="0"/>
                      <a:ext cx="4795520" cy="3779520"/>
                    </a:xfrm>
                    <a:prstGeom prst="rect">
                      <a:avLst/>
                    </a:prstGeom>
                    <a:noFill/>
                    <a:ln>
                      <a:noFill/>
                    </a:ln>
                  </pic:spPr>
                </pic:pic>
              </a:graphicData>
            </a:graphic>
          </wp:inline>
        </w:drawing>
      </w:r>
    </w:p>
    <w:p w14:paraId="6C97C7B6">
      <w:pPr>
        <w:pStyle w:val="15"/>
        <w:ind w:left="0" w:leftChars="0" w:firstLine="0" w:firstLineChars="0"/>
        <w:jc w:val="center"/>
        <w:rPr>
          <w:rFonts w:hint="eastAsia"/>
          <w:highlight w:val="none"/>
          <w:lang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highlight w:val="none"/>
          <w:lang w:val="en-US" w:eastAsia="zh-CN"/>
        </w:rPr>
        <w:t>50t汽车吊起重性能曲线图</w:t>
      </w:r>
    </w:p>
    <w:p w14:paraId="70083772">
      <w:pPr>
        <w:pStyle w:val="5"/>
        <w:bidi w:val="0"/>
        <w:rPr>
          <w:rFonts w:hint="eastAsia"/>
          <w:highlight w:val="none"/>
          <w:lang w:val="en-US" w:eastAsia="zh-CN"/>
        </w:rPr>
      </w:pPr>
      <w:r>
        <w:rPr>
          <w:rFonts w:hint="eastAsia" w:ascii="宋体" w:hAnsi="宋体" w:eastAsia="宋体" w:cs="宋体"/>
          <w:bCs/>
          <w:color w:val="000000" w:themeColor="text1"/>
          <w:highlight w:val="none"/>
          <w14:textFill>
            <w14:solidFill>
              <w14:schemeClr w14:val="tx1"/>
            </w14:solidFill>
          </w14:textFill>
        </w:rPr>
        <w:t>安装</w:t>
      </w:r>
      <w:r>
        <w:rPr>
          <w:rFonts w:hint="eastAsia" w:cs="宋体"/>
          <w:bCs/>
          <w:color w:val="000000" w:themeColor="text1"/>
          <w:highlight w:val="none"/>
          <w:lang w:val="en-US" w:eastAsia="zh-CN"/>
          <w14:textFill>
            <w14:solidFill>
              <w14:schemeClr w14:val="tx1"/>
            </w14:solidFill>
          </w14:textFill>
        </w:rPr>
        <w:t>2节</w:t>
      </w:r>
      <w:r>
        <w:rPr>
          <w:rFonts w:hint="eastAsia" w:ascii="宋体" w:hAnsi="宋体" w:eastAsia="宋体" w:cs="宋体"/>
          <w:bCs/>
          <w:color w:val="000000" w:themeColor="text1"/>
          <w:highlight w:val="none"/>
          <w14:textFill>
            <w14:solidFill>
              <w14:schemeClr w14:val="tx1"/>
            </w14:solidFill>
          </w14:textFill>
        </w:rPr>
        <w:t>基础节</w:t>
      </w:r>
    </w:p>
    <w:p w14:paraId="21E7E5D8">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eastAsia="宋体" w:cs="Times New Roman"/>
          <w:szCs w:val="21"/>
          <w:highlight w:val="none"/>
          <w:lang w:eastAsia="zh-CN"/>
        </w:rPr>
        <w:t>18mm6×19W+IWR1870Mpa</w:t>
      </w:r>
      <w:r>
        <w:rPr>
          <w:rFonts w:hint="eastAsia" w:ascii="Times New Roman" w:hAnsi="Times New Roman" w:eastAsia="宋体" w:cs="Times New Roman"/>
          <w:szCs w:val="21"/>
          <w:highlight w:val="none"/>
        </w:rPr>
        <w:t>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5073D612">
      <w:pPr>
        <w:ind w:left="0" w:leftChars="0" w:firstLine="420" w:firstLineChars="0"/>
        <w:jc w:val="left"/>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至塔吊固定支腿上方，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cs="Times New Roman"/>
          <w:szCs w:val="21"/>
          <w:highlight w:val="none"/>
          <w:lang w:val="en-US" w:eastAsia="zh-CN"/>
        </w:rPr>
        <w:t>以同样的方法安装第二节基础节，基础节</w:t>
      </w:r>
      <w:r>
        <w:rPr>
          <w:rFonts w:hint="eastAsia" w:ascii="Times New Roman" w:hAnsi="Times New Roman" w:eastAsia="宋体" w:cs="Times New Roman"/>
          <w:szCs w:val="21"/>
          <w:highlight w:val="none"/>
        </w:rPr>
        <w:t>吊装示意如下图所示</w:t>
      </w:r>
      <w:r>
        <w:rPr>
          <w:rFonts w:hint="eastAsia" w:cs="Times New Roman"/>
          <w:szCs w:val="21"/>
          <w:highlight w:val="none"/>
          <w:lang w:eastAsia="zh-CN"/>
        </w:rPr>
        <w:t>。</w:t>
      </w:r>
    </w:p>
    <w:p w14:paraId="45CFEBBF">
      <w:pPr>
        <w:ind w:left="0" w:leftChars="0" w:firstLine="420" w:firstLineChars="0"/>
        <w:jc w:val="center"/>
      </w:pPr>
      <w:r>
        <w:drawing>
          <wp:inline distT="0" distB="0" distL="114300" distR="114300">
            <wp:extent cx="3300095" cy="2714625"/>
            <wp:effectExtent l="0" t="0" r="14605" b="9525"/>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31"/>
                    <a:stretch>
                      <a:fillRect/>
                    </a:stretch>
                  </pic:blipFill>
                  <pic:spPr>
                    <a:xfrm>
                      <a:off x="0" y="0"/>
                      <a:ext cx="3300095" cy="2714625"/>
                    </a:xfrm>
                    <a:prstGeom prst="rect">
                      <a:avLst/>
                    </a:prstGeom>
                    <a:noFill/>
                    <a:ln>
                      <a:noFill/>
                    </a:ln>
                  </pic:spPr>
                </pic:pic>
              </a:graphicData>
            </a:graphic>
          </wp:inline>
        </w:drawing>
      </w:r>
    </w:p>
    <w:p w14:paraId="55026208">
      <w:pPr>
        <w:ind w:left="0" w:leftChars="0" w:firstLine="420" w:firstLineChars="0"/>
        <w:jc w:val="center"/>
        <w:rPr>
          <w:highlight w:val="none"/>
        </w:rPr>
      </w:pPr>
      <w:r>
        <w:rPr>
          <w:highlight w:val="none"/>
        </w:rPr>
        <w:drawing>
          <wp:inline distT="0" distB="0" distL="114300" distR="114300">
            <wp:extent cx="1715135" cy="3122930"/>
            <wp:effectExtent l="0" t="0" r="18415" b="127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32"/>
                    <a:stretch>
                      <a:fillRect/>
                    </a:stretch>
                  </pic:blipFill>
                  <pic:spPr>
                    <a:xfrm>
                      <a:off x="0" y="0"/>
                      <a:ext cx="1715135" cy="3122930"/>
                    </a:xfrm>
                    <a:prstGeom prst="rect">
                      <a:avLst/>
                    </a:prstGeom>
                    <a:noFill/>
                    <a:ln>
                      <a:noFill/>
                    </a:ln>
                  </pic:spPr>
                </pic:pic>
              </a:graphicData>
            </a:graphic>
          </wp:inline>
        </w:drawing>
      </w:r>
      <w:r>
        <w:rPr>
          <w:highlight w:val="none"/>
        </w:rPr>
        <w:drawing>
          <wp:inline distT="0" distB="0" distL="114300" distR="114300">
            <wp:extent cx="1611630" cy="2956560"/>
            <wp:effectExtent l="0" t="0" r="7620" b="15240"/>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33"/>
                    <a:stretch>
                      <a:fillRect/>
                    </a:stretch>
                  </pic:blipFill>
                  <pic:spPr>
                    <a:xfrm>
                      <a:off x="0" y="0"/>
                      <a:ext cx="1611630" cy="2956560"/>
                    </a:xfrm>
                    <a:prstGeom prst="rect">
                      <a:avLst/>
                    </a:prstGeom>
                    <a:noFill/>
                    <a:ln>
                      <a:noFill/>
                    </a:ln>
                  </pic:spPr>
                </pic:pic>
              </a:graphicData>
            </a:graphic>
          </wp:inline>
        </w:drawing>
      </w:r>
    </w:p>
    <w:p w14:paraId="3851DD7B">
      <w:pPr>
        <w:pStyle w:val="15"/>
        <w:ind w:left="0" w:leftChars="0" w:firstLine="0" w:firstLineChars="0"/>
        <w:jc w:val="center"/>
        <w:rPr>
          <w:rFonts w:hint="default" w:eastAsia="黑体"/>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w:t>
      </w:r>
      <w:r>
        <w:rPr>
          <w:rFonts w:hint="eastAsia"/>
          <w:highlight w:val="none"/>
          <w:lang w:val="en-US" w:eastAsia="zh-CN"/>
        </w:rPr>
        <w:t>基础节吊装示意图</w:t>
      </w:r>
    </w:p>
    <w:p w14:paraId="637B5754">
      <w:pPr>
        <w:pStyle w:val="5"/>
        <w:bidi w:val="0"/>
        <w:rPr>
          <w:rFonts w:hint="eastAsia"/>
          <w:highlight w:val="none"/>
          <w:lang w:val="en-US" w:eastAsia="zh-CN"/>
        </w:rPr>
      </w:pPr>
      <w:r>
        <w:rPr>
          <w:rFonts w:hint="eastAsia"/>
          <w:highlight w:val="none"/>
          <w:lang w:val="en-US" w:eastAsia="zh-CN"/>
        </w:rPr>
        <w:t>吊装爬升架</w:t>
      </w:r>
    </w:p>
    <w:p w14:paraId="3EAB43F2">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2F1D7E13">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3CA55836">
      <w:pPr>
        <w:bidi w:val="0"/>
        <w:ind w:left="0" w:leftChars="0" w:firstLine="0" w:firstLineChars="0"/>
        <w:jc w:val="center"/>
        <w:rPr>
          <w:highlight w:val="none"/>
        </w:rPr>
      </w:pPr>
      <w:r>
        <w:drawing>
          <wp:inline distT="0" distB="0" distL="114300" distR="114300">
            <wp:extent cx="3536315" cy="2908935"/>
            <wp:effectExtent l="0" t="0" r="6985" b="5715"/>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31"/>
                    <a:stretch>
                      <a:fillRect/>
                    </a:stretch>
                  </pic:blipFill>
                  <pic:spPr>
                    <a:xfrm>
                      <a:off x="0" y="0"/>
                      <a:ext cx="3536315" cy="2908935"/>
                    </a:xfrm>
                    <a:prstGeom prst="rect">
                      <a:avLst/>
                    </a:prstGeom>
                    <a:noFill/>
                    <a:ln>
                      <a:noFill/>
                    </a:ln>
                  </pic:spPr>
                </pic:pic>
              </a:graphicData>
            </a:graphic>
          </wp:inline>
        </w:drawing>
      </w:r>
      <w:r>
        <w:rPr>
          <w:highlight w:val="none"/>
        </w:rPr>
        <w:drawing>
          <wp:inline distT="0" distB="0" distL="114300" distR="114300">
            <wp:extent cx="1662430" cy="2820035"/>
            <wp:effectExtent l="0" t="0" r="13970" b="18415"/>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34"/>
                    <a:stretch>
                      <a:fillRect/>
                    </a:stretch>
                  </pic:blipFill>
                  <pic:spPr>
                    <a:xfrm>
                      <a:off x="0" y="0"/>
                      <a:ext cx="1662430" cy="2820035"/>
                    </a:xfrm>
                    <a:prstGeom prst="rect">
                      <a:avLst/>
                    </a:prstGeom>
                    <a:noFill/>
                    <a:ln>
                      <a:noFill/>
                    </a:ln>
                  </pic:spPr>
                </pic:pic>
              </a:graphicData>
            </a:graphic>
          </wp:inline>
        </w:drawing>
      </w:r>
    </w:p>
    <w:p w14:paraId="36A610BE">
      <w:pPr>
        <w:pStyle w:val="15"/>
        <w:bidi w:val="0"/>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w:t>
      </w:r>
      <w:r>
        <w:rPr>
          <w:rFonts w:hint="eastAsia"/>
          <w:highlight w:val="none"/>
          <w:lang w:val="en-US" w:eastAsia="zh-CN"/>
        </w:rPr>
        <w:t>顶升套架总成整体吊装示意图</w:t>
      </w:r>
    </w:p>
    <w:p w14:paraId="06758FF1">
      <w:pPr>
        <w:pStyle w:val="5"/>
        <w:bidi w:val="0"/>
        <w:rPr>
          <w:rFonts w:hint="eastAsia"/>
          <w:highlight w:val="none"/>
          <w:lang w:val="en-US" w:eastAsia="zh-CN"/>
        </w:rPr>
      </w:pPr>
      <w:bookmarkStart w:id="177" w:name="_Toc8128"/>
      <w:bookmarkStart w:id="178" w:name="_Toc7277"/>
      <w:r>
        <w:rPr>
          <w:rFonts w:hint="eastAsia"/>
          <w:highlight w:val="none"/>
          <w:lang w:val="en-US" w:eastAsia="zh-CN"/>
        </w:rPr>
        <w:t>安装</w:t>
      </w:r>
      <w:bookmarkEnd w:id="177"/>
      <w:bookmarkEnd w:id="178"/>
      <w:r>
        <w:rPr>
          <w:rFonts w:hint="eastAsia"/>
          <w:highlight w:val="none"/>
          <w:lang w:val="en-US" w:eastAsia="zh-CN"/>
        </w:rPr>
        <w:t>特殊节、回转支承单元</w:t>
      </w:r>
    </w:p>
    <w:p w14:paraId="7D50DF22">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7AC4FF09">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的连接。</w:t>
      </w:r>
    </w:p>
    <w:p w14:paraId="34978509">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2C776A01">
      <w:pPr>
        <w:spacing w:line="360" w:lineRule="auto"/>
        <w:ind w:firstLine="480" w:firstLineChars="200"/>
        <w:jc w:val="center"/>
      </w:pPr>
      <w:r>
        <w:drawing>
          <wp:inline distT="0" distB="0" distL="114300" distR="114300">
            <wp:extent cx="2997835" cy="2619375"/>
            <wp:effectExtent l="0" t="0" r="0" b="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31"/>
                    <a:srcRect l="9248" t="-589" r="5980" b="10544"/>
                    <a:stretch>
                      <a:fillRect/>
                    </a:stretch>
                  </pic:blipFill>
                  <pic:spPr>
                    <a:xfrm>
                      <a:off x="0" y="0"/>
                      <a:ext cx="2997835" cy="2619375"/>
                    </a:xfrm>
                    <a:prstGeom prst="rect">
                      <a:avLst/>
                    </a:prstGeom>
                    <a:noFill/>
                    <a:ln>
                      <a:noFill/>
                    </a:ln>
                  </pic:spPr>
                </pic:pic>
              </a:graphicData>
            </a:graphic>
          </wp:inline>
        </w:drawing>
      </w:r>
      <w:r>
        <w:drawing>
          <wp:inline distT="0" distB="0" distL="114300" distR="114300">
            <wp:extent cx="1374140" cy="2653030"/>
            <wp:effectExtent l="0" t="0" r="16510" b="13970"/>
            <wp:docPr id="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pic:cNvPicPr>
                      <a:picLocks noChangeAspect="1"/>
                    </pic:cNvPicPr>
                  </pic:nvPicPr>
                  <pic:blipFill>
                    <a:blip r:embed="rId35"/>
                    <a:stretch>
                      <a:fillRect/>
                    </a:stretch>
                  </pic:blipFill>
                  <pic:spPr>
                    <a:xfrm>
                      <a:off x="0" y="0"/>
                      <a:ext cx="1374140" cy="2653030"/>
                    </a:xfrm>
                    <a:prstGeom prst="rect">
                      <a:avLst/>
                    </a:prstGeom>
                    <a:noFill/>
                    <a:ln>
                      <a:noFill/>
                    </a:ln>
                  </pic:spPr>
                </pic:pic>
              </a:graphicData>
            </a:graphic>
          </wp:inline>
        </w:drawing>
      </w:r>
    </w:p>
    <w:p w14:paraId="2CBBAC80">
      <w:pPr>
        <w:pStyle w:val="15"/>
        <w:spacing w:line="360" w:lineRule="auto"/>
        <w:ind w:firstLine="420" w:firstLineChars="20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lang w:val="en-US" w:eastAsia="zh-CN"/>
        </w:rPr>
        <w:t xml:space="preserve"> </w:t>
      </w:r>
      <w:r>
        <w:rPr>
          <w:rFonts w:hint="eastAsia"/>
          <w:highlight w:val="none"/>
          <w:lang w:val="en-US" w:eastAsia="zh-CN"/>
        </w:rPr>
        <w:t>特殊节整体吊装示意图</w:t>
      </w:r>
    </w:p>
    <w:p w14:paraId="6E58EF02">
      <w:pPr>
        <w:ind w:firstLine="420" w:firstLineChars="0"/>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在地面上，先将上、下支座以及回转机构、回转支承、平台等装为一体，</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609657D0">
      <w:pPr>
        <w:ind w:firstLine="420" w:firstLineChars="0"/>
        <w:jc w:val="center"/>
      </w:pPr>
      <w:r>
        <w:drawing>
          <wp:inline distT="0" distB="0" distL="114300" distR="114300">
            <wp:extent cx="1838960" cy="3235960"/>
            <wp:effectExtent l="0" t="0" r="8890" b="2540"/>
            <wp:docPr id="7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pic:cNvPicPr>
                      <a:picLocks noChangeAspect="1"/>
                    </pic:cNvPicPr>
                  </pic:nvPicPr>
                  <pic:blipFill>
                    <a:blip r:embed="rId36"/>
                    <a:stretch>
                      <a:fillRect/>
                    </a:stretch>
                  </pic:blipFill>
                  <pic:spPr>
                    <a:xfrm>
                      <a:off x="0" y="0"/>
                      <a:ext cx="1838960" cy="3235960"/>
                    </a:xfrm>
                    <a:prstGeom prst="rect">
                      <a:avLst/>
                    </a:prstGeom>
                    <a:noFill/>
                    <a:ln>
                      <a:noFill/>
                    </a:ln>
                  </pic:spPr>
                </pic:pic>
              </a:graphicData>
            </a:graphic>
          </wp:inline>
        </w:drawing>
      </w:r>
    </w:p>
    <w:p w14:paraId="6EC6472C">
      <w:pPr>
        <w:pStyle w:val="15"/>
        <w:spacing w:line="360" w:lineRule="auto"/>
        <w:ind w:firstLine="420" w:firstLineChars="20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lang w:val="en-US" w:eastAsia="zh-CN"/>
        </w:rPr>
        <w:t xml:space="preserve">  </w:t>
      </w:r>
      <w:r>
        <w:rPr>
          <w:rFonts w:hint="eastAsia"/>
          <w:highlight w:val="none"/>
          <w:lang w:val="en-US" w:eastAsia="zh-CN"/>
        </w:rPr>
        <w:t>回转总成吊装示意图</w:t>
      </w:r>
    </w:p>
    <w:p w14:paraId="2FD33BC2">
      <w:pPr>
        <w:pStyle w:val="5"/>
        <w:bidi w:val="0"/>
        <w:rPr>
          <w:rFonts w:hint="eastAsia"/>
          <w:highlight w:val="none"/>
          <w:lang w:val="en-US" w:eastAsia="zh-CN"/>
        </w:rPr>
      </w:pPr>
      <w:r>
        <w:rPr>
          <w:rFonts w:hint="eastAsia"/>
          <w:highlight w:val="none"/>
          <w:lang w:val="en-US" w:eastAsia="zh-CN"/>
        </w:rPr>
        <w:t>安装平衡臂臂节一和起重臂臂节一</w:t>
      </w:r>
    </w:p>
    <w:p w14:paraId="74026ED2">
      <w:pPr>
        <w:keepNext w:val="0"/>
        <w:keepLines w:val="0"/>
        <w:widowControl/>
        <w:suppressLineNumbers w:val="0"/>
        <w:ind w:firstLine="420" w:firstLineChars="0"/>
        <w:jc w:val="left"/>
        <w:rPr>
          <w:highlight w:val="none"/>
        </w:rPr>
      </w:pPr>
      <w:r>
        <w:rPr>
          <w:rFonts w:hint="eastAsia" w:ascii="宋体" w:hAnsi="宋体" w:eastAsia="宋体" w:cs="宋体"/>
          <w:color w:val="000000"/>
          <w:kern w:val="0"/>
          <w:sz w:val="24"/>
          <w:szCs w:val="24"/>
          <w:highlight w:val="none"/>
          <w:lang w:val="en-US" w:eastAsia="zh-CN" w:bidi="ar"/>
        </w:rPr>
        <w:t>（1）在地面上组装好平衡臂臂节一，</w:t>
      </w:r>
      <w:r>
        <w:rPr>
          <w:rFonts w:hint="eastAsia" w:ascii="Times New Roman" w:hAnsi="Times New Roman" w:eastAsia="宋体" w:cs="Times New Roman"/>
          <w:szCs w:val="21"/>
          <w:highlight w:val="none"/>
        </w:rPr>
        <w:t>以</w:t>
      </w:r>
      <w:r>
        <w:rPr>
          <w:rFonts w:hint="eastAsia"/>
          <w:highlight w:val="none"/>
          <w:lang w:val="en-US" w:eastAsia="zh-CN"/>
        </w:rPr>
        <w:t>平衡臂臂节</w:t>
      </w:r>
      <w:r>
        <w:rPr>
          <w:rFonts w:hint="eastAsia" w:ascii="Times New Roman" w:hAnsi="Times New Roman" w:eastAsia="宋体" w:cs="Times New Roman"/>
          <w:szCs w:val="21"/>
          <w:highlight w:val="none"/>
        </w:rPr>
        <w:t>上弦杆吊耳作为吊装孔，采用4根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Times New Roman" w:hAnsi="Times New Roman" w:eastAsia="宋体" w:cs="Times New Roman"/>
          <w:szCs w:val="21"/>
          <w:highlight w:val="none"/>
        </w:rPr>
        <w:t>卸扣进行吊装</w:t>
      </w:r>
      <w:r>
        <w:rPr>
          <w:rFonts w:hint="eastAsia" w:ascii="宋体" w:hAnsi="宋体" w:eastAsia="宋体" w:cs="宋体"/>
          <w:color w:val="000000"/>
          <w:kern w:val="0"/>
          <w:sz w:val="24"/>
          <w:szCs w:val="24"/>
          <w:highlight w:val="none"/>
          <w:lang w:val="en-US" w:eastAsia="zh-CN" w:bidi="ar"/>
        </w:rPr>
        <w:t>，下端与上支座用销轴连接，上端使用安装拉杆与上支座的另一面连接。</w:t>
      </w:r>
    </w:p>
    <w:p w14:paraId="3E8C548D">
      <w:pPr>
        <w:jc w:val="center"/>
        <w:rPr>
          <w:highlight w:val="none"/>
        </w:rPr>
      </w:pPr>
      <w:r>
        <w:rPr>
          <w:highlight w:val="none"/>
        </w:rPr>
        <w:drawing>
          <wp:inline distT="0" distB="0" distL="114300" distR="114300">
            <wp:extent cx="4502785" cy="1472565"/>
            <wp:effectExtent l="0" t="0" r="12065" b="13335"/>
            <wp:docPr id="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
                    <pic:cNvPicPr>
                      <a:picLocks noChangeAspect="1"/>
                    </pic:cNvPicPr>
                  </pic:nvPicPr>
                  <pic:blipFill>
                    <a:blip r:embed="rId37"/>
                    <a:srcRect l="6166" t="11637" r="8442" b="16589"/>
                    <a:stretch>
                      <a:fillRect/>
                    </a:stretch>
                  </pic:blipFill>
                  <pic:spPr>
                    <a:xfrm>
                      <a:off x="0" y="0"/>
                      <a:ext cx="4502785" cy="1472565"/>
                    </a:xfrm>
                    <a:prstGeom prst="rect">
                      <a:avLst/>
                    </a:prstGeom>
                    <a:noFill/>
                    <a:ln>
                      <a:noFill/>
                    </a:ln>
                  </pic:spPr>
                </pic:pic>
              </a:graphicData>
            </a:graphic>
          </wp:inline>
        </w:drawing>
      </w:r>
    </w:p>
    <w:p w14:paraId="17A3154E">
      <w:pPr>
        <w:bidi w:val="0"/>
        <w:ind w:left="0" w:leftChars="0" w:firstLine="0" w:firstLineChars="0"/>
        <w:jc w:val="center"/>
      </w:pPr>
      <w:r>
        <w:drawing>
          <wp:inline distT="0" distB="0" distL="114300" distR="114300">
            <wp:extent cx="3099435" cy="2736215"/>
            <wp:effectExtent l="0" t="0" r="5715" b="6985"/>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38"/>
                    <a:stretch>
                      <a:fillRect/>
                    </a:stretch>
                  </pic:blipFill>
                  <pic:spPr>
                    <a:xfrm>
                      <a:off x="0" y="0"/>
                      <a:ext cx="3099435" cy="2736215"/>
                    </a:xfrm>
                    <a:prstGeom prst="rect">
                      <a:avLst/>
                    </a:prstGeom>
                    <a:noFill/>
                    <a:ln>
                      <a:noFill/>
                    </a:ln>
                  </pic:spPr>
                </pic:pic>
              </a:graphicData>
            </a:graphic>
          </wp:inline>
        </w:drawing>
      </w:r>
      <w:r>
        <w:drawing>
          <wp:inline distT="0" distB="0" distL="114300" distR="114300">
            <wp:extent cx="1874520" cy="2697480"/>
            <wp:effectExtent l="0" t="0" r="11430" b="762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9"/>
                    <a:stretch>
                      <a:fillRect/>
                    </a:stretch>
                  </pic:blipFill>
                  <pic:spPr>
                    <a:xfrm>
                      <a:off x="0" y="0"/>
                      <a:ext cx="1874520" cy="2697480"/>
                    </a:xfrm>
                    <a:prstGeom prst="rect">
                      <a:avLst/>
                    </a:prstGeom>
                    <a:noFill/>
                    <a:ln>
                      <a:noFill/>
                    </a:ln>
                  </pic:spPr>
                </pic:pic>
              </a:graphicData>
            </a:graphic>
          </wp:inline>
        </w:drawing>
      </w:r>
    </w:p>
    <w:p w14:paraId="6EC0F3A1">
      <w:pPr>
        <w:pStyle w:val="15"/>
        <w:bidi w:val="0"/>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7</w:t>
      </w:r>
      <w:r>
        <w:fldChar w:fldCharType="end"/>
      </w:r>
      <w:r>
        <w:rPr>
          <w:rFonts w:hint="eastAsia"/>
          <w:lang w:val="en-US" w:eastAsia="zh-CN"/>
        </w:rPr>
        <w:t xml:space="preserve"> </w:t>
      </w:r>
      <w:r>
        <w:rPr>
          <w:rFonts w:hint="eastAsia"/>
          <w:highlight w:val="none"/>
          <w:lang w:val="en-US" w:eastAsia="zh-CN"/>
        </w:rPr>
        <w:t>安装平衡臂臂节一</w:t>
      </w:r>
    </w:p>
    <w:p w14:paraId="282C50A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（2）在地面上组装好起重臂臂节一，以臂根节顶部四个销轴孔作为吊装孔，采用4根</w:t>
      </w:r>
      <w:r>
        <w:rPr>
          <w:rFonts w:hint="eastAsia" w:cs="Times New Roman"/>
          <w:szCs w:val="21"/>
          <w:highlight w:val="none"/>
          <w:lang w:val="en-US" w:eastAsia="zh-CN"/>
        </w:rPr>
        <w:t>18mm6×19W+IWR1870Mpa</w:t>
      </w:r>
      <w:r>
        <w:rPr>
          <w:rFonts w:hint="eastAsia" w:ascii="宋体" w:hAnsi="宋体" w:eastAsia="宋体" w:cs="宋体"/>
          <w:color w:val="000000"/>
          <w:kern w:val="0"/>
          <w:sz w:val="24"/>
          <w:szCs w:val="24"/>
          <w:highlight w:val="none"/>
          <w:lang w:val="en-US" w:eastAsia="zh-CN" w:bidi="ar"/>
        </w:rPr>
        <w:t>的钢丝绳配套</w:t>
      </w:r>
      <w:r>
        <w:rPr>
          <w:rFonts w:hint="eastAsia" w:cs="Times New Roman"/>
          <w:szCs w:val="21"/>
          <w:highlight w:val="none"/>
          <w:lang w:val="en-US" w:eastAsia="zh-CN"/>
        </w:rPr>
        <w:t>GB/T 25854-6-DW5</w:t>
      </w:r>
      <w:r>
        <w:rPr>
          <w:rFonts w:hint="eastAsia" w:ascii="宋体" w:hAnsi="宋体" w:eastAsia="宋体" w:cs="宋体"/>
          <w:color w:val="000000"/>
          <w:kern w:val="0"/>
          <w:sz w:val="24"/>
          <w:szCs w:val="24"/>
          <w:highlight w:val="none"/>
          <w:lang w:val="en-US" w:eastAsia="zh-CN" w:bidi="ar"/>
        </w:rPr>
        <w:t>卸扣进行吊装，下端与上支座用销轴连接，上端与平衡臂连接。</w:t>
      </w:r>
    </w:p>
    <w:p w14:paraId="01CF89E1">
      <w:pPr>
        <w:bidi w:val="0"/>
        <w:ind w:left="0" w:leftChars="0" w:firstLine="0" w:firstLineChars="0"/>
        <w:jc w:val="center"/>
        <w:rPr>
          <w:highlight w:val="none"/>
        </w:rPr>
      </w:pPr>
      <w:r>
        <w:drawing>
          <wp:inline distT="0" distB="0" distL="114300" distR="114300">
            <wp:extent cx="3295015" cy="2698750"/>
            <wp:effectExtent l="0" t="0" r="635" b="6350"/>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40"/>
                    <a:stretch>
                      <a:fillRect/>
                    </a:stretch>
                  </pic:blipFill>
                  <pic:spPr>
                    <a:xfrm>
                      <a:off x="0" y="0"/>
                      <a:ext cx="3295015" cy="2698750"/>
                    </a:xfrm>
                    <a:prstGeom prst="rect">
                      <a:avLst/>
                    </a:prstGeom>
                    <a:noFill/>
                    <a:ln>
                      <a:noFill/>
                    </a:ln>
                  </pic:spPr>
                </pic:pic>
              </a:graphicData>
            </a:graphic>
          </wp:inline>
        </w:drawing>
      </w:r>
      <w:r>
        <w:rPr>
          <w:highlight w:val="none"/>
        </w:rPr>
        <w:drawing>
          <wp:inline distT="0" distB="0" distL="114300" distR="114300">
            <wp:extent cx="1534795" cy="2748915"/>
            <wp:effectExtent l="0" t="0" r="8255" b="13335"/>
            <wp:docPr id="1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3"/>
                    <pic:cNvPicPr>
                      <a:picLocks noChangeAspect="1"/>
                    </pic:cNvPicPr>
                  </pic:nvPicPr>
                  <pic:blipFill>
                    <a:blip r:embed="rId41"/>
                    <a:stretch>
                      <a:fillRect/>
                    </a:stretch>
                  </pic:blipFill>
                  <pic:spPr>
                    <a:xfrm>
                      <a:off x="0" y="0"/>
                      <a:ext cx="1534795" cy="2748915"/>
                    </a:xfrm>
                    <a:prstGeom prst="rect">
                      <a:avLst/>
                    </a:prstGeom>
                    <a:noFill/>
                    <a:ln>
                      <a:noFill/>
                    </a:ln>
                  </pic:spPr>
                </pic:pic>
              </a:graphicData>
            </a:graphic>
          </wp:inline>
        </w:drawing>
      </w:r>
    </w:p>
    <w:p w14:paraId="79008D2E">
      <w:pPr>
        <w:pStyle w:val="15"/>
        <w:bidi w:val="0"/>
        <w:ind w:left="0" w:leftChars="0" w:firstLine="0" w:firstLineChars="0"/>
        <w:jc w:val="center"/>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8</w:t>
      </w:r>
      <w:r>
        <w:fldChar w:fldCharType="end"/>
      </w:r>
      <w:r>
        <w:rPr>
          <w:rFonts w:hint="eastAsia"/>
          <w:lang w:val="en-US" w:eastAsia="zh-CN"/>
        </w:rPr>
        <w:t xml:space="preserve">  </w:t>
      </w:r>
      <w:r>
        <w:rPr>
          <w:rFonts w:hint="eastAsia"/>
          <w:highlight w:val="none"/>
          <w:lang w:val="en-US" w:eastAsia="zh-CN"/>
        </w:rPr>
        <w:t>安装起重臂臂节一</w:t>
      </w:r>
    </w:p>
    <w:p w14:paraId="68756532">
      <w:pPr>
        <w:bidi w:val="0"/>
        <w:rPr>
          <w:rFonts w:hint="eastAsia"/>
          <w:highlight w:val="none"/>
          <w:lang w:val="en-US" w:eastAsia="zh-CN"/>
        </w:rPr>
      </w:pPr>
      <w:r>
        <w:rPr>
          <w:rFonts w:hint="eastAsia"/>
          <w:highlight w:val="none"/>
          <w:lang w:val="en-US" w:eastAsia="zh-CN"/>
        </w:rPr>
        <w:t xml:space="preserve">（3）安装好起重臂臂节一以后将件 </w:t>
      </w:r>
      <w:r>
        <w:rPr>
          <w:highlight w:val="none"/>
          <w:lang w:val="en-US" w:eastAsia="zh-CN"/>
        </w:rPr>
        <w:t xml:space="preserve">1 </w:t>
      </w:r>
      <w:r>
        <w:rPr>
          <w:rFonts w:hint="eastAsia"/>
          <w:highlight w:val="none"/>
          <w:lang w:val="en-US" w:eastAsia="zh-CN"/>
        </w:rPr>
        <w:t>拆下</w:t>
      </w:r>
    </w:p>
    <w:p w14:paraId="03703408">
      <w:pPr>
        <w:bidi w:val="0"/>
        <w:rPr>
          <w:rFonts w:hint="eastAsia"/>
          <w:highlight w:val="none"/>
          <w:lang w:val="en-US" w:eastAsia="zh-CN"/>
        </w:rPr>
      </w:pP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2008505</wp:posOffset>
                </wp:positionH>
                <wp:positionV relativeFrom="paragraph">
                  <wp:posOffset>775970</wp:posOffset>
                </wp:positionV>
                <wp:extent cx="235585" cy="410845"/>
                <wp:effectExtent l="5715" t="0" r="6350" b="8255"/>
                <wp:wrapNone/>
                <wp:docPr id="100" name="直接箭头连接符 100"/>
                <wp:cNvGraphicFramePr/>
                <a:graphic xmlns:a="http://schemas.openxmlformats.org/drawingml/2006/main">
                  <a:graphicData uri="http://schemas.microsoft.com/office/word/2010/wordprocessingShape">
                    <wps:wsp>
                      <wps:cNvCnPr/>
                      <wps:spPr>
                        <a:xfrm flipV="1">
                          <a:off x="3151505" y="1987550"/>
                          <a:ext cx="235585" cy="4108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8.15pt;margin-top:61.1pt;height:32.35pt;width:18.55pt;z-index:251662336;mso-width-relative:page;mso-height-relative:page;" filled="f" stroked="t" coordsize="21600,21600" o:gfxdata="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yvVUrY&#10;AAAACwEAAA8AAAAAAAAAAQAgAAAAIgAAAGRycy9kb3ducmV2LnhtbFBLAQIUABQAAAAIAIdO4kBw&#10;hqPmIAIAAP0DAAAOAAAAAAAAAAEAIAAAACcBAABkcnMvZTJvRG9jLnhtbFBLBQYAAAAABgAGAFkB&#10;AAC5BQAAAAA=&#10;">
                <v:fill on="f" focussize="0,0"/>
                <v:stroke weight="1pt" color="#5B9BD5 [3204]" miterlimit="8" joinstyle="miter" endarrow="open"/>
                <v:imagedata o:title=""/>
                <o:lock v:ext="edit" aspectratio="f"/>
              </v:shape>
            </w:pict>
          </mc:Fallback>
        </mc:AlternateContent>
      </w:r>
      <w:r>
        <w:rPr>
          <w:sz w:val="24"/>
          <w:highlight w:val="none"/>
        </w:rPr>
        <mc:AlternateContent>
          <mc:Choice Requires="wps">
            <w:drawing>
              <wp:anchor distT="0" distB="0" distL="114300" distR="114300" simplePos="0" relativeHeight="251661312" behindDoc="0" locked="0" layoutInCell="1" allowOverlap="1">
                <wp:simplePos x="0" y="0"/>
                <wp:positionH relativeFrom="column">
                  <wp:posOffset>1572260</wp:posOffset>
                </wp:positionH>
                <wp:positionV relativeFrom="paragraph">
                  <wp:posOffset>1258570</wp:posOffset>
                </wp:positionV>
                <wp:extent cx="615950" cy="358775"/>
                <wp:effectExtent l="4445" t="4445" r="8255" b="17780"/>
                <wp:wrapNone/>
                <wp:docPr id="16" name="文本框 16"/>
                <wp:cNvGraphicFramePr/>
                <a:graphic xmlns:a="http://schemas.openxmlformats.org/drawingml/2006/main">
                  <a:graphicData uri="http://schemas.microsoft.com/office/word/2010/wordprocessingShape">
                    <wps:wsp>
                      <wps:cNvSpPr txBox="1"/>
                      <wps:spPr>
                        <a:xfrm>
                          <a:off x="2715260" y="2503805"/>
                          <a:ext cx="615950" cy="358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F026A5">
                            <w:pPr>
                              <w:rPr>
                                <w:rFonts w:hint="default" w:eastAsia="宋体"/>
                                <w:lang w:val="en-US" w:eastAsia="zh-CN"/>
                              </w:rPr>
                            </w:pPr>
                            <w:r>
                              <w:rPr>
                                <w:rFonts w:hint="eastAsia"/>
                                <w:lang w:val="en-US" w:eastAsia="zh-CN"/>
                              </w:rPr>
                              <w:t>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8pt;margin-top:99.1pt;height:28.25pt;width:48.5pt;z-index:251661312;mso-width-relative:page;mso-height-relative:page;" fillcolor="#FFFFFF [3201]" filled="t" stroked="t" coordsize="21600,21600" o:gfxdata="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Lem9/XAAAACwEAAA8AAAAAAAAAAQAgAAAAIgAAAGRycy9kb3ducmV2LnhtbFBLAQIUABQA&#10;AAAIAIdO4kBeLIWTYwIAAMQEAAAOAAAAAAAAAAEAIAAAACYBAABkcnMvZTJvRG9jLnhtbFBLBQYA&#10;AAAABgAGAFkBAAD7BQAAAAA=&#10;">
                <v:fill on="t" focussize="0,0"/>
                <v:stroke weight="0.5pt" color="#000000 [3204]" joinstyle="round"/>
                <v:imagedata o:title=""/>
                <o:lock v:ext="edit" aspectratio="f"/>
                <v:textbox>
                  <w:txbxContent>
                    <w:p w14:paraId="42F026A5">
                      <w:pPr>
                        <w:rPr>
                          <w:rFonts w:hint="default" w:eastAsia="宋体"/>
                          <w:lang w:val="en-US" w:eastAsia="zh-CN"/>
                        </w:rPr>
                      </w:pPr>
                      <w:r>
                        <w:rPr>
                          <w:rFonts w:hint="eastAsia"/>
                          <w:lang w:val="en-US" w:eastAsia="zh-CN"/>
                        </w:rPr>
                        <w:t>件1</w:t>
                      </w:r>
                    </w:p>
                  </w:txbxContent>
                </v:textbox>
              </v:shape>
            </w:pict>
          </mc:Fallback>
        </mc:AlternateContent>
      </w:r>
      <w:r>
        <w:rPr>
          <w:highlight w:val="none"/>
        </w:rPr>
        <w:drawing>
          <wp:inline distT="0" distB="0" distL="114300" distR="114300">
            <wp:extent cx="5273040" cy="1306830"/>
            <wp:effectExtent l="0" t="0" r="3810" b="762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pic:cNvPicPr>
                  </pic:nvPicPr>
                  <pic:blipFill>
                    <a:blip r:embed="rId42"/>
                    <a:stretch>
                      <a:fillRect/>
                    </a:stretch>
                  </pic:blipFill>
                  <pic:spPr>
                    <a:xfrm>
                      <a:off x="0" y="0"/>
                      <a:ext cx="5273040" cy="1306830"/>
                    </a:xfrm>
                    <a:prstGeom prst="rect">
                      <a:avLst/>
                    </a:prstGeom>
                    <a:noFill/>
                    <a:ln>
                      <a:noFill/>
                    </a:ln>
                  </pic:spPr>
                </pic:pic>
              </a:graphicData>
            </a:graphic>
          </wp:inline>
        </w:drawing>
      </w:r>
    </w:p>
    <w:p w14:paraId="30834DCE">
      <w:pPr>
        <w:pStyle w:val="16"/>
        <w:rPr>
          <w:rFonts w:hint="eastAsia"/>
          <w:highlight w:val="none"/>
          <w:lang w:val="en-US" w:eastAsia="zh-CN"/>
        </w:rPr>
      </w:pPr>
    </w:p>
    <w:p w14:paraId="5A3721A3">
      <w:pPr>
        <w:pStyle w:val="5"/>
        <w:bidi w:val="0"/>
        <w:rPr>
          <w:rFonts w:hint="eastAsia" w:cstheme="majorBidi"/>
          <w:b/>
          <w:bCs/>
          <w:color w:val="000000" w:themeColor="text1"/>
          <w:kern w:val="2"/>
          <w:sz w:val="24"/>
          <w:szCs w:val="28"/>
          <w:highlight w:val="none"/>
          <w:lang w:val="en-US" w:eastAsia="zh-CN" w:bidi="ar-SA"/>
          <w14:textFill>
            <w14:solidFill>
              <w14:schemeClr w14:val="tx1"/>
            </w14:solidFill>
          </w14:textFill>
        </w:rPr>
      </w:pPr>
      <w:bookmarkStart w:id="179" w:name="_Toc25574"/>
      <w:bookmarkStart w:id="180" w:name="_Toc11593"/>
      <w:r>
        <w:rPr>
          <w:rFonts w:hint="eastAsia" w:cstheme="majorBidi"/>
          <w:b/>
          <w:bCs/>
          <w:color w:val="000000" w:themeColor="text1"/>
          <w:kern w:val="2"/>
          <w:sz w:val="24"/>
          <w:szCs w:val="28"/>
          <w:highlight w:val="none"/>
          <w:lang w:val="en-US" w:eastAsia="zh-CN" w:bidi="ar-SA"/>
          <w14:textFill>
            <w14:solidFill>
              <w14:schemeClr w14:val="tx1"/>
            </w14:solidFill>
          </w14:textFill>
        </w:rPr>
        <w:t>安装平衡臂和平衡臂拉杆</w:t>
      </w:r>
    </w:p>
    <w:p w14:paraId="17ABA664">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将平衡臂臂节3和平衡臂臂节2组装好（含走台及栏杆），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平衡臂臂节3</w:t>
      </w:r>
      <w:r>
        <w:rPr>
          <w:rFonts w:hint="eastAsia" w:ascii="Times New Roman" w:hAnsi="Times New Roman" w:eastAsia="宋体" w:cs="Times New Roman"/>
          <w:szCs w:val="21"/>
          <w:highlight w:val="none"/>
        </w:rPr>
        <w:t>上弦杆吊耳作为吊装孔，采用4根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2324A0DC">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平衡臂臂节3</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平衡臂臂节3</w:t>
      </w:r>
      <w:r>
        <w:rPr>
          <w:rFonts w:hint="eastAsia" w:ascii="Times New Roman" w:hAnsi="Times New Roman" w:eastAsia="宋体" w:cs="Times New Roman"/>
          <w:szCs w:val="21"/>
          <w:highlight w:val="none"/>
        </w:rPr>
        <w:t>至</w:t>
      </w:r>
      <w:r>
        <w:rPr>
          <w:rFonts w:hint="eastAsia"/>
          <w:highlight w:val="none"/>
          <w:lang w:val="en-US" w:eastAsia="zh-CN"/>
        </w:rPr>
        <w:t>平衡臂臂节1</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吊起，对接</w:t>
      </w:r>
      <w:r>
        <w:rPr>
          <w:rFonts w:hint="eastAsia"/>
          <w:highlight w:val="none"/>
          <w:lang w:val="en-US" w:eastAsia="zh-CN"/>
        </w:rPr>
        <w:t>平衡臂臂节1</w:t>
      </w:r>
      <w:r>
        <w:rPr>
          <w:rFonts w:hint="eastAsia" w:eastAsia="宋体" w:cs="Times New Roman"/>
          <w:szCs w:val="21"/>
          <w:highlight w:val="none"/>
          <w:lang w:eastAsia="zh-CN"/>
        </w:rPr>
        <w:t>连接耳板，插入销轴、及R形销，缓慢放下。将平衡臂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放置一定程度，把安装在</w:t>
      </w:r>
      <w:r>
        <w:rPr>
          <w:rFonts w:hint="eastAsia"/>
          <w:highlight w:val="none"/>
          <w:lang w:val="en-US" w:eastAsia="zh-CN"/>
        </w:rPr>
        <w:t>平衡臂臂节1</w:t>
      </w:r>
      <w:r>
        <w:rPr>
          <w:rFonts w:hint="eastAsia" w:eastAsia="宋体" w:cs="Times New Roman"/>
          <w:szCs w:val="21"/>
          <w:highlight w:val="none"/>
          <w:lang w:eastAsia="zh-CN"/>
        </w:rPr>
        <w:t>的短拉杆和平衡臂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上的长拉杆对接好后，插入销轴及开口销缓慢放下，直到拉绷紧，平衡水平。</w:t>
      </w:r>
      <w:r>
        <w:rPr>
          <w:rFonts w:hint="eastAsia" w:cs="Times New Roman"/>
          <w:szCs w:val="21"/>
          <w:highlight w:val="none"/>
          <w:lang w:val="en-US" w:eastAsia="zh-CN"/>
        </w:rPr>
        <w:t>安装示意图如下：</w:t>
      </w:r>
    </w:p>
    <w:p w14:paraId="007D54BB">
      <w:pPr>
        <w:jc w:val="center"/>
        <w:rPr>
          <w:highlight w:val="none"/>
        </w:rPr>
      </w:pPr>
      <w:r>
        <w:drawing>
          <wp:inline distT="0" distB="0" distL="114300" distR="114300">
            <wp:extent cx="3417570" cy="3112770"/>
            <wp:effectExtent l="0" t="0" r="11430" b="1143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43"/>
                    <a:stretch>
                      <a:fillRect/>
                    </a:stretch>
                  </pic:blipFill>
                  <pic:spPr>
                    <a:xfrm>
                      <a:off x="0" y="0"/>
                      <a:ext cx="3417570" cy="3112770"/>
                    </a:xfrm>
                    <a:prstGeom prst="rect">
                      <a:avLst/>
                    </a:prstGeom>
                    <a:noFill/>
                    <a:ln>
                      <a:noFill/>
                    </a:ln>
                  </pic:spPr>
                </pic:pic>
              </a:graphicData>
            </a:graphic>
          </wp:inline>
        </w:drawing>
      </w:r>
      <w:r>
        <w:rPr>
          <w:highlight w:val="none"/>
        </w:rPr>
        <w:drawing>
          <wp:inline distT="0" distB="0" distL="114300" distR="114300">
            <wp:extent cx="3360420" cy="3227070"/>
            <wp:effectExtent l="0" t="0" r="11430" b="11430"/>
            <wp:docPr id="1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
                    <pic:cNvPicPr>
                      <a:picLocks noChangeAspect="1"/>
                    </pic:cNvPicPr>
                  </pic:nvPicPr>
                  <pic:blipFill>
                    <a:blip r:embed="rId44"/>
                    <a:stretch>
                      <a:fillRect/>
                    </a:stretch>
                  </pic:blipFill>
                  <pic:spPr>
                    <a:xfrm>
                      <a:off x="0" y="0"/>
                      <a:ext cx="3360420" cy="3227070"/>
                    </a:xfrm>
                    <a:prstGeom prst="rect">
                      <a:avLst/>
                    </a:prstGeom>
                    <a:noFill/>
                    <a:ln>
                      <a:noFill/>
                    </a:ln>
                  </pic:spPr>
                </pic:pic>
              </a:graphicData>
            </a:graphic>
          </wp:inline>
        </w:drawing>
      </w:r>
    </w:p>
    <w:p w14:paraId="1957A829">
      <w:pPr>
        <w:pStyle w:val="15"/>
        <w:bidi w:val="0"/>
        <w:rPr>
          <w:highlight w:val="none"/>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9</w:t>
      </w:r>
      <w:r>
        <w:fldChar w:fldCharType="end"/>
      </w:r>
      <w:r>
        <w:rPr>
          <w:rFonts w:hint="eastAsia"/>
          <w:lang w:val="en-US" w:eastAsia="zh-CN"/>
        </w:rPr>
        <w:t xml:space="preserve"> </w:t>
      </w:r>
      <w:r>
        <w:rPr>
          <w:rFonts w:hint="eastAsia"/>
          <w:highlight w:val="none"/>
          <w:lang w:val="en-US" w:eastAsia="zh-CN"/>
        </w:rPr>
        <w:t>安装平衡臂和平衡臂拉杆</w:t>
      </w:r>
    </w:p>
    <w:p w14:paraId="23825857">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平衡臂臂节1</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30F927C7">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ascii="Times New Roman" w:hAnsi="Times New Roman" w:eastAsia="宋体" w:cs="Times New Roman"/>
          <w:szCs w:val="21"/>
          <w:highlight w:val="none"/>
          <w:lang w:val="en-US" w:eastAsia="zh-CN"/>
        </w:rPr>
        <w:t>3</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03780292">
      <w:pPr>
        <w:pStyle w:val="5"/>
        <w:bidi w:val="0"/>
        <w:rPr>
          <w:rFonts w:hint="eastAsia"/>
          <w:highlight w:val="none"/>
          <w:lang w:val="en-US" w:eastAsia="zh-CN"/>
        </w:rPr>
      </w:pPr>
      <w:r>
        <w:rPr>
          <w:rFonts w:hint="eastAsia"/>
          <w:highlight w:val="none"/>
          <w:lang w:val="en-US" w:eastAsia="zh-CN"/>
        </w:rPr>
        <w:t>安装一块3.64t平衡重</w:t>
      </w:r>
      <w:bookmarkEnd w:id="179"/>
      <w:bookmarkEnd w:id="180"/>
    </w:p>
    <w:p w14:paraId="4ABF8B9D">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7AAA3F1C">
      <w:pPr>
        <w:rPr>
          <w:rFonts w:hint="eastAsia"/>
          <w:lang w:val="en-US" w:eastAsia="zh-CN"/>
        </w:rPr>
      </w:pPr>
    </w:p>
    <w:p w14:paraId="27F5343B">
      <w:pPr>
        <w:bidi w:val="0"/>
        <w:ind w:left="0" w:leftChars="0" w:firstLine="0" w:firstLineChars="0"/>
        <w:jc w:val="center"/>
        <w:rPr>
          <w:highlight w:val="none"/>
        </w:rPr>
      </w:pPr>
      <w:r>
        <w:drawing>
          <wp:inline distT="0" distB="0" distL="114300" distR="114300">
            <wp:extent cx="3417570" cy="3112770"/>
            <wp:effectExtent l="0" t="0" r="11430" b="11430"/>
            <wp:docPr id="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pic:cNvPicPr>
                      <a:picLocks noChangeAspect="1"/>
                    </pic:cNvPicPr>
                  </pic:nvPicPr>
                  <pic:blipFill>
                    <a:blip r:embed="rId43"/>
                    <a:stretch>
                      <a:fillRect/>
                    </a:stretch>
                  </pic:blipFill>
                  <pic:spPr>
                    <a:xfrm>
                      <a:off x="0" y="0"/>
                      <a:ext cx="3417570" cy="3112770"/>
                    </a:xfrm>
                    <a:prstGeom prst="rect">
                      <a:avLst/>
                    </a:prstGeom>
                    <a:noFill/>
                    <a:ln>
                      <a:noFill/>
                    </a:ln>
                  </pic:spPr>
                </pic:pic>
              </a:graphicData>
            </a:graphic>
          </wp:inline>
        </w:drawing>
      </w:r>
      <w:r>
        <w:rPr>
          <w:highlight w:val="none"/>
        </w:rPr>
        <w:drawing>
          <wp:inline distT="0" distB="0" distL="114300" distR="114300">
            <wp:extent cx="3445510" cy="3220085"/>
            <wp:effectExtent l="0" t="0" r="2540" b="18415"/>
            <wp:docPr id="2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6"/>
                    <pic:cNvPicPr>
                      <a:picLocks noChangeAspect="1"/>
                    </pic:cNvPicPr>
                  </pic:nvPicPr>
                  <pic:blipFill>
                    <a:blip r:embed="rId45"/>
                    <a:stretch>
                      <a:fillRect/>
                    </a:stretch>
                  </pic:blipFill>
                  <pic:spPr>
                    <a:xfrm>
                      <a:off x="0" y="0"/>
                      <a:ext cx="3445510" cy="3220085"/>
                    </a:xfrm>
                    <a:prstGeom prst="rect">
                      <a:avLst/>
                    </a:prstGeom>
                    <a:noFill/>
                    <a:ln>
                      <a:noFill/>
                    </a:ln>
                  </pic:spPr>
                </pic:pic>
              </a:graphicData>
            </a:graphic>
          </wp:inline>
        </w:drawing>
      </w:r>
    </w:p>
    <w:p w14:paraId="2EFFB49E">
      <w:pPr>
        <w:pStyle w:val="15"/>
        <w:bidi w:val="0"/>
        <w:ind w:left="0" w:leftChars="0" w:firstLine="0" w:firstLineChars="0"/>
        <w:jc w:val="center"/>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10</w:t>
      </w:r>
      <w:r>
        <w:fldChar w:fldCharType="end"/>
      </w:r>
      <w:r>
        <w:rPr>
          <w:rFonts w:hint="eastAsia"/>
          <w:lang w:val="en-US" w:eastAsia="zh-CN"/>
        </w:rPr>
        <w:t xml:space="preserve"> </w:t>
      </w:r>
      <w:r>
        <w:rPr>
          <w:rFonts w:hint="eastAsia"/>
          <w:highlight w:val="none"/>
          <w:lang w:val="en-US" w:eastAsia="zh-CN"/>
        </w:rPr>
        <w:t>吊装平衡重</w:t>
      </w:r>
    </w:p>
    <w:p w14:paraId="6ADF9311">
      <w:pPr>
        <w:pStyle w:val="5"/>
        <w:bidi w:val="0"/>
        <w:rPr>
          <w:rFonts w:hint="eastAsia"/>
          <w:highlight w:val="none"/>
          <w:lang w:val="en-US" w:eastAsia="zh-CN"/>
        </w:rPr>
      </w:pPr>
      <w:bookmarkStart w:id="181" w:name="_Toc23299"/>
      <w:bookmarkStart w:id="182" w:name="_Toc21892"/>
      <w:r>
        <w:rPr>
          <w:rFonts w:hint="eastAsia"/>
          <w:highlight w:val="none"/>
          <w:lang w:val="en-US" w:eastAsia="zh-CN"/>
        </w:rPr>
        <w:t>安装剩余起重臂</w:t>
      </w:r>
      <w:bookmarkEnd w:id="181"/>
      <w:bookmarkEnd w:id="182"/>
    </w:p>
    <w:p w14:paraId="43A597B4">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起重臂的安装采用分节吊装的方式。</w:t>
      </w:r>
      <w:r>
        <w:rPr>
          <w:rFonts w:hint="eastAsia" w:ascii="Times New Roman" w:hAnsi="Times New Roman" w:eastAsia="宋体" w:cs="Times New Roman"/>
          <w:szCs w:val="21"/>
          <w:highlight w:val="none"/>
        </w:rPr>
        <w:t>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宋体" w:hAnsi="宋体" w:eastAsia="宋体" w:cs="宋体"/>
          <w:bCs/>
          <w:kern w:val="2"/>
          <w:sz w:val="24"/>
          <w:szCs w:val="24"/>
          <w:highlight w:val="none"/>
          <w:lang w:val="en-US" w:eastAsia="zh-CN" w:bidi="ar-SA"/>
        </w:rPr>
        <w: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w:t>
      </w:r>
      <w:r>
        <w:rPr>
          <w:rFonts w:hint="eastAsia" w:cs="宋体"/>
          <w:bCs/>
          <w:kern w:val="2"/>
          <w:sz w:val="24"/>
          <w:szCs w:val="24"/>
          <w:highlight w:val="none"/>
          <w:lang w:val="en-US" w:eastAsia="zh-CN" w:bidi="ar-SA"/>
        </w:rPr>
        <w:t>臂节一</w:t>
      </w:r>
      <w:r>
        <w:rPr>
          <w:rFonts w:hint="eastAsia" w:ascii="宋体" w:hAnsi="宋体" w:eastAsia="宋体" w:cs="宋体"/>
          <w:bCs/>
          <w:kern w:val="2"/>
          <w:sz w:val="24"/>
          <w:szCs w:val="24"/>
          <w:highlight w:val="none"/>
          <w:lang w:val="en-US" w:eastAsia="zh-CN" w:bidi="ar-SA"/>
        </w:rPr>
        <w:t>下弦连接口</w:t>
      </w:r>
      <w:r>
        <w:rPr>
          <w:rFonts w:hint="eastAsia" w:cs="宋体"/>
          <w:bCs/>
          <w:kern w:val="2"/>
          <w:sz w:val="24"/>
          <w:szCs w:val="24"/>
          <w:highlight w:val="none"/>
          <w:lang w:val="en-US" w:eastAsia="zh-CN" w:bidi="ar-SA"/>
        </w:rPr>
        <w:t>，</w:t>
      </w:r>
      <w:r>
        <w:rPr>
          <w:rFonts w:hint="eastAsia" w:ascii="宋体" w:hAnsi="宋体" w:eastAsia="宋体" w:cs="宋体"/>
          <w:bCs/>
          <w:kern w:val="2"/>
          <w:sz w:val="24"/>
          <w:szCs w:val="24"/>
          <w:highlight w:val="none"/>
          <w:lang w:val="en-US" w:eastAsia="zh-CN" w:bidi="ar-SA"/>
        </w:rPr>
        <w:t>对正后缓慢落下起重臂，安装下弦连接专用高强螺栓，完成一节起重臂的安装。</w:t>
      </w:r>
    </w:p>
    <w:p w14:paraId="4CD0C5CA">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kern w:val="2"/>
          <w:sz w:val="24"/>
          <w:szCs w:val="24"/>
          <w:highlight w:val="none"/>
          <w:lang w:val="en-GB" w:eastAsia="zh-CN" w:bidi="ar-SA"/>
        </w:rPr>
      </w:pPr>
      <w:r>
        <w:rPr>
          <w:rFonts w:hint="eastAsia" w:ascii="宋体" w:hAnsi="宋体" w:cs="宋体"/>
          <w:bCs/>
          <w:kern w:val="2"/>
          <w:sz w:val="24"/>
          <w:szCs w:val="24"/>
          <w:highlight w:val="none"/>
          <w:lang w:val="en-US" w:eastAsia="zh-CN" w:bidi="ar-SA"/>
        </w:rPr>
        <w:t>以相同的方法安装剩余起重臂，</w:t>
      </w:r>
      <w:r>
        <w:rPr>
          <w:rFonts w:hint="eastAsia" w:ascii="宋体" w:hAnsi="宋体" w:eastAsia="宋体" w:cs="宋体"/>
          <w:bCs/>
          <w:kern w:val="2"/>
          <w:sz w:val="24"/>
          <w:szCs w:val="24"/>
          <w:highlight w:val="none"/>
          <w:lang w:val="en-US" w:eastAsia="zh-CN" w:bidi="ar-SA"/>
        </w:rPr>
        <w:t>各个起重臂节的在空中拼装方式都相同。如下图所示。</w:t>
      </w:r>
    </w:p>
    <w:p w14:paraId="0282A330">
      <w:r>
        <w:drawing>
          <wp:inline distT="0" distB="0" distL="114300" distR="114300">
            <wp:extent cx="5271770" cy="5720715"/>
            <wp:effectExtent l="0" t="0" r="5080" b="133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6"/>
                    <a:stretch>
                      <a:fillRect/>
                    </a:stretch>
                  </pic:blipFill>
                  <pic:spPr>
                    <a:xfrm>
                      <a:off x="0" y="0"/>
                      <a:ext cx="5271770" cy="5720715"/>
                    </a:xfrm>
                    <a:prstGeom prst="rect">
                      <a:avLst/>
                    </a:prstGeom>
                    <a:noFill/>
                    <a:ln>
                      <a:noFill/>
                    </a:ln>
                  </pic:spPr>
                </pic:pic>
              </a:graphicData>
            </a:graphic>
          </wp:inline>
        </w:drawing>
      </w:r>
    </w:p>
    <w:p w14:paraId="479A3B58">
      <w:pPr>
        <w:pStyle w:val="15"/>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11</w:t>
      </w:r>
      <w:r>
        <w:fldChar w:fldCharType="end"/>
      </w:r>
      <w:r>
        <w:rPr>
          <w:rFonts w:hint="eastAsia" w:ascii="Times New Roman" w:hAnsi="Times New Roman" w:cs="Times New Roman"/>
          <w:highlight w:val="none"/>
          <w:lang w:val="en-US" w:eastAsia="zh-CN"/>
        </w:rPr>
        <w:t xml:space="preserve"> 起重臂组合图</w:t>
      </w:r>
    </w:p>
    <w:p w14:paraId="673EF3D4">
      <w:pPr>
        <w:bidi w:val="0"/>
        <w:ind w:left="0" w:leftChars="0" w:firstLine="0" w:firstLineChars="0"/>
        <w:jc w:val="center"/>
        <w:rPr>
          <w:highlight w:val="none"/>
        </w:rPr>
      </w:pPr>
      <w:r>
        <w:drawing>
          <wp:inline distT="0" distB="0" distL="114300" distR="114300">
            <wp:extent cx="2271395" cy="2280920"/>
            <wp:effectExtent l="0" t="0" r="14605" b="5080"/>
            <wp:docPr id="1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1"/>
                    </pic:cNvPicPr>
                  </pic:nvPicPr>
                  <pic:blipFill>
                    <a:blip r:embed="rId47"/>
                    <a:stretch>
                      <a:fillRect/>
                    </a:stretch>
                  </pic:blipFill>
                  <pic:spPr>
                    <a:xfrm>
                      <a:off x="0" y="0"/>
                      <a:ext cx="2271395" cy="2280920"/>
                    </a:xfrm>
                    <a:prstGeom prst="rect">
                      <a:avLst/>
                    </a:prstGeom>
                    <a:noFill/>
                    <a:ln>
                      <a:noFill/>
                    </a:ln>
                  </pic:spPr>
                </pic:pic>
              </a:graphicData>
            </a:graphic>
          </wp:inline>
        </w:drawing>
      </w:r>
      <w:r>
        <w:drawing>
          <wp:inline distT="0" distB="0" distL="114300" distR="114300">
            <wp:extent cx="2713990" cy="2207260"/>
            <wp:effectExtent l="0" t="0" r="10160" b="254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48"/>
                    <a:srcRect l="4980" r="23554"/>
                    <a:stretch>
                      <a:fillRect/>
                    </a:stretch>
                  </pic:blipFill>
                  <pic:spPr>
                    <a:xfrm>
                      <a:off x="0" y="0"/>
                      <a:ext cx="2713990" cy="2207260"/>
                    </a:xfrm>
                    <a:prstGeom prst="rect">
                      <a:avLst/>
                    </a:prstGeom>
                    <a:noFill/>
                    <a:ln>
                      <a:noFill/>
                    </a:ln>
                  </pic:spPr>
                </pic:pic>
              </a:graphicData>
            </a:graphic>
          </wp:inline>
        </w:drawing>
      </w:r>
      <w:r>
        <w:drawing>
          <wp:inline distT="0" distB="0" distL="114300" distR="114300">
            <wp:extent cx="2165350" cy="2270125"/>
            <wp:effectExtent l="0" t="0" r="6350" b="15875"/>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49"/>
                    <a:srcRect l="4732" t="382" r="2122" b="-382"/>
                    <a:stretch>
                      <a:fillRect/>
                    </a:stretch>
                  </pic:blipFill>
                  <pic:spPr>
                    <a:xfrm>
                      <a:off x="0" y="0"/>
                      <a:ext cx="2165350" cy="2270125"/>
                    </a:xfrm>
                    <a:prstGeom prst="rect">
                      <a:avLst/>
                    </a:prstGeom>
                    <a:noFill/>
                    <a:ln>
                      <a:noFill/>
                    </a:ln>
                  </pic:spPr>
                </pic:pic>
              </a:graphicData>
            </a:graphic>
          </wp:inline>
        </w:drawing>
      </w:r>
      <w:r>
        <w:drawing>
          <wp:inline distT="0" distB="0" distL="114300" distR="114300">
            <wp:extent cx="3032760" cy="1938020"/>
            <wp:effectExtent l="0" t="0" r="15240" b="5080"/>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50"/>
                    <a:srcRect l="4105" t="4855" r="10929" b="5712"/>
                    <a:stretch>
                      <a:fillRect/>
                    </a:stretch>
                  </pic:blipFill>
                  <pic:spPr>
                    <a:xfrm>
                      <a:off x="0" y="0"/>
                      <a:ext cx="3032760" cy="1938020"/>
                    </a:xfrm>
                    <a:prstGeom prst="rect">
                      <a:avLst/>
                    </a:prstGeom>
                    <a:noFill/>
                    <a:ln>
                      <a:noFill/>
                    </a:ln>
                  </pic:spPr>
                </pic:pic>
              </a:graphicData>
            </a:graphic>
          </wp:inline>
        </w:drawing>
      </w:r>
      <w:r>
        <w:drawing>
          <wp:inline distT="0" distB="0" distL="114300" distR="114300">
            <wp:extent cx="3463925" cy="3087370"/>
            <wp:effectExtent l="0" t="0" r="3175" b="17780"/>
            <wp:docPr id="1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
                    <pic:cNvPicPr>
                      <a:picLocks noChangeAspect="1"/>
                    </pic:cNvPicPr>
                  </pic:nvPicPr>
                  <pic:blipFill>
                    <a:blip r:embed="rId51"/>
                    <a:stretch>
                      <a:fillRect/>
                    </a:stretch>
                  </pic:blipFill>
                  <pic:spPr>
                    <a:xfrm>
                      <a:off x="0" y="0"/>
                      <a:ext cx="3463925" cy="3087370"/>
                    </a:xfrm>
                    <a:prstGeom prst="rect">
                      <a:avLst/>
                    </a:prstGeom>
                    <a:noFill/>
                    <a:ln>
                      <a:noFill/>
                    </a:ln>
                  </pic:spPr>
                </pic:pic>
              </a:graphicData>
            </a:graphic>
          </wp:inline>
        </w:drawing>
      </w:r>
      <w:r>
        <w:rPr>
          <w:highlight w:val="none"/>
        </w:rPr>
        <w:drawing>
          <wp:inline distT="0" distB="0" distL="114300" distR="114300">
            <wp:extent cx="4093210" cy="2582545"/>
            <wp:effectExtent l="0" t="0" r="2540" b="8255"/>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52"/>
                    <a:stretch>
                      <a:fillRect/>
                    </a:stretch>
                  </pic:blipFill>
                  <pic:spPr>
                    <a:xfrm>
                      <a:off x="0" y="0"/>
                      <a:ext cx="4093210" cy="2582545"/>
                    </a:xfrm>
                    <a:prstGeom prst="rect">
                      <a:avLst/>
                    </a:prstGeom>
                    <a:noFill/>
                    <a:ln>
                      <a:noFill/>
                    </a:ln>
                  </pic:spPr>
                </pic:pic>
              </a:graphicData>
            </a:graphic>
          </wp:inline>
        </w:drawing>
      </w:r>
      <w:r>
        <w:drawing>
          <wp:inline distT="0" distB="0" distL="114300" distR="114300">
            <wp:extent cx="3771900" cy="2974340"/>
            <wp:effectExtent l="0" t="0" r="0" b="16510"/>
            <wp:docPr id="1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
                    <pic:cNvPicPr>
                      <a:picLocks noChangeAspect="1"/>
                    </pic:cNvPicPr>
                  </pic:nvPicPr>
                  <pic:blipFill>
                    <a:blip r:embed="rId53"/>
                    <a:stretch>
                      <a:fillRect/>
                    </a:stretch>
                  </pic:blipFill>
                  <pic:spPr>
                    <a:xfrm>
                      <a:off x="0" y="0"/>
                      <a:ext cx="3771900" cy="2974340"/>
                    </a:xfrm>
                    <a:prstGeom prst="rect">
                      <a:avLst/>
                    </a:prstGeom>
                    <a:noFill/>
                    <a:ln>
                      <a:noFill/>
                    </a:ln>
                  </pic:spPr>
                </pic:pic>
              </a:graphicData>
            </a:graphic>
          </wp:inline>
        </w:drawing>
      </w:r>
      <w:r>
        <w:drawing>
          <wp:inline distT="0" distB="0" distL="114300" distR="114300">
            <wp:extent cx="4530090" cy="2849880"/>
            <wp:effectExtent l="0" t="0" r="381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4"/>
                    <a:stretch>
                      <a:fillRect/>
                    </a:stretch>
                  </pic:blipFill>
                  <pic:spPr>
                    <a:xfrm>
                      <a:off x="0" y="0"/>
                      <a:ext cx="4530090" cy="2849880"/>
                    </a:xfrm>
                    <a:prstGeom prst="rect">
                      <a:avLst/>
                    </a:prstGeom>
                    <a:noFill/>
                    <a:ln>
                      <a:noFill/>
                    </a:ln>
                  </pic:spPr>
                </pic:pic>
              </a:graphicData>
            </a:graphic>
          </wp:inline>
        </w:drawing>
      </w:r>
    </w:p>
    <w:p w14:paraId="170A8A9F">
      <w:pPr>
        <w:bidi w:val="0"/>
        <w:ind w:left="0" w:leftChars="0" w:firstLine="0" w:firstLineChars="0"/>
        <w:jc w:val="center"/>
        <w:rPr>
          <w:highlight w:val="none"/>
        </w:rPr>
      </w:pPr>
      <w:r>
        <w:drawing>
          <wp:inline distT="0" distB="0" distL="114300" distR="114300">
            <wp:extent cx="3079115" cy="2684780"/>
            <wp:effectExtent l="0" t="0" r="6985" b="1270"/>
            <wp:docPr id="1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
                    <pic:cNvPicPr>
                      <a:picLocks noChangeAspect="1"/>
                    </pic:cNvPicPr>
                  </pic:nvPicPr>
                  <pic:blipFill>
                    <a:blip r:embed="rId55"/>
                    <a:stretch>
                      <a:fillRect/>
                    </a:stretch>
                  </pic:blipFill>
                  <pic:spPr>
                    <a:xfrm>
                      <a:off x="0" y="0"/>
                      <a:ext cx="3079115" cy="2684780"/>
                    </a:xfrm>
                    <a:prstGeom prst="rect">
                      <a:avLst/>
                    </a:prstGeom>
                    <a:noFill/>
                    <a:ln>
                      <a:noFill/>
                    </a:ln>
                  </pic:spPr>
                </pic:pic>
              </a:graphicData>
            </a:graphic>
          </wp:inline>
        </w:drawing>
      </w:r>
    </w:p>
    <w:p w14:paraId="06C708AC">
      <w:pPr>
        <w:bidi w:val="0"/>
        <w:ind w:left="0" w:leftChars="0" w:firstLine="0" w:firstLineChars="0"/>
        <w:jc w:val="center"/>
        <w:rPr>
          <w:highlight w:val="none"/>
        </w:rPr>
      </w:pPr>
      <w:r>
        <w:drawing>
          <wp:inline distT="0" distB="0" distL="114300" distR="114300">
            <wp:extent cx="4803140" cy="3075940"/>
            <wp:effectExtent l="0" t="0" r="1651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6"/>
                    <a:stretch>
                      <a:fillRect/>
                    </a:stretch>
                  </pic:blipFill>
                  <pic:spPr>
                    <a:xfrm>
                      <a:off x="0" y="0"/>
                      <a:ext cx="4803140" cy="3075940"/>
                    </a:xfrm>
                    <a:prstGeom prst="rect">
                      <a:avLst/>
                    </a:prstGeom>
                    <a:noFill/>
                    <a:ln>
                      <a:noFill/>
                    </a:ln>
                  </pic:spPr>
                </pic:pic>
              </a:graphicData>
            </a:graphic>
          </wp:inline>
        </w:drawing>
      </w:r>
    </w:p>
    <w:p w14:paraId="1E864130">
      <w:pPr>
        <w:pStyle w:val="15"/>
        <w:bidi w:val="0"/>
        <w:ind w:left="0" w:leftChars="0" w:firstLine="0" w:firstLineChars="0"/>
        <w:jc w:val="center"/>
        <w:rPr>
          <w:highlight w:val="none"/>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12</w:t>
      </w:r>
      <w:r>
        <w:fldChar w:fldCharType="end"/>
      </w:r>
      <w:r>
        <w:rPr>
          <w:rFonts w:hint="eastAsia"/>
          <w:lang w:val="en-US" w:eastAsia="zh-CN"/>
        </w:rPr>
        <w:t xml:space="preserve"> </w:t>
      </w:r>
      <w:r>
        <w:rPr>
          <w:rFonts w:hint="eastAsia"/>
          <w:highlight w:val="none"/>
          <w:lang w:val="en-US" w:eastAsia="zh-CN"/>
        </w:rPr>
        <w:t>剩余起重臂吊装示意图</w:t>
      </w:r>
    </w:p>
    <w:p w14:paraId="6EB549D5">
      <w:pPr>
        <w:pStyle w:val="5"/>
        <w:bidi w:val="0"/>
        <w:rPr>
          <w:rFonts w:hint="eastAsia"/>
          <w:highlight w:val="none"/>
          <w:lang w:val="en-US" w:eastAsia="zh-CN"/>
        </w:rPr>
      </w:pPr>
      <w:r>
        <w:rPr>
          <w:rFonts w:hint="eastAsia"/>
          <w:highlight w:val="none"/>
          <w:lang w:val="en-US" w:eastAsia="zh-CN"/>
        </w:rPr>
        <w:t>安装剩余平衡重</w:t>
      </w:r>
    </w:p>
    <w:p w14:paraId="2D68849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平衡重的重量随起重臂长度、平衡臂长度的改变而改变，根据所使用的起重臂及相应平衡臂长度吊装平衡臂。平衡重有两种 A=3.64t、B=1.3t，不同臂长每种平衡重数量见下表</w:t>
      </w:r>
    </w:p>
    <w:p w14:paraId="47ACA32F">
      <w:pPr>
        <w:pStyle w:val="15"/>
        <w:bidi w:val="0"/>
        <w:ind w:left="0" w:leftChars="0" w:firstLine="0" w:firstLineChars="0"/>
        <w:jc w:val="center"/>
      </w:pPr>
      <w:r>
        <w:t xml:space="preserve">表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表 \* ARABIC \s 3 </w:instrText>
      </w:r>
      <w:r>
        <w:fldChar w:fldCharType="separate"/>
      </w:r>
      <w:r>
        <w:t>2</w:t>
      </w:r>
      <w:r>
        <w:fldChar w:fldCharType="end"/>
      </w:r>
      <w:r>
        <w:rPr>
          <w:rFonts w:hint="eastAsia"/>
          <w:lang w:val="en-US" w:eastAsia="zh-CN"/>
        </w:rPr>
        <w:t xml:space="preserve"> </w:t>
      </w:r>
      <w:r>
        <w:rPr>
          <w:rFonts w:hint="eastAsia"/>
          <w:highlight w:val="none"/>
        </w:rPr>
        <w:t>平衡重安装</w:t>
      </w:r>
      <w:r>
        <w:rPr>
          <w:rFonts w:hint="eastAsia"/>
          <w:highlight w:val="none"/>
          <w:lang w:val="en-US" w:eastAsia="zh-CN"/>
        </w:rPr>
        <w:t>表</w:t>
      </w:r>
    </w:p>
    <w:p w14:paraId="205E06B7">
      <w:pPr>
        <w:bidi w:val="0"/>
        <w:ind w:left="0" w:leftChars="0" w:firstLine="0" w:firstLineChars="0"/>
        <w:jc w:val="center"/>
        <w:rPr>
          <w:highlight w:val="none"/>
        </w:rPr>
      </w:pPr>
      <w:r>
        <w:drawing>
          <wp:inline distT="0" distB="0" distL="114300" distR="114300">
            <wp:extent cx="5268595" cy="2482215"/>
            <wp:effectExtent l="0" t="0" r="8255" b="13335"/>
            <wp:docPr id="1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4"/>
                    <pic:cNvPicPr>
                      <a:picLocks noChangeAspect="1"/>
                    </pic:cNvPicPr>
                  </pic:nvPicPr>
                  <pic:blipFill>
                    <a:blip r:embed="rId57"/>
                    <a:stretch>
                      <a:fillRect/>
                    </a:stretch>
                  </pic:blipFill>
                  <pic:spPr>
                    <a:xfrm>
                      <a:off x="0" y="0"/>
                      <a:ext cx="5268595" cy="2482215"/>
                    </a:xfrm>
                    <a:prstGeom prst="rect">
                      <a:avLst/>
                    </a:prstGeom>
                    <a:noFill/>
                    <a:ln>
                      <a:noFill/>
                    </a:ln>
                  </pic:spPr>
                </pic:pic>
              </a:graphicData>
            </a:graphic>
          </wp:inline>
        </w:drawing>
      </w:r>
    </w:p>
    <w:p w14:paraId="212722F4">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5DA3CF7E">
      <w:pPr>
        <w:widowControl/>
        <w:adjustRightInd w:val="0"/>
        <w:snapToGrid w:val="0"/>
        <w:ind w:left="0" w:leftChars="0" w:firstLine="480" w:firstLineChars="200"/>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按从</w:t>
      </w:r>
      <w:r>
        <w:rPr>
          <w:rFonts w:hint="eastAsia" w:cs="Times New Roman"/>
          <w:color w:val="auto"/>
          <w:szCs w:val="21"/>
          <w:highlight w:val="none"/>
          <w:lang w:val="en-US" w:eastAsia="zh-CN"/>
        </w:rPr>
        <w:t>起升机构</w:t>
      </w:r>
      <w:r>
        <w:rPr>
          <w:rFonts w:hint="eastAsia" w:eastAsia="宋体" w:cs="Times New Roman"/>
          <w:color w:val="auto"/>
          <w:szCs w:val="21"/>
          <w:highlight w:val="none"/>
          <w:lang w:val="en-US" w:eastAsia="zh-CN"/>
        </w:rPr>
        <w:t>侧向</w:t>
      </w:r>
      <w:r>
        <w:rPr>
          <w:rFonts w:hint="eastAsia" w:cs="Times New Roman"/>
          <w:color w:val="auto"/>
          <w:szCs w:val="21"/>
          <w:highlight w:val="none"/>
          <w:lang w:val="en-US" w:eastAsia="zh-CN"/>
        </w:rPr>
        <w:t>塔身</w:t>
      </w:r>
      <w:r>
        <w:rPr>
          <w:rFonts w:hint="eastAsia" w:eastAsia="宋体" w:cs="Times New Roman"/>
          <w:color w:val="auto"/>
          <w:szCs w:val="21"/>
          <w:highlight w:val="none"/>
          <w:lang w:val="en-US" w:eastAsia="zh-CN"/>
        </w:rPr>
        <w:t>侧依次吊装平衡重。</w:t>
      </w:r>
    </w:p>
    <w:p w14:paraId="42D9F1BD">
      <w:pPr>
        <w:widowControl w:val="0"/>
        <w:adjustRightInd/>
        <w:snapToGrid/>
        <w:ind w:firstLine="48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作业人员在地面上先将钢丝绳一端挂在</w:t>
      </w:r>
      <w:r>
        <w:rPr>
          <w:rFonts w:hint="eastAsia" w:eastAsia="宋体" w:cs="Times New Roman"/>
          <w:color w:val="auto"/>
          <w:szCs w:val="21"/>
          <w:highlight w:val="none"/>
          <w:lang w:eastAsia="zh-CN"/>
        </w:rPr>
        <w:t>吊机</w:t>
      </w:r>
      <w:r>
        <w:rPr>
          <w:rFonts w:hint="eastAsia" w:ascii="Times New Roman" w:hAnsi="Times New Roman" w:eastAsia="宋体" w:cs="Times New Roman"/>
          <w:color w:val="auto"/>
          <w:szCs w:val="21"/>
          <w:highlight w:val="none"/>
        </w:rPr>
        <w:t>吊钩上，另一端与卸扣连接，启动</w:t>
      </w:r>
      <w:r>
        <w:rPr>
          <w:rFonts w:hint="eastAsia" w:eastAsia="宋体" w:cs="Times New Roman"/>
          <w:color w:val="auto"/>
          <w:szCs w:val="21"/>
          <w:highlight w:val="none"/>
          <w:lang w:eastAsia="zh-CN"/>
        </w:rPr>
        <w:t>吊机</w:t>
      </w:r>
      <w:r>
        <w:rPr>
          <w:rFonts w:hint="eastAsia" w:ascii="Times New Roman" w:hAnsi="Times New Roman" w:eastAsia="宋体" w:cs="Times New Roman"/>
          <w:color w:val="auto"/>
          <w:szCs w:val="21"/>
          <w:highlight w:val="none"/>
        </w:rPr>
        <w:t>，将卸扣缓慢提升至平衡重上方时，缓慢放松吊钩，作业人员通过平衡臂走道走行至平衡臂尾部，将安全带系挂在平衡臂横杆上，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2BBD6A5B">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01CFBFCD">
      <w:pPr>
        <w:bidi w:val="0"/>
        <w:ind w:left="0" w:leftChars="0" w:firstLine="0" w:firstLineChars="0"/>
        <w:jc w:val="center"/>
        <w:rPr>
          <w:highlight w:val="none"/>
        </w:rPr>
      </w:pPr>
      <w:r>
        <w:drawing>
          <wp:inline distT="0" distB="0" distL="114300" distR="114300">
            <wp:extent cx="3563620" cy="3326130"/>
            <wp:effectExtent l="0" t="0" r="17780" b="7620"/>
            <wp:docPr id="1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pic:cNvPicPr>
                  </pic:nvPicPr>
                  <pic:blipFill>
                    <a:blip r:embed="rId58"/>
                    <a:stretch>
                      <a:fillRect/>
                    </a:stretch>
                  </pic:blipFill>
                  <pic:spPr>
                    <a:xfrm>
                      <a:off x="0" y="0"/>
                      <a:ext cx="3563620" cy="3326130"/>
                    </a:xfrm>
                    <a:prstGeom prst="rect">
                      <a:avLst/>
                    </a:prstGeom>
                    <a:noFill/>
                    <a:ln>
                      <a:noFill/>
                    </a:ln>
                  </pic:spPr>
                </pic:pic>
              </a:graphicData>
            </a:graphic>
          </wp:inline>
        </w:drawing>
      </w:r>
      <w:r>
        <w:drawing>
          <wp:inline distT="0" distB="0" distL="114300" distR="114300">
            <wp:extent cx="5266055" cy="2534920"/>
            <wp:effectExtent l="0" t="0" r="10795"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9"/>
                    <a:stretch>
                      <a:fillRect/>
                    </a:stretch>
                  </pic:blipFill>
                  <pic:spPr>
                    <a:xfrm>
                      <a:off x="0" y="0"/>
                      <a:ext cx="5266055" cy="2534920"/>
                    </a:xfrm>
                    <a:prstGeom prst="rect">
                      <a:avLst/>
                    </a:prstGeom>
                    <a:noFill/>
                    <a:ln>
                      <a:noFill/>
                    </a:ln>
                  </pic:spPr>
                </pic:pic>
              </a:graphicData>
            </a:graphic>
          </wp:inline>
        </w:drawing>
      </w:r>
    </w:p>
    <w:p w14:paraId="512DDCE6">
      <w:pPr>
        <w:pStyle w:val="15"/>
        <w:bidi w:val="0"/>
        <w:ind w:left="0" w:leftChars="0" w:firstLine="0" w:firstLineChars="0"/>
        <w:jc w:val="center"/>
        <w:rPr>
          <w:highlight w:val="none"/>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13</w:t>
      </w:r>
      <w:r>
        <w:fldChar w:fldCharType="end"/>
      </w:r>
      <w:r>
        <w:rPr>
          <w:rFonts w:hint="eastAsia"/>
          <w:lang w:val="en-US" w:eastAsia="zh-CN"/>
        </w:rPr>
        <w:t xml:space="preserve"> </w:t>
      </w:r>
      <w:r>
        <w:rPr>
          <w:rFonts w:hint="eastAsia"/>
          <w:highlight w:val="none"/>
          <w:lang w:val="en-US" w:eastAsia="zh-CN"/>
        </w:rPr>
        <w:t>剩余平衡重吊装示意图</w:t>
      </w:r>
    </w:p>
    <w:p w14:paraId="763539B0">
      <w:pPr>
        <w:pStyle w:val="5"/>
        <w:bidi w:val="0"/>
        <w:rPr>
          <w:rFonts w:hint="eastAsia"/>
          <w:highlight w:val="none"/>
          <w:lang w:val="en-US" w:eastAsia="zh-CN"/>
        </w:rPr>
      </w:pPr>
      <w:r>
        <w:rPr>
          <w:rFonts w:hint="eastAsia"/>
          <w:highlight w:val="none"/>
          <w:lang w:val="en-US" w:eastAsia="zh-CN"/>
        </w:rPr>
        <w:t>安装电控系统</w:t>
      </w:r>
    </w:p>
    <w:p w14:paraId="2D32D989">
      <w:pPr>
        <w:bidi w:val="0"/>
        <w:ind w:firstLine="480" w:firstLineChars="200"/>
        <w:rPr>
          <w:rFonts w:hint="eastAsia"/>
          <w:highlight w:val="none"/>
          <w:lang w:val="en-US" w:eastAsia="zh-CN"/>
        </w:rPr>
      </w:pPr>
      <w:r>
        <w:rPr>
          <w:rFonts w:hint="eastAsia"/>
          <w:highlight w:val="none"/>
          <w:lang w:val="en-US" w:eastAsia="zh-CN"/>
        </w:rPr>
        <w:t>起重臂安装完成后，司机室、各机构及相关安全装置就全部可以进行接线试电调试。其中除了起重量限制、变幅机构及其安全限位装置以外，其他电控系统在平衡臂安装完成后就可以进行接线安装。</w:t>
      </w:r>
    </w:p>
    <w:p w14:paraId="7985E5ED">
      <w:pPr>
        <w:bidi w:val="0"/>
        <w:rPr>
          <w:rFonts w:hint="eastAsia"/>
          <w:highlight w:val="none"/>
          <w:lang w:val="en-US" w:eastAsia="zh-CN"/>
        </w:rPr>
      </w:pPr>
      <w:r>
        <w:rPr>
          <w:rFonts w:hint="eastAsia"/>
          <w:highlight w:val="none"/>
          <w:lang w:val="en-US" w:eastAsia="zh-CN"/>
        </w:rPr>
        <w:t>安全警示灯、风速仪安装位置见下图。</w:t>
      </w:r>
    </w:p>
    <w:p w14:paraId="2FC2B2F1">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7325" cy="1515110"/>
            <wp:effectExtent l="0" t="0" r="9525" b="8890"/>
            <wp:docPr id="2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4"/>
                    <pic:cNvPicPr>
                      <a:picLocks noChangeAspect="1"/>
                    </pic:cNvPicPr>
                  </pic:nvPicPr>
                  <pic:blipFill>
                    <a:blip r:embed="rId60"/>
                    <a:stretch>
                      <a:fillRect/>
                    </a:stretch>
                  </pic:blipFill>
                  <pic:spPr>
                    <a:xfrm>
                      <a:off x="0" y="0"/>
                      <a:ext cx="5267325" cy="1515110"/>
                    </a:xfrm>
                    <a:prstGeom prst="rect">
                      <a:avLst/>
                    </a:prstGeom>
                    <a:noFill/>
                    <a:ln>
                      <a:noFill/>
                    </a:ln>
                  </pic:spPr>
                </pic:pic>
              </a:graphicData>
            </a:graphic>
          </wp:inline>
        </w:drawing>
      </w:r>
    </w:p>
    <w:p w14:paraId="65744540">
      <w:pPr>
        <w:pStyle w:val="15"/>
        <w:bidi w:val="0"/>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14</w:t>
      </w:r>
      <w:r>
        <w:fldChar w:fldCharType="end"/>
      </w:r>
      <w:r>
        <w:rPr>
          <w:rFonts w:hint="eastAsia"/>
          <w:lang w:val="en-US" w:eastAsia="zh-CN"/>
        </w:rPr>
        <w:t xml:space="preserve"> </w:t>
      </w:r>
      <w:r>
        <w:rPr>
          <w:rFonts w:hint="eastAsia"/>
          <w:highlight w:val="none"/>
          <w:lang w:val="en-US" w:eastAsia="zh-CN"/>
        </w:rPr>
        <w:t>警示灯和风速仪安装位置示意图</w:t>
      </w:r>
    </w:p>
    <w:p w14:paraId="7E2EF767">
      <w:pPr>
        <w:pStyle w:val="5"/>
        <w:bidi w:val="0"/>
        <w:rPr>
          <w:rFonts w:hint="eastAsia"/>
          <w:highlight w:val="none"/>
          <w:lang w:val="en-US" w:eastAsia="zh-CN"/>
        </w:rPr>
      </w:pPr>
      <w:bookmarkStart w:id="183" w:name="_Toc7930"/>
      <w:bookmarkStart w:id="184" w:name="_Toc20890"/>
      <w:r>
        <w:rPr>
          <w:rFonts w:hint="eastAsia"/>
          <w:highlight w:val="none"/>
          <w:lang w:val="en-US" w:eastAsia="zh-CN"/>
        </w:rPr>
        <w:t>起升机构绕绳系统</w:t>
      </w:r>
      <w:bookmarkEnd w:id="183"/>
      <w:bookmarkEnd w:id="184"/>
    </w:p>
    <w:p w14:paraId="5209844B">
      <w:pPr>
        <w:bidi w:val="0"/>
        <w:ind w:firstLine="480" w:firstLineChars="200"/>
        <w:rPr>
          <w:rFonts w:hint="eastAsia"/>
          <w:highlight w:val="none"/>
          <w:lang w:val="en-US" w:eastAsia="zh-CN"/>
        </w:rPr>
      </w:pPr>
      <w:r>
        <w:rPr>
          <w:rFonts w:hint="eastAsia"/>
          <w:highlight w:val="none"/>
          <w:lang w:val="en-US" w:eastAsia="zh-CN"/>
        </w:rPr>
        <w:t>（1）将载重小车开至起重臂臂根，并在载重小车正下方的地面上放置临时支架，吊钩竖直固定。</w:t>
      </w:r>
    </w:p>
    <w:p w14:paraId="5FF94290">
      <w:pPr>
        <w:bidi w:val="0"/>
        <w:ind w:firstLine="480" w:firstLineChars="200"/>
        <w:rPr>
          <w:rFonts w:hint="eastAsia"/>
          <w:highlight w:val="none"/>
          <w:lang w:val="en-US" w:eastAsia="zh-CN"/>
        </w:rPr>
      </w:pPr>
      <w:r>
        <w:rPr>
          <w:rFonts w:hint="eastAsia"/>
          <w:highlight w:val="none"/>
          <w:lang w:val="en-US" w:eastAsia="zh-CN"/>
        </w:rPr>
        <w:t>（2）从起升机构卷筒拉出起升绳的绳头，同时启动起升机构下降档，将钢丝绳依次穿过起重臂臂节1上的起重量限制器滑轮、起重臂臂节1臂根转向滑轮，并穿过载重小车和吊钩上的滑轮组。起升钢丝绳穿绳如下图所示：</w:t>
      </w:r>
    </w:p>
    <w:p w14:paraId="00F82840">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8595" cy="1437005"/>
            <wp:effectExtent l="0" t="0" r="8255" b="10795"/>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pic:cNvPicPr>
                  </pic:nvPicPr>
                  <pic:blipFill>
                    <a:blip r:embed="rId61"/>
                    <a:stretch>
                      <a:fillRect/>
                    </a:stretch>
                  </pic:blipFill>
                  <pic:spPr>
                    <a:xfrm>
                      <a:off x="0" y="0"/>
                      <a:ext cx="5268595" cy="1437005"/>
                    </a:xfrm>
                    <a:prstGeom prst="rect">
                      <a:avLst/>
                    </a:prstGeom>
                    <a:noFill/>
                    <a:ln>
                      <a:noFill/>
                    </a:ln>
                  </pic:spPr>
                </pic:pic>
              </a:graphicData>
            </a:graphic>
          </wp:inline>
        </w:drawing>
      </w:r>
    </w:p>
    <w:p w14:paraId="66C307C4">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4712970" cy="2268220"/>
            <wp:effectExtent l="0" t="0" r="11430" b="17780"/>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62"/>
                    <a:stretch>
                      <a:fillRect/>
                    </a:stretch>
                  </pic:blipFill>
                  <pic:spPr>
                    <a:xfrm>
                      <a:off x="0" y="0"/>
                      <a:ext cx="4712970" cy="2268220"/>
                    </a:xfrm>
                    <a:prstGeom prst="rect">
                      <a:avLst/>
                    </a:prstGeom>
                    <a:noFill/>
                    <a:ln>
                      <a:noFill/>
                    </a:ln>
                  </pic:spPr>
                </pic:pic>
              </a:graphicData>
            </a:graphic>
          </wp:inline>
        </w:drawing>
      </w:r>
    </w:p>
    <w:p w14:paraId="6C62B179">
      <w:pPr>
        <w:pStyle w:val="15"/>
        <w:bidi w:val="0"/>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15</w:t>
      </w:r>
      <w:r>
        <w:fldChar w:fldCharType="end"/>
      </w:r>
      <w:r>
        <w:rPr>
          <w:rFonts w:hint="eastAsia"/>
          <w:lang w:val="en-US" w:eastAsia="zh-CN"/>
        </w:rPr>
        <w:t xml:space="preserve"> </w:t>
      </w:r>
      <w:r>
        <w:rPr>
          <w:rFonts w:hint="eastAsia"/>
          <w:highlight w:val="none"/>
          <w:lang w:val="en-US" w:eastAsia="zh-CN"/>
        </w:rPr>
        <w:t>起升钢丝绳绕绳示意图</w:t>
      </w:r>
    </w:p>
    <w:p w14:paraId="5300E770">
      <w:pPr>
        <w:bidi w:val="0"/>
        <w:ind w:firstLine="480" w:firstLineChars="200"/>
        <w:rPr>
          <w:rFonts w:hint="eastAsia"/>
          <w:highlight w:val="none"/>
          <w:lang w:val="en-US" w:eastAsia="zh-CN"/>
        </w:rPr>
      </w:pPr>
      <w:r>
        <w:rPr>
          <w:rFonts w:hint="eastAsia"/>
          <w:highlight w:val="none"/>
          <w:lang w:val="en-US" w:eastAsia="zh-CN"/>
        </w:rPr>
        <w:t>（3）用两个绳夹将起升绳固定在载重小车上的合适位置，并留不小于 1.2 米的余量。</w:t>
      </w:r>
    </w:p>
    <w:p w14:paraId="3165E4F2">
      <w:pPr>
        <w:bidi w:val="0"/>
        <w:ind w:firstLine="480" w:firstLineChars="200"/>
        <w:rPr>
          <w:rFonts w:hint="eastAsia"/>
          <w:highlight w:val="none"/>
          <w:lang w:val="en-US" w:eastAsia="zh-CN"/>
        </w:rPr>
      </w:pPr>
      <w:r>
        <w:rPr>
          <w:rFonts w:hint="eastAsia"/>
          <w:highlight w:val="none"/>
          <w:lang w:val="en-US" w:eastAsia="zh-CN"/>
        </w:rPr>
        <w:t>（4）将起重臂臂尖节防扭装置上拆下楔形接头，将起升绳与其连接，并把起升绳的尾部用软的钢丝绑住，见图 5-40 所示，再使其折回后用固定绳夹固定住。</w:t>
      </w:r>
    </w:p>
    <w:p w14:paraId="678BECAC">
      <w:pPr>
        <w:bidi w:val="0"/>
        <w:ind w:firstLine="480" w:firstLineChars="200"/>
        <w:rPr>
          <w:rFonts w:hint="eastAsia"/>
          <w:highlight w:val="none"/>
          <w:lang w:val="en-US" w:eastAsia="zh-CN"/>
        </w:rPr>
      </w:pPr>
      <w:r>
        <w:rPr>
          <w:rFonts w:hint="eastAsia"/>
          <w:highlight w:val="none"/>
          <w:lang w:val="en-US" w:eastAsia="zh-CN"/>
        </w:rPr>
        <w:t>（5）缓慢启动起升机构，提升吊钩至离地 1 米高处，确认起升钢丝绳已固定牢固。</w:t>
      </w:r>
    </w:p>
    <w:p w14:paraId="1BFECB69">
      <w:pPr>
        <w:bidi w:val="0"/>
        <w:ind w:firstLine="480" w:firstLineChars="200"/>
        <w:rPr>
          <w:rFonts w:hint="eastAsia"/>
          <w:highlight w:val="none"/>
          <w:lang w:val="en-US" w:eastAsia="zh-CN"/>
        </w:rPr>
      </w:pPr>
      <w:r>
        <w:rPr>
          <w:rFonts w:hint="eastAsia"/>
          <w:highlight w:val="none"/>
          <w:lang w:val="en-US" w:eastAsia="zh-CN"/>
        </w:rPr>
        <w:t xml:space="preserve">（6）启动变幅机构将载重小车和吊钩开至起重臂臂尖。 </w:t>
      </w:r>
    </w:p>
    <w:p w14:paraId="729E7011">
      <w:pPr>
        <w:bidi w:val="0"/>
        <w:ind w:firstLine="480" w:firstLineChars="200"/>
        <w:rPr>
          <w:rFonts w:hint="eastAsia"/>
          <w:highlight w:val="none"/>
          <w:lang w:val="en-US" w:eastAsia="zh-CN"/>
        </w:rPr>
      </w:pPr>
      <w:r>
        <w:rPr>
          <w:rFonts w:hint="eastAsia"/>
          <w:highlight w:val="none"/>
          <w:lang w:val="en-US" w:eastAsia="zh-CN"/>
        </w:rPr>
        <w:t>（7）将楔形接头固定在臂尖防扭装置上，缓慢把小车下降到臂尖下面的支架上，拆卸载重小车上固定起升绳的绳夹，松开起升钢丝绳。</w:t>
      </w:r>
    </w:p>
    <w:p w14:paraId="5A13FCF3">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2221865" cy="1304290"/>
            <wp:effectExtent l="0" t="0" r="6985" b="1016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63"/>
                    <a:stretch>
                      <a:fillRect/>
                    </a:stretch>
                  </pic:blipFill>
                  <pic:spPr>
                    <a:xfrm>
                      <a:off x="0" y="0"/>
                      <a:ext cx="2221865" cy="1304290"/>
                    </a:xfrm>
                    <a:prstGeom prst="rect">
                      <a:avLst/>
                    </a:prstGeom>
                    <a:noFill/>
                    <a:ln>
                      <a:noFill/>
                    </a:ln>
                  </pic:spPr>
                </pic:pic>
              </a:graphicData>
            </a:graphic>
          </wp:inline>
        </w:drawing>
      </w:r>
    </w:p>
    <w:p w14:paraId="7BDC2A4B">
      <w:pPr>
        <w:pStyle w:val="15"/>
        <w:bidi w:val="0"/>
        <w:ind w:left="0" w:leftChars="0" w:firstLine="0" w:firstLineChars="0"/>
        <w:jc w:val="center"/>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16</w:t>
      </w:r>
      <w:r>
        <w:fldChar w:fldCharType="end"/>
      </w:r>
      <w:r>
        <w:rPr>
          <w:rFonts w:hint="eastAsia"/>
          <w:lang w:val="en-US" w:eastAsia="zh-CN"/>
        </w:rPr>
        <w:t xml:space="preserve"> </w:t>
      </w:r>
      <w:r>
        <w:rPr>
          <w:rFonts w:hint="eastAsia"/>
          <w:highlight w:val="none"/>
          <w:lang w:val="en-US" w:eastAsia="zh-CN"/>
        </w:rPr>
        <w:t>钢丝绳固定示意图</w:t>
      </w:r>
    </w:p>
    <w:p w14:paraId="13B230F8">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注意：</w:t>
      </w:r>
    </w:p>
    <w:p w14:paraId="1972C3AD">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起升绳为不旋转钢丝绳时，塔机在工作状态本防扭装置应锁紧图4-31中螺钉3和5锁紧。</w:t>
      </w:r>
    </w:p>
    <w:p w14:paraId="62912B9A">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起升绳抗旋转钢丝绳时，塔机在工作状态本防扭装置应将锁紧螺钉3和5打开。</w:t>
      </w:r>
    </w:p>
    <w:p w14:paraId="5E0AB477">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新换钢丝绳后，空载运行时吊钩旋转，此时应打开防扭装置。</w:t>
      </w:r>
    </w:p>
    <w:p w14:paraId="46308512">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塔机在长时间使用后，钢丝绳伸长并产生轻微扭转，此时应暂时打开防扭装置，待钢丝绳张紧后再次锁紧。</w:t>
      </w:r>
    </w:p>
    <w:p w14:paraId="597020E2">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一旦钢丝绳散股，防扭装置将会加速钢丝绳的破坏，所以应及时更换钢丝绳。</w:t>
      </w:r>
    </w:p>
    <w:p w14:paraId="2B33586F">
      <w:pPr>
        <w:bidi w:val="0"/>
        <w:ind w:left="0" w:leftChars="0" w:firstLine="0" w:firstLineChars="0"/>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drawing>
          <wp:inline distT="0" distB="0" distL="114300" distR="114300">
            <wp:extent cx="3166745" cy="1403985"/>
            <wp:effectExtent l="0" t="0" r="14605" b="5715"/>
            <wp:docPr id="2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9"/>
                    <pic:cNvPicPr>
                      <a:picLocks noChangeAspect="1"/>
                    </pic:cNvPicPr>
                  </pic:nvPicPr>
                  <pic:blipFill>
                    <a:blip r:embed="rId64"/>
                    <a:stretch>
                      <a:fillRect/>
                    </a:stretch>
                  </pic:blipFill>
                  <pic:spPr>
                    <a:xfrm>
                      <a:off x="0" y="0"/>
                      <a:ext cx="3166745" cy="1403985"/>
                    </a:xfrm>
                    <a:prstGeom prst="rect">
                      <a:avLst/>
                    </a:prstGeom>
                    <a:noFill/>
                    <a:ln>
                      <a:noFill/>
                    </a:ln>
                  </pic:spPr>
                </pic:pic>
              </a:graphicData>
            </a:graphic>
          </wp:inline>
        </w:drawing>
      </w:r>
    </w:p>
    <w:p w14:paraId="1244DF8A">
      <w:pPr>
        <w:pStyle w:val="15"/>
        <w:bidi w:val="0"/>
        <w:ind w:left="0" w:leftChars="0" w:firstLine="0" w:firstLineChars="0"/>
        <w:jc w:val="center"/>
        <w:rPr>
          <w:rFonts w:hint="eastAsia" w:ascii="宋体" w:hAnsi="宋体" w:eastAsia="宋体" w:cs="宋体"/>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17</w:t>
      </w:r>
      <w:r>
        <w:fldChar w:fldCharType="end"/>
      </w:r>
      <w:r>
        <w:rPr>
          <w:rFonts w:hint="eastAsia"/>
          <w:lang w:val="en-US" w:eastAsia="zh-CN"/>
        </w:rPr>
        <w:t xml:space="preserve"> </w:t>
      </w:r>
      <w:r>
        <w:rPr>
          <w:rFonts w:hint="eastAsia" w:ascii="宋体" w:hAnsi="宋体" w:eastAsia="宋体" w:cs="宋体"/>
          <w:highlight w:val="none"/>
          <w:lang w:val="en-US" w:eastAsia="zh-CN"/>
        </w:rPr>
        <w:t>防扭装置</w:t>
      </w:r>
    </w:p>
    <w:p w14:paraId="00C4A674">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注意：</w:t>
      </w:r>
    </w:p>
    <w:p w14:paraId="75392DB0">
      <w:pPr>
        <w:bidi w:val="0"/>
        <w:ind w:firstLine="480" w:firstLineChars="200"/>
        <w:rPr>
          <w:rFonts w:hint="eastAsia" w:ascii="宋体" w:hAnsi="宋体" w:eastAsia="宋体" w:cs="宋体"/>
          <w:sz w:val="21"/>
          <w:szCs w:val="21"/>
          <w:highlight w:val="none"/>
          <w:lang w:val="en-US" w:eastAsia="zh-CN"/>
        </w:rPr>
      </w:pPr>
      <w:r>
        <w:rPr>
          <w:rFonts w:hint="eastAsia" w:ascii="宋体" w:hAnsi="宋体" w:eastAsia="宋体" w:cs="Times New Roman"/>
          <w:highlight w:val="none"/>
          <w:lang w:val="en-US" w:eastAsia="zh-CN"/>
        </w:rPr>
        <w:t>吊钩穿绳安全警示：不论爬升架工作平台或是引进平台，均不能承载吊钩重量，严禁将吊钩放置在上述平台上进行吊钩的钢丝绳穿绳操作；塔机高度较高时，可将吊钩回转至建筑物上方，将吊钩放置在有足够承载能力的楼面或建筑物顶面上，再进行吊钩的穿绳操作。</w:t>
      </w:r>
    </w:p>
    <w:p w14:paraId="6EA73D93">
      <w:pPr>
        <w:pStyle w:val="5"/>
        <w:bidi w:val="0"/>
        <w:rPr>
          <w:rFonts w:hint="eastAsia"/>
          <w:highlight w:val="none"/>
          <w:lang w:val="en-US" w:eastAsia="zh-CN"/>
        </w:rPr>
      </w:pPr>
      <w:bookmarkStart w:id="185" w:name="_Toc6001"/>
      <w:bookmarkStart w:id="186" w:name="_Toc22543"/>
      <w:r>
        <w:rPr>
          <w:rFonts w:hint="eastAsia"/>
          <w:highlight w:val="none"/>
          <w:lang w:val="en-US" w:eastAsia="zh-CN"/>
        </w:rPr>
        <w:t>接电源及试运转</w:t>
      </w:r>
      <w:bookmarkEnd w:id="185"/>
      <w:bookmarkEnd w:id="186"/>
    </w:p>
    <w:p w14:paraId="0EE0CA4C">
      <w:pPr>
        <w:bidi w:val="0"/>
        <w:ind w:firstLine="480" w:firstLineChars="200"/>
        <w:rPr>
          <w:rFonts w:hint="eastAsia"/>
          <w:highlight w:val="none"/>
          <w:lang w:val="en-US" w:eastAsia="zh-CN"/>
        </w:rPr>
      </w:pPr>
      <w:r>
        <w:rPr>
          <w:rFonts w:hint="eastAsia"/>
          <w:highlight w:val="none"/>
          <w:lang w:val="en-US" w:eastAsia="zh-CN"/>
        </w:rPr>
        <w:t>按电路图的要求接通所有电路的电源，试开动各机构进行运转，检查各机构运转是否正确，同时检查各处钢丝绳是否处于正常工作状态，是否与结构件有干涉，所有不正常情况均应予以排除。</w:t>
      </w:r>
    </w:p>
    <w:p w14:paraId="4351EF0F">
      <w:pPr>
        <w:pStyle w:val="5"/>
        <w:bidi w:val="0"/>
        <w:rPr>
          <w:rFonts w:hint="eastAsia"/>
          <w:highlight w:val="none"/>
          <w:lang w:val="en-US" w:eastAsia="zh-CN"/>
        </w:rPr>
      </w:pPr>
      <w:r>
        <w:rPr>
          <w:rFonts w:hint="eastAsia"/>
          <w:highlight w:val="none"/>
          <w:lang w:val="en-US" w:eastAsia="zh-CN"/>
        </w:rPr>
        <w:t>倍率切换</w:t>
      </w:r>
    </w:p>
    <w:p w14:paraId="7BA8245A">
      <w:pPr>
        <w:bidi w:val="0"/>
        <w:ind w:firstLine="480" w:firstLineChars="200"/>
        <w:rPr>
          <w:rFonts w:hint="eastAsia"/>
          <w:highlight w:val="none"/>
          <w:lang w:val="en-US" w:eastAsia="zh-CN"/>
        </w:rPr>
      </w:pPr>
      <w:r>
        <w:rPr>
          <w:rFonts w:hint="eastAsia"/>
          <w:highlight w:val="none"/>
          <w:lang w:val="en-US" w:eastAsia="zh-CN"/>
        </w:rPr>
        <w:t>换倍率装置是一个带有活动滑轮的挂体，当其与吊钩连成一体时，起升钢丝绳系统为4倍率，当挂体与吊钩脱离并顶在载重小车底面时，起升钢丝绳系统则变为2倍率。见下图：</w:t>
      </w:r>
    </w:p>
    <w:p w14:paraId="4E106479">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2996565" cy="1440180"/>
            <wp:effectExtent l="0" t="0" r="13335" b="7620"/>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pic:cNvPicPr>
                  </pic:nvPicPr>
                  <pic:blipFill>
                    <a:blip r:embed="rId65"/>
                    <a:stretch>
                      <a:fillRect/>
                    </a:stretch>
                  </pic:blipFill>
                  <pic:spPr>
                    <a:xfrm>
                      <a:off x="0" y="0"/>
                      <a:ext cx="2996565" cy="1440180"/>
                    </a:xfrm>
                    <a:prstGeom prst="rect">
                      <a:avLst/>
                    </a:prstGeom>
                    <a:noFill/>
                    <a:ln>
                      <a:noFill/>
                    </a:ln>
                  </pic:spPr>
                </pic:pic>
              </a:graphicData>
            </a:graphic>
          </wp:inline>
        </w:drawing>
      </w:r>
    </w:p>
    <w:p w14:paraId="102C3DD2">
      <w:pPr>
        <w:pStyle w:val="15"/>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1-小车 2-上滑轮组 3-下滑轮组</w:t>
      </w:r>
    </w:p>
    <w:p w14:paraId="0B0FE2CB">
      <w:pPr>
        <w:pStyle w:val="15"/>
        <w:bidi w:val="0"/>
        <w:ind w:left="0" w:leftChars="0" w:firstLine="0" w:firstLineChars="0"/>
        <w:jc w:val="center"/>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18</w:t>
      </w:r>
      <w:r>
        <w:fldChar w:fldCharType="end"/>
      </w:r>
      <w:r>
        <w:rPr>
          <w:rFonts w:hint="eastAsia"/>
          <w:lang w:val="en-US" w:eastAsia="zh-CN"/>
        </w:rPr>
        <w:t xml:space="preserve"> </w:t>
      </w:r>
      <w:r>
        <w:rPr>
          <w:rFonts w:hint="eastAsia"/>
          <w:highlight w:val="none"/>
          <w:lang w:val="en-US" w:eastAsia="zh-CN"/>
        </w:rPr>
        <w:t>倍率转换示意图</w:t>
      </w:r>
    </w:p>
    <w:p w14:paraId="015B334B">
      <w:pPr>
        <w:bidi w:val="0"/>
        <w:ind w:firstLine="480" w:firstLineChars="200"/>
        <w:rPr>
          <w:rFonts w:hint="eastAsia"/>
          <w:highlight w:val="none"/>
          <w:lang w:val="en-US" w:eastAsia="zh-CN"/>
        </w:rPr>
      </w:pPr>
      <w:r>
        <w:rPr>
          <w:rFonts w:hint="eastAsia"/>
          <w:highlight w:val="none"/>
          <w:lang w:val="en-US" w:eastAsia="zh-CN"/>
        </w:rPr>
        <w:t>变倍率在无载荷、低速、没有摆动的情况下，在吊臂根部进行的。无论是二倍率变四倍率，还是四倍率变二倍率，都必须先将旁路开关旋转至旁路状态，使高度限位不起作用；转换完成后，必须将旁路开关恢复原有状态。</w:t>
      </w:r>
    </w:p>
    <w:p w14:paraId="73326A81">
      <w:pPr>
        <w:bidi w:val="0"/>
        <w:ind w:firstLine="480" w:firstLineChars="200"/>
        <w:rPr>
          <w:rFonts w:hint="eastAsia"/>
          <w:highlight w:val="none"/>
          <w:lang w:val="en-US" w:eastAsia="zh-CN"/>
        </w:rPr>
      </w:pPr>
      <w:r>
        <w:rPr>
          <w:rFonts w:hint="eastAsia"/>
          <w:highlight w:val="none"/>
          <w:lang w:val="en-US" w:eastAsia="zh-CN"/>
        </w:rPr>
        <w:t>当需要用2倍率工作时，操纵起升机构，使吊钩向下运动并着地，拔出挂体销轴，然后开动起升机构，收紧钢丝绳，使挂体上升至与载重小车接触。注意：起升机构的排绳情况不得有乱绳情况出现。这样起升钢丝绳系统就转换成2倍率。</w:t>
      </w:r>
    </w:p>
    <w:p w14:paraId="499CE997">
      <w:pPr>
        <w:bidi w:val="0"/>
        <w:ind w:firstLine="480" w:firstLineChars="200"/>
        <w:rPr>
          <w:rFonts w:hint="eastAsia"/>
          <w:highlight w:val="none"/>
          <w:lang w:val="en-US" w:eastAsia="zh-CN"/>
        </w:rPr>
      </w:pPr>
      <w:r>
        <w:rPr>
          <w:rFonts w:hint="eastAsia"/>
          <w:highlight w:val="none"/>
          <w:lang w:val="en-US" w:eastAsia="zh-CN"/>
        </w:rPr>
        <w:t>若要再将起升钢丝绳系统转换4倍率，则又操纵起升机构，放下吊钩至地面，并使挂体落回到吊钩的挂体槽内。插上销轴和开口销，并充分张开开口销。这样起升钢丝绳系统就自动转换为4倍率。</w:t>
      </w:r>
    </w:p>
    <w:p w14:paraId="4F4295FC">
      <w:pPr>
        <w:bidi w:val="0"/>
        <w:ind w:firstLine="480" w:firstLineChars="200"/>
        <w:rPr>
          <w:rFonts w:hint="eastAsia"/>
          <w:highlight w:val="none"/>
          <w:lang w:val="en-US" w:eastAsia="zh-CN"/>
        </w:rPr>
      </w:pPr>
      <w:r>
        <w:rPr>
          <w:rFonts w:hint="eastAsia"/>
          <w:highlight w:val="none"/>
          <w:lang w:val="en-US" w:eastAsia="zh-CN"/>
        </w:rPr>
        <w:t>塔机施工高度超过独立高度时换倍率操作建议：为防止4倍率变为2倍率时有冲顶可能、2倍率变为4倍率时吊钩上挂体无法落到地面的情况发生，建议在地面进行换倍率操作。</w:t>
      </w:r>
    </w:p>
    <w:p w14:paraId="0F6EEAE8">
      <w:pPr>
        <w:pStyle w:val="4"/>
        <w:tabs>
          <w:tab w:val="left" w:pos="0"/>
          <w:tab w:val="left" w:pos="630"/>
        </w:tabs>
        <w:bidi w:val="0"/>
        <w:rPr>
          <w:rFonts w:hint="eastAsia"/>
          <w:highlight w:val="none"/>
          <w:lang w:val="en-US" w:eastAsia="zh-CN"/>
        </w:rPr>
      </w:pPr>
      <w:bookmarkStart w:id="187" w:name="_Toc22118"/>
      <w:bookmarkStart w:id="188" w:name="_Toc17460"/>
      <w:bookmarkStart w:id="189" w:name="_Toc13630"/>
      <w:r>
        <w:rPr>
          <w:rFonts w:hint="eastAsia"/>
          <w:highlight w:val="none"/>
          <w:lang w:val="en-US" w:eastAsia="zh-CN"/>
        </w:rPr>
        <w:t>塔吊顶升</w:t>
      </w:r>
      <w:bookmarkEnd w:id="187"/>
      <w:bookmarkEnd w:id="188"/>
      <w:bookmarkEnd w:id="189"/>
    </w:p>
    <w:p w14:paraId="278E3BA5">
      <w:pPr>
        <w:pStyle w:val="5"/>
        <w:bidi w:val="0"/>
        <w:rPr>
          <w:rFonts w:hint="eastAsia"/>
          <w:highlight w:val="none"/>
          <w:lang w:val="en-US" w:eastAsia="zh-CN"/>
        </w:rPr>
      </w:pPr>
      <w:r>
        <w:rPr>
          <w:rFonts w:hint="eastAsia"/>
          <w:highlight w:val="none"/>
          <w:lang w:val="en-US" w:eastAsia="zh-CN"/>
        </w:rPr>
        <w:t>准备工作</w:t>
      </w:r>
    </w:p>
    <w:p w14:paraId="4870BFBC">
      <w:pPr>
        <w:ind w:firstLine="480" w:firstLineChars="200"/>
        <w:rPr>
          <w:rFonts w:hint="eastAsia"/>
          <w:highlight w:val="none"/>
          <w:lang w:val="en-US" w:eastAsia="zh-CN"/>
        </w:rPr>
      </w:pPr>
      <w:r>
        <w:rPr>
          <w:rFonts w:hint="eastAsia"/>
          <w:highlight w:val="none"/>
          <w:lang w:val="en-US" w:eastAsia="zh-CN"/>
        </w:rPr>
        <w:t>（1）按液压泵站要求给其油箱加油。确认电动机接线正确，风扇旋向右旋，手动阀操纵杆操纵自如，无卡滞。</w:t>
      </w:r>
    </w:p>
    <w:p w14:paraId="592BFE42">
      <w:pPr>
        <w:ind w:firstLine="480" w:firstLineChars="200"/>
        <w:rPr>
          <w:rFonts w:hint="eastAsia"/>
          <w:highlight w:val="none"/>
          <w:lang w:val="en-US" w:eastAsia="zh-CN"/>
        </w:rPr>
      </w:pPr>
      <w:r>
        <w:rPr>
          <w:rFonts w:hint="eastAsia"/>
          <w:highlight w:val="none"/>
          <w:lang w:val="en-US" w:eastAsia="zh-CN"/>
        </w:rPr>
        <w:t xml:space="preserve">（2）清理好各个标准节，在标准节连接销孔内涂上黄油，将待顶升加高用的标准节排成一排，放在顶升位置时起重臂的正下方，这样能使塔机在整个顶升加节过程中不用回转机构，能使顶升加节过程所用时间最短。 </w:t>
      </w:r>
    </w:p>
    <w:p w14:paraId="3C801FF1">
      <w:pPr>
        <w:ind w:firstLine="480" w:firstLineChars="200"/>
        <w:rPr>
          <w:rFonts w:hint="eastAsia"/>
          <w:highlight w:val="none"/>
          <w:lang w:val="en-US" w:eastAsia="zh-CN"/>
        </w:rPr>
      </w:pPr>
      <w:r>
        <w:rPr>
          <w:rFonts w:hint="eastAsia"/>
          <w:highlight w:val="none"/>
          <w:lang w:val="en-US" w:eastAsia="zh-CN"/>
        </w:rPr>
        <w:t xml:space="preserve">（3）放松电缆长度略大于总的顶升高度，并紧固好电缆。 </w:t>
      </w:r>
    </w:p>
    <w:p w14:paraId="7E3137C4">
      <w:pPr>
        <w:ind w:firstLine="480" w:firstLineChars="200"/>
        <w:rPr>
          <w:rFonts w:hint="eastAsia"/>
          <w:highlight w:val="none"/>
          <w:lang w:val="en-US" w:eastAsia="zh-CN"/>
        </w:rPr>
      </w:pPr>
      <w:r>
        <w:rPr>
          <w:rFonts w:hint="eastAsia"/>
          <w:highlight w:val="none"/>
          <w:lang w:val="en-US" w:eastAsia="zh-CN"/>
        </w:rPr>
        <w:t>（4）顶升前先将随机所配的5芯电缆（一头是一只四相极插头，另一头是五根散线（含1根地线PE））接到顶升泵站接线端子上，然后将插头插入主控柜侧壁的四相极插座内，并将驾配箱柜门面板上“顶升运行开关”打到“ON”状态，此时回转变幅限制到一档，这样就可以通过液压泵站上的操作手柄进行顶升操作。</w:t>
      </w:r>
    </w:p>
    <w:p w14:paraId="23A8EA5F">
      <w:pPr>
        <w:ind w:firstLine="480" w:firstLineChars="200"/>
        <w:rPr>
          <w:rFonts w:hint="eastAsia"/>
          <w:highlight w:val="none"/>
          <w:lang w:val="en-US" w:eastAsia="zh-CN"/>
        </w:rPr>
      </w:pPr>
      <w:r>
        <w:rPr>
          <w:rFonts w:hint="eastAsia"/>
          <w:highlight w:val="none"/>
          <w:lang w:val="en-US" w:eastAsia="zh-CN"/>
        </w:rPr>
        <w:t>（5）将起重臂旋转至爬升架前方，平衡臂处于爬升架的后方（顶升油缸正好位于平衡臂正下方）。</w:t>
      </w:r>
    </w:p>
    <w:p w14:paraId="67E65370">
      <w:pPr>
        <w:ind w:firstLine="480" w:firstLineChars="200"/>
        <w:rPr>
          <w:rFonts w:hint="eastAsia"/>
          <w:highlight w:val="none"/>
          <w:lang w:val="en-US" w:eastAsia="zh-CN"/>
        </w:rPr>
      </w:pPr>
      <w:r>
        <w:rPr>
          <w:rFonts w:hint="eastAsia"/>
          <w:highlight w:val="none"/>
          <w:lang w:val="en-US" w:eastAsia="zh-CN"/>
        </w:rPr>
        <w:t>（6）在爬升架平台上准备好塔身销轴。</w:t>
      </w:r>
    </w:p>
    <w:p w14:paraId="56AB74C4">
      <w:pPr>
        <w:pStyle w:val="5"/>
        <w:bidi w:val="0"/>
        <w:rPr>
          <w:rFonts w:hint="eastAsia"/>
          <w:highlight w:val="none"/>
          <w:lang w:val="en-US" w:eastAsia="zh-CN"/>
        </w:rPr>
      </w:pPr>
      <w:r>
        <w:rPr>
          <w:rFonts w:hint="eastAsia"/>
          <w:highlight w:val="none"/>
          <w:lang w:val="en-US" w:eastAsia="zh-CN"/>
        </w:rPr>
        <w:t>顶升注意事项</w:t>
      </w:r>
    </w:p>
    <w:p w14:paraId="0800436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（1）顶升前塔机回转部分必须进行配平。</w:t>
      </w:r>
    </w:p>
    <w:p w14:paraId="73FDBB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（2）塔机最高处风速大于 14m/s 时，不得进行顶升作业。</w:t>
      </w:r>
    </w:p>
    <w:p w14:paraId="2A768F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（3）顶升作业前，一定要检查顶升系统的工作是否正常。</w:t>
      </w:r>
    </w:p>
    <w:p w14:paraId="590098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（4）检查滚轮间隙，当滚轮间隙大于 3mm 时，需要调整间隙到 1-3mm。</w:t>
      </w:r>
    </w:p>
    <w:p w14:paraId="3D5954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（5）严禁在顶升系统正在顶起或已顶起时进行吊重（上升或下降）。</w:t>
      </w:r>
    </w:p>
    <w:p w14:paraId="0C80B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（6）严禁在顶升系统正在顶起或已顶起时进行小车移动。</w:t>
      </w:r>
    </w:p>
    <w:p w14:paraId="495C43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（7）顶升过程中必须保证起重臂与引入标准节方向一致，并利用回转机构制动器将起重臂制动住，载重小车必须停在顶升配平位置。</w:t>
      </w:r>
    </w:p>
    <w:p w14:paraId="720373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（8）若要连续加高几节标准节，则每加完一节后，用塔机自身起吊下一节标准节前，塔身各主弦杆和过渡节必须用4个Φ70的销轴连接。</w:t>
      </w:r>
    </w:p>
    <w:p w14:paraId="059977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（9）所加标准节上的踏步，必须与已装标准节踏步对齐。</w:t>
      </w:r>
    </w:p>
    <w:p w14:paraId="2082D7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（10）无论顶升是否完成，在过渡节与塔身没有用Φ70销轴连接好之前，严禁进行起重臂回转、载重小车变幅和吊装作业。</w:t>
      </w:r>
    </w:p>
    <w:p w14:paraId="3B1CB2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（11）在顶升过程中，若液压顶升系统出现异常，应立即停止顶升，收回油缸，将过渡节落在塔身顶部，并用4件Φ70销轴将过渡节与塔身连接牢靠后，再排除液压系统的故障。</w:t>
      </w:r>
    </w:p>
    <w:p w14:paraId="54C7B05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（2）塔机加节达到所需工作高度（但不超过独立高度）后，应旋转起重臂至不同的角度，检查塔身各接头处、基础支腿处销轴的连接情况。</w:t>
      </w:r>
    </w:p>
    <w:p w14:paraId="56E149EA">
      <w:pPr>
        <w:pStyle w:val="5"/>
        <w:bidi w:val="0"/>
        <w:rPr>
          <w:rFonts w:hint="eastAsia"/>
          <w:highlight w:val="none"/>
          <w:lang w:val="en-US" w:eastAsia="zh-CN"/>
        </w:rPr>
      </w:pPr>
      <w:r>
        <w:rPr>
          <w:rFonts w:hint="eastAsia"/>
          <w:highlight w:val="none"/>
          <w:lang w:val="en-US" w:eastAsia="zh-CN"/>
        </w:rPr>
        <w:t>顶升前配平</w:t>
      </w:r>
    </w:p>
    <w:p w14:paraId="05F0FE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塔机配平前，必须先通过4套卸扣将标准节与引进系统的提升装置连接好，然后将提升装置连同标准节用引进系统的专用吊钩吊起，放置在过渡节引进梁上，再将载重小车运行到下表所示的配平参考位置，然后单独吊起一节标准节或其他约同等重量的重物（表中载重小车的位置是个近似值，顶升时还必须根据实际情况的需要进行调整）。然后拆除特殊节与标准节的连接销轴。</w:t>
      </w:r>
    </w:p>
    <w:p w14:paraId="1D9833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1"/>
          <w:szCs w:val="21"/>
          <w:highlight w:val="none"/>
          <w:lang w:val="en-US" w:eastAsia="zh-CN"/>
        </w:rPr>
      </w:pPr>
      <w:r>
        <w:rPr>
          <w:highlight w:val="none"/>
        </w:rPr>
        <w:drawing>
          <wp:inline distT="0" distB="0" distL="114300" distR="114300">
            <wp:extent cx="5273675" cy="2228215"/>
            <wp:effectExtent l="0" t="0" r="3175" b="635"/>
            <wp:docPr id="9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pic:cNvPicPr>
                      <a:picLocks noChangeAspect="1"/>
                    </pic:cNvPicPr>
                  </pic:nvPicPr>
                  <pic:blipFill>
                    <a:blip r:embed="rId66"/>
                    <a:stretch>
                      <a:fillRect/>
                    </a:stretch>
                  </pic:blipFill>
                  <pic:spPr>
                    <a:xfrm>
                      <a:off x="0" y="0"/>
                      <a:ext cx="5273675" cy="2228215"/>
                    </a:xfrm>
                    <a:prstGeom prst="rect">
                      <a:avLst/>
                    </a:prstGeom>
                    <a:noFill/>
                    <a:ln>
                      <a:noFill/>
                    </a:ln>
                  </pic:spPr>
                </pic:pic>
              </a:graphicData>
            </a:graphic>
          </wp:inline>
        </w:drawing>
      </w:r>
      <w:r>
        <w:rPr>
          <w:rFonts w:hint="eastAsia" w:ascii="宋体" w:hAnsi="宋体" w:eastAsia="宋体" w:cs="宋体"/>
          <w:sz w:val="21"/>
          <w:szCs w:val="21"/>
          <w:highlight w:val="none"/>
          <w:lang w:val="en-US" w:eastAsia="zh-CN"/>
        </w:rPr>
        <w:t>注意：</w:t>
      </w:r>
    </w:p>
    <w:p w14:paraId="2156F01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◆配平位置为理论计算的参考位置，现场可根据实际情况进行调整；</w:t>
      </w:r>
    </w:p>
    <w:p w14:paraId="0212EE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◆使用回转机构上的回转制动器，将塔机上部机构处于回转制动状态，不允许有回转运动；</w:t>
      </w:r>
    </w:p>
    <w:p w14:paraId="46EC0D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◆将液压顶升系统操纵杆推至“顶升方向”，伸出油缸将顶升挂板挂在距离最近的一组标准节踏步的槽内，插入安全销，继续伸出油缸，使爬升架顶升至</w:t>
      </w:r>
      <w:r>
        <w:rPr>
          <w:rFonts w:hint="eastAsia" w:cs="宋体"/>
          <w:sz w:val="21"/>
          <w:szCs w:val="21"/>
          <w:highlight w:val="none"/>
          <w:lang w:val="en-US" w:eastAsia="zh-CN"/>
        </w:rPr>
        <w:t>特殊节</w:t>
      </w:r>
      <w:r>
        <w:rPr>
          <w:rFonts w:hint="eastAsia" w:ascii="宋体" w:hAnsi="宋体" w:eastAsia="宋体" w:cs="宋体"/>
          <w:sz w:val="21"/>
          <w:szCs w:val="21"/>
          <w:highlight w:val="none"/>
          <w:lang w:val="en-US" w:eastAsia="zh-CN"/>
        </w:rPr>
        <w:t>刚刚脱离塔身的主弦杆的位置；</w:t>
      </w:r>
    </w:p>
    <w:p w14:paraId="6A1EE28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◆检验</w:t>
      </w:r>
      <w:r>
        <w:rPr>
          <w:rFonts w:hint="eastAsia" w:cs="宋体"/>
          <w:sz w:val="21"/>
          <w:szCs w:val="21"/>
          <w:highlight w:val="none"/>
          <w:lang w:val="en-US" w:eastAsia="zh-CN"/>
        </w:rPr>
        <w:t>特殊节</w:t>
      </w:r>
      <w:r>
        <w:rPr>
          <w:rFonts w:hint="eastAsia" w:ascii="宋体" w:hAnsi="宋体" w:eastAsia="宋体" w:cs="宋体"/>
          <w:sz w:val="21"/>
          <w:szCs w:val="21"/>
          <w:highlight w:val="none"/>
          <w:lang w:val="en-US" w:eastAsia="zh-CN"/>
        </w:rPr>
        <w:t>与标准节相连的支脚与塔身主弦杆是否在同一条垂直线上，并观察爬升架上8个导轮与塔身主弦杆间隙是否基本相同（调整滚轮间隙1-3mm），以检查塔机是否平衡，若不平衡，则调整载重小车的配平位置，直至平衡，使得塔机上部重心落在顶升油缸梁的位置上；</w:t>
      </w:r>
    </w:p>
    <w:p w14:paraId="17F1602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◆记录载重小车的配平位置。注意：该位置随起重臂长度不同而改变；</w:t>
      </w:r>
    </w:p>
    <w:p w14:paraId="72573C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◆操纵液压系统使爬升架下降，连接好</w:t>
      </w:r>
      <w:r>
        <w:rPr>
          <w:rFonts w:hint="eastAsia" w:cs="宋体"/>
          <w:sz w:val="21"/>
          <w:szCs w:val="21"/>
          <w:highlight w:val="none"/>
          <w:lang w:val="en-US" w:eastAsia="zh-CN"/>
        </w:rPr>
        <w:t>特殊节</w:t>
      </w:r>
      <w:r>
        <w:rPr>
          <w:rFonts w:hint="eastAsia" w:ascii="宋体" w:hAnsi="宋体" w:eastAsia="宋体" w:cs="宋体"/>
          <w:sz w:val="21"/>
          <w:szCs w:val="21"/>
          <w:highlight w:val="none"/>
          <w:lang w:val="en-US" w:eastAsia="zh-CN"/>
        </w:rPr>
        <w:t>和塔身标准节之间的连接销轴。</w:t>
      </w:r>
    </w:p>
    <w:p w14:paraId="212FEF11">
      <w:pPr>
        <w:pStyle w:val="5"/>
        <w:bidi w:val="0"/>
        <w:rPr>
          <w:rFonts w:hint="eastAsia"/>
          <w:highlight w:val="none"/>
          <w:lang w:val="en-US" w:eastAsia="zh-CN"/>
        </w:rPr>
      </w:pPr>
      <w:r>
        <w:rPr>
          <w:rFonts w:hint="eastAsia"/>
          <w:highlight w:val="none"/>
          <w:lang w:val="en-US" w:eastAsia="zh-CN"/>
        </w:rPr>
        <w:t>顶升作业</w:t>
      </w:r>
    </w:p>
    <w:p w14:paraId="7B7E31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（1）先将提升装置吊起安装在特殊节的引进梁上，再吊起一节标准节，将载重小车开至顶升平衡位置（参见顶升时配平示意图）。</w:t>
      </w:r>
    </w:p>
    <w:p w14:paraId="732946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（2）使用回转机构上的回转制动器，将塔机上部机构处于回转制动状态，不允许有回转运动。卸下塔身顶部与特殊节连接的4组销轴。</w:t>
      </w:r>
    </w:p>
    <w:p w14:paraId="5D0CEA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开动液压系统，使活塞杆伸出，将顶升横梁两端的顶升挂板放在距离最近的标准节踏步的凹槽内并顶紧（要设特别注意观察顶升横梁两端顶升挂板是否在踏步凹槽内）并插入安全销。确认无误后，将爬升架及其以上部分顶起10～50mm时停止，检查顶升横梁、爬升架等传力部件是否有异响、变形、油缸活塞杆是否自动回缩等异常现象，确认正常后，继续顶升。</w:t>
      </w:r>
    </w:p>
    <w:p w14:paraId="26BEEF92">
      <w:pPr>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rPr>
          <w:rFonts w:hint="eastAsia"/>
          <w:highlight w:val="none"/>
          <w:lang w:val="en-US" w:eastAsia="zh-CN"/>
        </w:rPr>
      </w:pPr>
      <w:r>
        <w:rPr>
          <w:rFonts w:hint="eastAsia"/>
          <w:highlight w:val="none"/>
          <w:lang w:val="en-US" w:eastAsia="zh-CN"/>
        </w:rPr>
        <w:drawing>
          <wp:inline distT="0" distB="0" distL="114300" distR="114300">
            <wp:extent cx="3332480" cy="2749550"/>
            <wp:effectExtent l="0" t="0" r="1270" b="12700"/>
            <wp:docPr id="2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4"/>
                    <pic:cNvPicPr>
                      <a:picLocks noChangeAspect="1"/>
                    </pic:cNvPicPr>
                  </pic:nvPicPr>
                  <pic:blipFill>
                    <a:blip r:embed="rId67"/>
                    <a:stretch>
                      <a:fillRect/>
                    </a:stretch>
                  </pic:blipFill>
                  <pic:spPr>
                    <a:xfrm>
                      <a:off x="0" y="0"/>
                      <a:ext cx="3332480" cy="2749550"/>
                    </a:xfrm>
                    <a:prstGeom prst="rect">
                      <a:avLst/>
                    </a:prstGeom>
                    <a:noFill/>
                    <a:ln>
                      <a:noFill/>
                    </a:ln>
                  </pic:spPr>
                </pic:pic>
              </a:graphicData>
            </a:graphic>
          </wp:inline>
        </w:drawing>
      </w:r>
    </w:p>
    <w:p w14:paraId="4DF2A78E">
      <w:pPr>
        <w:pStyle w:val="15"/>
        <w:keepNext w:val="0"/>
        <w:keepLines w:val="0"/>
        <w:pageBreakBefore w:val="0"/>
        <w:widowControl w:val="0"/>
        <w:kinsoku/>
        <w:wordWrap/>
        <w:overflowPunct/>
        <w:topLinePunct w:val="0"/>
        <w:autoSpaceDE/>
        <w:autoSpaceDN/>
        <w:bidi w:val="0"/>
        <w:adjustRightInd/>
        <w:snapToGrid/>
        <w:ind w:left="0" w:leftChars="0" w:firstLine="420" w:firstLineChars="200"/>
        <w:jc w:val="center"/>
        <w:textAlignment w:val="auto"/>
        <w:rPr>
          <w:rFonts w:hint="eastAsia"/>
          <w:highlight w:val="none"/>
          <w:lang w:val="en-US" w:eastAsia="zh-CN"/>
        </w:rPr>
      </w:pPr>
      <w:r>
        <w:t xml:space="preserve">图 </w:t>
      </w:r>
      <w:r>
        <w:fldChar w:fldCharType="begin"/>
      </w:r>
      <w:r>
        <w:instrText xml:space="preserve"> STYLEREF 3 \s </w:instrText>
      </w:r>
      <w:r>
        <w:fldChar w:fldCharType="separate"/>
      </w:r>
      <w:r>
        <w:t>4.4.4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highlight w:val="none"/>
        </w:rPr>
        <w:t>顶升作业</w:t>
      </w:r>
      <w:r>
        <w:rPr>
          <w:rFonts w:hint="eastAsia"/>
          <w:highlight w:val="none"/>
          <w:lang w:val="en-US" w:eastAsia="zh-CN"/>
        </w:rPr>
        <w:t>示意图</w:t>
      </w:r>
    </w:p>
    <w:p w14:paraId="3CEA58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顶起略超过半个标准节高度并操作爬升架上换步推杆，使换步装置顶杆位于踏步方，停止顶升，并回缩油缸，使爬升架的换步装置顶杆位于顶升横梁所在踏步的上数第二对踏步凹槽内。确认换步装置两边顶杆准确的顶在踏步凹槽内后，取出顶升挂板处的安全销轴。</w:t>
      </w:r>
    </w:p>
    <w:p w14:paraId="0C97C4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确认换步装置两边顶杆准确的顶在踏步凹槽内并承受爬升架及其以上的重量且无局部变形、异响等异常现象后，将油缸活塞全部缩回，提起顶升横梁，重新使顶升横梁的顶升挂板搁置在踏步的凹槽内，插好安全销。</w:t>
      </w:r>
    </w:p>
    <w:p w14:paraId="4FB7A5B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再次伸出油缸，将塔机上部结构再顶起略超过半个塔身节高度，此时塔身上方恰好有能装入一个塔身节的空间，用引进小车将标准节引至塔身正上方，稍微缩回油缸，使引进的标准节与下部的标准节连接头接触，再缩回油缸，对齐新引进标准节与下部标准节的连接销孔，插入8根Φ65标准销轴，敲击直至销轴孔与固定耳板孔对齐并连接锁销。</w:t>
      </w:r>
    </w:p>
    <w:p w14:paraId="01D822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（7）松开提升装置与引进标准节的卸扣，将引进小车移除后，再缩回油缸，对齐特殊节与新引进标准节连接销孔，插入8根Φ65标准销轴，敲击直至销轴孔与固定耳板孔对齐并连接锁销。</w:t>
      </w:r>
    </w:p>
    <w:p w14:paraId="3725B1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至此完成一节标准节的加节工作，若连续加几节标准节，则可按以上步骤重复几次即可。</w:t>
      </w:r>
    </w:p>
    <w:p w14:paraId="3FE245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最后一节标准节应是：一端与塔身固定，另一端与特殊节固定。</w:t>
      </w:r>
    </w:p>
    <w:p w14:paraId="38A4B802">
      <w:pPr>
        <w:pStyle w:val="4"/>
        <w:tabs>
          <w:tab w:val="left" w:pos="0"/>
          <w:tab w:val="left" w:pos="630"/>
        </w:tabs>
        <w:bidi w:val="0"/>
        <w:rPr>
          <w:rFonts w:hint="eastAsia"/>
          <w:highlight w:val="none"/>
          <w:lang w:val="en-US" w:eastAsia="zh-CN"/>
        </w:rPr>
      </w:pPr>
      <w:bookmarkStart w:id="190" w:name="_Toc18449"/>
      <w:bookmarkStart w:id="191" w:name="_Toc1846"/>
      <w:bookmarkStart w:id="192" w:name="_Toc32421"/>
      <w:r>
        <w:rPr>
          <w:rFonts w:hint="eastAsia"/>
          <w:highlight w:val="none"/>
          <w:lang w:val="en-US" w:eastAsia="zh-CN"/>
        </w:rPr>
        <w:t>安全装置的调试</w:t>
      </w:r>
      <w:bookmarkEnd w:id="190"/>
      <w:bookmarkEnd w:id="191"/>
      <w:bookmarkEnd w:id="192"/>
    </w:p>
    <w:p w14:paraId="6BF1378F">
      <w:pPr>
        <w:ind w:firstLine="482" w:firstLineChars="200"/>
        <w:rPr>
          <w:rFonts w:hint="eastAsia"/>
          <w:b/>
          <w:bCs/>
          <w:highlight w:val="none"/>
          <w:lang w:val="en-US" w:eastAsia="zh-CN"/>
        </w:rPr>
      </w:pPr>
      <w:r>
        <w:rPr>
          <w:rFonts w:hint="eastAsia"/>
          <w:b/>
          <w:bCs/>
          <w:highlight w:val="none"/>
          <w:lang w:val="en-US" w:eastAsia="zh-CN"/>
        </w:rPr>
        <w:t>1、起升高度限位器</w:t>
      </w:r>
    </w:p>
    <w:p w14:paraId="75DC44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07A45EAC">
      <w:pPr>
        <w:ind w:firstLine="482" w:firstLineChars="200"/>
        <w:rPr>
          <w:rFonts w:hint="eastAsia"/>
          <w:b/>
          <w:bCs/>
          <w:highlight w:val="none"/>
          <w:lang w:val="en-US" w:eastAsia="zh-CN"/>
        </w:rPr>
      </w:pPr>
      <w:r>
        <w:rPr>
          <w:rFonts w:hint="eastAsia"/>
          <w:b/>
          <w:bCs/>
          <w:highlight w:val="none"/>
          <w:lang w:val="en-US" w:eastAsia="zh-CN"/>
        </w:rPr>
        <w:t>2、回转限位器</w:t>
      </w:r>
    </w:p>
    <w:p w14:paraId="5A50C5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399B455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61862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50.00m或超出最小幅度3.00m时，限位开关分别被触发，切断变幅电机电源，使小车不能再向外（或向内）运行，只能向内（或向外）变幅。</w:t>
      </w:r>
    </w:p>
    <w:p w14:paraId="500E245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2CA97EC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0CDAAB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492A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2F5175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0E6469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566D885A">
      <w:pPr>
        <w:pStyle w:val="4"/>
        <w:tabs>
          <w:tab w:val="left" w:pos="0"/>
          <w:tab w:val="left" w:pos="630"/>
        </w:tabs>
        <w:bidi w:val="0"/>
        <w:rPr>
          <w:rFonts w:hint="eastAsia"/>
          <w:highlight w:val="none"/>
          <w:lang w:val="en-US" w:eastAsia="zh-CN"/>
        </w:rPr>
      </w:pPr>
      <w:bookmarkStart w:id="193" w:name="_Toc26099"/>
      <w:bookmarkStart w:id="194" w:name="_Toc10267"/>
      <w:bookmarkStart w:id="195" w:name="_Toc13697"/>
      <w:r>
        <w:rPr>
          <w:rFonts w:hint="eastAsia"/>
          <w:highlight w:val="none"/>
          <w:lang w:val="en-US" w:eastAsia="zh-CN"/>
        </w:rPr>
        <w:t>塔吊的维修与保养</w:t>
      </w:r>
      <w:bookmarkEnd w:id="193"/>
      <w:bookmarkEnd w:id="194"/>
      <w:bookmarkEnd w:id="195"/>
    </w:p>
    <w:p w14:paraId="14376306">
      <w:pPr>
        <w:pStyle w:val="5"/>
        <w:bidi w:val="0"/>
        <w:rPr>
          <w:rFonts w:hint="eastAsia"/>
          <w:highlight w:val="none"/>
          <w:lang w:val="en-US" w:eastAsia="zh-CN"/>
        </w:rPr>
      </w:pPr>
      <w:r>
        <w:rPr>
          <w:rFonts w:hint="eastAsia"/>
          <w:highlight w:val="none"/>
          <w:lang w:val="en-US" w:eastAsia="zh-CN"/>
        </w:rPr>
        <w:t>日常保养</w:t>
      </w:r>
    </w:p>
    <w:p w14:paraId="375DE3DD">
      <w:pPr>
        <w:ind w:firstLine="480" w:firstLineChars="200"/>
        <w:rPr>
          <w:rFonts w:hint="eastAsia"/>
          <w:highlight w:val="none"/>
          <w:lang w:val="en-US" w:eastAsia="zh-CN"/>
        </w:rPr>
      </w:pPr>
      <w:r>
        <w:rPr>
          <w:rFonts w:hint="eastAsia"/>
          <w:highlight w:val="none"/>
          <w:lang w:val="en-US" w:eastAsia="zh-CN"/>
        </w:rPr>
        <w:t>每班前进行检查，并做好检查记录。</w:t>
      </w:r>
    </w:p>
    <w:p w14:paraId="0FE14088">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4828F06B">
      <w:pPr>
        <w:ind w:firstLine="480" w:firstLineChars="200"/>
        <w:rPr>
          <w:rFonts w:hint="eastAsia"/>
          <w:highlight w:val="none"/>
          <w:lang w:val="en-US" w:eastAsia="zh-CN"/>
        </w:rPr>
      </w:pPr>
      <w:r>
        <w:rPr>
          <w:rFonts w:hint="eastAsia"/>
          <w:highlight w:val="none"/>
          <w:lang w:val="en-US" w:eastAsia="zh-CN"/>
        </w:rPr>
        <w:t>（2）检查起升机构卷筒轴承与牵引机构卷筒两端轴承的润滑情况。各减速器用油标号：起升机构减速器70#工业齿轮油，回转机构减速器90#齿轮油，牵引机构减速器70#工业齿轮油。在无70#工业齿轮油时，可用40#机械油代替。</w:t>
      </w:r>
    </w:p>
    <w:p w14:paraId="3895734E">
      <w:pPr>
        <w:ind w:firstLine="480" w:firstLineChars="200"/>
        <w:rPr>
          <w:rFonts w:hint="eastAsia"/>
          <w:highlight w:val="none"/>
          <w:lang w:val="en-US" w:eastAsia="zh-CN"/>
        </w:rPr>
      </w:pPr>
      <w:r>
        <w:rPr>
          <w:rFonts w:hint="eastAsia"/>
          <w:highlight w:val="none"/>
          <w:lang w:val="en-US" w:eastAsia="zh-CN"/>
        </w:rPr>
        <w:t>（3）检查电源电缆线有无损坏、各连接处有无松动与磨损，消除电器设备的灰尘。检查各接触器、控制器的触头接触情况及腐蚀程度。</w:t>
      </w:r>
    </w:p>
    <w:p w14:paraId="27018ACC">
      <w:pPr>
        <w:ind w:firstLine="480" w:firstLineChars="200"/>
        <w:rPr>
          <w:rFonts w:hint="eastAsia"/>
          <w:highlight w:val="none"/>
          <w:lang w:val="en-US" w:eastAsia="zh-CN"/>
        </w:rPr>
      </w:pPr>
      <w:r>
        <w:rPr>
          <w:rFonts w:hint="eastAsia"/>
          <w:highlight w:val="none"/>
          <w:lang w:val="en-US" w:eastAsia="zh-CN"/>
        </w:rPr>
        <w:t>（4）检查各连接螺栓是否有松动或脱落，如有松动或脱落现象应及时拧紧或添补。</w:t>
      </w:r>
    </w:p>
    <w:p w14:paraId="3F5548B0">
      <w:pPr>
        <w:ind w:firstLine="480" w:firstLineChars="200"/>
        <w:rPr>
          <w:rFonts w:hint="eastAsia"/>
          <w:highlight w:val="none"/>
          <w:lang w:val="en-US" w:eastAsia="zh-CN"/>
        </w:rPr>
      </w:pPr>
      <w:r>
        <w:rPr>
          <w:rFonts w:hint="eastAsia"/>
          <w:highlight w:val="none"/>
          <w:lang w:val="en-US" w:eastAsia="zh-CN"/>
        </w:rPr>
        <w:t>（5）检查各其重钢丝绳及牵引钢丝绳，如发现有断股或名义直径磨损超过5%的，应及时更换新钢丝绳。检查钢丝绳固定处是否牢固，绳卡螺栓是否松动，并及时进行处理。</w:t>
      </w:r>
    </w:p>
    <w:p w14:paraId="1071AB4A">
      <w:pPr>
        <w:ind w:firstLine="480" w:firstLineChars="200"/>
        <w:rPr>
          <w:rFonts w:hint="eastAsia"/>
          <w:highlight w:val="none"/>
          <w:lang w:val="en-US" w:eastAsia="zh-CN"/>
        </w:rPr>
      </w:pPr>
      <w:r>
        <w:rPr>
          <w:rFonts w:hint="eastAsia"/>
          <w:highlight w:val="none"/>
          <w:lang w:val="en-US" w:eastAsia="zh-CN"/>
        </w:rPr>
        <w:t>（6）检查各安全装置有无失灵，尤其是起重力矩和起重量限位器，如发现有可疑现象时，必须进行调整维修，确保其工作可靠性。检查起升和回转机构的制动效能，如不十分灵敏可靠，应及时进行维修调整。</w:t>
      </w:r>
    </w:p>
    <w:p w14:paraId="6A1F48D9">
      <w:pPr>
        <w:pStyle w:val="5"/>
        <w:bidi w:val="0"/>
        <w:rPr>
          <w:rFonts w:hint="eastAsia"/>
          <w:highlight w:val="none"/>
          <w:lang w:val="en-US" w:eastAsia="zh-CN"/>
        </w:rPr>
      </w:pPr>
      <w:r>
        <w:rPr>
          <w:rFonts w:hint="eastAsia"/>
          <w:highlight w:val="none"/>
          <w:lang w:val="en-US" w:eastAsia="zh-CN"/>
        </w:rPr>
        <w:t>定期保养</w:t>
      </w:r>
    </w:p>
    <w:p w14:paraId="51F41DD8">
      <w:pPr>
        <w:ind w:firstLine="480" w:firstLineChars="200"/>
        <w:rPr>
          <w:rFonts w:hint="eastAsia"/>
          <w:highlight w:val="none"/>
          <w:lang w:val="en-US" w:eastAsia="zh-CN"/>
        </w:rPr>
      </w:pPr>
      <w:r>
        <w:rPr>
          <w:rFonts w:hint="eastAsia"/>
          <w:highlight w:val="none"/>
          <w:lang w:val="en-US" w:eastAsia="zh-CN"/>
        </w:rPr>
        <w:t>每半月一次，并做好检查保养记录。</w:t>
      </w:r>
    </w:p>
    <w:p w14:paraId="0CB8CD85">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66315F5C">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0086DEFF">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52158EB6">
      <w:pPr>
        <w:pStyle w:val="5"/>
        <w:bidi w:val="0"/>
        <w:rPr>
          <w:rFonts w:hint="eastAsia"/>
          <w:highlight w:val="none"/>
          <w:lang w:val="en-US" w:eastAsia="zh-CN"/>
        </w:rPr>
      </w:pPr>
      <w:r>
        <w:rPr>
          <w:rFonts w:hint="eastAsia"/>
          <w:highlight w:val="none"/>
          <w:lang w:val="en-US" w:eastAsia="zh-CN"/>
        </w:rPr>
        <w:t>定期检查</w:t>
      </w:r>
    </w:p>
    <w:p w14:paraId="5061D1EB">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651999DF">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678E24C1">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768BD8D9">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47539785">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33D35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5A26A7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4B5283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794830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27AA26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58B5E7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（10）塔吊应每半年油漆一次，工程结束后，必须对各部件喷刷漆一次。</w:t>
      </w:r>
    </w:p>
    <w:p w14:paraId="15FEBE38">
      <w:pPr>
        <w:pStyle w:val="5"/>
        <w:bidi w:val="0"/>
        <w:rPr>
          <w:rFonts w:hint="eastAsia"/>
          <w:highlight w:val="none"/>
          <w:lang w:val="en-US" w:eastAsia="zh-CN"/>
        </w:rPr>
      </w:pPr>
      <w:r>
        <w:rPr>
          <w:rFonts w:hint="eastAsia"/>
          <w:highlight w:val="none"/>
          <w:lang w:val="en-US" w:eastAsia="zh-CN"/>
        </w:rPr>
        <w:t>液压顶升系统的维护保养</w:t>
      </w:r>
    </w:p>
    <w:p w14:paraId="11DF17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599A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24B2DC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301D73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2F82BF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02491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46913D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2F732DFF">
      <w:pPr>
        <w:pStyle w:val="5"/>
        <w:bidi w:val="0"/>
        <w:rPr>
          <w:rFonts w:hint="eastAsia"/>
          <w:highlight w:val="none"/>
          <w:lang w:val="en-US" w:eastAsia="zh-CN"/>
        </w:rPr>
      </w:pPr>
      <w:r>
        <w:rPr>
          <w:rFonts w:hint="eastAsia"/>
          <w:highlight w:val="none"/>
          <w:lang w:val="en-US" w:eastAsia="zh-CN"/>
        </w:rPr>
        <w:t>其他</w:t>
      </w:r>
    </w:p>
    <w:p w14:paraId="1806439C">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794BFBD1">
      <w:pPr>
        <w:pStyle w:val="3"/>
        <w:tabs>
          <w:tab w:val="left" w:pos="525"/>
          <w:tab w:val="left" w:pos="601"/>
        </w:tabs>
        <w:bidi w:val="0"/>
        <w:rPr>
          <w:rFonts w:hint="default"/>
          <w:highlight w:val="none"/>
          <w:lang w:val="en-US" w:eastAsia="zh-CN"/>
        </w:rPr>
      </w:pPr>
      <w:bookmarkStart w:id="196" w:name="_Toc12155"/>
      <w:bookmarkStart w:id="197" w:name="_Toc4173"/>
      <w:bookmarkStart w:id="198" w:name="_Toc7966"/>
      <w:bookmarkStart w:id="199" w:name="_Toc4092"/>
      <w:bookmarkStart w:id="200" w:name="_Toc11320"/>
      <w:bookmarkStart w:id="201" w:name="_Toc23487"/>
      <w:r>
        <w:rPr>
          <w:rFonts w:hint="eastAsia"/>
          <w:highlight w:val="none"/>
          <w:lang w:val="en-US" w:eastAsia="zh-CN"/>
        </w:rPr>
        <w:t>检查要求</w:t>
      </w:r>
      <w:bookmarkEnd w:id="196"/>
      <w:bookmarkEnd w:id="197"/>
      <w:bookmarkEnd w:id="198"/>
      <w:bookmarkEnd w:id="199"/>
      <w:bookmarkEnd w:id="200"/>
      <w:bookmarkEnd w:id="201"/>
    </w:p>
    <w:p w14:paraId="372279A8">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745670E5">
      <w:pPr>
        <w:pStyle w:val="4"/>
        <w:tabs>
          <w:tab w:val="left" w:pos="0"/>
          <w:tab w:val="left" w:pos="630"/>
        </w:tabs>
        <w:bidi w:val="0"/>
        <w:rPr>
          <w:rFonts w:hint="default"/>
          <w:highlight w:val="none"/>
          <w:lang w:val="en-US" w:eastAsia="zh-CN"/>
        </w:rPr>
      </w:pPr>
      <w:bookmarkStart w:id="202" w:name="_Toc29217"/>
      <w:bookmarkStart w:id="203" w:name="_Toc18866"/>
      <w:bookmarkStart w:id="204" w:name="_Toc15680"/>
      <w:r>
        <w:rPr>
          <w:rFonts w:hint="eastAsia"/>
          <w:highlight w:val="none"/>
          <w:lang w:val="en-US" w:eastAsia="zh-CN"/>
        </w:rPr>
        <w:t>4.5.1检查内容</w:t>
      </w:r>
      <w:bookmarkEnd w:id="202"/>
      <w:bookmarkEnd w:id="203"/>
      <w:bookmarkEnd w:id="204"/>
    </w:p>
    <w:p w14:paraId="2D37C8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吊装与拆卸过程主要材料、机械设备进场质量检查、抽检；</w:t>
      </w:r>
    </w:p>
    <w:p w14:paraId="1686E15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7F123B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2B9FE4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117D54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2DAC46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67AE95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2579CB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2A136F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w:t>
      </w:r>
      <w:r>
        <w:rPr>
          <w:rFonts w:hint="default"/>
          <w:highlight w:val="none"/>
          <w:lang w:val="en-US" w:eastAsia="zh-CN"/>
        </w:rPr>
        <w:t>塔吊试验分为空负荷试验、静负荷试验和动负荷试验三个部分。</w:t>
      </w:r>
    </w:p>
    <w:p w14:paraId="6902CB58">
      <w:pPr>
        <w:pStyle w:val="4"/>
        <w:tabs>
          <w:tab w:val="left" w:pos="0"/>
          <w:tab w:val="left" w:pos="630"/>
        </w:tabs>
        <w:bidi w:val="0"/>
        <w:rPr>
          <w:rFonts w:hint="default"/>
          <w:highlight w:val="none"/>
          <w:lang w:val="en-US" w:eastAsia="zh-CN"/>
        </w:rPr>
      </w:pPr>
      <w:bookmarkStart w:id="205" w:name="_Toc8784"/>
      <w:bookmarkStart w:id="206" w:name="_Toc25780"/>
      <w:bookmarkStart w:id="207" w:name="_Toc9762"/>
      <w:r>
        <w:rPr>
          <w:rFonts w:hint="eastAsia"/>
          <w:highlight w:val="none"/>
          <w:lang w:val="en-US" w:eastAsia="zh-CN"/>
        </w:rPr>
        <w:t>空负荷试验</w:t>
      </w:r>
      <w:bookmarkEnd w:id="205"/>
      <w:bookmarkEnd w:id="206"/>
      <w:bookmarkEnd w:id="207"/>
    </w:p>
    <w:p w14:paraId="0B442C9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1757C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（1）各塔吊在其各自有效的工作幅度之间以额定速度行走全程，空钩提升、下降各3次；</w:t>
      </w:r>
    </w:p>
    <w:p w14:paraId="4A0CD99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2A9750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6E066144">
      <w:pPr>
        <w:pStyle w:val="4"/>
        <w:tabs>
          <w:tab w:val="left" w:pos="0"/>
          <w:tab w:val="left" w:pos="630"/>
        </w:tabs>
        <w:bidi w:val="0"/>
        <w:rPr>
          <w:rFonts w:hint="default"/>
          <w:highlight w:val="none"/>
          <w:lang w:val="en-US" w:eastAsia="zh-CN"/>
        </w:rPr>
      </w:pPr>
      <w:bookmarkStart w:id="208" w:name="_Toc9906"/>
      <w:bookmarkStart w:id="209" w:name="_Toc921"/>
      <w:bookmarkStart w:id="210" w:name="_Toc18760"/>
      <w:r>
        <w:rPr>
          <w:rFonts w:hint="eastAsia"/>
          <w:highlight w:val="none"/>
          <w:lang w:val="en-US" w:eastAsia="zh-CN"/>
        </w:rPr>
        <w:t>4.5.3静负荷试验</w:t>
      </w:r>
      <w:bookmarkEnd w:id="208"/>
      <w:bookmarkEnd w:id="209"/>
      <w:bookmarkEnd w:id="210"/>
    </w:p>
    <w:p w14:paraId="578C7715">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608B7DEC">
      <w:pPr>
        <w:pStyle w:val="4"/>
        <w:tabs>
          <w:tab w:val="left" w:pos="0"/>
          <w:tab w:val="left" w:pos="630"/>
        </w:tabs>
        <w:bidi w:val="0"/>
        <w:rPr>
          <w:rFonts w:hint="default"/>
          <w:highlight w:val="none"/>
          <w:lang w:val="en-US" w:eastAsia="zh-CN"/>
        </w:rPr>
      </w:pPr>
      <w:bookmarkStart w:id="211" w:name="_Toc9563"/>
      <w:bookmarkStart w:id="212" w:name="_Toc969"/>
      <w:bookmarkStart w:id="213" w:name="_Toc29119"/>
      <w:r>
        <w:rPr>
          <w:rFonts w:hint="eastAsia"/>
          <w:highlight w:val="none"/>
          <w:lang w:val="en-US" w:eastAsia="zh-CN"/>
        </w:rPr>
        <w:t>动负荷试验</w:t>
      </w:r>
      <w:bookmarkEnd w:id="211"/>
      <w:bookmarkEnd w:id="212"/>
      <w:bookmarkEnd w:id="213"/>
    </w:p>
    <w:p w14:paraId="3C1AD400">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278E31E0">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51BD7127">
      <w:pPr>
        <w:pStyle w:val="15"/>
      </w:pPr>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静态</w:t>
      </w:r>
      <w:r>
        <w:rPr>
          <w:rFonts w:hint="eastAsia"/>
          <w:highlight w:val="none"/>
          <w:lang w:val="en-US" w:eastAsia="zh-CN"/>
        </w:rPr>
        <w:t>试验荷载表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4E73DF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6CAC9569">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028029E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76153A3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1E6CBD5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698798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5FE0ECA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7001185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32E1EA0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41" w:type="dxa"/>
            <w:tcBorders>
              <w:tl2br w:val="nil"/>
              <w:tr2bl w:val="nil"/>
            </w:tcBorders>
            <w:noWrap w:val="0"/>
            <w:vAlign w:val="center"/>
          </w:tcPr>
          <w:p w14:paraId="68C16B5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17.5</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002E4C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4EB22A2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74" w:type="dxa"/>
            <w:tcBorders>
              <w:tl2br w:val="nil"/>
              <w:tr2bl w:val="nil"/>
            </w:tcBorders>
            <w:noWrap w:val="0"/>
            <w:vAlign w:val="center"/>
          </w:tcPr>
          <w:p w14:paraId="0B61A43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5.375</w:t>
            </w:r>
            <w:r>
              <w:rPr>
                <w:rFonts w:hint="eastAsia" w:ascii="宋体" w:hAnsi="宋体" w:eastAsia="宋体" w:cs="宋体"/>
                <w:color w:val="000000"/>
                <w:sz w:val="21"/>
                <w:szCs w:val="21"/>
                <w:highlight w:val="none"/>
              </w:rPr>
              <w:t>t</w:t>
            </w:r>
          </w:p>
        </w:tc>
      </w:tr>
    </w:tbl>
    <w:p w14:paraId="467DA099">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200mm处，并在吊钩上逐次增加重量至1.25倍，停留10min，卸载后检查金属结构及焊缝是否出现可见裂纹，永久变形、连接松动。（注意：静态超载实验不允许进行变幅及回转）</w:t>
      </w:r>
    </w:p>
    <w:p w14:paraId="01FDC9BE">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3137F9BB">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对各机构对应的全程范围内进行3次动作，各机构应动作灵活，制动器动作可靠。机构及结构各部件无异常现象，连接无松动和破坏。</w:t>
      </w:r>
    </w:p>
    <w:p w14:paraId="33099341">
      <w:pPr>
        <w:pStyle w:val="15"/>
      </w:pPr>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2</w:t>
      </w:r>
      <w:r>
        <w:fldChar w:fldCharType="end"/>
      </w:r>
      <w:r>
        <w:rPr>
          <w:rFonts w:hint="eastAsia"/>
          <w:lang w:val="en-US" w:eastAsia="zh-CN"/>
        </w:rPr>
        <w:t xml:space="preserve"> 动态</w:t>
      </w:r>
      <w:r>
        <w:rPr>
          <w:rFonts w:hint="eastAsia"/>
          <w:highlight w:val="none"/>
          <w:lang w:val="en-US" w:eastAsia="zh-CN"/>
        </w:rPr>
        <w:t>试验荷载表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78550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29D87491">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2EE8632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74C59C5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6590FBF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A7A0F3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31C310B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4824C8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7E19155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41" w:type="dxa"/>
            <w:tcBorders>
              <w:tl2br w:val="nil"/>
              <w:tr2bl w:val="nil"/>
            </w:tcBorders>
            <w:noWrap w:val="0"/>
            <w:vAlign w:val="center"/>
          </w:tcPr>
          <w:p w14:paraId="63E0609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17.5</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178175E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17.6</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3319A7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74" w:type="dxa"/>
            <w:tcBorders>
              <w:tl2br w:val="nil"/>
              <w:tr2bl w:val="nil"/>
            </w:tcBorders>
            <w:noWrap w:val="0"/>
            <w:vAlign w:val="center"/>
          </w:tcPr>
          <w:p w14:paraId="1E82574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4.73</w:t>
            </w:r>
            <w:r>
              <w:rPr>
                <w:rFonts w:hint="eastAsia" w:ascii="宋体" w:hAnsi="宋体" w:eastAsia="宋体" w:cs="宋体"/>
                <w:color w:val="000000"/>
                <w:sz w:val="21"/>
                <w:szCs w:val="21"/>
                <w:highlight w:val="none"/>
              </w:rPr>
              <w:t>t</w:t>
            </w:r>
          </w:p>
        </w:tc>
      </w:tr>
    </w:tbl>
    <w:p w14:paraId="7E7B7BCF">
      <w:pPr>
        <w:pStyle w:val="29"/>
        <w:rPr>
          <w:rFonts w:hint="eastAsia" w:ascii="宋体" w:hAnsi="宋体" w:cs="宋体"/>
          <w:color w:val="000000"/>
          <w:sz w:val="24"/>
          <w:szCs w:val="24"/>
          <w:highlight w:val="none"/>
        </w:rPr>
      </w:pPr>
    </w:p>
    <w:p w14:paraId="54FF7B18">
      <w:pPr>
        <w:pStyle w:val="15"/>
        <w:bidi w:val="0"/>
        <w:rPr>
          <w:highlight w:val="none"/>
        </w:rPr>
      </w:pPr>
      <w:bookmarkStart w:id="214" w:name="_Hlk34310105"/>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3</w:t>
      </w:r>
      <w:r>
        <w:fldChar w:fldCharType="end"/>
      </w:r>
      <w:r>
        <w:rPr>
          <w:rFonts w:hint="eastAsia"/>
          <w:lang w:val="en-US" w:eastAsia="zh-CN"/>
        </w:rPr>
        <w:t xml:space="preserve"> </w:t>
      </w:r>
      <w:r>
        <w:rPr>
          <w:rFonts w:hint="eastAsia"/>
          <w:highlight w:val="none"/>
        </w:rPr>
        <w:t>塔式起重机检查表</w:t>
      </w:r>
    </w:p>
    <w:tbl>
      <w:tblPr>
        <w:tblStyle w:val="30"/>
        <w:tblpPr w:leftFromText="180" w:rightFromText="180" w:vertAnchor="text" w:tblpXSpec="center" w:tblpY="1"/>
        <w:tblOverlap w:val="never"/>
        <w:tblW w:w="10136"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51"/>
        <w:gridCol w:w="723"/>
        <w:gridCol w:w="418"/>
        <w:gridCol w:w="1586"/>
        <w:gridCol w:w="2142"/>
        <w:gridCol w:w="1237"/>
        <w:gridCol w:w="722"/>
        <w:gridCol w:w="1418"/>
        <w:gridCol w:w="1239"/>
      </w:tblGrid>
      <w:tr w14:paraId="7AA969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2D1C0D8B">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工程名称</w:t>
            </w:r>
          </w:p>
        </w:tc>
        <w:tc>
          <w:tcPr>
            <w:tcW w:w="8344" w:type="dxa"/>
            <w:gridSpan w:val="6"/>
            <w:tcBorders>
              <w:tl2br w:val="nil"/>
              <w:tr2bl w:val="nil"/>
            </w:tcBorders>
            <w:vAlign w:val="center"/>
          </w:tcPr>
          <w:p w14:paraId="4ADF7009">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7B8D1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3FC1FDD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总包单位</w:t>
            </w:r>
          </w:p>
        </w:tc>
        <w:tc>
          <w:tcPr>
            <w:tcW w:w="5687" w:type="dxa"/>
            <w:gridSpan w:val="4"/>
            <w:tcBorders>
              <w:tl2br w:val="nil"/>
              <w:tr2bl w:val="nil"/>
            </w:tcBorders>
            <w:vAlign w:val="center"/>
          </w:tcPr>
          <w:p w14:paraId="5937231C">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740379C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c>
          <w:tcPr>
            <w:tcW w:w="1239" w:type="dxa"/>
            <w:tcBorders>
              <w:tl2br w:val="nil"/>
              <w:tr2bl w:val="nil"/>
            </w:tcBorders>
            <w:vAlign w:val="center"/>
          </w:tcPr>
          <w:p w14:paraId="33577C73">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0D6A38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4B6D69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w:t>
            </w:r>
          </w:p>
        </w:tc>
        <w:tc>
          <w:tcPr>
            <w:tcW w:w="5687" w:type="dxa"/>
            <w:gridSpan w:val="4"/>
            <w:tcBorders>
              <w:tl2br w:val="nil"/>
              <w:tr2bl w:val="nil"/>
            </w:tcBorders>
            <w:vAlign w:val="center"/>
          </w:tcPr>
          <w:p w14:paraId="63C70763">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13CB397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使用负责人</w:t>
            </w:r>
          </w:p>
        </w:tc>
        <w:tc>
          <w:tcPr>
            <w:tcW w:w="1239" w:type="dxa"/>
            <w:tcBorders>
              <w:tl2br w:val="nil"/>
              <w:tr2bl w:val="nil"/>
            </w:tcBorders>
            <w:vAlign w:val="center"/>
          </w:tcPr>
          <w:p w14:paraId="78CF13ED">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96BD4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02EA2CB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安装单位</w:t>
            </w:r>
          </w:p>
        </w:tc>
        <w:tc>
          <w:tcPr>
            <w:tcW w:w="5687" w:type="dxa"/>
            <w:gridSpan w:val="4"/>
            <w:tcBorders>
              <w:tl2br w:val="nil"/>
              <w:tr2bl w:val="nil"/>
            </w:tcBorders>
            <w:vAlign w:val="center"/>
          </w:tcPr>
          <w:p w14:paraId="3270D390">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32629EA">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安装负责人</w:t>
            </w:r>
          </w:p>
        </w:tc>
        <w:tc>
          <w:tcPr>
            <w:tcW w:w="1239" w:type="dxa"/>
            <w:tcBorders>
              <w:tl2br w:val="nil"/>
              <w:tr2bl w:val="nil"/>
            </w:tcBorders>
            <w:vAlign w:val="center"/>
          </w:tcPr>
          <w:p w14:paraId="348EAE12">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3CC94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56B583EE">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检测单位</w:t>
            </w:r>
          </w:p>
        </w:tc>
        <w:tc>
          <w:tcPr>
            <w:tcW w:w="5687" w:type="dxa"/>
            <w:gridSpan w:val="4"/>
            <w:tcBorders>
              <w:tl2br w:val="nil"/>
              <w:tr2bl w:val="nil"/>
            </w:tcBorders>
            <w:vAlign w:val="center"/>
          </w:tcPr>
          <w:p w14:paraId="595E005D">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0B15E7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资质证号</w:t>
            </w:r>
          </w:p>
        </w:tc>
        <w:tc>
          <w:tcPr>
            <w:tcW w:w="1239" w:type="dxa"/>
            <w:tcBorders>
              <w:tl2br w:val="nil"/>
              <w:tr2bl w:val="nil"/>
            </w:tcBorders>
            <w:vAlign w:val="center"/>
          </w:tcPr>
          <w:p w14:paraId="3F20082C">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50654A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7227A39">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3728" w:type="dxa"/>
            <w:gridSpan w:val="2"/>
            <w:tcBorders>
              <w:tl2br w:val="nil"/>
              <w:tr2bl w:val="nil"/>
            </w:tcBorders>
            <w:vAlign w:val="center"/>
          </w:tcPr>
          <w:p w14:paraId="6ECA5768">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25140240">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规格型号</w:t>
            </w:r>
          </w:p>
        </w:tc>
        <w:tc>
          <w:tcPr>
            <w:tcW w:w="2657" w:type="dxa"/>
            <w:gridSpan w:val="2"/>
            <w:tcBorders>
              <w:tl2br w:val="nil"/>
              <w:tr2bl w:val="nil"/>
            </w:tcBorders>
            <w:vAlign w:val="center"/>
          </w:tcPr>
          <w:p w14:paraId="1F8738B4">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74E2458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45333F5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使用地点</w:t>
            </w:r>
          </w:p>
        </w:tc>
        <w:tc>
          <w:tcPr>
            <w:tcW w:w="3728" w:type="dxa"/>
            <w:gridSpan w:val="2"/>
            <w:tcBorders>
              <w:tl2br w:val="nil"/>
              <w:tr2bl w:val="nil"/>
            </w:tcBorders>
            <w:vAlign w:val="center"/>
          </w:tcPr>
          <w:p w14:paraId="33F1D18F">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09F589B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安装日期</w:t>
            </w:r>
          </w:p>
        </w:tc>
        <w:tc>
          <w:tcPr>
            <w:tcW w:w="2657" w:type="dxa"/>
            <w:gridSpan w:val="2"/>
            <w:tcBorders>
              <w:tl2br w:val="nil"/>
              <w:tr2bl w:val="nil"/>
            </w:tcBorders>
            <w:vAlign w:val="center"/>
          </w:tcPr>
          <w:p w14:paraId="10777546">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F3325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D817621">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序号</w:t>
            </w:r>
          </w:p>
        </w:tc>
        <w:tc>
          <w:tcPr>
            <w:tcW w:w="723" w:type="dxa"/>
            <w:tcBorders>
              <w:tl2br w:val="nil"/>
              <w:tr2bl w:val="nil"/>
            </w:tcBorders>
            <w:vAlign w:val="center"/>
          </w:tcPr>
          <w:p w14:paraId="0381D7FF">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w:t>
            </w:r>
          </w:p>
          <w:p w14:paraId="4D1EE1DA">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项目</w:t>
            </w:r>
          </w:p>
        </w:tc>
        <w:tc>
          <w:tcPr>
            <w:tcW w:w="6105" w:type="dxa"/>
            <w:gridSpan w:val="5"/>
            <w:tcBorders>
              <w:tl2br w:val="nil"/>
              <w:tr2bl w:val="nil"/>
            </w:tcBorders>
            <w:vAlign w:val="center"/>
          </w:tcPr>
          <w:p w14:paraId="69716014">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检查内容及要求</w:t>
            </w:r>
          </w:p>
        </w:tc>
        <w:tc>
          <w:tcPr>
            <w:tcW w:w="2657" w:type="dxa"/>
            <w:gridSpan w:val="2"/>
            <w:tcBorders>
              <w:tl2br w:val="nil"/>
              <w:tr2bl w:val="nil"/>
            </w:tcBorders>
            <w:vAlign w:val="center"/>
          </w:tcPr>
          <w:p w14:paraId="4ED03A98">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检查结果</w:t>
            </w:r>
          </w:p>
        </w:tc>
      </w:tr>
      <w:tr w14:paraId="351309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8E766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723" w:type="dxa"/>
            <w:vMerge w:val="restart"/>
            <w:tcBorders>
              <w:tl2br w:val="nil"/>
              <w:tr2bl w:val="nil"/>
            </w:tcBorders>
            <w:vAlign w:val="center"/>
          </w:tcPr>
          <w:p w14:paraId="5C54D56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w:t>
            </w:r>
          </w:p>
          <w:p w14:paraId="00DD1BA0">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w:t>
            </w:r>
          </w:p>
          <w:p w14:paraId="136F2C51">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与</w:t>
            </w:r>
          </w:p>
          <w:p w14:paraId="0D2F8148">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w:t>
            </w:r>
          </w:p>
          <w:p w14:paraId="3921CBA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料</w:t>
            </w:r>
          </w:p>
        </w:tc>
        <w:tc>
          <w:tcPr>
            <w:tcW w:w="6105" w:type="dxa"/>
            <w:gridSpan w:val="5"/>
            <w:tcBorders>
              <w:tl2br w:val="nil"/>
              <w:tr2bl w:val="nil"/>
            </w:tcBorders>
            <w:vAlign w:val="center"/>
          </w:tcPr>
          <w:p w14:paraId="6EFEAD9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生产单位、安装单位的资质</w:t>
            </w:r>
          </w:p>
        </w:tc>
        <w:tc>
          <w:tcPr>
            <w:tcW w:w="2657" w:type="dxa"/>
            <w:gridSpan w:val="2"/>
            <w:tcBorders>
              <w:tl2br w:val="nil"/>
              <w:tr2bl w:val="nil"/>
            </w:tcBorders>
            <w:vAlign w:val="center"/>
          </w:tcPr>
          <w:p w14:paraId="62C412F0">
            <w:pPr>
              <w:spacing w:line="240" w:lineRule="exact"/>
              <w:ind w:firstLine="0" w:firstLineChars="0"/>
              <w:jc w:val="center"/>
              <w:rPr>
                <w:rFonts w:hint="eastAsia" w:ascii="仿宋" w:hAnsi="仿宋" w:eastAsia="仿宋" w:cs="仿宋"/>
                <w:color w:val="000000"/>
                <w:sz w:val="21"/>
                <w:szCs w:val="21"/>
                <w:highlight w:val="none"/>
              </w:rPr>
            </w:pPr>
          </w:p>
        </w:tc>
      </w:tr>
      <w:tr w14:paraId="1514AF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A9F265A">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723" w:type="dxa"/>
            <w:vMerge w:val="continue"/>
            <w:tcBorders>
              <w:tl2br w:val="nil"/>
              <w:tr2bl w:val="nil"/>
            </w:tcBorders>
            <w:vAlign w:val="center"/>
          </w:tcPr>
          <w:p w14:paraId="623A8C52">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9EEECD0">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经签认的设备进场/复工验收记录</w:t>
            </w:r>
          </w:p>
        </w:tc>
        <w:tc>
          <w:tcPr>
            <w:tcW w:w="2657" w:type="dxa"/>
            <w:gridSpan w:val="2"/>
            <w:tcBorders>
              <w:tl2br w:val="nil"/>
              <w:tr2bl w:val="nil"/>
            </w:tcBorders>
            <w:vAlign w:val="center"/>
          </w:tcPr>
          <w:p w14:paraId="6C98B5A5">
            <w:pPr>
              <w:spacing w:line="240" w:lineRule="exact"/>
              <w:ind w:firstLine="0" w:firstLineChars="0"/>
              <w:jc w:val="center"/>
              <w:rPr>
                <w:rFonts w:hint="eastAsia" w:ascii="仿宋" w:hAnsi="仿宋" w:eastAsia="仿宋" w:cs="仿宋"/>
                <w:color w:val="000000"/>
                <w:sz w:val="21"/>
                <w:szCs w:val="21"/>
                <w:highlight w:val="none"/>
              </w:rPr>
            </w:pPr>
          </w:p>
        </w:tc>
      </w:tr>
      <w:tr w14:paraId="1D8240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3DFC7D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723" w:type="dxa"/>
            <w:vMerge w:val="continue"/>
            <w:tcBorders>
              <w:tl2br w:val="nil"/>
              <w:tr2bl w:val="nil"/>
            </w:tcBorders>
            <w:vAlign w:val="center"/>
          </w:tcPr>
          <w:p w14:paraId="3980932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6BC10C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基础的的检测和验收记录</w:t>
            </w:r>
          </w:p>
        </w:tc>
        <w:tc>
          <w:tcPr>
            <w:tcW w:w="2657" w:type="dxa"/>
            <w:gridSpan w:val="2"/>
            <w:tcBorders>
              <w:tl2br w:val="nil"/>
              <w:tr2bl w:val="nil"/>
            </w:tcBorders>
            <w:vAlign w:val="center"/>
          </w:tcPr>
          <w:p w14:paraId="5BB2BE98">
            <w:pPr>
              <w:spacing w:line="240" w:lineRule="exact"/>
              <w:ind w:firstLine="0" w:firstLineChars="0"/>
              <w:jc w:val="center"/>
              <w:rPr>
                <w:rFonts w:hint="eastAsia" w:ascii="仿宋" w:hAnsi="仿宋" w:eastAsia="仿宋" w:cs="仿宋"/>
                <w:color w:val="000000"/>
                <w:sz w:val="21"/>
                <w:szCs w:val="21"/>
                <w:highlight w:val="none"/>
              </w:rPr>
            </w:pPr>
          </w:p>
        </w:tc>
      </w:tr>
      <w:tr w14:paraId="65A6D2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741C9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723" w:type="dxa"/>
            <w:vMerge w:val="continue"/>
            <w:tcBorders>
              <w:tl2br w:val="nil"/>
              <w:tr2bl w:val="nil"/>
            </w:tcBorders>
            <w:vAlign w:val="center"/>
          </w:tcPr>
          <w:p w14:paraId="48D6E631">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EFED8E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外租或协作单位塔式起重机，出厂年限不得超过5年；自有塔式起重机按照公司相关要求进行管理和使用。</w:t>
            </w:r>
          </w:p>
        </w:tc>
        <w:tc>
          <w:tcPr>
            <w:tcW w:w="2657" w:type="dxa"/>
            <w:gridSpan w:val="2"/>
            <w:tcBorders>
              <w:tl2br w:val="nil"/>
              <w:tr2bl w:val="nil"/>
            </w:tcBorders>
            <w:vAlign w:val="center"/>
          </w:tcPr>
          <w:p w14:paraId="01C8B2C7">
            <w:pPr>
              <w:spacing w:line="240" w:lineRule="exact"/>
              <w:ind w:firstLine="0" w:firstLineChars="0"/>
              <w:jc w:val="center"/>
              <w:rPr>
                <w:rFonts w:hint="eastAsia" w:ascii="仿宋" w:hAnsi="仿宋" w:eastAsia="仿宋" w:cs="仿宋"/>
                <w:color w:val="000000"/>
                <w:sz w:val="21"/>
                <w:szCs w:val="21"/>
                <w:highlight w:val="none"/>
              </w:rPr>
            </w:pPr>
          </w:p>
        </w:tc>
      </w:tr>
      <w:tr w14:paraId="4C73C6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29CD0C">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723" w:type="dxa"/>
            <w:vMerge w:val="continue"/>
            <w:tcBorders>
              <w:tl2br w:val="nil"/>
              <w:tr2bl w:val="nil"/>
            </w:tcBorders>
            <w:vAlign w:val="center"/>
          </w:tcPr>
          <w:p w14:paraId="55A7FB7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657421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维修保养制度/措施、计划；日常维护保养记录</w:t>
            </w:r>
          </w:p>
        </w:tc>
        <w:tc>
          <w:tcPr>
            <w:tcW w:w="2657" w:type="dxa"/>
            <w:gridSpan w:val="2"/>
            <w:tcBorders>
              <w:tl2br w:val="nil"/>
              <w:tr2bl w:val="nil"/>
            </w:tcBorders>
            <w:vAlign w:val="center"/>
          </w:tcPr>
          <w:p w14:paraId="76BABAC1">
            <w:pPr>
              <w:spacing w:line="240" w:lineRule="exact"/>
              <w:ind w:firstLine="0" w:firstLineChars="0"/>
              <w:jc w:val="center"/>
              <w:rPr>
                <w:rFonts w:hint="eastAsia" w:ascii="仿宋" w:hAnsi="仿宋" w:eastAsia="仿宋" w:cs="仿宋"/>
                <w:color w:val="000000"/>
                <w:sz w:val="21"/>
                <w:szCs w:val="21"/>
                <w:highlight w:val="none"/>
              </w:rPr>
            </w:pPr>
          </w:p>
        </w:tc>
      </w:tr>
      <w:tr w14:paraId="2D8922E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4122F6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723" w:type="dxa"/>
            <w:vMerge w:val="continue"/>
            <w:tcBorders>
              <w:tl2br w:val="nil"/>
              <w:tr2bl w:val="nil"/>
            </w:tcBorders>
            <w:vAlign w:val="center"/>
          </w:tcPr>
          <w:p w14:paraId="61677A6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2ABDC6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特种设备检查制度；日常检查记录</w:t>
            </w:r>
          </w:p>
        </w:tc>
        <w:tc>
          <w:tcPr>
            <w:tcW w:w="2657" w:type="dxa"/>
            <w:gridSpan w:val="2"/>
            <w:tcBorders>
              <w:tl2br w:val="nil"/>
              <w:tr2bl w:val="nil"/>
            </w:tcBorders>
            <w:vAlign w:val="center"/>
          </w:tcPr>
          <w:p w14:paraId="472BFF7F">
            <w:pPr>
              <w:spacing w:line="240" w:lineRule="exact"/>
              <w:ind w:firstLine="0" w:firstLineChars="0"/>
              <w:jc w:val="center"/>
              <w:rPr>
                <w:rFonts w:hint="eastAsia" w:ascii="仿宋" w:hAnsi="仿宋" w:eastAsia="仿宋" w:cs="仿宋"/>
                <w:color w:val="000000"/>
                <w:sz w:val="21"/>
                <w:szCs w:val="21"/>
                <w:highlight w:val="none"/>
              </w:rPr>
            </w:pPr>
          </w:p>
        </w:tc>
      </w:tr>
      <w:tr w14:paraId="48C12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C53AC2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723" w:type="dxa"/>
            <w:vMerge w:val="continue"/>
            <w:tcBorders>
              <w:tl2br w:val="nil"/>
              <w:tr2bl w:val="nil"/>
            </w:tcBorders>
            <w:vAlign w:val="center"/>
          </w:tcPr>
          <w:p w14:paraId="652200B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D5775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安全附件、安全保护装置、测量调控装置及有关附属仪器仪表等定期校验、检修记录</w:t>
            </w:r>
          </w:p>
        </w:tc>
        <w:tc>
          <w:tcPr>
            <w:tcW w:w="2657" w:type="dxa"/>
            <w:gridSpan w:val="2"/>
            <w:tcBorders>
              <w:tl2br w:val="nil"/>
              <w:tr2bl w:val="nil"/>
            </w:tcBorders>
            <w:vAlign w:val="center"/>
          </w:tcPr>
          <w:p w14:paraId="3063965A">
            <w:pPr>
              <w:spacing w:line="240" w:lineRule="exact"/>
              <w:ind w:firstLine="0" w:firstLineChars="0"/>
              <w:jc w:val="center"/>
              <w:rPr>
                <w:rFonts w:hint="eastAsia" w:ascii="仿宋" w:hAnsi="仿宋" w:eastAsia="仿宋" w:cs="仿宋"/>
                <w:color w:val="000000"/>
                <w:sz w:val="21"/>
                <w:szCs w:val="21"/>
                <w:highlight w:val="none"/>
              </w:rPr>
            </w:pPr>
          </w:p>
        </w:tc>
      </w:tr>
      <w:tr w14:paraId="526A1F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24298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723" w:type="dxa"/>
            <w:vMerge w:val="continue"/>
            <w:tcBorders>
              <w:tl2br w:val="nil"/>
              <w:tr2bl w:val="nil"/>
            </w:tcBorders>
            <w:vAlign w:val="center"/>
          </w:tcPr>
          <w:p w14:paraId="289BDBF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F5DFA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现场操作手持证情况，人员培训教育、风险告知、交底等资料</w:t>
            </w:r>
          </w:p>
        </w:tc>
        <w:tc>
          <w:tcPr>
            <w:tcW w:w="2657" w:type="dxa"/>
            <w:gridSpan w:val="2"/>
            <w:tcBorders>
              <w:tl2br w:val="nil"/>
              <w:tr2bl w:val="nil"/>
            </w:tcBorders>
            <w:vAlign w:val="center"/>
          </w:tcPr>
          <w:p w14:paraId="7A65B1CB">
            <w:pPr>
              <w:spacing w:line="240" w:lineRule="exact"/>
              <w:ind w:firstLine="0" w:firstLineChars="0"/>
              <w:jc w:val="center"/>
              <w:rPr>
                <w:rFonts w:hint="eastAsia" w:ascii="仿宋" w:hAnsi="仿宋" w:eastAsia="仿宋" w:cs="仿宋"/>
                <w:color w:val="000000"/>
                <w:sz w:val="21"/>
                <w:szCs w:val="21"/>
                <w:highlight w:val="none"/>
              </w:rPr>
            </w:pPr>
          </w:p>
        </w:tc>
      </w:tr>
      <w:tr w14:paraId="6D1760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E23C60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723" w:type="dxa"/>
            <w:vMerge w:val="continue"/>
            <w:tcBorders>
              <w:tl2br w:val="nil"/>
              <w:tr2bl w:val="nil"/>
            </w:tcBorders>
            <w:vAlign w:val="center"/>
          </w:tcPr>
          <w:p w14:paraId="512F1E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9FF05C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使用登记备案证、安全检验合格证、检测报告等</w:t>
            </w:r>
          </w:p>
        </w:tc>
        <w:tc>
          <w:tcPr>
            <w:tcW w:w="2657" w:type="dxa"/>
            <w:gridSpan w:val="2"/>
            <w:tcBorders>
              <w:tl2br w:val="nil"/>
              <w:tr2bl w:val="nil"/>
            </w:tcBorders>
            <w:vAlign w:val="center"/>
          </w:tcPr>
          <w:p w14:paraId="6EAB84CF">
            <w:pPr>
              <w:spacing w:line="240" w:lineRule="exact"/>
              <w:ind w:firstLine="0" w:firstLineChars="0"/>
              <w:jc w:val="center"/>
              <w:rPr>
                <w:rFonts w:hint="eastAsia" w:ascii="仿宋" w:hAnsi="仿宋" w:eastAsia="仿宋" w:cs="仿宋"/>
                <w:color w:val="000000"/>
                <w:sz w:val="21"/>
                <w:szCs w:val="21"/>
                <w:highlight w:val="none"/>
              </w:rPr>
            </w:pPr>
          </w:p>
        </w:tc>
      </w:tr>
      <w:tr w14:paraId="1A91B0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0CE143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723" w:type="dxa"/>
            <w:vMerge w:val="continue"/>
            <w:tcBorders>
              <w:tl2br w:val="nil"/>
              <w:tr2bl w:val="nil"/>
            </w:tcBorders>
            <w:vAlign w:val="center"/>
          </w:tcPr>
          <w:p w14:paraId="369EEA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8D3543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有健全的安全管理制度和岗位责任制</w:t>
            </w:r>
          </w:p>
        </w:tc>
        <w:tc>
          <w:tcPr>
            <w:tcW w:w="2657" w:type="dxa"/>
            <w:gridSpan w:val="2"/>
            <w:tcBorders>
              <w:tl2br w:val="nil"/>
              <w:tr2bl w:val="nil"/>
            </w:tcBorders>
            <w:vAlign w:val="center"/>
          </w:tcPr>
          <w:p w14:paraId="7AFC60BC">
            <w:pPr>
              <w:spacing w:line="240" w:lineRule="exact"/>
              <w:ind w:firstLine="0" w:firstLineChars="0"/>
              <w:jc w:val="center"/>
              <w:rPr>
                <w:rFonts w:hint="eastAsia" w:ascii="仿宋" w:hAnsi="仿宋" w:eastAsia="仿宋" w:cs="仿宋"/>
                <w:color w:val="000000"/>
                <w:sz w:val="21"/>
                <w:szCs w:val="21"/>
                <w:highlight w:val="none"/>
              </w:rPr>
            </w:pPr>
          </w:p>
        </w:tc>
      </w:tr>
      <w:tr w14:paraId="4A4F8B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3B281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w:t>
            </w:r>
          </w:p>
        </w:tc>
        <w:tc>
          <w:tcPr>
            <w:tcW w:w="723" w:type="dxa"/>
            <w:vMerge w:val="continue"/>
            <w:tcBorders>
              <w:tl2br w:val="nil"/>
              <w:tr2bl w:val="nil"/>
            </w:tcBorders>
            <w:vAlign w:val="center"/>
          </w:tcPr>
          <w:p w14:paraId="4DBED75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75C311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经审批的安装方案，方案编制单位是否具有相应资质，审批是否齐全</w:t>
            </w:r>
          </w:p>
        </w:tc>
        <w:tc>
          <w:tcPr>
            <w:tcW w:w="2657" w:type="dxa"/>
            <w:gridSpan w:val="2"/>
            <w:tcBorders>
              <w:tl2br w:val="nil"/>
              <w:tr2bl w:val="nil"/>
            </w:tcBorders>
            <w:vAlign w:val="center"/>
          </w:tcPr>
          <w:p w14:paraId="5073DA03">
            <w:pPr>
              <w:spacing w:line="240" w:lineRule="exact"/>
              <w:ind w:firstLine="0" w:firstLineChars="0"/>
              <w:jc w:val="center"/>
              <w:rPr>
                <w:rFonts w:hint="eastAsia" w:ascii="仿宋" w:hAnsi="仿宋" w:eastAsia="仿宋" w:cs="仿宋"/>
                <w:color w:val="000000"/>
                <w:sz w:val="21"/>
                <w:szCs w:val="21"/>
                <w:highlight w:val="none"/>
              </w:rPr>
            </w:pPr>
          </w:p>
        </w:tc>
      </w:tr>
      <w:tr w14:paraId="1C183F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8041AE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w:t>
            </w:r>
          </w:p>
        </w:tc>
        <w:tc>
          <w:tcPr>
            <w:tcW w:w="723" w:type="dxa"/>
            <w:vMerge w:val="continue"/>
            <w:tcBorders>
              <w:tl2br w:val="nil"/>
              <w:tr2bl w:val="nil"/>
            </w:tcBorders>
            <w:vAlign w:val="center"/>
          </w:tcPr>
          <w:p w14:paraId="5F6C7B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D629E5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多塔作业的专项施工方案</w:t>
            </w:r>
          </w:p>
        </w:tc>
        <w:tc>
          <w:tcPr>
            <w:tcW w:w="2657" w:type="dxa"/>
            <w:gridSpan w:val="2"/>
            <w:tcBorders>
              <w:tl2br w:val="nil"/>
              <w:tr2bl w:val="nil"/>
            </w:tcBorders>
            <w:vAlign w:val="center"/>
          </w:tcPr>
          <w:p w14:paraId="55BB89B8">
            <w:pPr>
              <w:spacing w:line="240" w:lineRule="exact"/>
              <w:ind w:firstLine="0" w:firstLineChars="0"/>
              <w:jc w:val="center"/>
              <w:rPr>
                <w:rFonts w:hint="eastAsia" w:ascii="仿宋" w:hAnsi="仿宋" w:eastAsia="仿宋" w:cs="仿宋"/>
                <w:color w:val="000000"/>
                <w:sz w:val="21"/>
                <w:szCs w:val="21"/>
                <w:highlight w:val="none"/>
              </w:rPr>
            </w:pPr>
          </w:p>
        </w:tc>
      </w:tr>
      <w:tr w14:paraId="5710A8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74FF443">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w:t>
            </w:r>
          </w:p>
        </w:tc>
        <w:tc>
          <w:tcPr>
            <w:tcW w:w="723" w:type="dxa"/>
            <w:tcBorders>
              <w:tl2br w:val="nil"/>
              <w:tr2bl w:val="nil"/>
            </w:tcBorders>
            <w:vAlign w:val="center"/>
          </w:tcPr>
          <w:p w14:paraId="0A199706">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基础</w:t>
            </w:r>
          </w:p>
        </w:tc>
        <w:tc>
          <w:tcPr>
            <w:tcW w:w="6105" w:type="dxa"/>
            <w:gridSpan w:val="5"/>
            <w:tcBorders>
              <w:tl2br w:val="nil"/>
              <w:tr2bl w:val="nil"/>
            </w:tcBorders>
            <w:vAlign w:val="center"/>
          </w:tcPr>
          <w:p w14:paraId="1E97EEC2">
            <w:pPr>
              <w:snapToGrid w:val="0"/>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基础排水通畅，接地牢固可靠</w:t>
            </w:r>
          </w:p>
        </w:tc>
        <w:tc>
          <w:tcPr>
            <w:tcW w:w="2657" w:type="dxa"/>
            <w:gridSpan w:val="2"/>
            <w:tcBorders>
              <w:tl2br w:val="nil"/>
              <w:tr2bl w:val="nil"/>
            </w:tcBorders>
            <w:vAlign w:val="center"/>
          </w:tcPr>
          <w:p w14:paraId="784AD53C">
            <w:pPr>
              <w:spacing w:line="240" w:lineRule="exact"/>
              <w:ind w:firstLine="0" w:firstLineChars="0"/>
              <w:jc w:val="center"/>
              <w:rPr>
                <w:rFonts w:hint="eastAsia" w:ascii="仿宋" w:hAnsi="仿宋" w:eastAsia="仿宋" w:cs="仿宋"/>
                <w:color w:val="000000"/>
                <w:sz w:val="21"/>
                <w:szCs w:val="21"/>
                <w:highlight w:val="none"/>
              </w:rPr>
            </w:pPr>
          </w:p>
        </w:tc>
      </w:tr>
      <w:tr w14:paraId="2C69C8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D51A96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w:t>
            </w:r>
          </w:p>
        </w:tc>
        <w:tc>
          <w:tcPr>
            <w:tcW w:w="723" w:type="dxa"/>
            <w:vMerge w:val="restart"/>
            <w:tcBorders>
              <w:tl2br w:val="nil"/>
              <w:tr2bl w:val="nil"/>
            </w:tcBorders>
            <w:vAlign w:val="center"/>
          </w:tcPr>
          <w:p w14:paraId="1FDF931E">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塔身结构</w:t>
            </w:r>
          </w:p>
        </w:tc>
        <w:tc>
          <w:tcPr>
            <w:tcW w:w="6105" w:type="dxa"/>
            <w:gridSpan w:val="5"/>
            <w:tcBorders>
              <w:tl2br w:val="nil"/>
              <w:tr2bl w:val="nil"/>
            </w:tcBorders>
            <w:vAlign w:val="center"/>
          </w:tcPr>
          <w:p w14:paraId="7EC8B1A5">
            <w:pPr>
              <w:snapToGrid w:val="0"/>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钢结构无明显变形、脱焊和开裂</w:t>
            </w:r>
          </w:p>
        </w:tc>
        <w:tc>
          <w:tcPr>
            <w:tcW w:w="2657" w:type="dxa"/>
            <w:gridSpan w:val="2"/>
            <w:tcBorders>
              <w:tl2br w:val="nil"/>
              <w:tr2bl w:val="nil"/>
            </w:tcBorders>
            <w:vAlign w:val="center"/>
          </w:tcPr>
          <w:p w14:paraId="09A28385">
            <w:pPr>
              <w:spacing w:line="240" w:lineRule="exact"/>
              <w:ind w:firstLine="0" w:firstLineChars="0"/>
              <w:jc w:val="center"/>
              <w:rPr>
                <w:rFonts w:hint="eastAsia" w:ascii="仿宋" w:hAnsi="仿宋" w:eastAsia="仿宋" w:cs="仿宋"/>
                <w:color w:val="000000"/>
                <w:sz w:val="21"/>
                <w:szCs w:val="21"/>
                <w:highlight w:val="none"/>
              </w:rPr>
            </w:pPr>
          </w:p>
        </w:tc>
      </w:tr>
      <w:tr w14:paraId="388B7A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6DC30C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w:t>
            </w:r>
          </w:p>
        </w:tc>
        <w:tc>
          <w:tcPr>
            <w:tcW w:w="723" w:type="dxa"/>
            <w:vMerge w:val="continue"/>
            <w:tcBorders>
              <w:tl2br w:val="nil"/>
              <w:tr2bl w:val="nil"/>
            </w:tcBorders>
            <w:vAlign w:val="center"/>
          </w:tcPr>
          <w:p w14:paraId="0CF82B3A">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90AAF6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基础承载力符合说明书要求，混凝土有试压报告，位置合理</w:t>
            </w:r>
          </w:p>
        </w:tc>
        <w:tc>
          <w:tcPr>
            <w:tcW w:w="2657" w:type="dxa"/>
            <w:gridSpan w:val="2"/>
            <w:tcBorders>
              <w:tl2br w:val="nil"/>
              <w:tr2bl w:val="nil"/>
            </w:tcBorders>
            <w:vAlign w:val="center"/>
          </w:tcPr>
          <w:p w14:paraId="243AA184">
            <w:pPr>
              <w:spacing w:line="240" w:lineRule="exact"/>
              <w:ind w:firstLine="0" w:firstLineChars="0"/>
              <w:jc w:val="center"/>
              <w:rPr>
                <w:rFonts w:hint="eastAsia" w:ascii="仿宋" w:hAnsi="仿宋" w:eastAsia="仿宋" w:cs="仿宋"/>
                <w:color w:val="000000"/>
                <w:sz w:val="21"/>
                <w:szCs w:val="21"/>
                <w:highlight w:val="none"/>
              </w:rPr>
            </w:pPr>
          </w:p>
        </w:tc>
      </w:tr>
      <w:tr w14:paraId="67891A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A73823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w:t>
            </w:r>
          </w:p>
        </w:tc>
        <w:tc>
          <w:tcPr>
            <w:tcW w:w="723" w:type="dxa"/>
            <w:vMerge w:val="continue"/>
            <w:tcBorders>
              <w:tl2br w:val="nil"/>
              <w:tr2bl w:val="nil"/>
            </w:tcBorders>
            <w:vAlign w:val="center"/>
          </w:tcPr>
          <w:p w14:paraId="6B199CD4">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BA9BE1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螺帽、销轴、高强度螺栓等零部件配置齐全、无松动、缺损、无严重锈蚀</w:t>
            </w:r>
          </w:p>
        </w:tc>
        <w:tc>
          <w:tcPr>
            <w:tcW w:w="2657" w:type="dxa"/>
            <w:gridSpan w:val="2"/>
            <w:tcBorders>
              <w:tl2br w:val="nil"/>
              <w:tr2bl w:val="nil"/>
            </w:tcBorders>
            <w:vAlign w:val="center"/>
          </w:tcPr>
          <w:p w14:paraId="5095DA6B">
            <w:pPr>
              <w:spacing w:line="240" w:lineRule="exact"/>
              <w:ind w:firstLine="0" w:firstLineChars="0"/>
              <w:jc w:val="center"/>
              <w:rPr>
                <w:rFonts w:hint="eastAsia" w:ascii="仿宋" w:hAnsi="仿宋" w:eastAsia="仿宋" w:cs="仿宋"/>
                <w:color w:val="000000"/>
                <w:sz w:val="21"/>
                <w:szCs w:val="21"/>
                <w:highlight w:val="none"/>
              </w:rPr>
            </w:pPr>
          </w:p>
        </w:tc>
      </w:tr>
      <w:tr w14:paraId="00FC48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386F36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w:t>
            </w:r>
          </w:p>
        </w:tc>
        <w:tc>
          <w:tcPr>
            <w:tcW w:w="723" w:type="dxa"/>
            <w:vMerge w:val="continue"/>
            <w:tcBorders>
              <w:tl2br w:val="nil"/>
              <w:tr2bl w:val="nil"/>
            </w:tcBorders>
            <w:vAlign w:val="center"/>
          </w:tcPr>
          <w:p w14:paraId="58318F3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E209F6D">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爬梯设置防护圈和休息平台，杆件无交叉嫁接</w:t>
            </w:r>
          </w:p>
        </w:tc>
        <w:tc>
          <w:tcPr>
            <w:tcW w:w="2657" w:type="dxa"/>
            <w:gridSpan w:val="2"/>
            <w:tcBorders>
              <w:tl2br w:val="nil"/>
              <w:tr2bl w:val="nil"/>
            </w:tcBorders>
            <w:vAlign w:val="center"/>
          </w:tcPr>
          <w:p w14:paraId="3FB0BBA7">
            <w:pPr>
              <w:spacing w:line="240" w:lineRule="exact"/>
              <w:ind w:firstLine="0" w:firstLineChars="0"/>
              <w:jc w:val="center"/>
              <w:rPr>
                <w:rFonts w:hint="eastAsia" w:ascii="仿宋" w:hAnsi="仿宋" w:eastAsia="仿宋" w:cs="仿宋"/>
                <w:color w:val="000000"/>
                <w:sz w:val="21"/>
                <w:szCs w:val="21"/>
                <w:highlight w:val="none"/>
              </w:rPr>
            </w:pPr>
          </w:p>
        </w:tc>
      </w:tr>
      <w:tr w14:paraId="2E0A02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CFFA87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w:t>
            </w:r>
          </w:p>
        </w:tc>
        <w:tc>
          <w:tcPr>
            <w:tcW w:w="723" w:type="dxa"/>
            <w:vMerge w:val="continue"/>
            <w:tcBorders>
              <w:tl2br w:val="nil"/>
              <w:tr2bl w:val="nil"/>
            </w:tcBorders>
            <w:vAlign w:val="center"/>
          </w:tcPr>
          <w:p w14:paraId="75C9FD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B7AB2B9">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框架、附着杆安装正确、牢固，其间距、数量、固定符合说明书要求</w:t>
            </w:r>
          </w:p>
        </w:tc>
        <w:tc>
          <w:tcPr>
            <w:tcW w:w="2657" w:type="dxa"/>
            <w:gridSpan w:val="2"/>
            <w:tcBorders>
              <w:tl2br w:val="nil"/>
              <w:tr2bl w:val="nil"/>
            </w:tcBorders>
            <w:vAlign w:val="center"/>
          </w:tcPr>
          <w:p w14:paraId="306864FF">
            <w:pPr>
              <w:spacing w:line="240" w:lineRule="exact"/>
              <w:ind w:firstLine="0" w:firstLineChars="0"/>
              <w:jc w:val="center"/>
              <w:rPr>
                <w:rFonts w:hint="eastAsia" w:ascii="仿宋" w:hAnsi="仿宋" w:eastAsia="仿宋" w:cs="仿宋"/>
                <w:color w:val="000000"/>
                <w:sz w:val="21"/>
                <w:szCs w:val="21"/>
                <w:highlight w:val="none"/>
              </w:rPr>
            </w:pPr>
          </w:p>
        </w:tc>
      </w:tr>
      <w:tr w14:paraId="4A161B3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55A6D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19</w:t>
            </w:r>
          </w:p>
        </w:tc>
        <w:tc>
          <w:tcPr>
            <w:tcW w:w="723" w:type="dxa"/>
            <w:vMerge w:val="continue"/>
            <w:tcBorders>
              <w:tl2br w:val="nil"/>
              <w:tr2bl w:val="nil"/>
            </w:tcBorders>
            <w:vAlign w:val="center"/>
          </w:tcPr>
          <w:p w14:paraId="4325647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738019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塔身无倾斜，架体垂直度≤3</w:t>
            </w:r>
            <w:r>
              <w:rPr>
                <w:rFonts w:hint="eastAsia" w:ascii="仿宋" w:hAnsi="仿宋" w:eastAsia="仿宋" w:cs="仿宋"/>
                <w:color w:val="333333"/>
                <w:sz w:val="21"/>
                <w:szCs w:val="21"/>
                <w:highlight w:val="none"/>
                <w:shd w:val="clear" w:color="auto" w:fill="FFFFFF"/>
              </w:rPr>
              <w:t>‰。</w:t>
            </w:r>
            <w:r>
              <w:rPr>
                <w:rFonts w:hint="eastAsia" w:ascii="仿宋" w:hAnsi="仿宋" w:eastAsia="仿宋" w:cs="仿宋"/>
                <w:sz w:val="21"/>
                <w:szCs w:val="21"/>
                <w:highlight w:val="none"/>
              </w:rPr>
              <w:t>连墙件安装牢固，混凝土泵管未附在塔身</w:t>
            </w:r>
          </w:p>
        </w:tc>
        <w:tc>
          <w:tcPr>
            <w:tcW w:w="2657" w:type="dxa"/>
            <w:gridSpan w:val="2"/>
            <w:tcBorders>
              <w:tl2br w:val="nil"/>
              <w:tr2bl w:val="nil"/>
            </w:tcBorders>
            <w:vAlign w:val="center"/>
          </w:tcPr>
          <w:p w14:paraId="12DF1EA7">
            <w:pPr>
              <w:spacing w:line="240" w:lineRule="exact"/>
              <w:ind w:firstLine="0" w:firstLineChars="0"/>
              <w:jc w:val="center"/>
              <w:rPr>
                <w:rFonts w:hint="eastAsia" w:ascii="仿宋" w:hAnsi="仿宋" w:eastAsia="仿宋" w:cs="仿宋"/>
                <w:color w:val="000000"/>
                <w:sz w:val="21"/>
                <w:szCs w:val="21"/>
                <w:highlight w:val="none"/>
              </w:rPr>
            </w:pPr>
          </w:p>
        </w:tc>
      </w:tr>
      <w:tr w14:paraId="0F8862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DBFFAE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w:t>
            </w:r>
          </w:p>
        </w:tc>
        <w:tc>
          <w:tcPr>
            <w:tcW w:w="723" w:type="dxa"/>
            <w:vMerge w:val="restart"/>
            <w:tcBorders>
              <w:tl2br w:val="nil"/>
              <w:tr2bl w:val="nil"/>
            </w:tcBorders>
            <w:vAlign w:val="center"/>
          </w:tcPr>
          <w:p w14:paraId="64DA9112">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钢丝绳及卷筒</w:t>
            </w:r>
          </w:p>
        </w:tc>
        <w:tc>
          <w:tcPr>
            <w:tcW w:w="6105" w:type="dxa"/>
            <w:gridSpan w:val="5"/>
            <w:tcBorders>
              <w:tl2br w:val="nil"/>
              <w:tr2bl w:val="nil"/>
            </w:tcBorders>
            <w:vAlign w:val="center"/>
          </w:tcPr>
          <w:p w14:paraId="75FD8D9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钢丝绳型号、长度符合说明书要求，且完好，无断股，断丝不超过10%</w:t>
            </w:r>
          </w:p>
        </w:tc>
        <w:tc>
          <w:tcPr>
            <w:tcW w:w="2657" w:type="dxa"/>
            <w:gridSpan w:val="2"/>
            <w:tcBorders>
              <w:tl2br w:val="nil"/>
              <w:tr2bl w:val="nil"/>
            </w:tcBorders>
            <w:vAlign w:val="center"/>
          </w:tcPr>
          <w:p w14:paraId="0CC0202E">
            <w:pPr>
              <w:spacing w:line="240" w:lineRule="exact"/>
              <w:ind w:firstLine="0" w:firstLineChars="0"/>
              <w:jc w:val="center"/>
              <w:rPr>
                <w:rFonts w:hint="eastAsia" w:ascii="仿宋" w:hAnsi="仿宋" w:eastAsia="仿宋" w:cs="仿宋"/>
                <w:color w:val="000000"/>
                <w:sz w:val="21"/>
                <w:szCs w:val="21"/>
                <w:highlight w:val="none"/>
              </w:rPr>
            </w:pPr>
          </w:p>
        </w:tc>
      </w:tr>
      <w:tr w14:paraId="4C1049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FECF74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21</w:t>
            </w:r>
          </w:p>
        </w:tc>
        <w:tc>
          <w:tcPr>
            <w:tcW w:w="723" w:type="dxa"/>
            <w:vMerge w:val="continue"/>
            <w:tcBorders>
              <w:tl2br w:val="nil"/>
              <w:tr2bl w:val="nil"/>
            </w:tcBorders>
            <w:vAlign w:val="center"/>
          </w:tcPr>
          <w:p w14:paraId="5475634B">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EB36AF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绳卡规格数量满足要求</w:t>
            </w:r>
          </w:p>
        </w:tc>
        <w:tc>
          <w:tcPr>
            <w:tcW w:w="2657" w:type="dxa"/>
            <w:gridSpan w:val="2"/>
            <w:tcBorders>
              <w:tl2br w:val="nil"/>
              <w:tr2bl w:val="nil"/>
            </w:tcBorders>
            <w:vAlign w:val="center"/>
          </w:tcPr>
          <w:p w14:paraId="2F50BB9A">
            <w:pPr>
              <w:spacing w:line="240" w:lineRule="exact"/>
              <w:ind w:firstLine="0" w:firstLineChars="0"/>
              <w:jc w:val="center"/>
              <w:rPr>
                <w:rFonts w:hint="eastAsia" w:ascii="仿宋" w:hAnsi="仿宋" w:eastAsia="仿宋" w:cs="仿宋"/>
                <w:color w:val="000000"/>
                <w:sz w:val="21"/>
                <w:szCs w:val="21"/>
                <w:highlight w:val="none"/>
              </w:rPr>
            </w:pPr>
          </w:p>
        </w:tc>
      </w:tr>
      <w:tr w14:paraId="0914A5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AFA670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22</w:t>
            </w:r>
          </w:p>
        </w:tc>
        <w:tc>
          <w:tcPr>
            <w:tcW w:w="723" w:type="dxa"/>
            <w:vMerge w:val="continue"/>
            <w:tcBorders>
              <w:tl2br w:val="nil"/>
              <w:tr2bl w:val="nil"/>
            </w:tcBorders>
            <w:vAlign w:val="center"/>
          </w:tcPr>
          <w:p w14:paraId="5D1E05C5">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D7EA26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卷筒挡绳板高于钢丝绳直径2倍以上，卷筒上钢丝绳最少保留3圈</w:t>
            </w:r>
          </w:p>
        </w:tc>
        <w:tc>
          <w:tcPr>
            <w:tcW w:w="2657" w:type="dxa"/>
            <w:gridSpan w:val="2"/>
            <w:tcBorders>
              <w:tl2br w:val="nil"/>
              <w:tr2bl w:val="nil"/>
            </w:tcBorders>
            <w:vAlign w:val="center"/>
          </w:tcPr>
          <w:p w14:paraId="15076871">
            <w:pPr>
              <w:spacing w:line="240" w:lineRule="exact"/>
              <w:ind w:firstLine="0" w:firstLineChars="0"/>
              <w:jc w:val="center"/>
              <w:rPr>
                <w:rFonts w:hint="eastAsia" w:ascii="仿宋" w:hAnsi="仿宋" w:eastAsia="仿宋" w:cs="仿宋"/>
                <w:color w:val="000000"/>
                <w:sz w:val="21"/>
                <w:szCs w:val="21"/>
                <w:highlight w:val="none"/>
              </w:rPr>
            </w:pPr>
          </w:p>
        </w:tc>
      </w:tr>
      <w:tr w14:paraId="4D859A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9893B8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23</w:t>
            </w:r>
          </w:p>
        </w:tc>
        <w:tc>
          <w:tcPr>
            <w:tcW w:w="723" w:type="dxa"/>
            <w:vMerge w:val="continue"/>
            <w:tcBorders>
              <w:tl2br w:val="nil"/>
              <w:tr2bl w:val="nil"/>
            </w:tcBorders>
            <w:vAlign w:val="center"/>
          </w:tcPr>
          <w:p w14:paraId="3C3AF53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E71C2ED">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滑轮有防跳绳槽装置，转动灵活</w:t>
            </w:r>
          </w:p>
        </w:tc>
        <w:tc>
          <w:tcPr>
            <w:tcW w:w="2657" w:type="dxa"/>
            <w:gridSpan w:val="2"/>
            <w:tcBorders>
              <w:tl2br w:val="nil"/>
              <w:tr2bl w:val="nil"/>
            </w:tcBorders>
            <w:vAlign w:val="center"/>
          </w:tcPr>
          <w:p w14:paraId="69E42DF0">
            <w:pPr>
              <w:spacing w:line="240" w:lineRule="exact"/>
              <w:ind w:firstLine="0" w:firstLineChars="0"/>
              <w:jc w:val="center"/>
              <w:rPr>
                <w:rFonts w:hint="eastAsia" w:ascii="仿宋" w:hAnsi="仿宋" w:eastAsia="仿宋" w:cs="仿宋"/>
                <w:color w:val="000000"/>
                <w:sz w:val="21"/>
                <w:szCs w:val="21"/>
                <w:highlight w:val="none"/>
              </w:rPr>
            </w:pPr>
          </w:p>
        </w:tc>
      </w:tr>
      <w:tr w14:paraId="67167C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1C77C4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24</w:t>
            </w:r>
          </w:p>
        </w:tc>
        <w:tc>
          <w:tcPr>
            <w:tcW w:w="723" w:type="dxa"/>
            <w:vMerge w:val="continue"/>
            <w:tcBorders>
              <w:tl2br w:val="nil"/>
              <w:tr2bl w:val="nil"/>
            </w:tcBorders>
            <w:vAlign w:val="center"/>
          </w:tcPr>
          <w:p w14:paraId="51C31CB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78BFE8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吊钩无变形、磨损，无裂纹、补焊现象</w:t>
            </w:r>
          </w:p>
        </w:tc>
        <w:tc>
          <w:tcPr>
            <w:tcW w:w="2657" w:type="dxa"/>
            <w:gridSpan w:val="2"/>
            <w:tcBorders>
              <w:tl2br w:val="nil"/>
              <w:tr2bl w:val="nil"/>
            </w:tcBorders>
            <w:vAlign w:val="center"/>
          </w:tcPr>
          <w:p w14:paraId="598E84D9">
            <w:pPr>
              <w:spacing w:line="240" w:lineRule="exact"/>
              <w:ind w:firstLine="0" w:firstLineChars="0"/>
              <w:jc w:val="center"/>
              <w:rPr>
                <w:rFonts w:hint="eastAsia" w:ascii="仿宋" w:hAnsi="仿宋" w:eastAsia="仿宋" w:cs="仿宋"/>
                <w:color w:val="000000"/>
                <w:sz w:val="21"/>
                <w:szCs w:val="21"/>
                <w:highlight w:val="none"/>
              </w:rPr>
            </w:pPr>
          </w:p>
        </w:tc>
      </w:tr>
      <w:tr w14:paraId="0D1A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7B455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25</w:t>
            </w:r>
          </w:p>
        </w:tc>
        <w:tc>
          <w:tcPr>
            <w:tcW w:w="723" w:type="dxa"/>
            <w:vMerge w:val="restart"/>
            <w:tcBorders>
              <w:tl2br w:val="nil"/>
              <w:tr2bl w:val="nil"/>
            </w:tcBorders>
            <w:vAlign w:val="center"/>
          </w:tcPr>
          <w:p w14:paraId="4AD08C5D">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w:t>
            </w:r>
          </w:p>
        </w:tc>
        <w:tc>
          <w:tcPr>
            <w:tcW w:w="6105" w:type="dxa"/>
            <w:gridSpan w:val="5"/>
            <w:tcBorders>
              <w:tl2br w:val="nil"/>
              <w:tr2bl w:val="nil"/>
            </w:tcBorders>
            <w:vAlign w:val="center"/>
          </w:tcPr>
          <w:p w14:paraId="5FA0FD6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减速机、卷扬机、制动器、回转机构、液压顶升系统部件齐全，工作正常，无异响</w:t>
            </w:r>
          </w:p>
        </w:tc>
        <w:tc>
          <w:tcPr>
            <w:tcW w:w="2657" w:type="dxa"/>
            <w:gridSpan w:val="2"/>
            <w:tcBorders>
              <w:tl2br w:val="nil"/>
              <w:tr2bl w:val="nil"/>
            </w:tcBorders>
            <w:vAlign w:val="center"/>
          </w:tcPr>
          <w:p w14:paraId="37C3E283">
            <w:pPr>
              <w:spacing w:line="240" w:lineRule="exact"/>
              <w:ind w:firstLine="0" w:firstLineChars="0"/>
              <w:jc w:val="center"/>
              <w:rPr>
                <w:rFonts w:hint="eastAsia" w:ascii="仿宋" w:hAnsi="仿宋" w:eastAsia="仿宋" w:cs="仿宋"/>
                <w:color w:val="000000"/>
                <w:sz w:val="21"/>
                <w:szCs w:val="21"/>
                <w:highlight w:val="none"/>
              </w:rPr>
            </w:pPr>
          </w:p>
        </w:tc>
      </w:tr>
      <w:tr w14:paraId="787487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437EC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26</w:t>
            </w:r>
          </w:p>
        </w:tc>
        <w:tc>
          <w:tcPr>
            <w:tcW w:w="723" w:type="dxa"/>
            <w:vMerge w:val="continue"/>
            <w:tcBorders>
              <w:tl2br w:val="nil"/>
              <w:tr2bl w:val="nil"/>
            </w:tcBorders>
            <w:vAlign w:val="center"/>
          </w:tcPr>
          <w:p w14:paraId="7CD265C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D8788D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传动部位有防护罩</w:t>
            </w:r>
          </w:p>
        </w:tc>
        <w:tc>
          <w:tcPr>
            <w:tcW w:w="2657" w:type="dxa"/>
            <w:gridSpan w:val="2"/>
            <w:tcBorders>
              <w:tl2br w:val="nil"/>
              <w:tr2bl w:val="nil"/>
            </w:tcBorders>
            <w:vAlign w:val="center"/>
          </w:tcPr>
          <w:p w14:paraId="71E16AAA">
            <w:pPr>
              <w:spacing w:line="240" w:lineRule="exact"/>
              <w:ind w:firstLine="0" w:firstLineChars="0"/>
              <w:jc w:val="center"/>
              <w:rPr>
                <w:rFonts w:hint="eastAsia" w:ascii="仿宋" w:hAnsi="仿宋" w:eastAsia="仿宋" w:cs="仿宋"/>
                <w:color w:val="000000"/>
                <w:sz w:val="21"/>
                <w:szCs w:val="21"/>
                <w:highlight w:val="none"/>
              </w:rPr>
            </w:pPr>
          </w:p>
        </w:tc>
      </w:tr>
      <w:tr w14:paraId="5C472E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5405DA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27</w:t>
            </w:r>
          </w:p>
        </w:tc>
        <w:tc>
          <w:tcPr>
            <w:tcW w:w="723" w:type="dxa"/>
            <w:vMerge w:val="continue"/>
            <w:tcBorders>
              <w:tl2br w:val="nil"/>
              <w:tr2bl w:val="nil"/>
            </w:tcBorders>
            <w:vAlign w:val="center"/>
          </w:tcPr>
          <w:p w14:paraId="775A7FFD">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5E15FF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油箱有足够容量，油路无泄漏、堵塞现象</w:t>
            </w:r>
          </w:p>
        </w:tc>
        <w:tc>
          <w:tcPr>
            <w:tcW w:w="2657" w:type="dxa"/>
            <w:gridSpan w:val="2"/>
            <w:tcBorders>
              <w:tl2br w:val="nil"/>
              <w:tr2bl w:val="nil"/>
            </w:tcBorders>
            <w:vAlign w:val="center"/>
          </w:tcPr>
          <w:p w14:paraId="7F08F1A3">
            <w:pPr>
              <w:spacing w:line="240" w:lineRule="exact"/>
              <w:ind w:firstLine="0" w:firstLineChars="0"/>
              <w:jc w:val="center"/>
              <w:rPr>
                <w:rFonts w:hint="eastAsia" w:ascii="仿宋" w:hAnsi="仿宋" w:eastAsia="仿宋" w:cs="仿宋"/>
                <w:color w:val="000000"/>
                <w:sz w:val="21"/>
                <w:szCs w:val="21"/>
                <w:highlight w:val="none"/>
              </w:rPr>
            </w:pPr>
          </w:p>
        </w:tc>
      </w:tr>
      <w:tr w14:paraId="4D155B0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C9D565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723" w:type="dxa"/>
            <w:vMerge w:val="continue"/>
            <w:tcBorders>
              <w:tl2br w:val="nil"/>
              <w:tr2bl w:val="nil"/>
            </w:tcBorders>
            <w:vAlign w:val="center"/>
          </w:tcPr>
          <w:p w14:paraId="7138565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E6B4930">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平衡重、压重符合本机说明书要求</w:t>
            </w:r>
          </w:p>
        </w:tc>
        <w:tc>
          <w:tcPr>
            <w:tcW w:w="2657" w:type="dxa"/>
            <w:gridSpan w:val="2"/>
            <w:tcBorders>
              <w:tl2br w:val="nil"/>
              <w:tr2bl w:val="nil"/>
            </w:tcBorders>
            <w:vAlign w:val="center"/>
          </w:tcPr>
          <w:p w14:paraId="69E4648E">
            <w:pPr>
              <w:spacing w:line="240" w:lineRule="exact"/>
              <w:ind w:firstLine="0" w:firstLineChars="0"/>
              <w:jc w:val="center"/>
              <w:rPr>
                <w:rFonts w:hint="eastAsia" w:ascii="仿宋" w:hAnsi="仿宋" w:eastAsia="仿宋" w:cs="仿宋"/>
                <w:color w:val="000000"/>
                <w:sz w:val="21"/>
                <w:szCs w:val="21"/>
                <w:highlight w:val="none"/>
              </w:rPr>
            </w:pPr>
          </w:p>
        </w:tc>
      </w:tr>
      <w:tr w14:paraId="1E6172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8C66FE">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723" w:type="dxa"/>
            <w:vMerge w:val="restart"/>
            <w:tcBorders>
              <w:tl2br w:val="nil"/>
              <w:tr2bl w:val="nil"/>
            </w:tcBorders>
            <w:vAlign w:val="center"/>
          </w:tcPr>
          <w:p w14:paraId="21F48D59">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电气安全</w:t>
            </w:r>
          </w:p>
        </w:tc>
        <w:tc>
          <w:tcPr>
            <w:tcW w:w="6105" w:type="dxa"/>
            <w:gridSpan w:val="5"/>
            <w:tcBorders>
              <w:tl2br w:val="nil"/>
              <w:tr2bl w:val="nil"/>
            </w:tcBorders>
            <w:vAlign w:val="center"/>
          </w:tcPr>
          <w:p w14:paraId="52D5495C">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电缆固定牢靠，无破损</w:t>
            </w:r>
          </w:p>
        </w:tc>
        <w:tc>
          <w:tcPr>
            <w:tcW w:w="2657" w:type="dxa"/>
            <w:gridSpan w:val="2"/>
            <w:tcBorders>
              <w:tl2br w:val="nil"/>
              <w:tr2bl w:val="nil"/>
            </w:tcBorders>
            <w:vAlign w:val="center"/>
          </w:tcPr>
          <w:p w14:paraId="5007AA96">
            <w:pPr>
              <w:spacing w:line="240" w:lineRule="exact"/>
              <w:ind w:firstLine="0" w:firstLineChars="0"/>
              <w:jc w:val="center"/>
              <w:rPr>
                <w:rFonts w:hint="eastAsia" w:ascii="仿宋" w:hAnsi="仿宋" w:eastAsia="仿宋" w:cs="仿宋"/>
                <w:color w:val="000000"/>
                <w:sz w:val="21"/>
                <w:szCs w:val="21"/>
                <w:highlight w:val="none"/>
              </w:rPr>
            </w:pPr>
          </w:p>
        </w:tc>
      </w:tr>
      <w:tr w14:paraId="5A8AA7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1932D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23" w:type="dxa"/>
            <w:vMerge w:val="continue"/>
            <w:tcBorders>
              <w:tl2br w:val="nil"/>
              <w:tr2bl w:val="nil"/>
            </w:tcBorders>
            <w:vAlign w:val="center"/>
          </w:tcPr>
          <w:p w14:paraId="1EF4EDC3">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276E0E43">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开关等配电装置齐全有效</w:t>
            </w:r>
          </w:p>
        </w:tc>
        <w:tc>
          <w:tcPr>
            <w:tcW w:w="2657" w:type="dxa"/>
            <w:gridSpan w:val="2"/>
            <w:tcBorders>
              <w:tl2br w:val="nil"/>
              <w:tr2bl w:val="nil"/>
            </w:tcBorders>
            <w:vAlign w:val="center"/>
          </w:tcPr>
          <w:p w14:paraId="21E7751A">
            <w:pPr>
              <w:spacing w:line="240" w:lineRule="exact"/>
              <w:ind w:firstLine="0" w:firstLineChars="0"/>
              <w:jc w:val="center"/>
              <w:rPr>
                <w:rFonts w:hint="eastAsia" w:ascii="仿宋" w:hAnsi="仿宋" w:eastAsia="仿宋" w:cs="仿宋"/>
                <w:color w:val="000000"/>
                <w:sz w:val="21"/>
                <w:szCs w:val="21"/>
                <w:highlight w:val="none"/>
              </w:rPr>
            </w:pPr>
          </w:p>
        </w:tc>
      </w:tr>
      <w:tr w14:paraId="5CE972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A467A76">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723" w:type="dxa"/>
            <w:vMerge w:val="continue"/>
            <w:tcBorders>
              <w:tl2br w:val="nil"/>
              <w:tr2bl w:val="nil"/>
            </w:tcBorders>
            <w:vAlign w:val="center"/>
          </w:tcPr>
          <w:p w14:paraId="76BFBA4B">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84E9DFF">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重复接地和避雷设置，各接地、接零保护装置均符合要求</w:t>
            </w:r>
          </w:p>
        </w:tc>
        <w:tc>
          <w:tcPr>
            <w:tcW w:w="2657" w:type="dxa"/>
            <w:gridSpan w:val="2"/>
            <w:tcBorders>
              <w:tl2br w:val="nil"/>
              <w:tr2bl w:val="nil"/>
            </w:tcBorders>
            <w:vAlign w:val="center"/>
          </w:tcPr>
          <w:p w14:paraId="118DBBEC">
            <w:pPr>
              <w:spacing w:line="240" w:lineRule="exact"/>
              <w:ind w:firstLine="0" w:firstLineChars="0"/>
              <w:jc w:val="center"/>
              <w:rPr>
                <w:rFonts w:hint="eastAsia" w:ascii="仿宋" w:hAnsi="仿宋" w:eastAsia="仿宋" w:cs="仿宋"/>
                <w:color w:val="000000"/>
                <w:sz w:val="21"/>
                <w:szCs w:val="21"/>
                <w:highlight w:val="none"/>
              </w:rPr>
            </w:pPr>
          </w:p>
        </w:tc>
      </w:tr>
      <w:tr w14:paraId="7A7062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A2D23C1">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723" w:type="dxa"/>
            <w:vMerge w:val="continue"/>
            <w:tcBorders>
              <w:tl2br w:val="nil"/>
              <w:tr2bl w:val="nil"/>
            </w:tcBorders>
            <w:vAlign w:val="center"/>
          </w:tcPr>
          <w:p w14:paraId="79F43C29">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601C6AC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力矩限制器，超高、变幅、行走限位器均动作可靠</w:t>
            </w:r>
          </w:p>
        </w:tc>
        <w:tc>
          <w:tcPr>
            <w:tcW w:w="2657" w:type="dxa"/>
            <w:gridSpan w:val="2"/>
            <w:tcBorders>
              <w:tl2br w:val="nil"/>
              <w:tr2bl w:val="nil"/>
            </w:tcBorders>
            <w:vAlign w:val="center"/>
          </w:tcPr>
          <w:p w14:paraId="47D6AEE4">
            <w:pPr>
              <w:spacing w:line="240" w:lineRule="exact"/>
              <w:ind w:firstLine="0" w:firstLineChars="0"/>
              <w:jc w:val="center"/>
              <w:rPr>
                <w:rFonts w:hint="eastAsia" w:ascii="仿宋" w:hAnsi="仿宋" w:eastAsia="仿宋" w:cs="仿宋"/>
                <w:color w:val="000000"/>
                <w:sz w:val="21"/>
                <w:szCs w:val="21"/>
                <w:highlight w:val="none"/>
              </w:rPr>
            </w:pPr>
          </w:p>
        </w:tc>
      </w:tr>
      <w:tr w14:paraId="2836F0A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68F77A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723" w:type="dxa"/>
            <w:vMerge w:val="restart"/>
            <w:tcBorders>
              <w:tl2br w:val="nil"/>
              <w:tr2bl w:val="nil"/>
            </w:tcBorders>
            <w:vAlign w:val="center"/>
          </w:tcPr>
          <w:p w14:paraId="37258353">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安全间距</w:t>
            </w:r>
          </w:p>
        </w:tc>
        <w:tc>
          <w:tcPr>
            <w:tcW w:w="6105" w:type="dxa"/>
            <w:gridSpan w:val="5"/>
            <w:tcBorders>
              <w:tl2br w:val="nil"/>
              <w:tr2bl w:val="nil"/>
            </w:tcBorders>
            <w:vAlign w:val="center"/>
          </w:tcPr>
          <w:p w14:paraId="49C2A5A2">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塔机的尾部与周围建筑物及其外围施工设施之间的安全距离不小于m</w:t>
            </w:r>
          </w:p>
        </w:tc>
        <w:tc>
          <w:tcPr>
            <w:tcW w:w="2657" w:type="dxa"/>
            <w:gridSpan w:val="2"/>
            <w:tcBorders>
              <w:tl2br w:val="nil"/>
              <w:tr2bl w:val="nil"/>
            </w:tcBorders>
            <w:vAlign w:val="center"/>
          </w:tcPr>
          <w:p w14:paraId="2583D192">
            <w:pPr>
              <w:spacing w:line="240" w:lineRule="exact"/>
              <w:ind w:firstLine="0" w:firstLineChars="0"/>
              <w:jc w:val="center"/>
              <w:rPr>
                <w:rFonts w:hint="eastAsia" w:ascii="仿宋" w:hAnsi="仿宋" w:eastAsia="仿宋" w:cs="仿宋"/>
                <w:color w:val="000000"/>
                <w:sz w:val="21"/>
                <w:szCs w:val="21"/>
                <w:highlight w:val="none"/>
              </w:rPr>
            </w:pPr>
          </w:p>
        </w:tc>
      </w:tr>
      <w:tr w14:paraId="21A22C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4FCC2AC">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723" w:type="dxa"/>
            <w:vMerge w:val="continue"/>
            <w:tcBorders>
              <w:tl2br w:val="nil"/>
              <w:tr2bl w:val="nil"/>
            </w:tcBorders>
            <w:vAlign w:val="center"/>
          </w:tcPr>
          <w:p w14:paraId="0C94E66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30B600CB">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多塔作业相互间距符合要求，有防碰撞措施</w:t>
            </w:r>
          </w:p>
        </w:tc>
        <w:tc>
          <w:tcPr>
            <w:tcW w:w="2657" w:type="dxa"/>
            <w:gridSpan w:val="2"/>
            <w:tcBorders>
              <w:tl2br w:val="nil"/>
              <w:tr2bl w:val="nil"/>
            </w:tcBorders>
            <w:vAlign w:val="center"/>
          </w:tcPr>
          <w:p w14:paraId="50BDD438">
            <w:pPr>
              <w:spacing w:line="240" w:lineRule="exact"/>
              <w:ind w:firstLine="0" w:firstLineChars="0"/>
              <w:jc w:val="center"/>
              <w:rPr>
                <w:rFonts w:hint="eastAsia" w:ascii="仿宋" w:hAnsi="仿宋" w:eastAsia="仿宋" w:cs="仿宋"/>
                <w:color w:val="000000"/>
                <w:sz w:val="21"/>
                <w:szCs w:val="21"/>
                <w:highlight w:val="none"/>
              </w:rPr>
            </w:pPr>
          </w:p>
        </w:tc>
      </w:tr>
      <w:tr w14:paraId="6775F4D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FF4BC6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723" w:type="dxa"/>
            <w:vMerge w:val="continue"/>
            <w:tcBorders>
              <w:tl2br w:val="nil"/>
              <w:tr2bl w:val="nil"/>
            </w:tcBorders>
            <w:vAlign w:val="center"/>
          </w:tcPr>
          <w:p w14:paraId="60AD832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CC5EC11">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各部位与外电线路保持安全距离，达不到要求的按规定采取防护措施，防护措施达到当地电业部门规定要求</w:t>
            </w:r>
          </w:p>
        </w:tc>
        <w:tc>
          <w:tcPr>
            <w:tcW w:w="2657" w:type="dxa"/>
            <w:gridSpan w:val="2"/>
            <w:tcBorders>
              <w:tl2br w:val="nil"/>
              <w:tr2bl w:val="nil"/>
            </w:tcBorders>
            <w:vAlign w:val="center"/>
          </w:tcPr>
          <w:p w14:paraId="35573F5C">
            <w:pPr>
              <w:spacing w:line="240" w:lineRule="exact"/>
              <w:ind w:firstLine="0" w:firstLineChars="0"/>
              <w:jc w:val="center"/>
              <w:rPr>
                <w:rFonts w:hint="eastAsia" w:ascii="仿宋" w:hAnsi="仿宋" w:eastAsia="仿宋" w:cs="仿宋"/>
                <w:color w:val="000000"/>
                <w:sz w:val="21"/>
                <w:szCs w:val="21"/>
                <w:highlight w:val="none"/>
              </w:rPr>
            </w:pPr>
          </w:p>
        </w:tc>
      </w:tr>
      <w:tr w14:paraId="24322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56F19F8">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723" w:type="dxa"/>
            <w:vMerge w:val="continue"/>
            <w:tcBorders>
              <w:tl2br w:val="nil"/>
              <w:tr2bl w:val="nil"/>
            </w:tcBorders>
            <w:vAlign w:val="center"/>
          </w:tcPr>
          <w:p w14:paraId="5D56AED7">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418DB08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跨高压线作业，跨路（便道、便桥）作业，是否有安全保护措施</w:t>
            </w:r>
          </w:p>
        </w:tc>
        <w:tc>
          <w:tcPr>
            <w:tcW w:w="2657" w:type="dxa"/>
            <w:gridSpan w:val="2"/>
            <w:tcBorders>
              <w:tl2br w:val="nil"/>
              <w:tr2bl w:val="nil"/>
            </w:tcBorders>
            <w:vAlign w:val="center"/>
          </w:tcPr>
          <w:p w14:paraId="1495FBE3">
            <w:pPr>
              <w:spacing w:line="240" w:lineRule="exact"/>
              <w:ind w:firstLine="0" w:firstLineChars="0"/>
              <w:jc w:val="center"/>
              <w:rPr>
                <w:rFonts w:hint="eastAsia" w:ascii="仿宋" w:hAnsi="仿宋" w:eastAsia="仿宋" w:cs="仿宋"/>
                <w:color w:val="000000"/>
                <w:sz w:val="21"/>
                <w:szCs w:val="21"/>
                <w:highlight w:val="none"/>
              </w:rPr>
            </w:pPr>
          </w:p>
        </w:tc>
      </w:tr>
      <w:tr w14:paraId="2C4E66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2DD88E14">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检测结论</w:t>
            </w:r>
          </w:p>
        </w:tc>
        <w:tc>
          <w:tcPr>
            <w:tcW w:w="8762" w:type="dxa"/>
            <w:gridSpan w:val="7"/>
            <w:tcBorders>
              <w:tl2br w:val="nil"/>
              <w:tr2bl w:val="nil"/>
            </w:tcBorders>
            <w:vAlign w:val="center"/>
          </w:tcPr>
          <w:p w14:paraId="02A9C2C2">
            <w:pPr>
              <w:spacing w:line="240" w:lineRule="exact"/>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（附检测报告）</w:t>
            </w:r>
          </w:p>
        </w:tc>
      </w:tr>
      <w:tr w14:paraId="551578C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07E204A3">
            <w:pPr>
              <w:spacing w:line="240" w:lineRule="exact"/>
              <w:ind w:firstLine="0" w:firstLineChars="0"/>
              <w:jc w:val="center"/>
              <w:rPr>
                <w:rFonts w:hint="eastAsia" w:ascii="仿宋" w:hAnsi="仿宋" w:eastAsia="仿宋" w:cs="仿宋"/>
                <w:sz w:val="21"/>
                <w:szCs w:val="21"/>
                <w:highlight w:val="none"/>
              </w:rPr>
            </w:pPr>
            <w:bookmarkStart w:id="215" w:name="_Hlk34309655"/>
            <w:r>
              <w:rPr>
                <w:rFonts w:hint="eastAsia" w:ascii="仿宋" w:hAnsi="仿宋" w:eastAsia="仿宋" w:cs="仿宋"/>
                <w:sz w:val="21"/>
                <w:szCs w:val="21"/>
                <w:highlight w:val="none"/>
              </w:rPr>
              <w:t>检查结论</w:t>
            </w:r>
          </w:p>
        </w:tc>
        <w:tc>
          <w:tcPr>
            <w:tcW w:w="8762" w:type="dxa"/>
            <w:gridSpan w:val="7"/>
            <w:tcBorders>
              <w:tl2br w:val="nil"/>
              <w:tr2bl w:val="nil"/>
            </w:tcBorders>
            <w:vAlign w:val="center"/>
          </w:tcPr>
          <w:p w14:paraId="58046647">
            <w:pPr>
              <w:spacing w:line="240" w:lineRule="exact"/>
              <w:ind w:firstLine="0" w:firstLineChars="0"/>
              <w:jc w:val="center"/>
              <w:rPr>
                <w:rFonts w:hint="eastAsia" w:ascii="仿宋" w:hAnsi="仿宋" w:eastAsia="仿宋" w:cs="仿宋"/>
                <w:color w:val="000000"/>
                <w:sz w:val="21"/>
                <w:szCs w:val="21"/>
                <w:highlight w:val="none"/>
              </w:rPr>
            </w:pPr>
          </w:p>
        </w:tc>
      </w:tr>
      <w:tr w14:paraId="12505E9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712" w:hRule="exact"/>
        </w:trPr>
        <w:tc>
          <w:tcPr>
            <w:tcW w:w="3378" w:type="dxa"/>
            <w:gridSpan w:val="4"/>
            <w:tcBorders>
              <w:tl2br w:val="nil"/>
              <w:tr2bl w:val="nil"/>
            </w:tcBorders>
            <w:vAlign w:val="center"/>
          </w:tcPr>
          <w:p w14:paraId="10B318A2">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检查人：</w:t>
            </w:r>
          </w:p>
        </w:tc>
        <w:tc>
          <w:tcPr>
            <w:tcW w:w="3379" w:type="dxa"/>
            <w:gridSpan w:val="2"/>
            <w:tcBorders>
              <w:tl2br w:val="nil"/>
              <w:tr2bl w:val="nil"/>
            </w:tcBorders>
            <w:vAlign w:val="center"/>
          </w:tcPr>
          <w:p w14:paraId="573E117C">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使用单位负责人：</w:t>
            </w:r>
          </w:p>
        </w:tc>
        <w:tc>
          <w:tcPr>
            <w:tcW w:w="3379" w:type="dxa"/>
            <w:gridSpan w:val="3"/>
            <w:tcBorders>
              <w:tl2br w:val="nil"/>
              <w:tr2bl w:val="nil"/>
            </w:tcBorders>
            <w:vAlign w:val="center"/>
          </w:tcPr>
          <w:p w14:paraId="5BA3FC47">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r>
      <w:bookmarkEnd w:id="214"/>
      <w:bookmarkEnd w:id="215"/>
    </w:tbl>
    <w:p w14:paraId="1E785C8F">
      <w:pPr>
        <w:pStyle w:val="29"/>
        <w:rPr>
          <w:rFonts w:hint="default"/>
          <w:highlight w:val="none"/>
          <w:lang w:val="en-US" w:eastAsia="zh-CN"/>
        </w:rPr>
      </w:pPr>
    </w:p>
    <w:p w14:paraId="5BECC32D">
      <w:pPr>
        <w:rPr>
          <w:rFonts w:hint="eastAsia"/>
          <w:highlight w:val="none"/>
          <w:lang w:val="en-US" w:eastAsia="zh-CN"/>
        </w:rPr>
      </w:pPr>
    </w:p>
    <w:p w14:paraId="166C9E39">
      <w:pPr>
        <w:rPr>
          <w:highlight w:val="none"/>
        </w:rPr>
      </w:pPr>
      <w:bookmarkStart w:id="216" w:name="_Toc4487"/>
      <w:bookmarkStart w:id="217" w:name="_Toc42642303"/>
      <w:r>
        <w:rPr>
          <w:rFonts w:hint="eastAsia"/>
          <w:highlight w:val="none"/>
          <w:lang w:val="en-US" w:eastAsia="zh-CN"/>
        </w:rPr>
        <w:br w:type="page"/>
      </w:r>
    </w:p>
    <w:p w14:paraId="72328A8B">
      <w:pPr>
        <w:pStyle w:val="2"/>
        <w:bidi w:val="0"/>
        <w:ind w:left="432" w:leftChars="0" w:hanging="432" w:firstLineChars="0"/>
      </w:pPr>
      <w:bookmarkStart w:id="218" w:name="_Toc32315"/>
      <w:bookmarkStart w:id="219" w:name="_Toc23217"/>
      <w:r>
        <w:rPr>
          <w:rFonts w:hint="eastAsia"/>
          <w:lang w:val="en-US" w:eastAsia="zh-CN"/>
        </w:rPr>
        <w:t>质量控制措施</w:t>
      </w:r>
      <w:bookmarkEnd w:id="216"/>
      <w:bookmarkEnd w:id="218"/>
      <w:bookmarkEnd w:id="219"/>
    </w:p>
    <w:p w14:paraId="228E8BCC">
      <w:pPr>
        <w:pStyle w:val="3"/>
        <w:bidi w:val="0"/>
        <w:ind w:left="575" w:leftChars="0" w:hanging="575" w:firstLineChars="0"/>
        <w:rPr>
          <w:rFonts w:hint="eastAsia"/>
        </w:rPr>
      </w:pPr>
      <w:bookmarkStart w:id="220" w:name="_Toc17036"/>
      <w:bookmarkStart w:id="221" w:name="_Toc10656"/>
      <w:bookmarkStart w:id="222" w:name="_Toc20434"/>
      <w:bookmarkStart w:id="223" w:name="_Toc1923"/>
      <w:bookmarkStart w:id="224" w:name="_Toc533345491"/>
      <w:bookmarkStart w:id="225" w:name="_Toc9957"/>
      <w:r>
        <w:rPr>
          <w:rFonts w:hint="eastAsia"/>
        </w:rPr>
        <w:t>质量管理组织机构</w:t>
      </w:r>
      <w:bookmarkEnd w:id="220"/>
      <w:bookmarkEnd w:id="221"/>
      <w:bookmarkEnd w:id="222"/>
      <w:bookmarkEnd w:id="223"/>
    </w:p>
    <w:p w14:paraId="66FBA560">
      <w:pPr>
        <w:bidi w:val="0"/>
        <w:ind w:firstLine="480" w:firstLineChars="200"/>
        <w:rPr>
          <w:rFonts w:hint="eastAsia" w:eastAsia="宋体"/>
          <w:highlight w:val="none"/>
          <w:lang w:eastAsia="zh-CN"/>
        </w:rPr>
      </w:pPr>
      <w:r>
        <w:rPr>
          <w:highlight w:val="none"/>
        </w:rPr>
        <w:t>健全的组织机构是质量管理和质量控制的基本保证。本工程项目部将配备完善的组织机构，建立本工程质量保证体系组织机构，开展全面质量管理，确保工程质量目标的实现</w:t>
      </w:r>
      <w:r>
        <w:rPr>
          <w:rFonts w:hint="eastAsia"/>
          <w:highlight w:val="none"/>
          <w:lang w:eastAsia="zh-CN"/>
        </w:rPr>
        <w:t>。</w:t>
      </w:r>
    </w:p>
    <w:p w14:paraId="36F516E5">
      <w:pPr>
        <w:pStyle w:val="13"/>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269230" cy="4011930"/>
            <wp:effectExtent l="0" t="0" r="0" b="0"/>
            <wp:docPr id="33" name="图片 33" descr="组织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织流程图--(6)"/>
                    <pic:cNvPicPr>
                      <a:picLocks noChangeAspect="1"/>
                    </pic:cNvPicPr>
                  </pic:nvPicPr>
                  <pic:blipFill>
                    <a:blip r:embed="rId68"/>
                    <a:stretch>
                      <a:fillRect/>
                    </a:stretch>
                  </pic:blipFill>
                  <pic:spPr>
                    <a:xfrm>
                      <a:off x="0" y="0"/>
                      <a:ext cx="5269230" cy="4011930"/>
                    </a:xfrm>
                    <a:prstGeom prst="rect">
                      <a:avLst/>
                    </a:prstGeom>
                  </pic:spPr>
                </pic:pic>
              </a:graphicData>
            </a:graphic>
          </wp:inline>
        </w:drawing>
      </w:r>
    </w:p>
    <w:p w14:paraId="65AF6BEB">
      <w:pPr>
        <w:pStyle w:val="15"/>
        <w:bidi w:val="0"/>
        <w:rPr>
          <w:highlight w:val="none"/>
        </w:rPr>
      </w:pPr>
      <w:r>
        <w:t xml:space="preserve">图 </w:t>
      </w:r>
      <w:r>
        <w:fldChar w:fldCharType="begin"/>
      </w:r>
      <w:r>
        <w:instrText xml:space="preserve"> STYLEREF 2 \s </w:instrText>
      </w:r>
      <w:r>
        <w:fldChar w:fldCharType="separate"/>
      </w:r>
      <w:r>
        <w:t>5.1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质量管理组织机构图</w:t>
      </w:r>
    </w:p>
    <w:p w14:paraId="781425D6">
      <w:pPr>
        <w:pStyle w:val="3"/>
        <w:bidi w:val="0"/>
        <w:ind w:left="575" w:leftChars="0" w:hanging="575" w:firstLineChars="0"/>
        <w:rPr>
          <w:rFonts w:hint="eastAsia"/>
        </w:rPr>
      </w:pPr>
      <w:bookmarkStart w:id="226" w:name="_Toc30252"/>
      <w:bookmarkStart w:id="227" w:name="_Toc20513"/>
      <w:bookmarkStart w:id="228" w:name="_Toc4606"/>
      <w:r>
        <w:rPr>
          <w:rFonts w:hint="eastAsia"/>
        </w:rPr>
        <w:t>质量通病及质量通病预防</w:t>
      </w:r>
      <w:bookmarkEnd w:id="224"/>
      <w:bookmarkEnd w:id="225"/>
      <w:bookmarkEnd w:id="226"/>
      <w:bookmarkEnd w:id="227"/>
      <w:bookmarkEnd w:id="228"/>
    </w:p>
    <w:p w14:paraId="746F12F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表5-1塔机安拆质量通病管控措施一览表</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5D18C6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3921F02D">
            <w:pPr>
              <w:pStyle w:val="105"/>
              <w:bidi w:val="0"/>
              <w:rPr>
                <w:rFonts w:hint="default"/>
                <w:highlight w:val="none"/>
                <w:lang w:val="en-US" w:eastAsia="zh-CN"/>
              </w:rPr>
            </w:pPr>
            <w:r>
              <w:rPr>
                <w:rFonts w:hint="eastAsia"/>
                <w:highlight w:val="none"/>
                <w:lang w:val="en-US" w:eastAsia="zh-CN"/>
              </w:rPr>
              <w:t>项次</w:t>
            </w:r>
          </w:p>
        </w:tc>
        <w:tc>
          <w:tcPr>
            <w:tcW w:w="1560" w:type="dxa"/>
            <w:tcBorders>
              <w:tl2br w:val="nil"/>
              <w:tr2bl w:val="nil"/>
            </w:tcBorders>
            <w:shd w:val="clear" w:color="auto" w:fill="DAE3F3" w:themeFill="accent5" w:themeFillTint="32"/>
            <w:vAlign w:val="center"/>
          </w:tcPr>
          <w:p w14:paraId="4DE0F718">
            <w:pPr>
              <w:pStyle w:val="105"/>
              <w:bidi w:val="0"/>
              <w:rPr>
                <w:rFonts w:hint="default"/>
                <w:highlight w:val="none"/>
                <w:lang w:val="en-US" w:eastAsia="zh-CN"/>
              </w:rPr>
            </w:pPr>
            <w:r>
              <w:rPr>
                <w:rFonts w:hint="eastAsia"/>
                <w:highlight w:val="none"/>
                <w:lang w:val="en-US" w:eastAsia="zh-CN"/>
              </w:rPr>
              <w:t>质量通病</w:t>
            </w:r>
          </w:p>
        </w:tc>
        <w:tc>
          <w:tcPr>
            <w:tcW w:w="6315" w:type="dxa"/>
            <w:tcBorders>
              <w:tl2br w:val="nil"/>
              <w:tr2bl w:val="nil"/>
            </w:tcBorders>
            <w:shd w:val="clear" w:color="auto" w:fill="DAE3F3" w:themeFill="accent5" w:themeFillTint="32"/>
            <w:vAlign w:val="center"/>
          </w:tcPr>
          <w:p w14:paraId="22290190">
            <w:pPr>
              <w:pStyle w:val="105"/>
              <w:bidi w:val="0"/>
              <w:rPr>
                <w:rFonts w:hint="default"/>
                <w:highlight w:val="none"/>
                <w:lang w:val="en-US" w:eastAsia="zh-CN"/>
              </w:rPr>
            </w:pPr>
            <w:r>
              <w:rPr>
                <w:rFonts w:hint="eastAsia"/>
                <w:highlight w:val="none"/>
                <w:lang w:val="en-US" w:eastAsia="zh-CN"/>
              </w:rPr>
              <w:t>预防措施</w:t>
            </w:r>
          </w:p>
        </w:tc>
      </w:tr>
      <w:tr w14:paraId="213CAA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13F5811E">
            <w:pPr>
              <w:pStyle w:val="105"/>
              <w:bidi w:val="0"/>
              <w:rPr>
                <w:rFonts w:hint="default"/>
                <w:highlight w:val="none"/>
                <w:lang w:val="en-US" w:eastAsia="zh-CN"/>
              </w:rPr>
            </w:pPr>
            <w:r>
              <w:rPr>
                <w:rFonts w:hint="eastAsia"/>
                <w:highlight w:val="none"/>
                <w:lang w:val="en-US" w:eastAsia="zh-CN"/>
              </w:rPr>
              <w:t>1</w:t>
            </w:r>
          </w:p>
        </w:tc>
        <w:tc>
          <w:tcPr>
            <w:tcW w:w="1560" w:type="dxa"/>
            <w:tcBorders>
              <w:tl2br w:val="nil"/>
              <w:tr2bl w:val="nil"/>
            </w:tcBorders>
            <w:vAlign w:val="center"/>
          </w:tcPr>
          <w:p w14:paraId="0A95A396">
            <w:pPr>
              <w:pStyle w:val="105"/>
              <w:bidi w:val="0"/>
              <w:rPr>
                <w:rFonts w:hint="default"/>
                <w:highlight w:val="none"/>
                <w:lang w:val="en-US" w:eastAsia="zh-CN"/>
              </w:rPr>
            </w:pPr>
            <w:r>
              <w:rPr>
                <w:rFonts w:hint="eastAsia"/>
                <w:highlight w:val="none"/>
                <w:lang w:val="en-US" w:eastAsia="zh-CN"/>
              </w:rPr>
              <w:t>安装作业前未对设备进行全面检查</w:t>
            </w:r>
          </w:p>
        </w:tc>
        <w:tc>
          <w:tcPr>
            <w:tcW w:w="6315" w:type="dxa"/>
            <w:tcBorders>
              <w:tl2br w:val="nil"/>
              <w:tr2bl w:val="nil"/>
            </w:tcBorders>
            <w:vAlign w:val="center"/>
          </w:tcPr>
          <w:p w14:paraId="1BE66665">
            <w:pPr>
              <w:pStyle w:val="105"/>
              <w:bidi w:val="0"/>
              <w:rPr>
                <w:rFonts w:hint="default"/>
                <w:highlight w:val="none"/>
                <w:lang w:val="en-US" w:eastAsia="zh-CN"/>
              </w:rPr>
            </w:pPr>
            <w:r>
              <w:rPr>
                <w:rFonts w:hint="eastAsia"/>
                <w:highlight w:val="none"/>
                <w:lang w:val="en-US" w:eastAsia="zh-CN"/>
              </w:rPr>
              <w:t>在对整机进行安装作前,安装人员,尤其是安装队的负责人应对塔机进行全面的检查,确保钢结构无裂纹及不可恢复的塑性变形,焊缝无开裂现象各安全装置齐全、有效,如发现问题应及时的采取措施,以免在塔机安装作过程中发生事故。</w:t>
            </w:r>
          </w:p>
        </w:tc>
      </w:tr>
      <w:tr w14:paraId="3B471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48683A7">
            <w:pPr>
              <w:pStyle w:val="105"/>
              <w:bidi w:val="0"/>
              <w:rPr>
                <w:rFonts w:hint="default"/>
                <w:highlight w:val="none"/>
                <w:lang w:val="en-US" w:eastAsia="zh-CN"/>
              </w:rPr>
            </w:pPr>
            <w:r>
              <w:rPr>
                <w:rFonts w:hint="default"/>
                <w:highlight w:val="none"/>
                <w:lang w:val="en-US" w:eastAsia="zh-CN"/>
              </w:rPr>
              <w:t>2</w:t>
            </w:r>
          </w:p>
        </w:tc>
        <w:tc>
          <w:tcPr>
            <w:tcW w:w="1560" w:type="dxa"/>
            <w:tcBorders>
              <w:tl2br w:val="nil"/>
              <w:tr2bl w:val="nil"/>
            </w:tcBorders>
            <w:vAlign w:val="center"/>
          </w:tcPr>
          <w:p w14:paraId="3B37E35A">
            <w:pPr>
              <w:pStyle w:val="105"/>
              <w:bidi w:val="0"/>
              <w:rPr>
                <w:rFonts w:hint="default"/>
                <w:highlight w:val="none"/>
                <w:lang w:val="en-US" w:eastAsia="zh-CN"/>
              </w:rPr>
            </w:pPr>
            <w:r>
              <w:rPr>
                <w:rFonts w:hint="eastAsia"/>
                <w:highlight w:val="none"/>
                <w:lang w:val="en-US" w:eastAsia="zh-CN"/>
              </w:rPr>
              <w:t>施工工艺粗糙</w:t>
            </w:r>
          </w:p>
        </w:tc>
        <w:tc>
          <w:tcPr>
            <w:tcW w:w="6315" w:type="dxa"/>
            <w:tcBorders>
              <w:tl2br w:val="nil"/>
              <w:tr2bl w:val="nil"/>
            </w:tcBorders>
            <w:vAlign w:val="center"/>
          </w:tcPr>
          <w:p w14:paraId="2BF4DB26">
            <w:pPr>
              <w:pStyle w:val="105"/>
              <w:bidi w:val="0"/>
              <w:rPr>
                <w:rFonts w:hint="default"/>
                <w:highlight w:val="none"/>
                <w:lang w:val="en-US" w:eastAsia="zh-CN"/>
              </w:rPr>
            </w:pPr>
            <w:r>
              <w:rPr>
                <w:rFonts w:hint="eastAsia"/>
                <w:highlight w:val="none"/>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3305342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6DC037AD">
            <w:pPr>
              <w:pStyle w:val="105"/>
              <w:bidi w:val="0"/>
              <w:rPr>
                <w:rFonts w:hint="default"/>
                <w:highlight w:val="none"/>
                <w:lang w:val="en-US" w:eastAsia="zh-CN"/>
              </w:rPr>
            </w:pPr>
            <w:r>
              <w:rPr>
                <w:rFonts w:hint="default"/>
                <w:highlight w:val="none"/>
                <w:lang w:val="en-US" w:eastAsia="zh-CN"/>
              </w:rPr>
              <w:t>3</w:t>
            </w:r>
          </w:p>
        </w:tc>
        <w:tc>
          <w:tcPr>
            <w:tcW w:w="1560" w:type="dxa"/>
            <w:tcBorders>
              <w:tl2br w:val="nil"/>
              <w:tr2bl w:val="nil"/>
            </w:tcBorders>
            <w:vAlign w:val="center"/>
          </w:tcPr>
          <w:p w14:paraId="6F262A5D">
            <w:pPr>
              <w:pStyle w:val="105"/>
              <w:bidi w:val="0"/>
              <w:rPr>
                <w:rFonts w:hint="default"/>
                <w:highlight w:val="none"/>
                <w:lang w:val="en-US" w:eastAsia="zh-CN"/>
              </w:rPr>
            </w:pPr>
            <w:r>
              <w:rPr>
                <w:rFonts w:hint="eastAsia"/>
                <w:highlight w:val="none"/>
                <w:lang w:val="en-US" w:eastAsia="zh-CN"/>
              </w:rPr>
              <w:t>吊索具未进行检查和使用不当</w:t>
            </w:r>
          </w:p>
        </w:tc>
        <w:tc>
          <w:tcPr>
            <w:tcW w:w="6315" w:type="dxa"/>
            <w:tcBorders>
              <w:tl2br w:val="nil"/>
              <w:tr2bl w:val="nil"/>
            </w:tcBorders>
            <w:vAlign w:val="center"/>
          </w:tcPr>
          <w:p w14:paraId="21E6634B">
            <w:pPr>
              <w:pStyle w:val="105"/>
              <w:bidi w:val="0"/>
              <w:rPr>
                <w:rFonts w:hint="default"/>
                <w:highlight w:val="none"/>
                <w:lang w:val="en-US" w:eastAsia="zh-CN"/>
              </w:rPr>
            </w:pPr>
            <w:r>
              <w:rPr>
                <w:rFonts w:hint="eastAsia"/>
                <w:highlight w:val="none"/>
                <w:lang w:val="en-US" w:eastAsia="zh-CN"/>
              </w:rPr>
              <w:t>塔机的安装作业的吊装工具主要是钢丝绳和卡扣,在进行吊装作业前,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5BAB19E1">
      <w:pPr>
        <w:pStyle w:val="3"/>
        <w:bidi w:val="0"/>
        <w:ind w:left="575" w:leftChars="0" w:hanging="575" w:firstLineChars="0"/>
        <w:rPr>
          <w:rFonts w:hint="eastAsia"/>
        </w:rPr>
      </w:pPr>
      <w:bookmarkStart w:id="229" w:name="_Toc22190"/>
      <w:bookmarkStart w:id="230" w:name="_Toc14777"/>
      <w:bookmarkStart w:id="231" w:name="_Toc12141"/>
      <w:bookmarkStart w:id="232" w:name="_Toc14944"/>
      <w:bookmarkStart w:id="233" w:name="_Toc533345492"/>
      <w:r>
        <w:rPr>
          <w:rFonts w:hint="eastAsia"/>
        </w:rPr>
        <w:t>质量保证措施</w:t>
      </w:r>
      <w:bookmarkEnd w:id="229"/>
      <w:bookmarkEnd w:id="230"/>
      <w:bookmarkEnd w:id="231"/>
      <w:bookmarkEnd w:id="232"/>
      <w:bookmarkEnd w:id="233"/>
    </w:p>
    <w:p w14:paraId="2932759B">
      <w:pPr>
        <w:pStyle w:val="4"/>
        <w:bidi w:val="0"/>
        <w:ind w:left="720" w:leftChars="0" w:hanging="720" w:firstLineChars="0"/>
        <w:rPr>
          <w:rFonts w:hint="default"/>
          <w:lang w:val="en-US" w:eastAsia="zh-CN"/>
        </w:rPr>
      </w:pPr>
      <w:bookmarkStart w:id="234" w:name="_Toc28601"/>
      <w:bookmarkStart w:id="235" w:name="_Toc11673"/>
      <w:r>
        <w:rPr>
          <w:rFonts w:hint="eastAsia"/>
          <w:lang w:val="en-US" w:eastAsia="zh-CN"/>
        </w:rPr>
        <w:t>质量管理手段</w:t>
      </w:r>
      <w:bookmarkEnd w:id="234"/>
      <w:bookmarkEnd w:id="235"/>
    </w:p>
    <w:p w14:paraId="7964F269">
      <w:pPr>
        <w:ind w:firstLine="480" w:firstLineChars="200"/>
        <w:rPr>
          <w:rFonts w:hint="default"/>
          <w:highlight w:val="none"/>
          <w:lang w:val="en-US" w:eastAsia="zh-CN"/>
        </w:rPr>
      </w:pPr>
      <w:r>
        <w:rPr>
          <w:rFonts w:hint="default"/>
          <w:highlight w:val="none"/>
          <w:lang w:val="en-US" w:eastAsia="zh-CN"/>
        </w:rPr>
        <w:t>为了保证</w:t>
      </w:r>
      <w:r>
        <w:rPr>
          <w:rFonts w:hint="eastAsia"/>
          <w:highlight w:val="none"/>
          <w:lang w:val="en-US" w:eastAsia="zh-CN"/>
        </w:rPr>
        <w:t>塔机</w:t>
      </w:r>
      <w:r>
        <w:rPr>
          <w:rFonts w:hint="default"/>
          <w:highlight w:val="none"/>
          <w:lang w:val="en-US" w:eastAsia="zh-CN"/>
        </w:rPr>
        <w:t>安装质量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AEC618">
      <w:pPr>
        <w:ind w:firstLine="420" w:firstLineChars="0"/>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025800DA">
      <w:pPr>
        <w:ind w:firstLine="420" w:firstLineChars="0"/>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7F4C872E">
      <w:pPr>
        <w:ind w:firstLine="420" w:firstLineChars="0"/>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01851D49">
      <w:pPr>
        <w:ind w:firstLine="420" w:firstLineChars="0"/>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2D8EF607">
      <w:pPr>
        <w:ind w:firstLine="420" w:firstLineChars="0"/>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37211CE8">
      <w:pPr>
        <w:ind w:firstLine="420" w:firstLineChars="0"/>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36D7378E">
      <w:pPr>
        <w:ind w:firstLine="420" w:firstLineChars="0"/>
        <w:rPr>
          <w:rFonts w:hint="default"/>
          <w:highlight w:val="none"/>
          <w:lang w:val="en-US" w:eastAsia="zh-CN"/>
        </w:rPr>
      </w:pPr>
      <w:r>
        <w:rPr>
          <w:rFonts w:hint="default"/>
          <w:highlight w:val="none"/>
          <w:lang w:val="en-US" w:eastAsia="zh-CN"/>
        </w:rPr>
        <w:t>（7）积极配合项目部工程部</w:t>
      </w:r>
      <w:r>
        <w:rPr>
          <w:rFonts w:hint="eastAsia"/>
          <w:highlight w:val="none"/>
          <w:lang w:val="en-US" w:eastAsia="zh-CN"/>
        </w:rPr>
        <w:t>、质检部</w:t>
      </w:r>
      <w:r>
        <w:rPr>
          <w:rFonts w:hint="default"/>
          <w:highlight w:val="none"/>
          <w:lang w:val="en-US" w:eastAsia="zh-CN"/>
        </w:rPr>
        <w:t>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5120178F">
      <w:pPr>
        <w:pStyle w:val="4"/>
        <w:bidi w:val="0"/>
        <w:ind w:left="720" w:leftChars="0" w:hanging="720" w:firstLineChars="0"/>
      </w:pPr>
      <w:r>
        <w:rPr>
          <w:rFonts w:hint="eastAsia"/>
          <w:lang w:val="en-US" w:eastAsia="zh-CN"/>
        </w:rPr>
        <w:t xml:space="preserve">原材料进场检验 </w:t>
      </w:r>
    </w:p>
    <w:p w14:paraId="1CCD0DCF">
      <w:pPr>
        <w:ind w:firstLine="480"/>
        <w:rPr>
          <w:rFonts w:hint="eastAsia" w:ascii="宋体" w:hAnsi="宋体" w:eastAsia="宋体" w:cs="宋体"/>
          <w:color w:val="000000"/>
          <w:kern w:val="0"/>
          <w:sz w:val="24"/>
          <w:szCs w:val="24"/>
          <w:highlight w:val="none"/>
          <w:lang w:val="en-US" w:eastAsia="zh-CN" w:bidi="ar"/>
        </w:rPr>
      </w:pPr>
      <w:r>
        <w:rPr>
          <w:rFonts w:ascii="Times New Roman" w:hAnsi="Times New Roman" w:cs="Times New Roman"/>
          <w:highlight w:val="none"/>
        </w:rPr>
        <w:t>严格控制材料质量，原材的选用为正规单位及厂家通过正式招投标后，中标单位方可根据现场需求分批次采购材料，所有材料必须有材质证明书,需要二次检验的材料及时抽样检验，检定合格后方可使用，严格按照相关技术规范文件规定进行取样检验</w:t>
      </w:r>
      <w:r>
        <w:rPr>
          <w:rFonts w:hint="eastAsia" w:ascii="Times New Roman" w:hAnsi="Times New Roman" w:cs="Times New Roman"/>
          <w:highlight w:val="none"/>
          <w:lang w:eastAsia="zh-CN"/>
        </w:rPr>
        <w:t>。</w:t>
      </w:r>
    </w:p>
    <w:p w14:paraId="7109C8F4">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 xml:space="preserve">）原材料按照技术质量要求由专人采购与管理，采购人员和施工人员之间对各种原材料认真做好交接记录。 </w:t>
      </w:r>
    </w:p>
    <w:p w14:paraId="6187FF5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原材料进厂（场）后，对原材料的品种、规格、数量以及质量证明书等进行验收核查，并按有关标准的规定取样和复验。经检验合格的原材料方可进厂（场）。对于检验不合格的原材料，按有关规定清除出厂（场）。 </w:t>
      </w:r>
    </w:p>
    <w:p w14:paraId="2FC1EA07">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）原材料进厂（场）后，及时建立</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，内容包括材料名称、品种、规格、数量、生产单位、供货单位、</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质量证明书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复试检验报告</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编号、检验结果以及进货日期等。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填写正确、真实、齐全。</w:t>
      </w:r>
    </w:p>
    <w:p w14:paraId="6769F0A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）水泥、矿物掺合料等采用散料仓分别存储。袋装粉状材料在运输和存放期间采用专用库房存放，不得露天堆放，且特别注意防潮。 </w:t>
      </w:r>
    </w:p>
    <w:p w14:paraId="5E063C5E">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 xml:space="preserve">）粗骨料按技术条件要求分级采购、分级运输、分级堆放、分级计量。 </w:t>
      </w:r>
    </w:p>
    <w:p w14:paraId="2EA70517">
      <w:pPr>
        <w:keepNext w:val="0"/>
        <w:keepLines w:val="0"/>
        <w:widowControl/>
        <w:suppressLineNumbers w:val="0"/>
        <w:ind w:firstLine="480" w:firstLineChars="200"/>
        <w:jc w:val="left"/>
        <w:rPr>
          <w:rFonts w:hint="default"/>
          <w:highlight w:val="none"/>
          <w:lang w:val="en-US" w:eastAsia="zh-CN"/>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 xml:space="preserve">）对原材料建立符合工厂化生产的堆放地点和明确的标识，标明材料名称、品种、生产厂家、生产日期和进厂（场）日期。原材料堆放时必须有堆放分界标识，以免误用。对骨料堆放场进行硬化处理，并设置必要的排水设施。 </w:t>
      </w:r>
    </w:p>
    <w:p w14:paraId="43FF6A24">
      <w:pPr>
        <w:pStyle w:val="4"/>
        <w:bidi w:val="0"/>
        <w:ind w:left="720" w:leftChars="0" w:hanging="720" w:firstLineChars="0"/>
        <w:rPr>
          <w:rFonts w:hint="eastAsia" w:ascii="宋体" w:hAnsi="宋体" w:eastAsia="宋体" w:cs="Times New Roman"/>
          <w:lang w:val="en-US" w:eastAsia="zh-CN"/>
        </w:rPr>
      </w:pPr>
      <w:r>
        <w:rPr>
          <w:rFonts w:hint="eastAsia" w:ascii="宋体" w:hAnsi="宋体" w:eastAsia="宋体" w:cs="Times New Roman"/>
          <w:lang w:val="en-US" w:eastAsia="zh-CN"/>
        </w:rPr>
        <w:t>机械设备保证质量措施</w:t>
      </w:r>
    </w:p>
    <w:p w14:paraId="501490B7">
      <w:pPr>
        <w:ind w:firstLine="480"/>
        <w:rPr>
          <w:rFonts w:ascii="Times New Roman" w:hAnsi="Times New Roman" w:cs="Times New Roman"/>
          <w:highlight w:val="none"/>
        </w:rPr>
      </w:pPr>
      <w:r>
        <w:rPr>
          <w:rFonts w:ascii="Times New Roman" w:hAnsi="Times New Roman" w:cs="Times New Roman"/>
          <w:highlight w:val="none"/>
        </w:rPr>
        <w:t>对进场的机械设备应定期维修，定人操作，明确机械的操作制度；工程所有数控设备具均应在鉴定的有效期内，设备进场后必须进行能力确认，或新数控设备应出具出厂合格证及设备合格证等。并健全日常维修保养制度，要确保它的精度，以提供准确可靠的计量数据。计量器具的检定、核准由试验员送所在地的法定检定机构检定或进行现场检定，在校验期内，每次使用前都应进行零点校核，保持计量准确。</w:t>
      </w:r>
    </w:p>
    <w:p w14:paraId="0CEA9F22">
      <w:pPr>
        <w:pStyle w:val="4"/>
        <w:bidi w:val="0"/>
        <w:ind w:left="720" w:leftChars="0" w:hanging="720" w:firstLineChars="0"/>
      </w:pPr>
      <w:bookmarkStart w:id="236" w:name="_Toc439690944"/>
      <w:bookmarkStart w:id="237" w:name="_Toc480156102"/>
      <w:bookmarkStart w:id="238" w:name="_Toc439617511"/>
      <w:r>
        <w:t>施工操作保证质量措施</w:t>
      </w:r>
      <w:bookmarkEnd w:id="236"/>
      <w:bookmarkEnd w:id="237"/>
      <w:bookmarkEnd w:id="238"/>
    </w:p>
    <w:p w14:paraId="330D6FDB">
      <w:pPr>
        <w:ind w:firstLine="480"/>
        <w:rPr>
          <w:rFonts w:ascii="Times New Roman" w:hAnsi="Times New Roman" w:cs="Times New Roman"/>
          <w:highlight w:val="none"/>
        </w:rPr>
      </w:pPr>
      <w:r>
        <w:rPr>
          <w:rFonts w:ascii="Times New Roman" w:hAnsi="Times New Roman" w:cs="Times New Roman"/>
          <w:highlight w:val="none"/>
        </w:rPr>
        <w:t>所有操作人员均选用具有丰富经验的工人，进入工地后进行安全生产三级教育，定期进行安全意识教育，职工必须熟悉本工种安全技术操作规程，掌握本工种操作技能，特殊工种持证上岗；对具体的分部分项工程及新工艺、新材料的使用要进行技术交底；每一次下达任务时施工员要对操作人员进行详细的技术交底。</w:t>
      </w:r>
    </w:p>
    <w:p w14:paraId="1C1339A8">
      <w:pPr>
        <w:pStyle w:val="4"/>
        <w:bidi w:val="0"/>
        <w:ind w:left="720" w:leftChars="0" w:hanging="720" w:firstLineChars="0"/>
      </w:pPr>
      <w:bookmarkStart w:id="239" w:name="_Toc475477278"/>
      <w:bookmarkStart w:id="240" w:name="_Toc7308"/>
      <w:bookmarkStart w:id="241" w:name="_Toc475980807"/>
      <w:r>
        <w:t>制度保证措施</w:t>
      </w:r>
      <w:bookmarkEnd w:id="239"/>
      <w:bookmarkEnd w:id="240"/>
      <w:bookmarkEnd w:id="241"/>
    </w:p>
    <w:p w14:paraId="381F2E7E">
      <w:pPr>
        <w:pStyle w:val="157"/>
        <w:rPr>
          <w:rFonts w:ascii="Times New Roman" w:hAnsi="Times New Roman"/>
          <w:highlight w:val="none"/>
        </w:rPr>
      </w:pPr>
      <w:r>
        <w:rPr>
          <w:rFonts w:ascii="Times New Roman" w:hAnsi="Times New Roman"/>
          <w:highlight w:val="none"/>
        </w:rPr>
        <w:t>对施工进行全过程的质量检查，对施工材料、施工方法</w:t>
      </w:r>
      <w:r>
        <w:rPr>
          <w:rFonts w:hint="eastAsia" w:ascii="Times New Roman" w:hAnsi="Times New Roman"/>
          <w:highlight w:val="none"/>
        </w:rPr>
        <w:t>等</w:t>
      </w:r>
      <w:r>
        <w:rPr>
          <w:rFonts w:ascii="Times New Roman" w:hAnsi="Times New Roman"/>
          <w:highlight w:val="none"/>
        </w:rPr>
        <w:t>随时进行抽查。</w:t>
      </w:r>
    </w:p>
    <w:p w14:paraId="75618C0F">
      <w:pPr>
        <w:pStyle w:val="157"/>
        <w:rPr>
          <w:rFonts w:ascii="Times New Roman" w:hAnsi="Times New Roman"/>
          <w:highlight w:val="none"/>
        </w:rPr>
      </w:pPr>
      <w:r>
        <w:rPr>
          <w:rFonts w:ascii="Times New Roman" w:hAnsi="Times New Roman"/>
          <w:highlight w:val="none"/>
        </w:rPr>
        <w:t>对施工过程中出现的违规、违制、严重影响项目驻地施工质量的行为予以制止，并令其停工或返工。</w:t>
      </w:r>
    </w:p>
    <w:p w14:paraId="3F6CC813">
      <w:pPr>
        <w:pStyle w:val="157"/>
        <w:rPr>
          <w:rFonts w:ascii="Times New Roman" w:hAnsi="Times New Roman"/>
          <w:highlight w:val="none"/>
        </w:rPr>
      </w:pPr>
      <w:r>
        <w:rPr>
          <w:rFonts w:ascii="Times New Roman" w:hAnsi="Times New Roman"/>
          <w:highlight w:val="none"/>
        </w:rPr>
        <w:t>临时设施的承包单位应由相应资质的施工队伍承担，作业人员应持证上岗。</w:t>
      </w:r>
    </w:p>
    <w:p w14:paraId="252C5E78">
      <w:pPr>
        <w:pStyle w:val="3"/>
        <w:bidi w:val="0"/>
        <w:ind w:left="575" w:leftChars="0" w:hanging="575" w:firstLineChars="0"/>
      </w:pPr>
      <w:bookmarkStart w:id="242" w:name="_Toc533345493"/>
      <w:bookmarkStart w:id="243" w:name="_Toc31784"/>
      <w:bookmarkStart w:id="244" w:name="_Toc24714"/>
      <w:bookmarkStart w:id="245" w:name="_Toc20735"/>
      <w:bookmarkStart w:id="246" w:name="_Toc30509"/>
      <w:r>
        <w:rPr>
          <w:rFonts w:hint="eastAsia"/>
        </w:rPr>
        <w:t>作业过程中控制点的设置</w:t>
      </w:r>
      <w:bookmarkEnd w:id="242"/>
      <w:bookmarkEnd w:id="243"/>
      <w:bookmarkEnd w:id="244"/>
      <w:bookmarkEnd w:id="245"/>
      <w:bookmarkEnd w:id="246"/>
    </w:p>
    <w:p w14:paraId="6857B624">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表5-2 关键控制点</w:t>
      </w:r>
    </w:p>
    <w:tbl>
      <w:tblPr>
        <w:tblStyle w:val="30"/>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14:paraId="1044E7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restart"/>
            <w:tcBorders>
              <w:tl2br w:val="nil"/>
              <w:tr2bl w:val="nil"/>
            </w:tcBorders>
            <w:shd w:val="clear" w:color="auto" w:fill="D6DCE5" w:themeFill="text2" w:themeFillTint="32"/>
            <w:vAlign w:val="center"/>
          </w:tcPr>
          <w:p w14:paraId="27E175D3">
            <w:pPr>
              <w:pStyle w:val="105"/>
              <w:bidi w:val="0"/>
              <w:rPr>
                <w:rFonts w:hint="eastAsia"/>
                <w:highlight w:val="none"/>
              </w:rPr>
            </w:pPr>
            <w:r>
              <w:rPr>
                <w:rFonts w:hint="eastAsia"/>
                <w:highlight w:val="none"/>
              </w:rPr>
              <w:t>序号</w:t>
            </w:r>
          </w:p>
        </w:tc>
        <w:tc>
          <w:tcPr>
            <w:tcW w:w="3895" w:type="dxa"/>
            <w:vMerge w:val="restart"/>
            <w:tcBorders>
              <w:tl2br w:val="nil"/>
              <w:tr2bl w:val="nil"/>
            </w:tcBorders>
            <w:shd w:val="clear" w:color="auto" w:fill="D6DCE5" w:themeFill="text2" w:themeFillTint="32"/>
            <w:vAlign w:val="center"/>
          </w:tcPr>
          <w:p w14:paraId="466E7B7F">
            <w:pPr>
              <w:pStyle w:val="105"/>
              <w:bidi w:val="0"/>
              <w:rPr>
                <w:rFonts w:hint="eastAsia"/>
                <w:highlight w:val="none"/>
              </w:rPr>
            </w:pPr>
            <w:r>
              <w:rPr>
                <w:rFonts w:hint="eastAsia"/>
                <w:highlight w:val="none"/>
              </w:rPr>
              <w:t>作业控制点</w:t>
            </w:r>
          </w:p>
        </w:tc>
        <w:tc>
          <w:tcPr>
            <w:tcW w:w="3414" w:type="dxa"/>
            <w:gridSpan w:val="4"/>
            <w:tcBorders>
              <w:tl2br w:val="nil"/>
              <w:tr2bl w:val="nil"/>
            </w:tcBorders>
            <w:shd w:val="clear" w:color="auto" w:fill="D6DCE5" w:themeFill="text2" w:themeFillTint="32"/>
            <w:vAlign w:val="center"/>
          </w:tcPr>
          <w:p w14:paraId="197A0367">
            <w:pPr>
              <w:pStyle w:val="105"/>
              <w:bidi w:val="0"/>
              <w:rPr>
                <w:rFonts w:hint="eastAsia"/>
                <w:highlight w:val="none"/>
              </w:rPr>
            </w:pPr>
            <w:r>
              <w:rPr>
                <w:rFonts w:hint="eastAsia"/>
                <w:highlight w:val="none"/>
              </w:rPr>
              <w:t>检验单位</w:t>
            </w:r>
          </w:p>
        </w:tc>
        <w:tc>
          <w:tcPr>
            <w:tcW w:w="854" w:type="dxa"/>
            <w:vMerge w:val="restart"/>
            <w:tcBorders>
              <w:tl2br w:val="nil"/>
              <w:tr2bl w:val="nil"/>
            </w:tcBorders>
            <w:shd w:val="clear" w:color="auto" w:fill="D6DCE5" w:themeFill="text2" w:themeFillTint="32"/>
            <w:vAlign w:val="center"/>
          </w:tcPr>
          <w:p w14:paraId="61A9ACD2">
            <w:pPr>
              <w:pStyle w:val="105"/>
              <w:bidi w:val="0"/>
              <w:rPr>
                <w:rFonts w:hint="eastAsia"/>
                <w:highlight w:val="none"/>
              </w:rPr>
            </w:pPr>
            <w:r>
              <w:rPr>
                <w:rFonts w:hint="eastAsia"/>
                <w:highlight w:val="none"/>
              </w:rPr>
              <w:t>见证</w:t>
            </w:r>
          </w:p>
          <w:p w14:paraId="4919DD31">
            <w:pPr>
              <w:pStyle w:val="105"/>
              <w:bidi w:val="0"/>
              <w:rPr>
                <w:rFonts w:hint="eastAsia"/>
                <w:highlight w:val="none"/>
              </w:rPr>
            </w:pPr>
            <w:r>
              <w:rPr>
                <w:rFonts w:hint="eastAsia"/>
                <w:highlight w:val="none"/>
              </w:rPr>
              <w:t>方式</w:t>
            </w:r>
          </w:p>
        </w:tc>
      </w:tr>
      <w:tr w14:paraId="52089D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continue"/>
            <w:tcBorders>
              <w:tl2br w:val="nil"/>
              <w:tr2bl w:val="nil"/>
            </w:tcBorders>
            <w:shd w:val="clear" w:color="auto" w:fill="D6DCE5" w:themeFill="text2" w:themeFillTint="32"/>
            <w:vAlign w:val="center"/>
          </w:tcPr>
          <w:p w14:paraId="166A4DBC">
            <w:pPr>
              <w:pStyle w:val="105"/>
              <w:bidi w:val="0"/>
              <w:rPr>
                <w:rFonts w:hint="eastAsia"/>
                <w:highlight w:val="none"/>
              </w:rPr>
            </w:pPr>
          </w:p>
        </w:tc>
        <w:tc>
          <w:tcPr>
            <w:tcW w:w="3895" w:type="dxa"/>
            <w:vMerge w:val="continue"/>
            <w:tcBorders>
              <w:tl2br w:val="nil"/>
              <w:tr2bl w:val="nil"/>
            </w:tcBorders>
            <w:shd w:val="clear" w:color="auto" w:fill="D6DCE5" w:themeFill="text2" w:themeFillTint="32"/>
            <w:vAlign w:val="center"/>
          </w:tcPr>
          <w:p w14:paraId="698046EC">
            <w:pPr>
              <w:pStyle w:val="105"/>
              <w:bidi w:val="0"/>
              <w:rPr>
                <w:rFonts w:hint="eastAsia"/>
                <w:highlight w:val="none"/>
              </w:rPr>
            </w:pPr>
          </w:p>
        </w:tc>
        <w:tc>
          <w:tcPr>
            <w:tcW w:w="810" w:type="dxa"/>
            <w:tcBorders>
              <w:tl2br w:val="nil"/>
              <w:tr2bl w:val="nil"/>
            </w:tcBorders>
            <w:shd w:val="clear" w:color="auto" w:fill="D6DCE5" w:themeFill="text2" w:themeFillTint="32"/>
            <w:vAlign w:val="center"/>
          </w:tcPr>
          <w:p w14:paraId="6A35279A">
            <w:pPr>
              <w:pStyle w:val="105"/>
              <w:bidi w:val="0"/>
              <w:rPr>
                <w:rFonts w:hint="eastAsia"/>
                <w:highlight w:val="none"/>
              </w:rPr>
            </w:pPr>
            <w:r>
              <w:rPr>
                <w:rFonts w:hint="eastAsia"/>
                <w:highlight w:val="none"/>
              </w:rPr>
              <w:t>班组</w:t>
            </w:r>
          </w:p>
        </w:tc>
        <w:tc>
          <w:tcPr>
            <w:tcW w:w="949" w:type="dxa"/>
            <w:tcBorders>
              <w:tl2br w:val="nil"/>
              <w:tr2bl w:val="nil"/>
            </w:tcBorders>
            <w:shd w:val="clear" w:color="auto" w:fill="D6DCE5" w:themeFill="text2" w:themeFillTint="32"/>
            <w:vAlign w:val="center"/>
          </w:tcPr>
          <w:p w14:paraId="1C7D88D6">
            <w:pPr>
              <w:pStyle w:val="105"/>
              <w:bidi w:val="0"/>
              <w:rPr>
                <w:rFonts w:hint="default"/>
                <w:highlight w:val="none"/>
                <w:lang w:val="en-US" w:eastAsia="zh-CN"/>
              </w:rPr>
            </w:pPr>
            <w:r>
              <w:rPr>
                <w:rFonts w:hint="eastAsia"/>
                <w:highlight w:val="none"/>
                <w:lang w:val="en-US" w:eastAsia="zh-CN"/>
              </w:rPr>
              <w:t>设备部门</w:t>
            </w:r>
          </w:p>
        </w:tc>
        <w:tc>
          <w:tcPr>
            <w:tcW w:w="954" w:type="dxa"/>
            <w:tcBorders>
              <w:tl2br w:val="nil"/>
              <w:tr2bl w:val="nil"/>
            </w:tcBorders>
            <w:shd w:val="clear" w:color="auto" w:fill="D6DCE5" w:themeFill="text2" w:themeFillTint="32"/>
            <w:vAlign w:val="center"/>
          </w:tcPr>
          <w:p w14:paraId="52148D89">
            <w:pPr>
              <w:pStyle w:val="105"/>
              <w:bidi w:val="0"/>
              <w:rPr>
                <w:rFonts w:hint="eastAsia"/>
                <w:highlight w:val="none"/>
              </w:rPr>
            </w:pPr>
            <w:r>
              <w:rPr>
                <w:rFonts w:hint="eastAsia"/>
                <w:highlight w:val="none"/>
              </w:rPr>
              <w:t>项目质检部门</w:t>
            </w:r>
          </w:p>
        </w:tc>
        <w:tc>
          <w:tcPr>
            <w:tcW w:w="701" w:type="dxa"/>
            <w:tcBorders>
              <w:tl2br w:val="nil"/>
              <w:tr2bl w:val="nil"/>
            </w:tcBorders>
            <w:shd w:val="clear" w:color="auto" w:fill="D6DCE5" w:themeFill="text2" w:themeFillTint="32"/>
            <w:vAlign w:val="center"/>
          </w:tcPr>
          <w:p w14:paraId="1500D891">
            <w:pPr>
              <w:pStyle w:val="105"/>
              <w:bidi w:val="0"/>
              <w:rPr>
                <w:rFonts w:hint="eastAsia"/>
                <w:highlight w:val="none"/>
              </w:rPr>
            </w:pPr>
            <w:r>
              <w:rPr>
                <w:rFonts w:hint="eastAsia"/>
                <w:highlight w:val="none"/>
              </w:rPr>
              <w:t>监理</w:t>
            </w:r>
          </w:p>
        </w:tc>
        <w:tc>
          <w:tcPr>
            <w:tcW w:w="854" w:type="dxa"/>
            <w:vMerge w:val="continue"/>
            <w:tcBorders>
              <w:tl2br w:val="nil"/>
              <w:tr2bl w:val="nil"/>
            </w:tcBorders>
            <w:shd w:val="clear" w:color="auto" w:fill="D6DCE5" w:themeFill="text2" w:themeFillTint="32"/>
            <w:vAlign w:val="center"/>
          </w:tcPr>
          <w:p w14:paraId="603E51B1">
            <w:pPr>
              <w:pStyle w:val="105"/>
              <w:bidi w:val="0"/>
              <w:rPr>
                <w:rFonts w:hint="eastAsia"/>
                <w:highlight w:val="none"/>
              </w:rPr>
            </w:pPr>
          </w:p>
        </w:tc>
      </w:tr>
      <w:tr w14:paraId="590F30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AD35331">
            <w:pPr>
              <w:pStyle w:val="105"/>
              <w:bidi w:val="0"/>
              <w:rPr>
                <w:rFonts w:hint="eastAsia"/>
                <w:highlight w:val="none"/>
              </w:rPr>
            </w:pPr>
            <w:r>
              <w:rPr>
                <w:rFonts w:hint="eastAsia"/>
                <w:highlight w:val="none"/>
              </w:rPr>
              <w:t>1</w:t>
            </w:r>
          </w:p>
        </w:tc>
        <w:tc>
          <w:tcPr>
            <w:tcW w:w="3895" w:type="dxa"/>
            <w:tcBorders>
              <w:tl2br w:val="nil"/>
              <w:tr2bl w:val="nil"/>
            </w:tcBorders>
            <w:vAlign w:val="center"/>
          </w:tcPr>
          <w:p w14:paraId="2926C56B">
            <w:pPr>
              <w:pStyle w:val="105"/>
              <w:bidi w:val="0"/>
              <w:rPr>
                <w:rFonts w:hint="eastAsia"/>
                <w:highlight w:val="none"/>
              </w:rPr>
            </w:pPr>
            <w:r>
              <w:rPr>
                <w:rFonts w:hint="eastAsia"/>
                <w:highlight w:val="none"/>
              </w:rPr>
              <w:t>施工中防止部件磕碰和交叉作业现象</w:t>
            </w:r>
          </w:p>
        </w:tc>
        <w:tc>
          <w:tcPr>
            <w:tcW w:w="810" w:type="dxa"/>
            <w:tcBorders>
              <w:tl2br w:val="nil"/>
              <w:tr2bl w:val="nil"/>
            </w:tcBorders>
            <w:vAlign w:val="center"/>
          </w:tcPr>
          <w:p w14:paraId="32FE17C0">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890EE13">
            <w:pPr>
              <w:pStyle w:val="105"/>
              <w:bidi w:val="0"/>
              <w:rPr>
                <w:rFonts w:hint="eastAsia"/>
                <w:highlight w:val="none"/>
              </w:rPr>
            </w:pPr>
          </w:p>
        </w:tc>
        <w:tc>
          <w:tcPr>
            <w:tcW w:w="954" w:type="dxa"/>
            <w:tcBorders>
              <w:tl2br w:val="nil"/>
              <w:tr2bl w:val="nil"/>
            </w:tcBorders>
            <w:vAlign w:val="center"/>
          </w:tcPr>
          <w:p w14:paraId="3AF2F6C8">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30238F0C">
            <w:pPr>
              <w:pStyle w:val="105"/>
              <w:bidi w:val="0"/>
              <w:rPr>
                <w:rFonts w:hint="eastAsia"/>
                <w:highlight w:val="none"/>
              </w:rPr>
            </w:pPr>
          </w:p>
        </w:tc>
        <w:tc>
          <w:tcPr>
            <w:tcW w:w="854" w:type="dxa"/>
            <w:tcBorders>
              <w:tl2br w:val="nil"/>
              <w:tr2bl w:val="nil"/>
            </w:tcBorders>
            <w:vAlign w:val="center"/>
          </w:tcPr>
          <w:p w14:paraId="20E280AF">
            <w:pPr>
              <w:pStyle w:val="105"/>
              <w:bidi w:val="0"/>
              <w:rPr>
                <w:rFonts w:hint="eastAsia"/>
                <w:highlight w:val="none"/>
              </w:rPr>
            </w:pPr>
            <w:r>
              <w:rPr>
                <w:rFonts w:hint="eastAsia"/>
                <w:highlight w:val="none"/>
              </w:rPr>
              <w:t>R</w:t>
            </w:r>
          </w:p>
        </w:tc>
      </w:tr>
      <w:tr w14:paraId="0EF9F9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7D7D08C">
            <w:pPr>
              <w:pStyle w:val="105"/>
              <w:bidi w:val="0"/>
              <w:rPr>
                <w:rFonts w:hint="eastAsia"/>
                <w:highlight w:val="none"/>
              </w:rPr>
            </w:pPr>
            <w:r>
              <w:rPr>
                <w:rFonts w:hint="eastAsia"/>
                <w:highlight w:val="none"/>
              </w:rPr>
              <w:t>2</w:t>
            </w:r>
          </w:p>
        </w:tc>
        <w:tc>
          <w:tcPr>
            <w:tcW w:w="3895" w:type="dxa"/>
            <w:tcBorders>
              <w:tl2br w:val="nil"/>
              <w:tr2bl w:val="nil"/>
            </w:tcBorders>
            <w:vAlign w:val="center"/>
          </w:tcPr>
          <w:p w14:paraId="36871E1C">
            <w:pPr>
              <w:pStyle w:val="105"/>
              <w:bidi w:val="0"/>
              <w:rPr>
                <w:rFonts w:hint="eastAsia"/>
                <w:highlight w:val="none"/>
              </w:rPr>
            </w:pPr>
            <w:r>
              <w:rPr>
                <w:rFonts w:hint="eastAsia"/>
                <w:highlight w:val="none"/>
              </w:rPr>
              <w:t>作业工机具、卡索具完好无损，无人员、设备损伤</w:t>
            </w:r>
          </w:p>
        </w:tc>
        <w:tc>
          <w:tcPr>
            <w:tcW w:w="810" w:type="dxa"/>
            <w:tcBorders>
              <w:tl2br w:val="nil"/>
              <w:tr2bl w:val="nil"/>
            </w:tcBorders>
            <w:vAlign w:val="center"/>
          </w:tcPr>
          <w:p w14:paraId="4743904A">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7D77F3A2">
            <w:pPr>
              <w:pStyle w:val="105"/>
              <w:bidi w:val="0"/>
              <w:rPr>
                <w:rFonts w:hint="eastAsia"/>
                <w:highlight w:val="none"/>
              </w:rPr>
            </w:pPr>
          </w:p>
        </w:tc>
        <w:tc>
          <w:tcPr>
            <w:tcW w:w="954" w:type="dxa"/>
            <w:tcBorders>
              <w:tl2br w:val="nil"/>
              <w:tr2bl w:val="nil"/>
            </w:tcBorders>
            <w:vAlign w:val="center"/>
          </w:tcPr>
          <w:p w14:paraId="0DB36CBD">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694CBDA">
            <w:pPr>
              <w:pStyle w:val="105"/>
              <w:bidi w:val="0"/>
              <w:rPr>
                <w:rFonts w:hint="eastAsia"/>
                <w:highlight w:val="none"/>
              </w:rPr>
            </w:pPr>
          </w:p>
        </w:tc>
        <w:tc>
          <w:tcPr>
            <w:tcW w:w="854" w:type="dxa"/>
            <w:tcBorders>
              <w:tl2br w:val="nil"/>
              <w:tr2bl w:val="nil"/>
            </w:tcBorders>
            <w:vAlign w:val="center"/>
          </w:tcPr>
          <w:p w14:paraId="6B1C1CA1">
            <w:pPr>
              <w:pStyle w:val="105"/>
              <w:bidi w:val="0"/>
              <w:rPr>
                <w:rFonts w:hint="eastAsia"/>
                <w:highlight w:val="none"/>
              </w:rPr>
            </w:pPr>
            <w:r>
              <w:rPr>
                <w:rFonts w:hint="eastAsia"/>
                <w:highlight w:val="none"/>
              </w:rPr>
              <w:t>S</w:t>
            </w:r>
          </w:p>
        </w:tc>
      </w:tr>
      <w:tr w14:paraId="66E935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EF0AC30">
            <w:pPr>
              <w:pStyle w:val="105"/>
              <w:bidi w:val="0"/>
              <w:rPr>
                <w:rFonts w:hint="eastAsia"/>
                <w:highlight w:val="none"/>
              </w:rPr>
            </w:pPr>
            <w:r>
              <w:rPr>
                <w:rFonts w:hint="eastAsia"/>
                <w:highlight w:val="none"/>
              </w:rPr>
              <w:t>3</w:t>
            </w:r>
          </w:p>
        </w:tc>
        <w:tc>
          <w:tcPr>
            <w:tcW w:w="3895" w:type="dxa"/>
            <w:tcBorders>
              <w:tl2br w:val="nil"/>
              <w:tr2bl w:val="nil"/>
            </w:tcBorders>
            <w:vAlign w:val="center"/>
          </w:tcPr>
          <w:p w14:paraId="26EF2B2C">
            <w:pPr>
              <w:pStyle w:val="105"/>
              <w:bidi w:val="0"/>
              <w:rPr>
                <w:rFonts w:hint="eastAsia"/>
                <w:highlight w:val="none"/>
              </w:rPr>
            </w:pPr>
            <w:r>
              <w:rPr>
                <w:rFonts w:hint="eastAsia"/>
                <w:highlight w:val="none"/>
              </w:rPr>
              <w:t>各组件、零部件安全顺利安装，无损坏或变形</w:t>
            </w:r>
          </w:p>
        </w:tc>
        <w:tc>
          <w:tcPr>
            <w:tcW w:w="810" w:type="dxa"/>
            <w:tcBorders>
              <w:tl2br w:val="nil"/>
              <w:tr2bl w:val="nil"/>
            </w:tcBorders>
            <w:vAlign w:val="center"/>
          </w:tcPr>
          <w:p w14:paraId="5073ACAD">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0473AD78">
            <w:pPr>
              <w:pStyle w:val="105"/>
              <w:bidi w:val="0"/>
              <w:rPr>
                <w:rFonts w:hint="eastAsia"/>
                <w:highlight w:val="none"/>
              </w:rPr>
            </w:pPr>
          </w:p>
        </w:tc>
        <w:tc>
          <w:tcPr>
            <w:tcW w:w="954" w:type="dxa"/>
            <w:tcBorders>
              <w:tl2br w:val="nil"/>
              <w:tr2bl w:val="nil"/>
            </w:tcBorders>
            <w:vAlign w:val="center"/>
          </w:tcPr>
          <w:p w14:paraId="3CB340B1">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23C468E8">
            <w:pPr>
              <w:pStyle w:val="105"/>
              <w:bidi w:val="0"/>
              <w:rPr>
                <w:rFonts w:hint="eastAsia"/>
                <w:highlight w:val="none"/>
              </w:rPr>
            </w:pPr>
          </w:p>
        </w:tc>
        <w:tc>
          <w:tcPr>
            <w:tcW w:w="854" w:type="dxa"/>
            <w:tcBorders>
              <w:tl2br w:val="nil"/>
              <w:tr2bl w:val="nil"/>
            </w:tcBorders>
            <w:vAlign w:val="center"/>
          </w:tcPr>
          <w:p w14:paraId="28FC9697">
            <w:pPr>
              <w:pStyle w:val="105"/>
              <w:bidi w:val="0"/>
              <w:rPr>
                <w:rFonts w:hint="eastAsia"/>
                <w:highlight w:val="none"/>
              </w:rPr>
            </w:pPr>
            <w:r>
              <w:rPr>
                <w:rFonts w:hint="eastAsia"/>
                <w:highlight w:val="none"/>
              </w:rPr>
              <w:t>W</w:t>
            </w:r>
          </w:p>
        </w:tc>
      </w:tr>
      <w:tr w14:paraId="38C9D14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B58B01">
            <w:pPr>
              <w:pStyle w:val="105"/>
              <w:bidi w:val="0"/>
              <w:rPr>
                <w:rFonts w:hint="eastAsia"/>
                <w:highlight w:val="none"/>
              </w:rPr>
            </w:pPr>
            <w:r>
              <w:rPr>
                <w:rFonts w:hint="eastAsia"/>
                <w:highlight w:val="none"/>
              </w:rPr>
              <w:t>4</w:t>
            </w:r>
          </w:p>
        </w:tc>
        <w:tc>
          <w:tcPr>
            <w:tcW w:w="3895" w:type="dxa"/>
            <w:tcBorders>
              <w:tl2br w:val="nil"/>
              <w:tr2bl w:val="nil"/>
            </w:tcBorders>
            <w:vAlign w:val="center"/>
          </w:tcPr>
          <w:p w14:paraId="1711B9CB">
            <w:pPr>
              <w:pStyle w:val="105"/>
              <w:bidi w:val="0"/>
              <w:rPr>
                <w:rFonts w:hint="eastAsia"/>
                <w:highlight w:val="none"/>
              </w:rPr>
            </w:pPr>
            <w:r>
              <w:rPr>
                <w:rFonts w:hint="eastAsia"/>
                <w:highlight w:val="none"/>
              </w:rPr>
              <w:t>做好各组件、零部件安装后清点、整理和存放工作。</w:t>
            </w:r>
          </w:p>
        </w:tc>
        <w:tc>
          <w:tcPr>
            <w:tcW w:w="810" w:type="dxa"/>
            <w:tcBorders>
              <w:tl2br w:val="nil"/>
              <w:tr2bl w:val="nil"/>
            </w:tcBorders>
            <w:vAlign w:val="center"/>
          </w:tcPr>
          <w:p w14:paraId="47AF7E7E">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518FC81D">
            <w:pPr>
              <w:pStyle w:val="105"/>
              <w:bidi w:val="0"/>
              <w:rPr>
                <w:rFonts w:hint="eastAsia"/>
                <w:highlight w:val="none"/>
              </w:rPr>
            </w:pPr>
          </w:p>
        </w:tc>
        <w:tc>
          <w:tcPr>
            <w:tcW w:w="954" w:type="dxa"/>
            <w:tcBorders>
              <w:tl2br w:val="nil"/>
              <w:tr2bl w:val="nil"/>
            </w:tcBorders>
            <w:vAlign w:val="center"/>
          </w:tcPr>
          <w:p w14:paraId="07E606B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1771F79E">
            <w:pPr>
              <w:pStyle w:val="105"/>
              <w:bidi w:val="0"/>
              <w:rPr>
                <w:rFonts w:hint="eastAsia"/>
                <w:highlight w:val="none"/>
              </w:rPr>
            </w:pPr>
          </w:p>
        </w:tc>
        <w:tc>
          <w:tcPr>
            <w:tcW w:w="854" w:type="dxa"/>
            <w:tcBorders>
              <w:tl2br w:val="nil"/>
              <w:tr2bl w:val="nil"/>
            </w:tcBorders>
            <w:vAlign w:val="center"/>
          </w:tcPr>
          <w:p w14:paraId="7DDE6275">
            <w:pPr>
              <w:pStyle w:val="105"/>
              <w:bidi w:val="0"/>
              <w:rPr>
                <w:rFonts w:hint="eastAsia"/>
                <w:highlight w:val="none"/>
              </w:rPr>
            </w:pPr>
            <w:r>
              <w:rPr>
                <w:rFonts w:hint="eastAsia"/>
                <w:highlight w:val="none"/>
              </w:rPr>
              <w:t>W</w:t>
            </w:r>
          </w:p>
        </w:tc>
      </w:tr>
      <w:tr w14:paraId="5C4392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835767">
            <w:pPr>
              <w:pStyle w:val="105"/>
              <w:bidi w:val="0"/>
              <w:rPr>
                <w:rFonts w:hint="eastAsia"/>
                <w:highlight w:val="none"/>
              </w:rPr>
            </w:pPr>
            <w:r>
              <w:rPr>
                <w:rFonts w:hint="eastAsia"/>
                <w:highlight w:val="none"/>
              </w:rPr>
              <w:t>5</w:t>
            </w:r>
          </w:p>
        </w:tc>
        <w:tc>
          <w:tcPr>
            <w:tcW w:w="3895" w:type="dxa"/>
            <w:tcBorders>
              <w:tl2br w:val="nil"/>
              <w:tr2bl w:val="nil"/>
            </w:tcBorders>
            <w:vAlign w:val="center"/>
          </w:tcPr>
          <w:p w14:paraId="5D74F63C">
            <w:pPr>
              <w:pStyle w:val="105"/>
              <w:bidi w:val="0"/>
              <w:rPr>
                <w:rFonts w:hint="eastAsia"/>
                <w:highlight w:val="none"/>
              </w:rPr>
            </w:pPr>
            <w:r>
              <w:rPr>
                <w:rFonts w:hint="eastAsia"/>
                <w:highlight w:val="none"/>
              </w:rPr>
              <w:t>作业方法应该按照说明书和本方案要求严格执行</w:t>
            </w:r>
          </w:p>
        </w:tc>
        <w:tc>
          <w:tcPr>
            <w:tcW w:w="810" w:type="dxa"/>
            <w:tcBorders>
              <w:tl2br w:val="nil"/>
              <w:tr2bl w:val="nil"/>
            </w:tcBorders>
            <w:vAlign w:val="center"/>
          </w:tcPr>
          <w:p w14:paraId="6AECEAB9">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1715C72">
            <w:pPr>
              <w:pStyle w:val="105"/>
              <w:bidi w:val="0"/>
              <w:rPr>
                <w:rFonts w:hint="eastAsia"/>
                <w:highlight w:val="none"/>
              </w:rPr>
            </w:pPr>
          </w:p>
        </w:tc>
        <w:tc>
          <w:tcPr>
            <w:tcW w:w="954" w:type="dxa"/>
            <w:tcBorders>
              <w:tl2br w:val="nil"/>
              <w:tr2bl w:val="nil"/>
            </w:tcBorders>
            <w:vAlign w:val="center"/>
          </w:tcPr>
          <w:p w14:paraId="36C59DC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D993AD2">
            <w:pPr>
              <w:pStyle w:val="105"/>
              <w:bidi w:val="0"/>
              <w:rPr>
                <w:rFonts w:hint="eastAsia"/>
                <w:highlight w:val="none"/>
              </w:rPr>
            </w:pPr>
          </w:p>
        </w:tc>
        <w:tc>
          <w:tcPr>
            <w:tcW w:w="854" w:type="dxa"/>
            <w:tcBorders>
              <w:tl2br w:val="nil"/>
              <w:tr2bl w:val="nil"/>
            </w:tcBorders>
            <w:vAlign w:val="center"/>
          </w:tcPr>
          <w:p w14:paraId="06A6E5F1">
            <w:pPr>
              <w:pStyle w:val="105"/>
              <w:bidi w:val="0"/>
              <w:rPr>
                <w:rFonts w:hint="eastAsia"/>
                <w:highlight w:val="none"/>
              </w:rPr>
            </w:pPr>
            <w:r>
              <w:rPr>
                <w:rFonts w:hint="eastAsia"/>
                <w:highlight w:val="none"/>
              </w:rPr>
              <w:t>R</w:t>
            </w:r>
          </w:p>
        </w:tc>
      </w:tr>
      <w:tr w14:paraId="21BC96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93304EB">
            <w:pPr>
              <w:pStyle w:val="105"/>
              <w:bidi w:val="0"/>
              <w:rPr>
                <w:rFonts w:hint="eastAsia"/>
                <w:highlight w:val="none"/>
                <w:lang w:val="en-US" w:eastAsia="zh-CN"/>
              </w:rPr>
            </w:pPr>
            <w:r>
              <w:rPr>
                <w:rFonts w:hint="eastAsia"/>
                <w:highlight w:val="none"/>
                <w:lang w:val="en-US" w:eastAsia="zh-CN"/>
              </w:rPr>
              <w:t>6</w:t>
            </w:r>
          </w:p>
        </w:tc>
        <w:tc>
          <w:tcPr>
            <w:tcW w:w="3895" w:type="dxa"/>
            <w:tcBorders>
              <w:tl2br w:val="nil"/>
              <w:tr2bl w:val="nil"/>
            </w:tcBorders>
            <w:vAlign w:val="center"/>
          </w:tcPr>
          <w:p w14:paraId="6CE3555D">
            <w:pPr>
              <w:pStyle w:val="105"/>
              <w:bidi w:val="0"/>
              <w:rPr>
                <w:rFonts w:hint="default"/>
                <w:highlight w:val="none"/>
                <w:lang w:val="en-US" w:eastAsia="zh-CN"/>
              </w:rPr>
            </w:pPr>
            <w:r>
              <w:rPr>
                <w:rFonts w:hint="eastAsia"/>
                <w:highlight w:val="none"/>
                <w:lang w:val="en-US" w:eastAsia="zh-CN"/>
              </w:rPr>
              <w:t>。。。</w:t>
            </w:r>
          </w:p>
        </w:tc>
        <w:tc>
          <w:tcPr>
            <w:tcW w:w="810" w:type="dxa"/>
            <w:tcBorders>
              <w:tl2br w:val="nil"/>
              <w:tr2bl w:val="nil"/>
            </w:tcBorders>
            <w:vAlign w:val="center"/>
          </w:tcPr>
          <w:p w14:paraId="377395A7">
            <w:pPr>
              <w:pStyle w:val="105"/>
              <w:bidi w:val="0"/>
              <w:rPr>
                <w:rFonts w:hint="eastAsia"/>
                <w:highlight w:val="none"/>
              </w:rPr>
            </w:pPr>
          </w:p>
        </w:tc>
        <w:tc>
          <w:tcPr>
            <w:tcW w:w="949" w:type="dxa"/>
            <w:tcBorders>
              <w:tl2br w:val="nil"/>
              <w:tr2bl w:val="nil"/>
            </w:tcBorders>
            <w:vAlign w:val="center"/>
          </w:tcPr>
          <w:p w14:paraId="06D29CEA">
            <w:pPr>
              <w:pStyle w:val="105"/>
              <w:bidi w:val="0"/>
              <w:rPr>
                <w:rFonts w:hint="eastAsia"/>
                <w:highlight w:val="none"/>
              </w:rPr>
            </w:pPr>
          </w:p>
        </w:tc>
        <w:tc>
          <w:tcPr>
            <w:tcW w:w="954" w:type="dxa"/>
            <w:tcBorders>
              <w:tl2br w:val="nil"/>
              <w:tr2bl w:val="nil"/>
            </w:tcBorders>
            <w:vAlign w:val="center"/>
          </w:tcPr>
          <w:p w14:paraId="0D65003F">
            <w:pPr>
              <w:pStyle w:val="105"/>
              <w:bidi w:val="0"/>
              <w:rPr>
                <w:rFonts w:hint="eastAsia"/>
                <w:highlight w:val="none"/>
              </w:rPr>
            </w:pPr>
          </w:p>
        </w:tc>
        <w:tc>
          <w:tcPr>
            <w:tcW w:w="701" w:type="dxa"/>
            <w:tcBorders>
              <w:tl2br w:val="nil"/>
              <w:tr2bl w:val="nil"/>
            </w:tcBorders>
            <w:vAlign w:val="center"/>
          </w:tcPr>
          <w:p w14:paraId="42BE695A">
            <w:pPr>
              <w:pStyle w:val="105"/>
              <w:bidi w:val="0"/>
              <w:rPr>
                <w:rFonts w:hint="eastAsia"/>
                <w:highlight w:val="none"/>
              </w:rPr>
            </w:pPr>
          </w:p>
        </w:tc>
        <w:tc>
          <w:tcPr>
            <w:tcW w:w="854" w:type="dxa"/>
            <w:tcBorders>
              <w:tl2br w:val="nil"/>
              <w:tr2bl w:val="nil"/>
            </w:tcBorders>
            <w:vAlign w:val="center"/>
          </w:tcPr>
          <w:p w14:paraId="1C8DB8C0">
            <w:pPr>
              <w:pStyle w:val="105"/>
              <w:bidi w:val="0"/>
              <w:rPr>
                <w:rFonts w:hint="eastAsia"/>
                <w:highlight w:val="none"/>
              </w:rPr>
            </w:pPr>
          </w:p>
        </w:tc>
      </w:tr>
    </w:tbl>
    <w:p w14:paraId="11D06068">
      <w:pPr>
        <w:spacing w:line="360" w:lineRule="auto"/>
        <w:ind w:firstLine="440"/>
        <w:rPr>
          <w:highlight w:val="none"/>
        </w:rPr>
      </w:pPr>
      <w:r>
        <w:rPr>
          <w:rFonts w:hint="eastAsia"/>
          <w:sz w:val="22"/>
          <w:highlight w:val="none"/>
        </w:rPr>
        <w:t>见证方式:R － 记录确认点；W － 见证点；H － 停工待检点；S － 连续监视监护。</w:t>
      </w:r>
      <w:r>
        <w:rPr>
          <w:rFonts w:hint="eastAsia"/>
          <w:highlight w:val="none"/>
        </w:rPr>
        <w:br w:type="page"/>
      </w:r>
    </w:p>
    <w:p w14:paraId="59368CBB">
      <w:pPr>
        <w:pStyle w:val="2"/>
        <w:bidi w:val="0"/>
        <w:ind w:left="432" w:leftChars="0" w:hanging="432" w:firstLineChars="0"/>
        <w:rPr>
          <w:rFonts w:hint="eastAsia" w:ascii="宋体" w:hAnsi="宋体" w:eastAsia="宋体" w:cs="Times New Roman"/>
          <w:lang w:val="en-US" w:eastAsia="zh-CN"/>
        </w:rPr>
      </w:pPr>
      <w:bookmarkStart w:id="247" w:name="_Toc26393"/>
      <w:bookmarkStart w:id="248" w:name="_Toc30591"/>
      <w:bookmarkStart w:id="249" w:name="_Toc22264"/>
      <w:r>
        <w:rPr>
          <w:rFonts w:hint="eastAsia" w:ascii="宋体" w:hAnsi="宋体" w:eastAsia="宋体" w:cs="Times New Roman"/>
          <w:lang w:val="en-US" w:eastAsia="zh-CN"/>
        </w:rPr>
        <w:t>施工安全保障措施</w:t>
      </w:r>
      <w:bookmarkEnd w:id="217"/>
      <w:bookmarkEnd w:id="247"/>
      <w:bookmarkEnd w:id="248"/>
      <w:bookmarkEnd w:id="249"/>
    </w:p>
    <w:p w14:paraId="06F99B51">
      <w:pPr>
        <w:pStyle w:val="3"/>
        <w:bidi w:val="0"/>
        <w:ind w:left="575" w:leftChars="0" w:hanging="575" w:firstLineChars="0"/>
      </w:pPr>
      <w:bookmarkStart w:id="250" w:name="_Toc15111"/>
      <w:bookmarkStart w:id="251" w:name="_Toc42642304"/>
      <w:bookmarkStart w:id="252" w:name="_Toc7600"/>
      <w:r>
        <w:rPr>
          <w:rFonts w:hint="eastAsia"/>
        </w:rPr>
        <w:t xml:space="preserve"> </w:t>
      </w:r>
      <w:bookmarkStart w:id="253" w:name="_Toc11734"/>
      <w:r>
        <w:rPr>
          <w:rFonts w:hint="eastAsia"/>
        </w:rPr>
        <w:t>组织保障措施</w:t>
      </w:r>
      <w:bookmarkEnd w:id="250"/>
      <w:bookmarkEnd w:id="251"/>
      <w:bookmarkEnd w:id="252"/>
      <w:bookmarkEnd w:id="253"/>
    </w:p>
    <w:p w14:paraId="5ACD7EBB">
      <w:pPr>
        <w:pStyle w:val="4"/>
        <w:bidi w:val="0"/>
        <w:ind w:left="720" w:leftChars="0" w:hanging="720" w:firstLineChars="0"/>
        <w:rPr>
          <w:rFonts w:hint="default"/>
          <w:lang w:val="en-US" w:eastAsia="zh-CN"/>
        </w:rPr>
      </w:pPr>
      <w:bookmarkStart w:id="254" w:name="_Toc42642305"/>
      <w:bookmarkStart w:id="255" w:name="_Toc23853"/>
      <w:bookmarkStart w:id="256" w:name="_Toc10409817"/>
      <w:r>
        <w:t>安全</w:t>
      </w:r>
      <w:r>
        <w:rPr>
          <w:rFonts w:hint="eastAsia"/>
          <w:lang w:val="en-US" w:eastAsia="zh-CN"/>
        </w:rPr>
        <w:t>组织机构</w:t>
      </w:r>
    </w:p>
    <w:p w14:paraId="68D47836">
      <w:pPr>
        <w:spacing w:line="360" w:lineRule="auto"/>
        <w:ind w:firstLine="480"/>
        <w:rPr>
          <w:highlight w:val="none"/>
        </w:rPr>
      </w:pPr>
      <w:r>
        <w:rPr>
          <w:highlight w:val="none"/>
        </w:rPr>
        <w:t>项目经理部成立以项目经理为组长，</w:t>
      </w:r>
      <w:r>
        <w:rPr>
          <w:rFonts w:hint="eastAsia"/>
          <w:highlight w:val="none"/>
          <w:lang w:val="en-US" w:eastAsia="zh-CN"/>
        </w:rPr>
        <w:t>安全总监、</w:t>
      </w:r>
      <w:r>
        <w:rPr>
          <w:highlight w:val="none"/>
        </w:rPr>
        <w:t>项目副经理、项目总工程师为副组长、安全</w:t>
      </w:r>
      <w:r>
        <w:rPr>
          <w:rFonts w:hint="eastAsia"/>
          <w:highlight w:val="none"/>
          <w:lang w:val="en-US" w:eastAsia="zh-CN"/>
        </w:rPr>
        <w:t>监督</w:t>
      </w:r>
      <w:r>
        <w:rPr>
          <w:highlight w:val="none"/>
        </w:rPr>
        <w:t>部及有关部门负责人组成的安全生产领导小组。安全生产领导小组对安全生产方面的重大问题和重点问题进行解决和处理。</w:t>
      </w:r>
    </w:p>
    <w:p w14:paraId="75701EDB">
      <w:pPr>
        <w:keepNext w:val="0"/>
        <w:keepLines w:val="0"/>
        <w:widowControl/>
        <w:suppressLineNumbers w:val="0"/>
        <w:spacing w:line="360" w:lineRule="auto"/>
        <w:ind w:firstLine="480" w:firstLineChars="20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实行安全生产三级管理，一级管理由项目经理负责，二级管理由专职安全员负责，三级管理由班组长负责。</w:t>
      </w:r>
    </w:p>
    <w:p w14:paraId="1857D7A3">
      <w:pPr>
        <w:pStyle w:val="13"/>
        <w:ind w:left="0" w:leftChars="0" w:firstLine="0" w:firstLineChars="0"/>
        <w:jc w:val="center"/>
        <w:rPr>
          <w:rFonts w:hint="default"/>
          <w:highlight w:val="none"/>
          <w:lang w:val="en-US" w:eastAsia="zh-CN"/>
        </w:rPr>
      </w:pPr>
      <w:r>
        <w:rPr>
          <w:highlight w:val="none"/>
        </w:rPr>
        <w:drawing>
          <wp:inline distT="0" distB="0" distL="114300" distR="114300">
            <wp:extent cx="4545330" cy="4340860"/>
            <wp:effectExtent l="0" t="0" r="0" b="2540"/>
            <wp:docPr id="253" name="图片 253" descr="人力资源部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人力资源部组织结构图"/>
                    <pic:cNvPicPr>
                      <a:picLocks noChangeAspect="1"/>
                    </pic:cNvPicPr>
                  </pic:nvPicPr>
                  <pic:blipFill>
                    <a:blip r:embed="rId69"/>
                    <a:srcRect t="3017" b="2844"/>
                    <a:stretch>
                      <a:fillRect/>
                    </a:stretch>
                  </pic:blipFill>
                  <pic:spPr>
                    <a:xfrm>
                      <a:off x="0" y="0"/>
                      <a:ext cx="4545330" cy="4340860"/>
                    </a:xfrm>
                    <a:prstGeom prst="rect">
                      <a:avLst/>
                    </a:prstGeom>
                  </pic:spPr>
                </pic:pic>
              </a:graphicData>
            </a:graphic>
          </wp:inline>
        </w:drawing>
      </w:r>
    </w:p>
    <w:p w14:paraId="501FBB0A">
      <w:pPr>
        <w:pStyle w:val="41"/>
        <w:bidi w:val="0"/>
        <w:rPr>
          <w:rFonts w:hint="eastAsia"/>
          <w:highlight w:val="none"/>
          <w:lang w:val="en-US" w:eastAsia="zh-CN"/>
        </w:rPr>
      </w:pPr>
      <w:r>
        <w:rPr>
          <w:rFonts w:hint="eastAsia"/>
          <w:highlight w:val="none"/>
          <w:lang w:val="en-US" w:eastAsia="zh-CN"/>
        </w:rPr>
        <w:t xml:space="preserve">图6-1 </w:t>
      </w:r>
      <w:r>
        <w:rPr>
          <w:rFonts w:hint="eastAsia"/>
          <w:highlight w:val="none"/>
        </w:rPr>
        <w:t>安全管理组织机构</w:t>
      </w:r>
      <w:r>
        <w:rPr>
          <w:rFonts w:hint="eastAsia"/>
          <w:highlight w:val="none"/>
          <w:lang w:val="en-US" w:eastAsia="zh-CN"/>
        </w:rPr>
        <w:t>图</w:t>
      </w:r>
    </w:p>
    <w:p w14:paraId="6CCFB891">
      <w:pPr>
        <w:pStyle w:val="4"/>
        <w:bidi w:val="0"/>
        <w:ind w:left="720" w:leftChars="0" w:hanging="720" w:firstLineChars="0"/>
      </w:pPr>
      <w:r>
        <w:rPr>
          <w:rFonts w:hint="eastAsia"/>
          <w:lang w:val="en-US" w:eastAsia="zh-CN"/>
        </w:rPr>
        <w:t>安全保证体系</w:t>
      </w:r>
    </w:p>
    <w:p w14:paraId="76706893">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根据项目特点，从思想、组织、制度、技术、资源、过程等方面入手建立健全安全生产保证体系，到全面落实各项安全措施本项目的抗滑桩施工中，确保安全生产目标的实现。</w:t>
      </w:r>
    </w:p>
    <w:p w14:paraId="17AC6766">
      <w:pPr>
        <w:bidi w:val="0"/>
        <w:rPr>
          <w:rFonts w:hint="default"/>
          <w:highlight w:val="none"/>
          <w:lang w:val="en-US" w:eastAsia="zh-CN"/>
        </w:rPr>
      </w:pPr>
      <w:r>
        <w:rPr>
          <w:highlight w:val="none"/>
        </w:rPr>
        <mc:AlternateContent>
          <mc:Choice Requires="wpg">
            <w:drawing>
              <wp:inline distT="0" distB="0" distL="0" distR="0">
                <wp:extent cx="5570220" cy="4467225"/>
                <wp:effectExtent l="6350" t="6350" r="11430" b="9525"/>
                <wp:docPr id="368" name="Group 2569"/>
                <wp:cNvGraphicFramePr/>
                <a:graphic xmlns:a="http://schemas.openxmlformats.org/drawingml/2006/main">
                  <a:graphicData uri="http://schemas.microsoft.com/office/word/2010/wordprocessingGroup">
                    <wpg:wgp>
                      <wpg:cNvGrpSpPr/>
                      <wpg:grpSpPr>
                        <a:xfrm>
                          <a:off x="0" y="0"/>
                          <a:ext cx="5570220" cy="4467225"/>
                          <a:chOff x="0" y="0"/>
                          <a:chExt cx="8308" cy="6183"/>
                        </a:xfrm>
                      </wpg:grpSpPr>
                      <wps:wsp>
                        <wps:cNvPr id="369" name="Text Box 2570"/>
                        <wps:cNvSpPr txBox="1">
                          <a:spLocks noChangeArrowheads="1"/>
                        </wps:cNvSpPr>
                        <wps:spPr bwMode="auto">
                          <a:xfrm>
                            <a:off x="0" y="1393"/>
                            <a:ext cx="493" cy="2613"/>
                          </a:xfrm>
                          <a:prstGeom prst="rect">
                            <a:avLst/>
                          </a:prstGeom>
                          <a:solidFill>
                            <a:schemeClr val="accent6">
                              <a:lumMod val="40000"/>
                              <a:lumOff val="60000"/>
                            </a:schemeClr>
                          </a:solidFill>
                          <a:ln w="12700">
                            <a:solidFill>
                              <a:srgbClr val="0000C8"/>
                            </a:solidFill>
                            <a:miter lim="800000"/>
                          </a:ln>
                        </wps:spPr>
                        <wps:txbx>
                          <w:txbxContent>
                            <w:p w14:paraId="055FEEF2">
                              <w:pPr>
                                <w:pStyle w:val="72"/>
                              </w:pPr>
                              <w:r>
                                <w:rPr>
                                  <w:rFonts w:hint="eastAsia"/>
                                </w:rPr>
                                <w:t>安全生产管理体系</w:t>
                              </w:r>
                            </w:p>
                          </w:txbxContent>
                        </wps:txbx>
                        <wps:bodyPr rot="0" vert="eaVert" wrap="square" lIns="0" tIns="0" rIns="0" bIns="0" anchor="ctr" anchorCtr="0" upright="1">
                          <a:noAutofit/>
                        </wps:bodyPr>
                      </wps:wsp>
                      <wps:wsp>
                        <wps:cNvPr id="370" name="Line 2571"/>
                        <wps:cNvCnPr>
                          <a:cxnSpLocks noChangeShapeType="1"/>
                        </wps:cNvCnPr>
                        <wps:spPr bwMode="auto">
                          <a:xfrm>
                            <a:off x="514" y="2524"/>
                            <a:ext cx="195" cy="0"/>
                          </a:xfrm>
                          <a:prstGeom prst="line">
                            <a:avLst/>
                          </a:prstGeom>
                          <a:noFill/>
                          <a:ln w="12700">
                            <a:solidFill>
                              <a:srgbClr val="0000C8"/>
                            </a:solidFill>
                            <a:round/>
                          </a:ln>
                        </wps:spPr>
                        <wps:bodyPr/>
                      </wps:wsp>
                      <wps:wsp>
                        <wps:cNvPr id="371" name="Line 2572"/>
                        <wps:cNvCnPr>
                          <a:cxnSpLocks noChangeShapeType="1"/>
                        </wps:cNvCnPr>
                        <wps:spPr bwMode="auto">
                          <a:xfrm>
                            <a:off x="690" y="174"/>
                            <a:ext cx="0" cy="5399"/>
                          </a:xfrm>
                          <a:prstGeom prst="line">
                            <a:avLst/>
                          </a:prstGeom>
                          <a:noFill/>
                          <a:ln w="12700">
                            <a:solidFill>
                              <a:srgbClr val="0000C8"/>
                            </a:solidFill>
                            <a:round/>
                          </a:ln>
                        </wps:spPr>
                        <wps:bodyPr/>
                      </wps:wsp>
                      <wps:wsp>
                        <wps:cNvPr id="372" name="Line 2573"/>
                        <wps:cNvCnPr>
                          <a:cxnSpLocks noChangeShapeType="1"/>
                        </wps:cNvCnPr>
                        <wps:spPr bwMode="auto">
                          <a:xfrm>
                            <a:off x="690" y="174"/>
                            <a:ext cx="214" cy="0"/>
                          </a:xfrm>
                          <a:prstGeom prst="line">
                            <a:avLst/>
                          </a:prstGeom>
                          <a:noFill/>
                          <a:ln w="12700">
                            <a:solidFill>
                              <a:srgbClr val="0000C8"/>
                            </a:solidFill>
                            <a:round/>
                          </a:ln>
                        </wps:spPr>
                        <wps:bodyPr/>
                      </wps:wsp>
                      <wps:wsp>
                        <wps:cNvPr id="373" name="Text Box 2574"/>
                        <wps:cNvSpPr txBox="1">
                          <a:spLocks noChangeArrowheads="1"/>
                        </wps:cNvSpPr>
                        <wps:spPr bwMode="auto">
                          <a:xfrm>
                            <a:off x="904" y="0"/>
                            <a:ext cx="1351" cy="348"/>
                          </a:xfrm>
                          <a:prstGeom prst="rect">
                            <a:avLst/>
                          </a:prstGeom>
                          <a:solidFill>
                            <a:schemeClr val="accent6">
                              <a:lumMod val="40000"/>
                              <a:lumOff val="60000"/>
                            </a:schemeClr>
                          </a:solidFill>
                          <a:ln w="12700">
                            <a:solidFill>
                              <a:srgbClr val="0000C8"/>
                            </a:solidFill>
                            <a:miter lim="800000"/>
                          </a:ln>
                        </wps:spPr>
                        <wps:txbx>
                          <w:txbxContent>
                            <w:p w14:paraId="45651D37">
                              <w:pPr>
                                <w:pStyle w:val="72"/>
                              </w:pPr>
                              <w:r>
                                <w:rPr>
                                  <w:rFonts w:hint="eastAsia"/>
                                </w:rPr>
                                <w:t>思想保证</w:t>
                              </w:r>
                            </w:p>
                          </w:txbxContent>
                        </wps:txbx>
                        <wps:bodyPr rot="0" vert="horz" wrap="square" lIns="0" tIns="0" rIns="0" bIns="0" anchor="ctr" anchorCtr="0" upright="1">
                          <a:noAutofit/>
                        </wps:bodyPr>
                      </wps:wsp>
                      <wps:wsp>
                        <wps:cNvPr id="387" name="Line 2575"/>
                        <wps:cNvCnPr>
                          <a:cxnSpLocks noChangeShapeType="1"/>
                        </wps:cNvCnPr>
                        <wps:spPr bwMode="auto">
                          <a:xfrm>
                            <a:off x="2255" y="174"/>
                            <a:ext cx="262" cy="0"/>
                          </a:xfrm>
                          <a:prstGeom prst="line">
                            <a:avLst/>
                          </a:prstGeom>
                          <a:noFill/>
                          <a:ln w="12700">
                            <a:solidFill>
                              <a:srgbClr val="0000C8"/>
                            </a:solidFill>
                            <a:round/>
                          </a:ln>
                        </wps:spPr>
                        <wps:bodyPr/>
                      </wps:wsp>
                      <wps:wsp>
                        <wps:cNvPr id="254" name="Text Box 2576"/>
                        <wps:cNvSpPr txBox="1">
                          <a:spLocks noChangeArrowheads="1"/>
                        </wps:cNvSpPr>
                        <wps:spPr bwMode="auto">
                          <a:xfrm>
                            <a:off x="2517" y="0"/>
                            <a:ext cx="2703" cy="348"/>
                          </a:xfrm>
                          <a:prstGeom prst="rect">
                            <a:avLst/>
                          </a:prstGeom>
                          <a:solidFill>
                            <a:schemeClr val="accent6">
                              <a:lumMod val="40000"/>
                              <a:lumOff val="60000"/>
                            </a:schemeClr>
                          </a:solidFill>
                          <a:ln w="12700">
                            <a:solidFill>
                              <a:srgbClr val="0000C8"/>
                            </a:solidFill>
                            <a:miter lim="800000"/>
                          </a:ln>
                        </wps:spPr>
                        <wps:txbx>
                          <w:txbxContent>
                            <w:p w14:paraId="62D8B017">
                              <w:pPr>
                                <w:pStyle w:val="72"/>
                              </w:pPr>
                              <w:r>
                                <w:rPr>
                                  <w:rFonts w:hint="eastAsia"/>
                                </w:rPr>
                                <w:t>项目部季度安全教育</w:t>
                              </w:r>
                            </w:p>
                          </w:txbxContent>
                        </wps:txbx>
                        <wps:bodyPr rot="0" vert="horz" wrap="square" lIns="0" tIns="0" rIns="0" bIns="0" anchor="ctr" anchorCtr="0" upright="1">
                          <a:noAutofit/>
                        </wps:bodyPr>
                      </wps:wsp>
                      <wps:wsp>
                        <wps:cNvPr id="255" name="Line 2577"/>
                        <wps:cNvCnPr>
                          <a:cxnSpLocks noChangeShapeType="1"/>
                        </wps:cNvCnPr>
                        <wps:spPr bwMode="auto">
                          <a:xfrm>
                            <a:off x="5220" y="174"/>
                            <a:ext cx="506" cy="0"/>
                          </a:xfrm>
                          <a:prstGeom prst="line">
                            <a:avLst/>
                          </a:prstGeom>
                          <a:noFill/>
                          <a:ln w="12700">
                            <a:solidFill>
                              <a:srgbClr val="0000C8"/>
                            </a:solidFill>
                            <a:round/>
                          </a:ln>
                        </wps:spPr>
                        <wps:bodyPr/>
                      </wps:wsp>
                      <wps:wsp>
                        <wps:cNvPr id="256" name="Text Box 2578"/>
                        <wps:cNvSpPr txBox="1">
                          <a:spLocks noChangeArrowheads="1"/>
                        </wps:cNvSpPr>
                        <wps:spPr bwMode="auto">
                          <a:xfrm>
                            <a:off x="5726" y="0"/>
                            <a:ext cx="2458" cy="348"/>
                          </a:xfrm>
                          <a:prstGeom prst="rect">
                            <a:avLst/>
                          </a:prstGeom>
                          <a:solidFill>
                            <a:schemeClr val="accent6">
                              <a:lumMod val="40000"/>
                              <a:lumOff val="60000"/>
                            </a:schemeClr>
                          </a:solidFill>
                          <a:ln w="12700">
                            <a:solidFill>
                              <a:srgbClr val="0000C8"/>
                            </a:solidFill>
                            <a:miter lim="800000"/>
                          </a:ln>
                        </wps:spPr>
                        <wps:txbx>
                          <w:txbxContent>
                            <w:p w14:paraId="0156B9EE">
                              <w:pPr>
                                <w:pStyle w:val="72"/>
                              </w:pPr>
                              <w:r>
                                <w:rPr>
                                  <w:rFonts w:hint="eastAsia"/>
                                </w:rPr>
                                <w:t>班组每周安全活动</w:t>
                              </w:r>
                            </w:p>
                          </w:txbxContent>
                        </wps:txbx>
                        <wps:bodyPr rot="0" vert="horz" wrap="square" lIns="0" tIns="0" rIns="0" bIns="0" anchor="ctr" anchorCtr="0" upright="1">
                          <a:noAutofit/>
                        </wps:bodyPr>
                      </wps:wsp>
                      <wps:wsp>
                        <wps:cNvPr id="257" name="Line 2579"/>
                        <wps:cNvCnPr>
                          <a:cxnSpLocks noChangeShapeType="1"/>
                        </wps:cNvCnPr>
                        <wps:spPr bwMode="auto">
                          <a:xfrm>
                            <a:off x="709" y="1219"/>
                            <a:ext cx="214" cy="0"/>
                          </a:xfrm>
                          <a:prstGeom prst="line">
                            <a:avLst/>
                          </a:prstGeom>
                          <a:noFill/>
                          <a:ln w="12700">
                            <a:solidFill>
                              <a:srgbClr val="0000C8"/>
                            </a:solidFill>
                            <a:round/>
                          </a:ln>
                        </wps:spPr>
                        <wps:bodyPr/>
                      </wps:wsp>
                      <wps:wsp>
                        <wps:cNvPr id="258" name="Text Box 2580"/>
                        <wps:cNvSpPr txBox="1">
                          <a:spLocks noChangeArrowheads="1"/>
                        </wps:cNvSpPr>
                        <wps:spPr bwMode="auto">
                          <a:xfrm>
                            <a:off x="904" y="1045"/>
                            <a:ext cx="1351" cy="348"/>
                          </a:xfrm>
                          <a:prstGeom prst="rect">
                            <a:avLst/>
                          </a:prstGeom>
                          <a:solidFill>
                            <a:schemeClr val="accent6">
                              <a:lumMod val="40000"/>
                              <a:lumOff val="60000"/>
                            </a:schemeClr>
                          </a:solidFill>
                          <a:ln w="12700">
                            <a:solidFill>
                              <a:srgbClr val="0000C8"/>
                            </a:solidFill>
                            <a:miter lim="800000"/>
                          </a:ln>
                        </wps:spPr>
                        <wps:txbx>
                          <w:txbxContent>
                            <w:p w14:paraId="581A3BD3">
                              <w:pPr>
                                <w:pStyle w:val="72"/>
                              </w:pPr>
                              <w:r>
                                <w:rPr>
                                  <w:rFonts w:hint="eastAsia"/>
                                </w:rPr>
                                <w:t>组织保证</w:t>
                              </w:r>
                            </w:p>
                          </w:txbxContent>
                        </wps:txbx>
                        <wps:bodyPr rot="0" vert="horz" wrap="square" lIns="0" tIns="0" rIns="0" bIns="0" anchor="ctr" anchorCtr="0" upright="1">
                          <a:noAutofit/>
                        </wps:bodyPr>
                      </wps:wsp>
                      <wps:wsp>
                        <wps:cNvPr id="259" name="Line 2581"/>
                        <wps:cNvCnPr>
                          <a:cxnSpLocks noChangeShapeType="1"/>
                        </wps:cNvCnPr>
                        <wps:spPr bwMode="auto">
                          <a:xfrm>
                            <a:off x="2255" y="1219"/>
                            <a:ext cx="479" cy="0"/>
                          </a:xfrm>
                          <a:prstGeom prst="line">
                            <a:avLst/>
                          </a:prstGeom>
                          <a:noFill/>
                          <a:ln w="12700">
                            <a:solidFill>
                              <a:srgbClr val="0000C8"/>
                            </a:solidFill>
                            <a:round/>
                          </a:ln>
                        </wps:spPr>
                        <wps:bodyPr/>
                      </wps:wsp>
                      <wps:wsp>
                        <wps:cNvPr id="260" name="Text Box 2582"/>
                        <wps:cNvSpPr txBox="1">
                          <a:spLocks noChangeArrowheads="1"/>
                        </wps:cNvSpPr>
                        <wps:spPr bwMode="auto">
                          <a:xfrm>
                            <a:off x="2734" y="1045"/>
                            <a:ext cx="2533" cy="348"/>
                          </a:xfrm>
                          <a:prstGeom prst="rect">
                            <a:avLst/>
                          </a:prstGeom>
                          <a:solidFill>
                            <a:schemeClr val="accent6">
                              <a:lumMod val="40000"/>
                              <a:lumOff val="60000"/>
                            </a:schemeClr>
                          </a:solidFill>
                          <a:ln w="12700">
                            <a:solidFill>
                              <a:srgbClr val="0000C8"/>
                            </a:solidFill>
                            <a:miter lim="800000"/>
                          </a:ln>
                        </wps:spPr>
                        <wps:txbx>
                          <w:txbxContent>
                            <w:p w14:paraId="56BA3CEF">
                              <w:pPr>
                                <w:pStyle w:val="72"/>
                              </w:pPr>
                              <w:r>
                                <w:rPr>
                                  <w:rFonts w:hint="eastAsia"/>
                                </w:rPr>
                                <w:t>安监处</w:t>
                              </w:r>
                            </w:p>
                          </w:txbxContent>
                        </wps:txbx>
                        <wps:bodyPr rot="0" vert="horz" wrap="square" lIns="0" tIns="0" rIns="0" bIns="0" anchor="ctr" anchorCtr="0" upright="1">
                          <a:noAutofit/>
                        </wps:bodyPr>
                      </wps:wsp>
                      <wps:wsp>
                        <wps:cNvPr id="262" name="Text Box 2583"/>
                        <wps:cNvSpPr txBox="1">
                          <a:spLocks noChangeArrowheads="1"/>
                        </wps:cNvSpPr>
                        <wps:spPr bwMode="auto">
                          <a:xfrm>
                            <a:off x="2734" y="612"/>
                            <a:ext cx="2533" cy="347"/>
                          </a:xfrm>
                          <a:prstGeom prst="rect">
                            <a:avLst/>
                          </a:prstGeom>
                          <a:solidFill>
                            <a:schemeClr val="accent6">
                              <a:lumMod val="40000"/>
                              <a:lumOff val="60000"/>
                            </a:schemeClr>
                          </a:solidFill>
                          <a:ln w="12700">
                            <a:solidFill>
                              <a:srgbClr val="0000C8"/>
                            </a:solidFill>
                            <a:miter lim="800000"/>
                          </a:ln>
                        </wps:spPr>
                        <wps:txbx>
                          <w:txbxContent>
                            <w:p w14:paraId="13E9F438">
                              <w:pPr>
                                <w:pStyle w:val="72"/>
                              </w:pPr>
                              <w:r>
                                <w:rPr>
                                  <w:rFonts w:hint="eastAsia"/>
                                </w:rPr>
                                <w:t>安委会</w:t>
                              </w:r>
                            </w:p>
                          </w:txbxContent>
                        </wps:txbx>
                        <wps:bodyPr rot="0" vert="horz" wrap="square" lIns="0" tIns="0" rIns="0" bIns="0" anchor="ctr" anchorCtr="0" upright="1">
                          <a:noAutofit/>
                        </wps:bodyPr>
                      </wps:wsp>
                      <wps:wsp>
                        <wps:cNvPr id="263" name="Text Box 2584"/>
                        <wps:cNvSpPr txBox="1">
                          <a:spLocks noChangeArrowheads="1"/>
                        </wps:cNvSpPr>
                        <wps:spPr bwMode="auto">
                          <a:xfrm>
                            <a:off x="2734" y="1480"/>
                            <a:ext cx="2533" cy="349"/>
                          </a:xfrm>
                          <a:prstGeom prst="rect">
                            <a:avLst/>
                          </a:prstGeom>
                          <a:solidFill>
                            <a:schemeClr val="accent6">
                              <a:lumMod val="40000"/>
                              <a:lumOff val="60000"/>
                            </a:schemeClr>
                          </a:solidFill>
                          <a:ln w="12700">
                            <a:solidFill>
                              <a:srgbClr val="0000C8"/>
                            </a:solidFill>
                            <a:miter lim="800000"/>
                          </a:ln>
                        </wps:spPr>
                        <wps:txbx>
                          <w:txbxContent>
                            <w:p w14:paraId="1309BE53">
                              <w:pPr>
                                <w:pStyle w:val="72"/>
                              </w:pPr>
                              <w:r>
                                <w:rPr>
                                  <w:rFonts w:hint="eastAsia"/>
                                </w:rPr>
                                <w:t>项目经理安全责任制</w:t>
                              </w:r>
                            </w:p>
                            <w:p w14:paraId="24D22C3F">
                              <w:pPr>
                                <w:pStyle w:val="72"/>
                              </w:pPr>
                            </w:p>
                          </w:txbxContent>
                        </wps:txbx>
                        <wps:bodyPr rot="0" vert="horz" wrap="square" lIns="0" tIns="0" rIns="0" bIns="0" anchor="ctr" anchorCtr="0" upright="1">
                          <a:noAutofit/>
                        </wps:bodyPr>
                      </wps:wsp>
                      <wps:wsp>
                        <wps:cNvPr id="264" name="Line 2585"/>
                        <wps:cNvCnPr>
                          <a:cxnSpLocks noChangeShapeType="1"/>
                        </wps:cNvCnPr>
                        <wps:spPr bwMode="auto">
                          <a:xfrm>
                            <a:off x="2396" y="784"/>
                            <a:ext cx="0" cy="870"/>
                          </a:xfrm>
                          <a:prstGeom prst="line">
                            <a:avLst/>
                          </a:prstGeom>
                          <a:noFill/>
                          <a:ln w="12700">
                            <a:solidFill>
                              <a:srgbClr val="0000C8"/>
                            </a:solidFill>
                            <a:round/>
                          </a:ln>
                        </wps:spPr>
                        <wps:bodyPr/>
                      </wps:wsp>
                      <wps:wsp>
                        <wps:cNvPr id="265" name="Line 2586"/>
                        <wps:cNvCnPr>
                          <a:cxnSpLocks noChangeShapeType="1"/>
                        </wps:cNvCnPr>
                        <wps:spPr bwMode="auto">
                          <a:xfrm>
                            <a:off x="2396" y="784"/>
                            <a:ext cx="338" cy="0"/>
                          </a:xfrm>
                          <a:prstGeom prst="line">
                            <a:avLst/>
                          </a:prstGeom>
                          <a:noFill/>
                          <a:ln w="12700">
                            <a:solidFill>
                              <a:srgbClr val="0000C8"/>
                            </a:solidFill>
                            <a:round/>
                          </a:ln>
                        </wps:spPr>
                        <wps:bodyPr/>
                      </wps:wsp>
                      <wps:wsp>
                        <wps:cNvPr id="116" name="Line 2587"/>
                        <wps:cNvCnPr>
                          <a:cxnSpLocks noChangeShapeType="1"/>
                        </wps:cNvCnPr>
                        <wps:spPr bwMode="auto">
                          <a:xfrm>
                            <a:off x="2396" y="1654"/>
                            <a:ext cx="338" cy="0"/>
                          </a:xfrm>
                          <a:prstGeom prst="line">
                            <a:avLst/>
                          </a:prstGeom>
                          <a:noFill/>
                          <a:ln w="12700">
                            <a:solidFill>
                              <a:srgbClr val="0000C8"/>
                            </a:solidFill>
                            <a:round/>
                          </a:ln>
                        </wps:spPr>
                        <wps:bodyPr/>
                      </wps:wsp>
                      <wps:wsp>
                        <wps:cNvPr id="266" name="Text Box 2588"/>
                        <wps:cNvSpPr txBox="1">
                          <a:spLocks noChangeArrowheads="1"/>
                        </wps:cNvSpPr>
                        <wps:spPr bwMode="auto">
                          <a:xfrm>
                            <a:off x="5605" y="1035"/>
                            <a:ext cx="2703" cy="348"/>
                          </a:xfrm>
                          <a:prstGeom prst="rect">
                            <a:avLst/>
                          </a:prstGeom>
                          <a:solidFill>
                            <a:schemeClr val="accent6">
                              <a:lumMod val="40000"/>
                              <a:lumOff val="60000"/>
                            </a:schemeClr>
                          </a:solidFill>
                          <a:ln w="12700">
                            <a:solidFill>
                              <a:srgbClr val="0000C8"/>
                            </a:solidFill>
                            <a:miter lim="800000"/>
                          </a:ln>
                        </wps:spPr>
                        <wps:txbx>
                          <w:txbxContent>
                            <w:p w14:paraId="22ED40B3">
                              <w:pPr>
                                <w:pStyle w:val="72"/>
                              </w:pPr>
                              <w:r>
                                <w:rPr>
                                  <w:rFonts w:hint="eastAsia"/>
                                </w:rPr>
                                <w:t>项目部安全监督部</w:t>
                              </w:r>
                            </w:p>
                          </w:txbxContent>
                        </wps:txbx>
                        <wps:bodyPr rot="0" vert="horz" wrap="square" lIns="0" tIns="0" rIns="0" bIns="0" anchor="ctr" anchorCtr="0" upright="1">
                          <a:noAutofit/>
                        </wps:bodyPr>
                      </wps:wsp>
                      <wps:wsp>
                        <wps:cNvPr id="468" name="Text Box 2589"/>
                        <wps:cNvSpPr txBox="1">
                          <a:spLocks noChangeArrowheads="1"/>
                        </wps:cNvSpPr>
                        <wps:spPr bwMode="auto">
                          <a:xfrm>
                            <a:off x="5605" y="602"/>
                            <a:ext cx="2703" cy="347"/>
                          </a:xfrm>
                          <a:prstGeom prst="rect">
                            <a:avLst/>
                          </a:prstGeom>
                          <a:solidFill>
                            <a:schemeClr val="accent6">
                              <a:lumMod val="40000"/>
                              <a:lumOff val="60000"/>
                            </a:schemeClr>
                          </a:solidFill>
                          <a:ln w="12700">
                            <a:solidFill>
                              <a:srgbClr val="0000C8"/>
                            </a:solidFill>
                            <a:miter lim="800000"/>
                          </a:ln>
                        </wps:spPr>
                        <wps:txbx>
                          <w:txbxContent>
                            <w:p w14:paraId="3AF50D13">
                              <w:pPr>
                                <w:pStyle w:val="72"/>
                              </w:pPr>
                              <w:r>
                                <w:rPr>
                                  <w:rFonts w:hint="eastAsia"/>
                                </w:rPr>
                                <w:t>项目部安全领导小组</w:t>
                              </w:r>
                            </w:p>
                          </w:txbxContent>
                        </wps:txbx>
                        <wps:bodyPr rot="0" vert="horz" wrap="square" lIns="0" tIns="0" rIns="0" bIns="0" anchor="ctr" anchorCtr="0" upright="1">
                          <a:noAutofit/>
                        </wps:bodyPr>
                      </wps:wsp>
                      <wps:wsp>
                        <wps:cNvPr id="469" name="Text Box 2590"/>
                        <wps:cNvSpPr txBox="1">
                          <a:spLocks noChangeArrowheads="1"/>
                        </wps:cNvSpPr>
                        <wps:spPr bwMode="auto">
                          <a:xfrm>
                            <a:off x="5605" y="1470"/>
                            <a:ext cx="2703" cy="349"/>
                          </a:xfrm>
                          <a:prstGeom prst="rect">
                            <a:avLst/>
                          </a:prstGeom>
                          <a:solidFill>
                            <a:schemeClr val="accent6">
                              <a:lumMod val="40000"/>
                              <a:lumOff val="60000"/>
                            </a:schemeClr>
                          </a:solidFill>
                          <a:ln w="12700">
                            <a:solidFill>
                              <a:srgbClr val="0000C8"/>
                            </a:solidFill>
                            <a:miter lim="800000"/>
                          </a:ln>
                        </wps:spPr>
                        <wps:txbx>
                          <w:txbxContent>
                            <w:p w14:paraId="64DB9475">
                              <w:pPr>
                                <w:pStyle w:val="72"/>
                              </w:pPr>
                              <w:r>
                                <w:rPr>
                                  <w:rFonts w:hint="eastAsia"/>
                                </w:rPr>
                                <w:t>部门安全责任制</w:t>
                              </w:r>
                            </w:p>
                            <w:p w14:paraId="2362CCF5">
                              <w:pPr>
                                <w:pStyle w:val="72"/>
                              </w:pPr>
                            </w:p>
                          </w:txbxContent>
                        </wps:txbx>
                        <wps:bodyPr rot="0" vert="horz" wrap="square" lIns="0" tIns="0" rIns="0" bIns="0" anchor="ctr" anchorCtr="0" upright="1">
                          <a:noAutofit/>
                        </wps:bodyPr>
                      </wps:wsp>
                      <wps:wsp>
                        <wps:cNvPr id="470" name="Line 2591"/>
                        <wps:cNvCnPr>
                          <a:cxnSpLocks noChangeShapeType="1"/>
                        </wps:cNvCnPr>
                        <wps:spPr bwMode="auto">
                          <a:xfrm>
                            <a:off x="690" y="2524"/>
                            <a:ext cx="143" cy="0"/>
                          </a:xfrm>
                          <a:prstGeom prst="line">
                            <a:avLst/>
                          </a:prstGeom>
                          <a:noFill/>
                          <a:ln w="12700">
                            <a:solidFill>
                              <a:srgbClr val="0000C8"/>
                            </a:solidFill>
                            <a:round/>
                          </a:ln>
                        </wps:spPr>
                        <wps:bodyPr/>
                      </wps:wsp>
                      <wps:wsp>
                        <wps:cNvPr id="471" name="Text Box 2592"/>
                        <wps:cNvSpPr txBox="1">
                          <a:spLocks noChangeArrowheads="1"/>
                        </wps:cNvSpPr>
                        <wps:spPr bwMode="auto">
                          <a:xfrm>
                            <a:off x="833" y="2350"/>
                            <a:ext cx="1352" cy="348"/>
                          </a:xfrm>
                          <a:prstGeom prst="rect">
                            <a:avLst/>
                          </a:prstGeom>
                          <a:solidFill>
                            <a:schemeClr val="accent6">
                              <a:lumMod val="40000"/>
                              <a:lumOff val="60000"/>
                            </a:schemeClr>
                          </a:solidFill>
                          <a:ln w="12700">
                            <a:solidFill>
                              <a:srgbClr val="0000C8"/>
                            </a:solidFill>
                            <a:miter lim="800000"/>
                          </a:ln>
                        </wps:spPr>
                        <wps:txbx>
                          <w:txbxContent>
                            <w:p w14:paraId="55477B5C">
                              <w:pPr>
                                <w:pStyle w:val="72"/>
                              </w:pPr>
                              <w:r>
                                <w:rPr>
                                  <w:rFonts w:hint="eastAsia"/>
                                </w:rPr>
                                <w:t>制度保证</w:t>
                              </w:r>
                            </w:p>
                          </w:txbxContent>
                        </wps:txbx>
                        <wps:bodyPr rot="0" vert="horz" wrap="square" lIns="0" tIns="0" rIns="0" bIns="0" anchor="ctr" anchorCtr="0" upright="1">
                          <a:noAutofit/>
                        </wps:bodyPr>
                      </wps:wsp>
                      <wps:wsp>
                        <wps:cNvPr id="472" name="Line 2593"/>
                        <wps:cNvCnPr>
                          <a:cxnSpLocks noChangeShapeType="1"/>
                        </wps:cNvCnPr>
                        <wps:spPr bwMode="auto">
                          <a:xfrm>
                            <a:off x="2185" y="2524"/>
                            <a:ext cx="549" cy="0"/>
                          </a:xfrm>
                          <a:prstGeom prst="line">
                            <a:avLst/>
                          </a:prstGeom>
                          <a:noFill/>
                          <a:ln w="12700">
                            <a:solidFill>
                              <a:srgbClr val="0000C8"/>
                            </a:solidFill>
                            <a:round/>
                          </a:ln>
                        </wps:spPr>
                        <wps:bodyPr/>
                      </wps:wsp>
                      <wps:wsp>
                        <wps:cNvPr id="473" name="Text Box 2594"/>
                        <wps:cNvSpPr txBox="1">
                          <a:spLocks noChangeArrowheads="1"/>
                        </wps:cNvSpPr>
                        <wps:spPr bwMode="auto">
                          <a:xfrm>
                            <a:off x="2734" y="2350"/>
                            <a:ext cx="3209" cy="348"/>
                          </a:xfrm>
                          <a:prstGeom prst="rect">
                            <a:avLst/>
                          </a:prstGeom>
                          <a:solidFill>
                            <a:schemeClr val="accent6">
                              <a:lumMod val="40000"/>
                              <a:lumOff val="60000"/>
                            </a:schemeClr>
                          </a:solidFill>
                          <a:ln w="12700">
                            <a:solidFill>
                              <a:srgbClr val="0000C8"/>
                            </a:solidFill>
                            <a:miter lim="800000"/>
                          </a:ln>
                        </wps:spPr>
                        <wps:txbx>
                          <w:txbxContent>
                            <w:p w14:paraId="0F0BCD55">
                              <w:pPr>
                                <w:pStyle w:val="72"/>
                              </w:pPr>
                              <w:r>
                                <w:rPr>
                                  <w:rFonts w:hint="eastAsia"/>
                                </w:rPr>
                                <w:t>公司安全生产规章制度</w:t>
                              </w:r>
                            </w:p>
                          </w:txbxContent>
                        </wps:txbx>
                        <wps:bodyPr rot="0" vert="horz" wrap="square" lIns="0" tIns="0" rIns="0" bIns="0" anchor="ctr" anchorCtr="0" upright="1">
                          <a:noAutofit/>
                        </wps:bodyPr>
                      </wps:wsp>
                      <wps:wsp>
                        <wps:cNvPr id="218" name="Text Box 2595"/>
                        <wps:cNvSpPr txBox="1">
                          <a:spLocks noChangeArrowheads="1"/>
                        </wps:cNvSpPr>
                        <wps:spPr bwMode="auto">
                          <a:xfrm>
                            <a:off x="2734" y="1916"/>
                            <a:ext cx="4392" cy="348"/>
                          </a:xfrm>
                          <a:prstGeom prst="rect">
                            <a:avLst/>
                          </a:prstGeom>
                          <a:solidFill>
                            <a:schemeClr val="accent6">
                              <a:lumMod val="40000"/>
                              <a:lumOff val="60000"/>
                            </a:schemeClr>
                          </a:solidFill>
                          <a:ln w="12700">
                            <a:solidFill>
                              <a:srgbClr val="0000C8"/>
                            </a:solidFill>
                            <a:miter lim="800000"/>
                          </a:ln>
                        </wps:spPr>
                        <wps:txbx>
                          <w:txbxContent>
                            <w:p w14:paraId="6FBA0BC3">
                              <w:pPr>
                                <w:pStyle w:val="72"/>
                              </w:pPr>
                              <w:r>
                                <w:rPr>
                                  <w:rFonts w:hint="eastAsia"/>
                                </w:rPr>
                                <w:t>国家、省部、地方安全生产法律法规</w:t>
                              </w:r>
                            </w:p>
                          </w:txbxContent>
                        </wps:txbx>
                        <wps:bodyPr rot="0" vert="horz" wrap="square" lIns="0" tIns="0" rIns="0" bIns="0" anchor="ctr" anchorCtr="0" upright="1">
                          <a:noAutofit/>
                        </wps:bodyPr>
                      </wps:wsp>
                      <wps:wsp>
                        <wps:cNvPr id="219" name="Text Box 2596"/>
                        <wps:cNvSpPr txBox="1">
                          <a:spLocks noChangeArrowheads="1"/>
                        </wps:cNvSpPr>
                        <wps:spPr bwMode="auto">
                          <a:xfrm>
                            <a:off x="2734" y="2785"/>
                            <a:ext cx="2533" cy="349"/>
                          </a:xfrm>
                          <a:prstGeom prst="rect">
                            <a:avLst/>
                          </a:prstGeom>
                          <a:solidFill>
                            <a:schemeClr val="accent6">
                              <a:lumMod val="40000"/>
                              <a:lumOff val="60000"/>
                            </a:schemeClr>
                          </a:solidFill>
                          <a:ln w="12700">
                            <a:solidFill>
                              <a:srgbClr val="0000C8"/>
                            </a:solidFill>
                            <a:miter lim="800000"/>
                          </a:ln>
                        </wps:spPr>
                        <wps:txbx>
                          <w:txbxContent>
                            <w:p w14:paraId="623B6643">
                              <w:pPr>
                                <w:pStyle w:val="72"/>
                              </w:pPr>
                              <w:r>
                                <w:rPr>
                                  <w:rFonts w:hint="eastAsia"/>
                                </w:rPr>
                                <w:t>项目安全工作标准</w:t>
                              </w:r>
                            </w:p>
                          </w:txbxContent>
                        </wps:txbx>
                        <wps:bodyPr rot="0" vert="horz" wrap="square" lIns="0" tIns="0" rIns="0" bIns="0" anchor="ctr" anchorCtr="0" upright="1">
                          <a:noAutofit/>
                        </wps:bodyPr>
                      </wps:wsp>
                      <wps:wsp>
                        <wps:cNvPr id="267" name="Line 2597"/>
                        <wps:cNvCnPr>
                          <a:cxnSpLocks noChangeShapeType="1"/>
                        </wps:cNvCnPr>
                        <wps:spPr bwMode="auto">
                          <a:xfrm>
                            <a:off x="2396" y="2088"/>
                            <a:ext cx="0" cy="1308"/>
                          </a:xfrm>
                          <a:prstGeom prst="line">
                            <a:avLst/>
                          </a:prstGeom>
                          <a:noFill/>
                          <a:ln w="12700">
                            <a:solidFill>
                              <a:srgbClr val="0000C8"/>
                            </a:solidFill>
                            <a:round/>
                          </a:ln>
                        </wps:spPr>
                        <wps:bodyPr/>
                      </wps:wsp>
                      <wps:wsp>
                        <wps:cNvPr id="220" name="Line 2598"/>
                        <wps:cNvCnPr>
                          <a:cxnSpLocks noChangeShapeType="1"/>
                        </wps:cNvCnPr>
                        <wps:spPr bwMode="auto">
                          <a:xfrm>
                            <a:off x="2396" y="2088"/>
                            <a:ext cx="338" cy="0"/>
                          </a:xfrm>
                          <a:prstGeom prst="line">
                            <a:avLst/>
                          </a:prstGeom>
                          <a:noFill/>
                          <a:ln w="12700">
                            <a:solidFill>
                              <a:srgbClr val="0000C8"/>
                            </a:solidFill>
                            <a:round/>
                          </a:ln>
                        </wps:spPr>
                        <wps:bodyPr/>
                      </wps:wsp>
                      <wps:wsp>
                        <wps:cNvPr id="516" name="Line 2599"/>
                        <wps:cNvCnPr>
                          <a:cxnSpLocks noChangeShapeType="1"/>
                        </wps:cNvCnPr>
                        <wps:spPr bwMode="auto">
                          <a:xfrm>
                            <a:off x="2396" y="2959"/>
                            <a:ext cx="338" cy="0"/>
                          </a:xfrm>
                          <a:prstGeom prst="line">
                            <a:avLst/>
                          </a:prstGeom>
                          <a:noFill/>
                          <a:ln w="12700">
                            <a:solidFill>
                              <a:srgbClr val="0000C8"/>
                            </a:solidFill>
                            <a:round/>
                          </a:ln>
                        </wps:spPr>
                        <wps:bodyPr/>
                      </wps:wsp>
                      <wps:wsp>
                        <wps:cNvPr id="517" name="Line 2600"/>
                        <wps:cNvCnPr>
                          <a:cxnSpLocks noChangeShapeType="1"/>
                        </wps:cNvCnPr>
                        <wps:spPr bwMode="auto">
                          <a:xfrm>
                            <a:off x="5267" y="2961"/>
                            <a:ext cx="338" cy="0"/>
                          </a:xfrm>
                          <a:prstGeom prst="line">
                            <a:avLst/>
                          </a:prstGeom>
                          <a:noFill/>
                          <a:ln w="12700">
                            <a:solidFill>
                              <a:srgbClr val="0000C8"/>
                            </a:solidFill>
                            <a:round/>
                          </a:ln>
                        </wps:spPr>
                        <wps:bodyPr/>
                      </wps:wsp>
                      <wps:wsp>
                        <wps:cNvPr id="518" name="Text Box 2601"/>
                        <wps:cNvSpPr txBox="1">
                          <a:spLocks noChangeArrowheads="1"/>
                        </wps:cNvSpPr>
                        <wps:spPr bwMode="auto">
                          <a:xfrm>
                            <a:off x="5605" y="2787"/>
                            <a:ext cx="676" cy="348"/>
                          </a:xfrm>
                          <a:prstGeom prst="rect">
                            <a:avLst/>
                          </a:prstGeom>
                          <a:solidFill>
                            <a:schemeClr val="accent6">
                              <a:lumMod val="40000"/>
                              <a:lumOff val="60000"/>
                            </a:schemeClr>
                          </a:solidFill>
                          <a:ln w="12700">
                            <a:solidFill>
                              <a:srgbClr val="0000C8"/>
                            </a:solidFill>
                            <a:miter lim="800000"/>
                          </a:ln>
                        </wps:spPr>
                        <wps:txbx>
                          <w:txbxContent>
                            <w:p w14:paraId="490310CC">
                              <w:pPr>
                                <w:pStyle w:val="72"/>
                              </w:pPr>
                              <w:r>
                                <w:rPr>
                                  <w:rFonts w:hint="eastAsia"/>
                                </w:rPr>
                                <w:t>计划</w:t>
                              </w:r>
                            </w:p>
                          </w:txbxContent>
                        </wps:txbx>
                        <wps:bodyPr rot="0" vert="horz" wrap="square" lIns="0" tIns="0" rIns="0" bIns="0" anchor="ctr" anchorCtr="0" upright="1">
                          <a:noAutofit/>
                        </wps:bodyPr>
                      </wps:wsp>
                      <wps:wsp>
                        <wps:cNvPr id="519" name="Text Box 2602"/>
                        <wps:cNvSpPr txBox="1">
                          <a:spLocks noChangeArrowheads="1"/>
                        </wps:cNvSpPr>
                        <wps:spPr bwMode="auto">
                          <a:xfrm>
                            <a:off x="6281" y="2787"/>
                            <a:ext cx="676" cy="348"/>
                          </a:xfrm>
                          <a:prstGeom prst="rect">
                            <a:avLst/>
                          </a:prstGeom>
                          <a:solidFill>
                            <a:schemeClr val="accent6">
                              <a:lumMod val="40000"/>
                              <a:lumOff val="60000"/>
                            </a:schemeClr>
                          </a:solidFill>
                          <a:ln w="12700">
                            <a:solidFill>
                              <a:srgbClr val="0000C8"/>
                            </a:solidFill>
                            <a:miter lim="800000"/>
                          </a:ln>
                        </wps:spPr>
                        <wps:txbx>
                          <w:txbxContent>
                            <w:p w14:paraId="2A4F3F97">
                              <w:pPr>
                                <w:pStyle w:val="72"/>
                              </w:pPr>
                              <w:r>
                                <w:rPr>
                                  <w:rFonts w:hint="eastAsia"/>
                                </w:rPr>
                                <w:t>教育</w:t>
                              </w:r>
                            </w:p>
                          </w:txbxContent>
                        </wps:txbx>
                        <wps:bodyPr rot="0" vert="horz" wrap="square" lIns="0" tIns="0" rIns="0" bIns="0" anchor="ctr" anchorCtr="0" upright="1">
                          <a:noAutofit/>
                        </wps:bodyPr>
                      </wps:wsp>
                      <wps:wsp>
                        <wps:cNvPr id="520" name="Text Box 2603"/>
                        <wps:cNvSpPr txBox="1">
                          <a:spLocks noChangeArrowheads="1"/>
                        </wps:cNvSpPr>
                        <wps:spPr bwMode="auto">
                          <a:xfrm>
                            <a:off x="6957" y="2787"/>
                            <a:ext cx="675" cy="348"/>
                          </a:xfrm>
                          <a:prstGeom prst="rect">
                            <a:avLst/>
                          </a:prstGeom>
                          <a:solidFill>
                            <a:schemeClr val="accent6">
                              <a:lumMod val="40000"/>
                              <a:lumOff val="60000"/>
                            </a:schemeClr>
                          </a:solidFill>
                          <a:ln w="12700">
                            <a:solidFill>
                              <a:srgbClr val="0000C8"/>
                            </a:solidFill>
                            <a:miter lim="800000"/>
                          </a:ln>
                        </wps:spPr>
                        <wps:txbx>
                          <w:txbxContent>
                            <w:p w14:paraId="64773CEF">
                              <w:pPr>
                                <w:pStyle w:val="72"/>
                              </w:pPr>
                              <w:r>
                                <w:rPr>
                                  <w:rFonts w:hint="eastAsia"/>
                                </w:rPr>
                                <w:t>检查</w:t>
                              </w:r>
                            </w:p>
                          </w:txbxContent>
                        </wps:txbx>
                        <wps:bodyPr rot="0" vert="horz" wrap="square" lIns="0" tIns="0" rIns="0" bIns="0" anchor="ctr" anchorCtr="0" upright="1">
                          <a:noAutofit/>
                        </wps:bodyPr>
                      </wps:wsp>
                      <wps:wsp>
                        <wps:cNvPr id="221" name="Text Box 2604"/>
                        <wps:cNvSpPr txBox="1">
                          <a:spLocks noChangeArrowheads="1"/>
                        </wps:cNvSpPr>
                        <wps:spPr bwMode="auto">
                          <a:xfrm>
                            <a:off x="7632" y="2787"/>
                            <a:ext cx="676" cy="348"/>
                          </a:xfrm>
                          <a:prstGeom prst="rect">
                            <a:avLst/>
                          </a:prstGeom>
                          <a:solidFill>
                            <a:schemeClr val="accent6">
                              <a:lumMod val="40000"/>
                              <a:lumOff val="60000"/>
                            </a:schemeClr>
                          </a:solidFill>
                          <a:ln w="12700">
                            <a:solidFill>
                              <a:srgbClr val="0000C8"/>
                            </a:solidFill>
                            <a:miter lim="800000"/>
                          </a:ln>
                        </wps:spPr>
                        <wps:txbx>
                          <w:txbxContent>
                            <w:p w14:paraId="6C98DDAD">
                              <w:pPr>
                                <w:pStyle w:val="72"/>
                              </w:pPr>
                              <w:r>
                                <w:rPr>
                                  <w:rFonts w:hint="eastAsia"/>
                                </w:rPr>
                                <w:t>奖惩</w:t>
                              </w:r>
                            </w:p>
                          </w:txbxContent>
                        </wps:txbx>
                        <wps:bodyPr rot="0" vert="horz" wrap="square" lIns="0" tIns="0" rIns="0" bIns="0" anchor="ctr" anchorCtr="0" upright="1">
                          <a:noAutofit/>
                        </wps:bodyPr>
                      </wps:wsp>
                      <wps:wsp>
                        <wps:cNvPr id="222" name="Line 2605"/>
                        <wps:cNvCnPr>
                          <a:cxnSpLocks noChangeShapeType="1"/>
                        </wps:cNvCnPr>
                        <wps:spPr bwMode="auto">
                          <a:xfrm>
                            <a:off x="5267" y="784"/>
                            <a:ext cx="338" cy="0"/>
                          </a:xfrm>
                          <a:prstGeom prst="line">
                            <a:avLst/>
                          </a:prstGeom>
                          <a:noFill/>
                          <a:ln w="12700">
                            <a:solidFill>
                              <a:srgbClr val="0000C8"/>
                            </a:solidFill>
                            <a:round/>
                          </a:ln>
                        </wps:spPr>
                        <wps:bodyPr/>
                      </wps:wsp>
                      <wps:wsp>
                        <wps:cNvPr id="523" name="Line 2606"/>
                        <wps:cNvCnPr>
                          <a:cxnSpLocks noChangeShapeType="1"/>
                        </wps:cNvCnPr>
                        <wps:spPr bwMode="auto">
                          <a:xfrm>
                            <a:off x="5267" y="1219"/>
                            <a:ext cx="338" cy="0"/>
                          </a:xfrm>
                          <a:prstGeom prst="line">
                            <a:avLst/>
                          </a:prstGeom>
                          <a:noFill/>
                          <a:ln w="12700">
                            <a:solidFill>
                              <a:srgbClr val="0000C8"/>
                            </a:solidFill>
                            <a:round/>
                          </a:ln>
                        </wps:spPr>
                        <wps:bodyPr/>
                      </wps:wsp>
                      <wps:wsp>
                        <wps:cNvPr id="524" name="Line 2607"/>
                        <wps:cNvCnPr>
                          <a:cxnSpLocks noChangeShapeType="1"/>
                        </wps:cNvCnPr>
                        <wps:spPr bwMode="auto">
                          <a:xfrm>
                            <a:off x="5267" y="1654"/>
                            <a:ext cx="338" cy="0"/>
                          </a:xfrm>
                          <a:prstGeom prst="line">
                            <a:avLst/>
                          </a:prstGeom>
                          <a:noFill/>
                          <a:ln w="12700">
                            <a:solidFill>
                              <a:srgbClr val="0000C8"/>
                            </a:solidFill>
                            <a:round/>
                          </a:ln>
                        </wps:spPr>
                        <wps:bodyPr/>
                      </wps:wsp>
                      <wps:wsp>
                        <wps:cNvPr id="525" name="Text Box 2608"/>
                        <wps:cNvSpPr txBox="1">
                          <a:spLocks noChangeArrowheads="1"/>
                        </wps:cNvSpPr>
                        <wps:spPr bwMode="auto">
                          <a:xfrm>
                            <a:off x="2734" y="3222"/>
                            <a:ext cx="5574" cy="348"/>
                          </a:xfrm>
                          <a:prstGeom prst="rect">
                            <a:avLst/>
                          </a:prstGeom>
                          <a:solidFill>
                            <a:schemeClr val="accent6">
                              <a:lumMod val="40000"/>
                              <a:lumOff val="60000"/>
                            </a:schemeClr>
                          </a:solidFill>
                          <a:ln w="12700">
                            <a:solidFill>
                              <a:srgbClr val="0000C8"/>
                            </a:solidFill>
                            <a:miter lim="800000"/>
                          </a:ln>
                        </wps:spPr>
                        <wps:txbx>
                          <w:txbxContent>
                            <w:p w14:paraId="2CAE5428">
                              <w:pPr>
                                <w:pStyle w:val="72"/>
                              </w:pPr>
                              <w:r>
                                <w:rPr>
                                  <w:rFonts w:hint="eastAsia"/>
                                </w:rPr>
                                <w:t>特殊工种、特种设备、关键工序安全操作规程</w:t>
                              </w:r>
                            </w:p>
                          </w:txbxContent>
                        </wps:txbx>
                        <wps:bodyPr rot="0" vert="horz" wrap="square" lIns="0" tIns="0" rIns="0" bIns="0" anchor="ctr" anchorCtr="0" upright="1">
                          <a:noAutofit/>
                        </wps:bodyPr>
                      </wps:wsp>
                      <wps:wsp>
                        <wps:cNvPr id="526" name="Line 2609"/>
                        <wps:cNvCnPr>
                          <a:cxnSpLocks noChangeShapeType="1"/>
                        </wps:cNvCnPr>
                        <wps:spPr bwMode="auto">
                          <a:xfrm>
                            <a:off x="2396" y="3396"/>
                            <a:ext cx="338" cy="0"/>
                          </a:xfrm>
                          <a:prstGeom prst="line">
                            <a:avLst/>
                          </a:prstGeom>
                          <a:noFill/>
                          <a:ln w="12700">
                            <a:solidFill>
                              <a:srgbClr val="0000C8"/>
                            </a:solidFill>
                            <a:round/>
                          </a:ln>
                        </wps:spPr>
                        <wps:bodyPr/>
                      </wps:wsp>
                      <wps:wsp>
                        <wps:cNvPr id="527" name="Line 2610"/>
                        <wps:cNvCnPr>
                          <a:cxnSpLocks noChangeShapeType="1"/>
                        </wps:cNvCnPr>
                        <wps:spPr bwMode="auto">
                          <a:xfrm>
                            <a:off x="709" y="4265"/>
                            <a:ext cx="124" cy="0"/>
                          </a:xfrm>
                          <a:prstGeom prst="line">
                            <a:avLst/>
                          </a:prstGeom>
                          <a:noFill/>
                          <a:ln w="12700">
                            <a:solidFill>
                              <a:srgbClr val="0000C8"/>
                            </a:solidFill>
                            <a:round/>
                          </a:ln>
                        </wps:spPr>
                        <wps:bodyPr/>
                      </wps:wsp>
                      <wps:wsp>
                        <wps:cNvPr id="528" name="Text Box 2611"/>
                        <wps:cNvSpPr txBox="1">
                          <a:spLocks noChangeArrowheads="1"/>
                        </wps:cNvSpPr>
                        <wps:spPr bwMode="auto">
                          <a:xfrm>
                            <a:off x="833" y="4091"/>
                            <a:ext cx="1352" cy="349"/>
                          </a:xfrm>
                          <a:prstGeom prst="rect">
                            <a:avLst/>
                          </a:prstGeom>
                          <a:solidFill>
                            <a:schemeClr val="accent6">
                              <a:lumMod val="40000"/>
                              <a:lumOff val="60000"/>
                            </a:schemeClr>
                          </a:solidFill>
                          <a:ln w="12700">
                            <a:solidFill>
                              <a:srgbClr val="0000C8"/>
                            </a:solidFill>
                            <a:miter lim="800000"/>
                          </a:ln>
                        </wps:spPr>
                        <wps:txbx>
                          <w:txbxContent>
                            <w:p w14:paraId="28D9655E">
                              <w:pPr>
                                <w:pStyle w:val="72"/>
                              </w:pPr>
                              <w:r>
                                <w:rPr>
                                  <w:rFonts w:hint="eastAsia"/>
                                </w:rPr>
                                <w:t>技术保证</w:t>
                              </w:r>
                            </w:p>
                          </w:txbxContent>
                        </wps:txbx>
                        <wps:bodyPr rot="0" vert="horz" wrap="square" lIns="0" tIns="0" rIns="0" bIns="0" anchor="ctr" anchorCtr="0" upright="1">
                          <a:noAutofit/>
                        </wps:bodyPr>
                      </wps:wsp>
                      <wps:wsp>
                        <wps:cNvPr id="529" name="Line 2612"/>
                        <wps:cNvCnPr>
                          <a:cxnSpLocks noChangeShapeType="1"/>
                        </wps:cNvCnPr>
                        <wps:spPr bwMode="auto">
                          <a:xfrm>
                            <a:off x="2185" y="4265"/>
                            <a:ext cx="549" cy="0"/>
                          </a:xfrm>
                          <a:prstGeom prst="line">
                            <a:avLst/>
                          </a:prstGeom>
                          <a:noFill/>
                          <a:ln w="12700">
                            <a:solidFill>
                              <a:srgbClr val="0000C8"/>
                            </a:solidFill>
                            <a:round/>
                          </a:ln>
                        </wps:spPr>
                        <wps:bodyPr/>
                      </wps:wsp>
                      <wps:wsp>
                        <wps:cNvPr id="530" name="Text Box 2613"/>
                        <wps:cNvSpPr txBox="1">
                          <a:spLocks noChangeArrowheads="1"/>
                        </wps:cNvSpPr>
                        <wps:spPr bwMode="auto">
                          <a:xfrm>
                            <a:off x="2734" y="4091"/>
                            <a:ext cx="3547" cy="349"/>
                          </a:xfrm>
                          <a:prstGeom prst="rect">
                            <a:avLst/>
                          </a:prstGeom>
                          <a:solidFill>
                            <a:schemeClr val="accent6">
                              <a:lumMod val="40000"/>
                              <a:lumOff val="60000"/>
                            </a:schemeClr>
                          </a:solidFill>
                          <a:ln w="12700">
                            <a:solidFill>
                              <a:srgbClr val="0000C8"/>
                            </a:solidFill>
                            <a:miter lim="800000"/>
                          </a:ln>
                        </wps:spPr>
                        <wps:txbx>
                          <w:txbxContent>
                            <w:p w14:paraId="296A8EF2">
                              <w:pPr>
                                <w:pStyle w:val="72"/>
                              </w:pPr>
                              <w:r>
                                <w:rPr>
                                  <w:rFonts w:hint="eastAsia"/>
                                </w:rPr>
                                <w:t>分部、分项工程安全技术交底</w:t>
                              </w:r>
                            </w:p>
                          </w:txbxContent>
                        </wps:txbx>
                        <wps:bodyPr rot="0" vert="horz" wrap="square" lIns="0" tIns="0" rIns="0" bIns="0" anchor="ctr" anchorCtr="0" upright="1">
                          <a:noAutofit/>
                        </wps:bodyPr>
                      </wps:wsp>
                      <wps:wsp>
                        <wps:cNvPr id="531" name="Text Box 2614"/>
                        <wps:cNvSpPr txBox="1">
                          <a:spLocks noChangeArrowheads="1"/>
                        </wps:cNvSpPr>
                        <wps:spPr bwMode="auto">
                          <a:xfrm>
                            <a:off x="2734" y="3657"/>
                            <a:ext cx="3547" cy="349"/>
                          </a:xfrm>
                          <a:prstGeom prst="rect">
                            <a:avLst/>
                          </a:prstGeom>
                          <a:solidFill>
                            <a:schemeClr val="accent6">
                              <a:lumMod val="40000"/>
                              <a:lumOff val="60000"/>
                            </a:schemeClr>
                          </a:solidFill>
                          <a:ln w="12700">
                            <a:solidFill>
                              <a:srgbClr val="0000C8"/>
                            </a:solidFill>
                            <a:miter lim="800000"/>
                          </a:ln>
                        </wps:spPr>
                        <wps:txbx>
                          <w:txbxContent>
                            <w:p w14:paraId="371B1E40">
                              <w:pPr>
                                <w:pStyle w:val="72"/>
                              </w:pPr>
                              <w:r>
                                <w:rPr>
                                  <w:rFonts w:hint="eastAsia"/>
                                </w:rPr>
                                <w:t>施工组织设计安全保证措施</w:t>
                              </w:r>
                            </w:p>
                          </w:txbxContent>
                        </wps:txbx>
                        <wps:bodyPr rot="0" vert="horz" wrap="square" lIns="0" tIns="0" rIns="0" bIns="0" anchor="ctr" anchorCtr="0" upright="1">
                          <a:noAutofit/>
                        </wps:bodyPr>
                      </wps:wsp>
                      <wps:wsp>
                        <wps:cNvPr id="532" name="Text Box 2615"/>
                        <wps:cNvSpPr txBox="1">
                          <a:spLocks noChangeArrowheads="1"/>
                        </wps:cNvSpPr>
                        <wps:spPr bwMode="auto">
                          <a:xfrm>
                            <a:off x="2734" y="4527"/>
                            <a:ext cx="2533" cy="348"/>
                          </a:xfrm>
                          <a:prstGeom prst="rect">
                            <a:avLst/>
                          </a:prstGeom>
                          <a:solidFill>
                            <a:schemeClr val="accent6">
                              <a:lumMod val="40000"/>
                              <a:lumOff val="60000"/>
                            </a:schemeClr>
                          </a:solidFill>
                          <a:ln w="12700">
                            <a:solidFill>
                              <a:srgbClr val="0000C8"/>
                            </a:solidFill>
                            <a:miter lim="800000"/>
                          </a:ln>
                        </wps:spPr>
                        <wps:txbx>
                          <w:txbxContent>
                            <w:p w14:paraId="03D1C491">
                              <w:pPr>
                                <w:pStyle w:val="72"/>
                              </w:pPr>
                              <w:r>
                                <w:rPr>
                                  <w:rFonts w:hint="eastAsia"/>
                                </w:rPr>
                                <w:t>安全QC小组</w:t>
                              </w:r>
                            </w:p>
                          </w:txbxContent>
                        </wps:txbx>
                        <wps:bodyPr rot="0" vert="horz" wrap="square" lIns="0" tIns="0" rIns="0" bIns="0" anchor="ctr" anchorCtr="0" upright="1">
                          <a:noAutofit/>
                        </wps:bodyPr>
                      </wps:wsp>
                      <wps:wsp>
                        <wps:cNvPr id="533" name="Line 2616"/>
                        <wps:cNvCnPr>
                          <a:cxnSpLocks noChangeShapeType="1"/>
                        </wps:cNvCnPr>
                        <wps:spPr bwMode="auto">
                          <a:xfrm>
                            <a:off x="2396" y="3830"/>
                            <a:ext cx="0" cy="873"/>
                          </a:xfrm>
                          <a:prstGeom prst="line">
                            <a:avLst/>
                          </a:prstGeom>
                          <a:noFill/>
                          <a:ln w="12700">
                            <a:solidFill>
                              <a:srgbClr val="0000C8"/>
                            </a:solidFill>
                            <a:round/>
                          </a:ln>
                        </wps:spPr>
                        <wps:bodyPr/>
                      </wps:wsp>
                      <wps:wsp>
                        <wps:cNvPr id="534" name="Line 2617"/>
                        <wps:cNvCnPr>
                          <a:cxnSpLocks noChangeShapeType="1"/>
                        </wps:cNvCnPr>
                        <wps:spPr bwMode="auto">
                          <a:xfrm>
                            <a:off x="2396" y="3830"/>
                            <a:ext cx="338" cy="0"/>
                          </a:xfrm>
                          <a:prstGeom prst="line">
                            <a:avLst/>
                          </a:prstGeom>
                          <a:noFill/>
                          <a:ln w="12700">
                            <a:solidFill>
                              <a:srgbClr val="0000C8"/>
                            </a:solidFill>
                            <a:round/>
                          </a:ln>
                        </wps:spPr>
                        <wps:bodyPr/>
                      </wps:wsp>
                      <wps:wsp>
                        <wps:cNvPr id="535" name="Line 2618"/>
                        <wps:cNvCnPr>
                          <a:cxnSpLocks noChangeShapeType="1"/>
                        </wps:cNvCnPr>
                        <wps:spPr bwMode="auto">
                          <a:xfrm>
                            <a:off x="2396" y="4701"/>
                            <a:ext cx="338" cy="0"/>
                          </a:xfrm>
                          <a:prstGeom prst="line">
                            <a:avLst/>
                          </a:prstGeom>
                          <a:noFill/>
                          <a:ln w="12700">
                            <a:solidFill>
                              <a:srgbClr val="0000C8"/>
                            </a:solidFill>
                            <a:round/>
                          </a:ln>
                        </wps:spPr>
                        <wps:bodyPr/>
                      </wps:wsp>
                      <wps:wsp>
                        <wps:cNvPr id="536" name="Line 2619"/>
                        <wps:cNvCnPr>
                          <a:cxnSpLocks noChangeShapeType="1"/>
                        </wps:cNvCnPr>
                        <wps:spPr bwMode="auto">
                          <a:xfrm>
                            <a:off x="5267" y="4703"/>
                            <a:ext cx="338" cy="0"/>
                          </a:xfrm>
                          <a:prstGeom prst="line">
                            <a:avLst/>
                          </a:prstGeom>
                          <a:noFill/>
                          <a:ln w="12700">
                            <a:solidFill>
                              <a:srgbClr val="0000C8"/>
                            </a:solidFill>
                            <a:round/>
                          </a:ln>
                        </wps:spPr>
                        <wps:bodyPr/>
                      </wps:wsp>
                      <wps:wsp>
                        <wps:cNvPr id="545" name="Text Box 2620"/>
                        <wps:cNvSpPr txBox="1">
                          <a:spLocks noChangeArrowheads="1"/>
                        </wps:cNvSpPr>
                        <wps:spPr bwMode="auto">
                          <a:xfrm>
                            <a:off x="5605" y="4529"/>
                            <a:ext cx="676" cy="348"/>
                          </a:xfrm>
                          <a:prstGeom prst="rect">
                            <a:avLst/>
                          </a:prstGeom>
                          <a:solidFill>
                            <a:schemeClr val="accent6">
                              <a:lumMod val="40000"/>
                              <a:lumOff val="60000"/>
                            </a:schemeClr>
                          </a:solidFill>
                          <a:ln w="12700">
                            <a:solidFill>
                              <a:srgbClr val="0000C8"/>
                            </a:solidFill>
                            <a:miter lim="800000"/>
                          </a:ln>
                        </wps:spPr>
                        <wps:txbx>
                          <w:txbxContent>
                            <w:p w14:paraId="494C495B">
                              <w:pPr>
                                <w:pStyle w:val="72"/>
                              </w:pPr>
                              <w:r>
                                <w:rPr>
                                  <w:rFonts w:hint="eastAsia"/>
                                </w:rPr>
                                <w:t>P</w:t>
                              </w:r>
                            </w:p>
                          </w:txbxContent>
                        </wps:txbx>
                        <wps:bodyPr rot="0" vert="horz" wrap="square" lIns="0" tIns="0" rIns="0" bIns="0" anchor="ctr" anchorCtr="0" upright="1">
                          <a:noAutofit/>
                        </wps:bodyPr>
                      </wps:wsp>
                      <wps:wsp>
                        <wps:cNvPr id="547" name="Text Box 2621"/>
                        <wps:cNvSpPr txBox="1">
                          <a:spLocks noChangeArrowheads="1"/>
                        </wps:cNvSpPr>
                        <wps:spPr bwMode="auto">
                          <a:xfrm>
                            <a:off x="6281" y="4529"/>
                            <a:ext cx="676" cy="348"/>
                          </a:xfrm>
                          <a:prstGeom prst="rect">
                            <a:avLst/>
                          </a:prstGeom>
                          <a:solidFill>
                            <a:schemeClr val="accent6">
                              <a:lumMod val="40000"/>
                              <a:lumOff val="60000"/>
                            </a:schemeClr>
                          </a:solidFill>
                          <a:ln w="12700">
                            <a:solidFill>
                              <a:srgbClr val="0000C8"/>
                            </a:solidFill>
                            <a:miter lim="800000"/>
                          </a:ln>
                        </wps:spPr>
                        <wps:txbx>
                          <w:txbxContent>
                            <w:p w14:paraId="116DAF82">
                              <w:pPr>
                                <w:pStyle w:val="72"/>
                              </w:pPr>
                              <w:r>
                                <w:rPr>
                                  <w:rFonts w:hint="eastAsia"/>
                                </w:rPr>
                                <w:t>D</w:t>
                              </w:r>
                            </w:p>
                          </w:txbxContent>
                        </wps:txbx>
                        <wps:bodyPr rot="0" vert="horz" wrap="square" lIns="0" tIns="0" rIns="0" bIns="0" anchor="ctr" anchorCtr="0" upright="1">
                          <a:noAutofit/>
                        </wps:bodyPr>
                      </wps:wsp>
                      <wps:wsp>
                        <wps:cNvPr id="556" name="Text Box 2622"/>
                        <wps:cNvSpPr txBox="1">
                          <a:spLocks noChangeArrowheads="1"/>
                        </wps:cNvSpPr>
                        <wps:spPr bwMode="auto">
                          <a:xfrm>
                            <a:off x="6957" y="4529"/>
                            <a:ext cx="675" cy="348"/>
                          </a:xfrm>
                          <a:prstGeom prst="rect">
                            <a:avLst/>
                          </a:prstGeom>
                          <a:solidFill>
                            <a:schemeClr val="accent6">
                              <a:lumMod val="40000"/>
                              <a:lumOff val="60000"/>
                            </a:schemeClr>
                          </a:solidFill>
                          <a:ln w="12700">
                            <a:solidFill>
                              <a:srgbClr val="0000C8"/>
                            </a:solidFill>
                            <a:miter lim="800000"/>
                          </a:ln>
                        </wps:spPr>
                        <wps:txbx>
                          <w:txbxContent>
                            <w:p w14:paraId="748AE739">
                              <w:pPr>
                                <w:pStyle w:val="72"/>
                              </w:pPr>
                              <w:r>
                                <w:rPr>
                                  <w:rFonts w:hint="eastAsia"/>
                                </w:rPr>
                                <w:t>C</w:t>
                              </w:r>
                            </w:p>
                          </w:txbxContent>
                        </wps:txbx>
                        <wps:bodyPr rot="0" vert="horz" wrap="square" lIns="0" tIns="0" rIns="0" bIns="0" anchor="ctr" anchorCtr="0" upright="1">
                          <a:noAutofit/>
                        </wps:bodyPr>
                      </wps:wsp>
                      <wps:wsp>
                        <wps:cNvPr id="579" name="Text Box 2623"/>
                        <wps:cNvSpPr txBox="1">
                          <a:spLocks noChangeArrowheads="1"/>
                        </wps:cNvSpPr>
                        <wps:spPr bwMode="auto">
                          <a:xfrm>
                            <a:off x="7632" y="4529"/>
                            <a:ext cx="676" cy="348"/>
                          </a:xfrm>
                          <a:prstGeom prst="rect">
                            <a:avLst/>
                          </a:prstGeom>
                          <a:solidFill>
                            <a:schemeClr val="accent6">
                              <a:lumMod val="40000"/>
                              <a:lumOff val="60000"/>
                            </a:schemeClr>
                          </a:solidFill>
                          <a:ln w="12700">
                            <a:solidFill>
                              <a:srgbClr val="0000C8"/>
                            </a:solidFill>
                            <a:miter lim="800000"/>
                          </a:ln>
                        </wps:spPr>
                        <wps:txbx>
                          <w:txbxContent>
                            <w:p w14:paraId="5B7932F4">
                              <w:pPr>
                                <w:pStyle w:val="72"/>
                              </w:pPr>
                              <w:r>
                                <w:rPr>
                                  <w:rFonts w:hint="eastAsia"/>
                                </w:rPr>
                                <w:t>A</w:t>
                              </w:r>
                            </w:p>
                          </w:txbxContent>
                        </wps:txbx>
                        <wps:bodyPr rot="0" vert="horz" wrap="square" lIns="0" tIns="0" rIns="0" bIns="0" anchor="ctr" anchorCtr="0" upright="1">
                          <a:noAutofit/>
                        </wps:bodyPr>
                      </wps:wsp>
                      <wps:wsp>
                        <wps:cNvPr id="580" name="Line 2624"/>
                        <wps:cNvCnPr>
                          <a:cxnSpLocks noChangeShapeType="1"/>
                        </wps:cNvCnPr>
                        <wps:spPr bwMode="auto">
                          <a:xfrm>
                            <a:off x="690" y="5573"/>
                            <a:ext cx="143" cy="0"/>
                          </a:xfrm>
                          <a:prstGeom prst="line">
                            <a:avLst/>
                          </a:prstGeom>
                          <a:noFill/>
                          <a:ln w="12700">
                            <a:solidFill>
                              <a:srgbClr val="0000C8"/>
                            </a:solidFill>
                            <a:round/>
                          </a:ln>
                        </wps:spPr>
                        <wps:bodyPr/>
                      </wps:wsp>
                      <wps:wsp>
                        <wps:cNvPr id="605" name="Text Box 2625"/>
                        <wps:cNvSpPr txBox="1">
                          <a:spLocks noChangeArrowheads="1"/>
                        </wps:cNvSpPr>
                        <wps:spPr bwMode="auto">
                          <a:xfrm>
                            <a:off x="833" y="5399"/>
                            <a:ext cx="1352" cy="348"/>
                          </a:xfrm>
                          <a:prstGeom prst="rect">
                            <a:avLst/>
                          </a:prstGeom>
                          <a:solidFill>
                            <a:schemeClr val="accent6">
                              <a:lumMod val="40000"/>
                              <a:lumOff val="60000"/>
                            </a:schemeClr>
                          </a:solidFill>
                          <a:ln w="12700">
                            <a:solidFill>
                              <a:srgbClr val="0000C8"/>
                            </a:solidFill>
                            <a:miter lim="800000"/>
                          </a:ln>
                        </wps:spPr>
                        <wps:txbx>
                          <w:txbxContent>
                            <w:p w14:paraId="7725F8F0">
                              <w:pPr>
                                <w:pStyle w:val="72"/>
                              </w:pPr>
                              <w:r>
                                <w:rPr>
                                  <w:rFonts w:hint="eastAsia"/>
                                </w:rPr>
                                <w:t>资源保证</w:t>
                              </w:r>
                            </w:p>
                          </w:txbxContent>
                        </wps:txbx>
                        <wps:bodyPr rot="0" vert="horz" wrap="square" lIns="0" tIns="0" rIns="0" bIns="0" anchor="ctr" anchorCtr="0" upright="1">
                          <a:noAutofit/>
                        </wps:bodyPr>
                      </wps:wsp>
                      <wps:wsp>
                        <wps:cNvPr id="612" name="Line 2626"/>
                        <wps:cNvCnPr>
                          <a:cxnSpLocks noChangeShapeType="1"/>
                        </wps:cNvCnPr>
                        <wps:spPr bwMode="auto">
                          <a:xfrm>
                            <a:off x="2185" y="5573"/>
                            <a:ext cx="549" cy="0"/>
                          </a:xfrm>
                          <a:prstGeom prst="line">
                            <a:avLst/>
                          </a:prstGeom>
                          <a:noFill/>
                          <a:ln w="12700">
                            <a:solidFill>
                              <a:srgbClr val="0000C8"/>
                            </a:solidFill>
                            <a:round/>
                          </a:ln>
                        </wps:spPr>
                        <wps:bodyPr/>
                      </wps:wsp>
                      <wps:wsp>
                        <wps:cNvPr id="613" name="Text Box 2627"/>
                        <wps:cNvSpPr txBox="1">
                          <a:spLocks noChangeArrowheads="1"/>
                        </wps:cNvSpPr>
                        <wps:spPr bwMode="auto">
                          <a:xfrm>
                            <a:off x="2734" y="5399"/>
                            <a:ext cx="3040" cy="348"/>
                          </a:xfrm>
                          <a:prstGeom prst="rect">
                            <a:avLst/>
                          </a:prstGeom>
                          <a:solidFill>
                            <a:schemeClr val="accent6">
                              <a:lumMod val="40000"/>
                              <a:lumOff val="60000"/>
                            </a:schemeClr>
                          </a:solidFill>
                          <a:ln w="12700">
                            <a:solidFill>
                              <a:srgbClr val="0000C8"/>
                            </a:solidFill>
                            <a:miter lim="800000"/>
                          </a:ln>
                        </wps:spPr>
                        <wps:txbx>
                          <w:txbxContent>
                            <w:p w14:paraId="607A3B80">
                              <w:pPr>
                                <w:pStyle w:val="72"/>
                              </w:pPr>
                              <w:r>
                                <w:rPr>
                                  <w:rFonts w:hint="eastAsia"/>
                                </w:rPr>
                                <w:t>施工现场安全警示标志</w:t>
                              </w:r>
                            </w:p>
                            <w:p w14:paraId="5E3AC276">
                              <w:pPr>
                                <w:pStyle w:val="72"/>
                              </w:pPr>
                            </w:p>
                          </w:txbxContent>
                        </wps:txbx>
                        <wps:bodyPr rot="0" vert="horz" wrap="square" lIns="0" tIns="0" rIns="0" bIns="0" anchor="ctr" anchorCtr="0" upright="1">
                          <a:noAutofit/>
                        </wps:bodyPr>
                      </wps:wsp>
                      <wps:wsp>
                        <wps:cNvPr id="614" name="Text Box 2628"/>
                        <wps:cNvSpPr txBox="1">
                          <a:spLocks noChangeArrowheads="1"/>
                        </wps:cNvSpPr>
                        <wps:spPr bwMode="auto">
                          <a:xfrm>
                            <a:off x="2734" y="4965"/>
                            <a:ext cx="3040" cy="349"/>
                          </a:xfrm>
                          <a:prstGeom prst="rect">
                            <a:avLst/>
                          </a:prstGeom>
                          <a:solidFill>
                            <a:schemeClr val="accent6">
                              <a:lumMod val="40000"/>
                              <a:lumOff val="60000"/>
                            </a:schemeClr>
                          </a:solidFill>
                          <a:ln w="12700">
                            <a:solidFill>
                              <a:srgbClr val="0000C8"/>
                            </a:solidFill>
                            <a:miter lim="800000"/>
                          </a:ln>
                        </wps:spPr>
                        <wps:txbx>
                          <w:txbxContent>
                            <w:p w14:paraId="474E8982">
                              <w:pPr>
                                <w:pStyle w:val="72"/>
                              </w:pPr>
                              <w:r>
                                <w:rPr>
                                  <w:rFonts w:hint="eastAsia"/>
                                </w:rPr>
                                <w:t>施工现场安全防护措施</w:t>
                              </w:r>
                            </w:p>
                          </w:txbxContent>
                        </wps:txbx>
                        <wps:bodyPr rot="0" vert="horz" wrap="square" lIns="0" tIns="0" rIns="0" bIns="0" anchor="ctr" anchorCtr="0" upright="1">
                          <a:noAutofit/>
                        </wps:bodyPr>
                      </wps:wsp>
                      <wps:wsp>
                        <wps:cNvPr id="616" name="Text Box 2629"/>
                        <wps:cNvSpPr txBox="1">
                          <a:spLocks noChangeArrowheads="1"/>
                        </wps:cNvSpPr>
                        <wps:spPr bwMode="auto">
                          <a:xfrm>
                            <a:off x="2734" y="5835"/>
                            <a:ext cx="3040" cy="348"/>
                          </a:xfrm>
                          <a:prstGeom prst="rect">
                            <a:avLst/>
                          </a:prstGeom>
                          <a:solidFill>
                            <a:schemeClr val="accent6">
                              <a:lumMod val="40000"/>
                              <a:lumOff val="60000"/>
                            </a:schemeClr>
                          </a:solidFill>
                          <a:ln w="12700">
                            <a:solidFill>
                              <a:srgbClr val="0000C8"/>
                            </a:solidFill>
                            <a:miter lim="800000"/>
                          </a:ln>
                        </wps:spPr>
                        <wps:txbx>
                          <w:txbxContent>
                            <w:p w14:paraId="16593E2C">
                              <w:pPr>
                                <w:pStyle w:val="72"/>
                              </w:pPr>
                              <w:r>
                                <w:rPr>
                                  <w:rFonts w:hint="eastAsia"/>
                                </w:rPr>
                                <w:t>作业人员劳动保护用品</w:t>
                              </w:r>
                            </w:p>
                          </w:txbxContent>
                        </wps:txbx>
                        <wps:bodyPr rot="0" vert="horz" wrap="square" lIns="0" tIns="0" rIns="0" bIns="0" anchor="ctr" anchorCtr="0" upright="1">
                          <a:noAutofit/>
                        </wps:bodyPr>
                      </wps:wsp>
                      <wps:wsp>
                        <wps:cNvPr id="617" name="Line 2630"/>
                        <wps:cNvCnPr>
                          <a:cxnSpLocks noChangeShapeType="1"/>
                        </wps:cNvCnPr>
                        <wps:spPr bwMode="auto">
                          <a:xfrm>
                            <a:off x="2396" y="5138"/>
                            <a:ext cx="0" cy="873"/>
                          </a:xfrm>
                          <a:prstGeom prst="line">
                            <a:avLst/>
                          </a:prstGeom>
                          <a:noFill/>
                          <a:ln w="12700">
                            <a:solidFill>
                              <a:srgbClr val="0000C8"/>
                            </a:solidFill>
                            <a:round/>
                          </a:ln>
                        </wps:spPr>
                        <wps:bodyPr/>
                      </wps:wsp>
                      <wps:wsp>
                        <wps:cNvPr id="618" name="Line 2631"/>
                        <wps:cNvCnPr>
                          <a:cxnSpLocks noChangeShapeType="1"/>
                        </wps:cNvCnPr>
                        <wps:spPr bwMode="auto">
                          <a:xfrm>
                            <a:off x="2396" y="5138"/>
                            <a:ext cx="338" cy="0"/>
                          </a:xfrm>
                          <a:prstGeom prst="line">
                            <a:avLst/>
                          </a:prstGeom>
                          <a:noFill/>
                          <a:ln w="12700">
                            <a:solidFill>
                              <a:srgbClr val="0000C8"/>
                            </a:solidFill>
                            <a:round/>
                          </a:ln>
                        </wps:spPr>
                        <wps:bodyPr/>
                      </wps:wsp>
                      <wps:wsp>
                        <wps:cNvPr id="619" name="Line 2632"/>
                        <wps:cNvCnPr>
                          <a:cxnSpLocks noChangeShapeType="1"/>
                        </wps:cNvCnPr>
                        <wps:spPr bwMode="auto">
                          <a:xfrm>
                            <a:off x="2396" y="6009"/>
                            <a:ext cx="338" cy="0"/>
                          </a:xfrm>
                          <a:prstGeom prst="line">
                            <a:avLst/>
                          </a:prstGeom>
                          <a:noFill/>
                          <a:ln w="12700">
                            <a:solidFill>
                              <a:srgbClr val="0000C8"/>
                            </a:solidFill>
                            <a:round/>
                          </a:ln>
                        </wps:spPr>
                        <wps:bodyPr/>
                      </wps:wsp>
                    </wpg:wgp>
                  </a:graphicData>
                </a:graphic>
              </wp:inline>
            </w:drawing>
          </mc:Choice>
          <mc:Fallback>
            <w:pict>
              <v:group id="Group 2569" o:spid="_x0000_s1026" o:spt="203" style="height:351.75pt;width:438.6pt;" coordsize="8308,6183" o:gfxdata="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DSN4pdcAAAAFAQAADwAAAAAAAAABACAAAAAiAAAAZHJzL2Rvd25yZXYueG1s&#10;UEsBAhQAFAAAAAgAh07iQKRPARH9CQAAX5UAAA4AAAAAAAAAAQAgAAAAJgEAAGRycy9lMm9Eb2Mu&#10;eG1sUEsFBgAAAAAGAAYAWQEAAJUNAAAAAA==&#10;">
                <o:lock v:ext="edit" aspectratio="f"/>
                <v:shape id="Text Box 2570" o:spid="_x0000_s1026" o:spt="202" type="#_x0000_t202" style="position:absolute;left:0;top:1393;height:2613;width:493;v-text-anchor:middle;" fillcolor="#C5E0B4 [1305]" filled="t" stroked="t" coordsize="21600,21600" o:gfxdata="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z6u/&#10;AAAA3A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0mm,0mm,0mm,0mm" style="layout-flow:vertical-ideographic;">
                    <w:txbxContent>
                      <w:p w14:paraId="055FEEF2">
                        <w:pPr>
                          <w:pStyle w:val="72"/>
                        </w:pPr>
                        <w:r>
                          <w:rPr>
                            <w:rFonts w:hint="eastAsia"/>
                          </w:rPr>
                          <w:t>安全生产管理体系</w:t>
                        </w:r>
                      </w:p>
                    </w:txbxContent>
                  </v:textbox>
                </v:shape>
                <v:line id="Line 2571" o:spid="_x0000_s1026" o:spt="20" style="position:absolute;left:514;top:2524;height:0;width:195;" filled="f" stroked="t" coordsize="21600,21600" o:gfxdata="UEsDBAoAAAAAAIdO4kAAAAAAAAAAAAAAAAAEAAAAZHJzL1BLAwQUAAAACACHTuJAr4zMDrkAAADc&#10;AAAADwAAAGRycy9kb3ducmV2LnhtbEVPTYvCMBC9C/sfwgjeNK2C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zA6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72" o:spid="_x0000_s1026" o:spt="20" style="position:absolute;left:690;top:174;height:5399;width:0;" filled="f" stroked="t" coordsize="21600,21600" o:gfxdata="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GmV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73" o:spid="_x0000_s1026" o:spt="20" style="position:absolute;left:690;top:174;height:0;width:214;" filled="f" stroked="t" coordsize="21600,21600" o:gfxdata="UEsDBAoAAAAAAIdO4kAAAAAAAAAAAAAAAAAEAAAAZHJzL1BLAwQUAAAACACHTuJAMBL34r0AAADc&#10;AAAADwAAAGRycy9kb3ducmV2LnhtbEWPQWsCMRSE7wX/Q3hCbzW7K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vf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74" o:spid="_x0000_s1026" o:spt="202" type="#_x0000_t202" style="position:absolute;left:904;top:0;height:348;width:1351;v-text-anchor:middle;" fillcolor="#C5E0B4 [1305]" filled="t" stroked="t" coordsize="21600,21600" o:gfxdata="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zx5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5651D37">
                        <w:pPr>
                          <w:pStyle w:val="72"/>
                        </w:pPr>
                        <w:r>
                          <w:rPr>
                            <w:rFonts w:hint="eastAsia"/>
                          </w:rPr>
                          <w:t>思想保证</w:t>
                        </w:r>
                      </w:p>
                    </w:txbxContent>
                  </v:textbox>
                </v:shape>
                <v:line id="Line 2575" o:spid="_x0000_s1026" o:spt="20" style="position:absolute;left:2255;top:174;height:0;width:262;" filled="f" stroked="t" coordsize="21600,21600" o:gfxdata="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JF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6" o:spid="_x0000_s1026" o:spt="202" type="#_x0000_t202" style="position:absolute;left:2517;top:0;height:348;width:2703;v-text-anchor:middle;" fillcolor="#C5E0B4 [1305]" filled="t" stroked="t" coordsize="21600,21600" o:gfxdata="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p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D8B017">
                        <w:pPr>
                          <w:pStyle w:val="72"/>
                        </w:pPr>
                        <w:r>
                          <w:rPr>
                            <w:rFonts w:hint="eastAsia"/>
                          </w:rPr>
                          <w:t>项目部季度安全教育</w:t>
                        </w:r>
                      </w:p>
                    </w:txbxContent>
                  </v:textbox>
                </v:shape>
                <v:line id="Line 2577" o:spid="_x0000_s1026" o:spt="20" style="position:absolute;left:5220;top:174;height:0;width:506;" filled="f" stroked="t" coordsize="21600,21600" o:gfxdata="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PGu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8" o:spid="_x0000_s1026" o:spt="202" type="#_x0000_t202" style="position:absolute;left:5726;top:0;height:348;width:2458;v-text-anchor:middle;" fillcolor="#C5E0B4 [1305]" filled="t" stroked="t" coordsize="21600,21600" o:gfxdata="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GA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0156B9EE">
                        <w:pPr>
                          <w:pStyle w:val="72"/>
                        </w:pPr>
                        <w:r>
                          <w:rPr>
                            <w:rFonts w:hint="eastAsia"/>
                          </w:rPr>
                          <w:t>班组每周安全活动</w:t>
                        </w:r>
                      </w:p>
                    </w:txbxContent>
                  </v:textbox>
                </v:shape>
                <v:line id="Line 2579" o:spid="_x0000_s1026" o:spt="20" style="position:absolute;left:709;top:1219;height:0;width:214;" filled="f" stroked="t" coordsize="21600,21600" o:gfxdata="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Qe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0" o:spid="_x0000_s1026" o:spt="202" type="#_x0000_t202" style="position:absolute;left:904;top:1045;height:348;width:1351;v-text-anchor:middle;" fillcolor="#C5E0B4 [1305]" filled="t" stroked="t" coordsize="21600,21600" o:gfxdata="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wwa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581A3BD3">
                        <w:pPr>
                          <w:pStyle w:val="72"/>
                        </w:pPr>
                        <w:r>
                          <w:rPr>
                            <w:rFonts w:hint="eastAsia"/>
                          </w:rPr>
                          <w:t>组织保证</w:t>
                        </w:r>
                      </w:p>
                    </w:txbxContent>
                  </v:textbox>
                </v:shape>
                <v:line id="Line 2581" o:spid="_x0000_s1026" o:spt="20" style="position:absolute;left:2255;top:1219;height:0;width:479;" filled="f" stroked="t" coordsize="21600,21600" o:gfxdata="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jZ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2" o:spid="_x0000_s1026" o:spt="202" type="#_x0000_t202" style="position:absolute;left:2734;top:1045;height:348;width:2533;v-text-anchor:middle;" fillcolor="#C5E0B4 [1305]" filled="t" stroked="t" coordsize="21600,21600" o:gfxdata="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b20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56BA3CEF">
                        <w:pPr>
                          <w:pStyle w:val="72"/>
                        </w:pPr>
                        <w:r>
                          <w:rPr>
                            <w:rFonts w:hint="eastAsia"/>
                          </w:rPr>
                          <w:t>安监处</w:t>
                        </w:r>
                      </w:p>
                    </w:txbxContent>
                  </v:textbox>
                </v:shape>
                <v:shape id="Text Box 2583" o:spid="_x0000_s1026" o:spt="202" type="#_x0000_t202" style="position:absolute;left:2734;top:612;height:347;width:2533;v-text-anchor:middle;" fillcolor="#C5E0B4 [1305]" filled="t" stroked="t" coordsize="21600,21600" o:gfxdata="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zT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0mm,0mm,0mm,0mm">
                    <w:txbxContent>
                      <w:p w14:paraId="13E9F438">
                        <w:pPr>
                          <w:pStyle w:val="72"/>
                        </w:pPr>
                        <w:r>
                          <w:rPr>
                            <w:rFonts w:hint="eastAsia"/>
                          </w:rPr>
                          <w:t>安委会</w:t>
                        </w:r>
                      </w:p>
                    </w:txbxContent>
                  </v:textbox>
                </v:shape>
                <v:shape id="Text Box 2584" o:spid="_x0000_s1026" o:spt="202" type="#_x0000_t202" style="position:absolute;left:2734;top:1480;height:349;width:2533;v-text-anchor:middle;" fillcolor="#C5E0B4 [1305]" filled="t" stroked="t" coordsize="21600,21600" o:gfxdata="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Gi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309BE53">
                        <w:pPr>
                          <w:pStyle w:val="72"/>
                        </w:pPr>
                        <w:r>
                          <w:rPr>
                            <w:rFonts w:hint="eastAsia"/>
                          </w:rPr>
                          <w:t>项目经理安全责任制</w:t>
                        </w:r>
                      </w:p>
                      <w:p w14:paraId="24D22C3F">
                        <w:pPr>
                          <w:pStyle w:val="72"/>
                        </w:pPr>
                      </w:p>
                    </w:txbxContent>
                  </v:textbox>
                </v:shape>
                <v:line id="Line 2585" o:spid="_x0000_s1026" o:spt="20" style="position:absolute;left:2396;top:784;height:870;width:0;" filled="f" stroked="t" coordsize="21600,21600" o:gfxdata="UEsDBAoAAAAAAIdO4kAAAAAAAAAAAAAAAAAEAAAAZHJzL1BLAwQUAAAACACHTuJAI49TTbwAAADc&#10;AAAADwAAAGRycy9kb3ducmV2LnhtbEWPQYvCMBSE7wv+h/AEb2vasoh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U0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6" o:spid="_x0000_s1026" o:spt="20" style="position:absolute;left:2396;top:784;height:0;width:338;" filled="f" stroked="t" coordsize="21600,21600" o:gfxdata="UEsDBAoAAAAAAIdO4kAAAAAAAAAAAAAAAAAEAAAAZHJzL1BLAwQUAAAACACHTuJATMP21rwAAADc&#10;AAAADwAAAGRycy9kb3ducmV2LnhtbEWPQYvCMBSE7wv+h/AEb2vawop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9ta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7" o:spid="_x0000_s1026" o:spt="20" style="position:absolute;left:2396;top:1654;height:0;width:338;" filled="f" stroked="t" coordsize="21600,21600" o:gfxdata="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yeq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88" o:spid="_x0000_s1026" o:spt="202" type="#_x0000_t202" style="position:absolute;left:5605;top:1035;height:348;width:2703;v-text-anchor:middle;" fillcolor="#C5E0B4 [1305]" filled="t" stroked="t" coordsize="21600,21600" o:gfxdata="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8s9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2ED40B3">
                        <w:pPr>
                          <w:pStyle w:val="72"/>
                        </w:pPr>
                        <w:r>
                          <w:rPr>
                            <w:rFonts w:hint="eastAsia"/>
                          </w:rPr>
                          <w:t>项目部安全监督部</w:t>
                        </w:r>
                      </w:p>
                    </w:txbxContent>
                  </v:textbox>
                </v:shape>
                <v:shape id="Text Box 2589" o:spid="_x0000_s1026" o:spt="202" type="#_x0000_t202" style="position:absolute;left:5605;top:602;height:347;width:2703;v-text-anchor:middle;" fillcolor="#C5E0B4 [1305]" filled="t" stroked="t" coordsize="21600,21600" o:gfxdata="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zgs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3AF50D13">
                        <w:pPr>
                          <w:pStyle w:val="72"/>
                        </w:pPr>
                        <w:r>
                          <w:rPr>
                            <w:rFonts w:hint="eastAsia"/>
                          </w:rPr>
                          <w:t>项目部安全领导小组</w:t>
                        </w:r>
                      </w:p>
                    </w:txbxContent>
                  </v:textbox>
                </v:shape>
                <v:shape id="Text Box 2590" o:spid="_x0000_s1026" o:spt="202" type="#_x0000_t202" style="position:absolute;left:5605;top:1470;height:349;width:2703;v-text-anchor:middle;" fillcolor="#C5E0B4 [1305]" filled="t" stroked="t" coordsize="21600,21600" o:gfxdata="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523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4DB9475">
                        <w:pPr>
                          <w:pStyle w:val="72"/>
                        </w:pPr>
                        <w:r>
                          <w:rPr>
                            <w:rFonts w:hint="eastAsia"/>
                          </w:rPr>
                          <w:t>部门安全责任制</w:t>
                        </w:r>
                      </w:p>
                      <w:p w14:paraId="2362CCF5">
                        <w:pPr>
                          <w:pStyle w:val="72"/>
                        </w:pPr>
                      </w:p>
                    </w:txbxContent>
                  </v:textbox>
                </v:shape>
                <v:line id="Line 2591" o:spid="_x0000_s1026" o:spt="20" style="position:absolute;left:690;top:2524;height:0;width:143;" filled="f" stroked="t" coordsize="21600,21600" o:gfxdata="UEsDBAoAAAAAAIdO4kAAAAAAAAAAAAAAAAAEAAAAZHJzL1BLAwQUAAAACACHTuJAbyYBa7kAAADc&#10;AAAADwAAAGRycy9kb3ducmV2LnhtbEVPTYvCMBC9C/sfwgjeNK2I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mAW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92" o:spid="_x0000_s1026" o:spt="202" type="#_x0000_t202" style="position:absolute;left:833;top:2350;height:348;width:1352;v-text-anchor:middle;" fillcolor="#C5E0B4 [1305]" filled="t" stroked="t" coordsize="21600,21600" o:gfxdata="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gHb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5477B5C">
                        <w:pPr>
                          <w:pStyle w:val="72"/>
                        </w:pPr>
                        <w:r>
                          <w:rPr>
                            <w:rFonts w:hint="eastAsia"/>
                          </w:rPr>
                          <w:t>制度保证</w:t>
                        </w:r>
                      </w:p>
                    </w:txbxContent>
                  </v:textbox>
                </v:shape>
                <v:line id="Line 2593" o:spid="_x0000_s1026" o:spt="20" style="position:absolute;left:2185;top:2524;height:0;width:549;" filled="f" stroked="t" coordsize="21600,21600" o:gfxdata="UEsDBAoAAAAAAIdO4kAAAAAAAAAAAAAAAAAEAAAAZHJzL1BLAwQUAAAACACHTuJA8Lg6h70AAADc&#10;AAAADwAAAGRycy9kb3ducmV2LnhtbEWPQWsCMRSE7wX/Q3hCbzW7i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q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94" o:spid="_x0000_s1026" o:spt="202" type="#_x0000_t202" style="position:absolute;left:2734;top:2350;height:348;width:3209;v-text-anchor:middle;" fillcolor="#C5E0B4 [1305]" filled="t" stroked="t" coordsize="21600,21600" o:gfxdata="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8g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F0BCD55">
                        <w:pPr>
                          <w:pStyle w:val="72"/>
                        </w:pPr>
                        <w:r>
                          <w:rPr>
                            <w:rFonts w:hint="eastAsia"/>
                          </w:rPr>
                          <w:t>公司安全生产规章制度</w:t>
                        </w:r>
                      </w:p>
                    </w:txbxContent>
                  </v:textbox>
                </v:shape>
                <v:shape id="Text Box 2595" o:spid="_x0000_s1026" o:spt="202" type="#_x0000_t202" style="position:absolute;left:2734;top:1916;height:348;width:4392;v-text-anchor:middle;" fillcolor="#C5E0B4 [1305]" filled="t" stroked="t" coordsize="21600,21600" o:gfxdata="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aJq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BA0BC3">
                        <w:pPr>
                          <w:pStyle w:val="72"/>
                        </w:pPr>
                        <w:r>
                          <w:rPr>
                            <w:rFonts w:hint="eastAsia"/>
                          </w:rPr>
                          <w:t>国家、省部、地方安全生产法律法规</w:t>
                        </w:r>
                      </w:p>
                    </w:txbxContent>
                  </v:textbox>
                </v:shape>
                <v:shape id="Text Box 2596" o:spid="_x0000_s1026" o:spt="202" type="#_x0000_t202" style="position:absolute;left:2734;top:2785;height:349;width:2533;v-text-anchor:middle;" fillcolor="#C5E0B4 [1305]" filled="t" stroked="t" coordsize="21600,21600" o:gfxdata="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iwy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3B6643">
                        <w:pPr>
                          <w:pStyle w:val="72"/>
                        </w:pPr>
                        <w:r>
                          <w:rPr>
                            <w:rFonts w:hint="eastAsia"/>
                          </w:rPr>
                          <w:t>项目安全工作标准</w:t>
                        </w:r>
                      </w:p>
                    </w:txbxContent>
                  </v:textbox>
                </v:shape>
                <v:line id="Line 2597" o:spid="_x0000_s1026" o:spt="20" style="position:absolute;left:2396;top:2088;height:1308;width:0;" filled="f" stroked="t" coordsize="21600,21600" o:gfxdata="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zT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98" o:spid="_x0000_s1026" o:spt="20" style="position:absolute;left:2396;top:2088;height:0;width:338;" filled="f" stroked="t" coordsize="21600,21600" o:gfxdata="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7sjr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99" o:spid="_x0000_s1026" o:spt="20" style="position:absolute;left:2396;top:2959;height:0;width:338;" filled="f" stroked="t" coordsize="21600,21600" o:gfxdata="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91r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00" o:spid="_x0000_s1026" o:spt="20" style="position:absolute;left:5267;top:2961;height:0;width:338;" filled="f" stroked="t" coordsize="21600,21600" o:gfxdata="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XM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1" o:spid="_x0000_s1026" o:spt="202" type="#_x0000_t202" style="position:absolute;left:5605;top:2787;height:348;width:676;v-text-anchor:middle;" fillcolor="#C5E0B4 [1305]" filled="t" stroked="t" coordsize="21600,21600" o:gfxdata="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T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490310CC">
                        <w:pPr>
                          <w:pStyle w:val="72"/>
                        </w:pPr>
                        <w:r>
                          <w:rPr>
                            <w:rFonts w:hint="eastAsia"/>
                          </w:rPr>
                          <w:t>计划</w:t>
                        </w:r>
                      </w:p>
                    </w:txbxContent>
                  </v:textbox>
                </v:shape>
                <v:shape id="Text Box 2602" o:spid="_x0000_s1026" o:spt="202" type="#_x0000_t202" style="position:absolute;left:6281;top:2787;height:348;width:676;v-text-anchor:middle;" fillcolor="#C5E0B4 [1305]" filled="t" stroked="t" coordsize="21600,21600" o:gfxdata="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OF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A4F3F97">
                        <w:pPr>
                          <w:pStyle w:val="72"/>
                        </w:pPr>
                        <w:r>
                          <w:rPr>
                            <w:rFonts w:hint="eastAsia"/>
                          </w:rPr>
                          <w:t>教育</w:t>
                        </w:r>
                      </w:p>
                    </w:txbxContent>
                  </v:textbox>
                </v:shape>
                <v:shape id="Text Box 2603" o:spid="_x0000_s1026" o:spt="202" type="#_x0000_t202" style="position:absolute;left:6957;top:2787;height:348;width:675;v-text-anchor:middle;" fillcolor="#C5E0B4 [1305]" filled="t" stroked="t" coordsize="21600,21600" o:gfxdata="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Cd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4773CEF">
                        <w:pPr>
                          <w:pStyle w:val="72"/>
                        </w:pPr>
                        <w:r>
                          <w:rPr>
                            <w:rFonts w:hint="eastAsia"/>
                          </w:rPr>
                          <w:t>检查</w:t>
                        </w:r>
                      </w:p>
                    </w:txbxContent>
                  </v:textbox>
                </v:shape>
                <v:shape id="Text Box 2604" o:spid="_x0000_s1026" o:spt="202" type="#_x0000_t202" style="position:absolute;left:7632;top:2787;height:348;width:676;v-text-anchor:middle;" fillcolor="#C5E0B4 [1305]" filled="t" stroked="t" coordsize="21600,21600" o:gfxdata="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OqJ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C98DDAD">
                        <w:pPr>
                          <w:pStyle w:val="72"/>
                        </w:pPr>
                        <w:r>
                          <w:rPr>
                            <w:rFonts w:hint="eastAsia"/>
                          </w:rPr>
                          <w:t>奖惩</w:t>
                        </w:r>
                      </w:p>
                    </w:txbxContent>
                  </v:textbox>
                </v:shape>
                <v:line id="Line 2605" o:spid="_x0000_s1026" o:spt="20" style="position:absolute;left:5267;top:784;height:0;width:338;" filled="f" stroked="t" coordsize="21600,21600" o:gfxdata="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Nd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6" o:spid="_x0000_s1026" o:spt="20" style="position:absolute;left:5267;top:1219;height:0;width:338;" filled="f" stroked="t" coordsize="21600,21600" o:gfxdata="UEsDBAoAAAAAAIdO4kAAAAAAAAAAAAAAAAAEAAAAZHJzL1BLAwQUAAAACACHTuJA+qa/nL0AAADc&#10;AAAADwAAAGRycy9kb3ducmV2LnhtbEWPQWsCMRSE7wX/Q3hCbzW7K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r+c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7" o:spid="_x0000_s1026" o:spt="20" style="position:absolute;left:5267;top:1654;height:0;width:338;" filled="f" stroked="t" coordsize="21600,21600" o:gfxdata="UEsDBAoAAAAAAIdO4kAAAAAAAAAAAAAAAAAEAAAAZHJzL1BLAwQUAAAACACHTuJAdU8n6L0AAADc&#10;AAAADwAAAGRycy9kb3ducmV2LnhtbEWPQWsCMRSE7wX/Q3hCbzW7i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yfo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8" o:spid="_x0000_s1026" o:spt="202" type="#_x0000_t202" style="position:absolute;left:2734;top:3222;height:348;width:5574;v-text-anchor:middle;" fillcolor="#C5E0B4 [1305]" filled="t" stroked="t" coordsize="21600,21600" o:gfxdata="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SHv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CAE5428">
                        <w:pPr>
                          <w:pStyle w:val="72"/>
                        </w:pPr>
                        <w:r>
                          <w:rPr>
                            <w:rFonts w:hint="eastAsia"/>
                          </w:rPr>
                          <w:t>特殊工种、特种设备、关键工序安全操作规程</w:t>
                        </w:r>
                      </w:p>
                    </w:txbxContent>
                  </v:textbox>
                </v:shape>
                <v:line id="Line 2609" o:spid="_x0000_s1026" o:spt="20" style="position:absolute;left:2396;top:3396;height:0;width:338;" filled="f" stroked="t" coordsize="21600,21600" o:gfxdata="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HAS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0" o:spid="_x0000_s1026" o:spt="20" style="position:absolute;left:709;top:4265;height:0;width:124;" filled="f" stroked="t" coordsize="21600,21600" o:gfxdata="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bmf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1" o:spid="_x0000_s1026" o:spt="202" type="#_x0000_t202" style="position:absolute;left:833;top:4091;height:349;width:1352;v-text-anchor:middle;" fillcolor="#C5E0B4 [1305]" filled="t" stroked="t" coordsize="21600,21600" o:gfxdata="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Oc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8D9655E">
                        <w:pPr>
                          <w:pStyle w:val="72"/>
                        </w:pPr>
                        <w:r>
                          <w:rPr>
                            <w:rFonts w:hint="eastAsia"/>
                          </w:rPr>
                          <w:t>技术保证</w:t>
                        </w:r>
                      </w:p>
                    </w:txbxContent>
                  </v:textbox>
                </v:shape>
                <v:line id="Line 2612" o:spid="_x0000_s1026" o:spt="20" style="position:absolute;left:2185;top:4265;height:0;width:549;" filled="f" stroked="t" coordsize="21600,21600" o:gfxdata="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oh2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3" o:spid="_x0000_s1026" o:spt="202" type="#_x0000_t202" style="position:absolute;left:2734;top:4091;height:349;width:3547;v-text-anchor:middle;" fillcolor="#C5E0B4 [1305]" filled="t" stroked="t" coordsize="21600,21600" o:gfxdata="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8Uq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96A8EF2">
                        <w:pPr>
                          <w:pStyle w:val="72"/>
                        </w:pPr>
                        <w:r>
                          <w:rPr>
                            <w:rFonts w:hint="eastAsia"/>
                          </w:rPr>
                          <w:t>分部、分项工程安全技术交底</w:t>
                        </w:r>
                      </w:p>
                    </w:txbxContent>
                  </v:textbox>
                </v:shape>
                <v:shape id="Text Box 2614" o:spid="_x0000_s1026" o:spt="202" type="#_x0000_t202" style="position:absolute;left:2734;top:3657;height:349;width:3547;v-text-anchor:middle;" fillcolor="#C5E0B4 [1305]" filled="t" stroked="t" coordsize="21600,21600" o:gfxdata="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xM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371B1E40">
                        <w:pPr>
                          <w:pStyle w:val="72"/>
                        </w:pPr>
                        <w:r>
                          <w:rPr>
                            <w:rFonts w:hint="eastAsia"/>
                          </w:rPr>
                          <w:t>施工组织设计安全保证措施</w:t>
                        </w:r>
                      </w:p>
                    </w:txbxContent>
                  </v:textbox>
                </v:shape>
                <v:shape id="Text Box 2615" o:spid="_x0000_s1026" o:spt="202" type="#_x0000_t202" style="position:absolute;left:2734;top:4527;height:348;width:2533;v-text-anchor:middle;" fillcolor="#C5E0B4 [1305]" filled="t" stroked="t" coordsize="21600,21600" o:gfxdata="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vRr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3D1C491">
                        <w:pPr>
                          <w:pStyle w:val="72"/>
                        </w:pPr>
                        <w:r>
                          <w:rPr>
                            <w:rFonts w:hint="eastAsia"/>
                          </w:rPr>
                          <w:t>安全QC小组</w:t>
                        </w:r>
                      </w:p>
                    </w:txbxContent>
                  </v:textbox>
                </v:shape>
                <v:line id="Line 2616" o:spid="_x0000_s1026" o:spt="20" style="position:absolute;left:2396;top:3830;height:873;width:0;" filled="f" stroked="t" coordsize="21600,21600" o:gfxdata="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KU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7" o:spid="_x0000_s1026" o:spt="20" style="position:absolute;left:2396;top:3830;height:0;width:338;" filled="f" stroked="t" coordsize="21600,21600" o:gfxdata="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E1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18" o:spid="_x0000_s1026" o:spt="20" style="position:absolute;left:2396;top:4701;height:0;width:338;" filled="f" stroked="t" coordsize="21600,21600" o:gfxdata="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FK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9" o:spid="_x0000_s1026" o:spt="20" style="position:absolute;left:5267;top:4703;height:0;width:338;" filled="f" stroked="t" coordsize="21600,21600" o:gfxdata="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it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620" o:spid="_x0000_s1026" o:spt="202" type="#_x0000_t202" style="position:absolute;left:5605;top:4529;height:348;width:676;v-text-anchor:middle;" fillcolor="#C5E0B4 [1305]" filled="t" stroked="t" coordsize="21600,21600" o:gfxdata="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7ET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94C495B">
                        <w:pPr>
                          <w:pStyle w:val="72"/>
                        </w:pPr>
                        <w:r>
                          <w:rPr>
                            <w:rFonts w:hint="eastAsia"/>
                          </w:rPr>
                          <w:t>P</w:t>
                        </w:r>
                      </w:p>
                    </w:txbxContent>
                  </v:textbox>
                </v:shape>
                <v:shape id="Text Box 2621" o:spid="_x0000_s1026" o:spt="202" type="#_x0000_t202" style="position:absolute;left:6281;top:4529;height:348;width:676;v-text-anchor:middle;" fillcolor="#C5E0B4 [1305]" filled="t" stroked="t" coordsize="21600,21600" o:gfxdata="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o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116DAF82">
                        <w:pPr>
                          <w:pStyle w:val="72"/>
                        </w:pPr>
                        <w:r>
                          <w:rPr>
                            <w:rFonts w:hint="eastAsia"/>
                          </w:rPr>
                          <w:t>D</w:t>
                        </w:r>
                      </w:p>
                    </w:txbxContent>
                  </v:textbox>
                </v:shape>
                <v:shape id="Text Box 2622" o:spid="_x0000_s1026" o:spt="202" type="#_x0000_t202" style="position:absolute;left:6957;top:4529;height:348;width:675;v-text-anchor:middle;" fillcolor="#C5E0B4 [1305]" filled="t" stroked="t" coordsize="21600,21600" o:gfxdata="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cz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48AE739">
                        <w:pPr>
                          <w:pStyle w:val="72"/>
                        </w:pPr>
                        <w:r>
                          <w:rPr>
                            <w:rFonts w:hint="eastAsia"/>
                          </w:rPr>
                          <w:t>C</w:t>
                        </w:r>
                      </w:p>
                    </w:txbxContent>
                  </v:textbox>
                </v:shape>
                <v:shape id="Text Box 2623" o:spid="_x0000_s1026" o:spt="202" type="#_x0000_t202" style="position:absolute;left:7632;top:4529;height:348;width:676;v-text-anchor:middle;" fillcolor="#C5E0B4 [1305]" filled="t" stroked="t" coordsize="21600,21600" o:gfxdata="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E9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B7932F4">
                        <w:pPr>
                          <w:pStyle w:val="72"/>
                        </w:pPr>
                        <w:r>
                          <w:rPr>
                            <w:rFonts w:hint="eastAsia"/>
                          </w:rPr>
                          <w:t>A</w:t>
                        </w:r>
                      </w:p>
                    </w:txbxContent>
                  </v:textbox>
                </v:shape>
                <v:line id="Line 2624" o:spid="_x0000_s1026" o:spt="20" style="position:absolute;left:690;top:5573;height:0;width:143;" filled="f" stroked="t" coordsize="21600,21600" o:gfxdata="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J+0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shape id="Text Box 2625" o:spid="_x0000_s1026" o:spt="202" type="#_x0000_t202" style="position:absolute;left:833;top:5399;height:348;width:1352;v-text-anchor:middle;" fillcolor="#C5E0B4 [1305]" filled="t" stroked="t" coordsize="21600,21600" o:gfxdata="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Rz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725F8F0">
                        <w:pPr>
                          <w:pStyle w:val="72"/>
                        </w:pPr>
                        <w:r>
                          <w:rPr>
                            <w:rFonts w:hint="eastAsia"/>
                          </w:rPr>
                          <w:t>资源保证</w:t>
                        </w:r>
                      </w:p>
                    </w:txbxContent>
                  </v:textbox>
                </v:shape>
                <v:line id="Line 2626" o:spid="_x0000_s1026" o:spt="20" style="position:absolute;left:2185;top:5573;height:0;width:549;" filled="f" stroked="t" coordsize="21600,21600" o:gfxdata="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Oxx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627" o:spid="_x0000_s1026" o:spt="202" type="#_x0000_t202" style="position:absolute;left:2734;top:5399;height:348;width:3040;v-text-anchor:middle;" fillcolor="#C5E0B4 [1305]" filled="t" stroked="t" coordsize="21600,21600" o:gfxdata="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23w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607A3B80">
                        <w:pPr>
                          <w:pStyle w:val="72"/>
                        </w:pPr>
                        <w:r>
                          <w:rPr>
                            <w:rFonts w:hint="eastAsia"/>
                          </w:rPr>
                          <w:t>施工现场安全警示标志</w:t>
                        </w:r>
                      </w:p>
                      <w:p w14:paraId="5E3AC276">
                        <w:pPr>
                          <w:pStyle w:val="72"/>
                        </w:pPr>
                      </w:p>
                    </w:txbxContent>
                  </v:textbox>
                </v:shape>
                <v:shape id="Text Box 2628" o:spid="_x0000_s1026" o:spt="202" type="#_x0000_t202" style="position:absolute;left:2734;top:4965;height:349;width:3040;v-text-anchor:middle;" fillcolor="#C5E0B4 [1305]" filled="t" stroked="t" coordsize="21600,21600" o:gfxdata="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C+1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474E8982">
                        <w:pPr>
                          <w:pStyle w:val="72"/>
                        </w:pPr>
                        <w:r>
                          <w:rPr>
                            <w:rFonts w:hint="eastAsia"/>
                          </w:rPr>
                          <w:t>施工现场安全防护措施</w:t>
                        </w:r>
                      </w:p>
                    </w:txbxContent>
                  </v:textbox>
                </v:shape>
                <v:shape id="Text Box 2629" o:spid="_x0000_s1026" o:spt="202" type="#_x0000_t202" style="position:absolute;left:2734;top:5835;height:348;width:3040;v-text-anchor:middle;" fillcolor="#C5E0B4 [1305]" filled="t" stroked="t" coordsize="21600,21600" o:gfxdata="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hR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6593E2C">
                        <w:pPr>
                          <w:pStyle w:val="72"/>
                        </w:pPr>
                        <w:r>
                          <w:rPr>
                            <w:rFonts w:hint="eastAsia"/>
                          </w:rPr>
                          <w:t>作业人员劳动保护用品</w:t>
                        </w:r>
                      </w:p>
                    </w:txbxContent>
                  </v:textbox>
                </v:shape>
                <v:line id="Line 2630" o:spid="_x0000_s1026" o:spt="20" style="position:absolute;left:2396;top:5138;height:873;width:0;" filled="f" stroked="t" coordsize="21600,21600" o:gfxdata="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El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31" o:spid="_x0000_s1026" o:spt="20" style="position:absolute;left:2396;top:5138;height:0;width:338;" filled="f" stroked="t" coordsize="21600,21600" o:gfxdata="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4Ys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632" o:spid="_x0000_s1026" o:spt="20" style="position:absolute;left:2396;top:6009;height:0;width:338;" filled="f" stroked="t" coordsize="21600,21600" o:gfxdata="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I7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w10:wrap type="none"/>
                <w10:anchorlock/>
              </v:group>
            </w:pict>
          </mc:Fallback>
        </mc:AlternateContent>
      </w:r>
    </w:p>
    <w:p w14:paraId="195835E5">
      <w:pPr>
        <w:pStyle w:val="4"/>
        <w:bidi w:val="0"/>
        <w:ind w:left="720" w:leftChars="0" w:hanging="720" w:firstLineChars="0"/>
      </w:pPr>
      <w:r>
        <w:rPr>
          <w:rFonts w:hint="eastAsia"/>
          <w:lang w:val="en-US" w:eastAsia="zh-CN"/>
        </w:rPr>
        <w:t>思想保证措施</w:t>
      </w:r>
    </w:p>
    <w:p w14:paraId="5170B4F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（1）全体参建人员严格执行党和国家有关安全生产法律、法规和安全生产规程，自觉遵守国家、行业、地方及业主的有关安全生产管理规定。 </w:t>
      </w:r>
    </w:p>
    <w:p w14:paraId="30184089">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（2）认真贯彻执行“安全第一、预防为主、综合治理”的方针，增强全员安全意识，使全员都能明确自己的安全目标和职责，达到全员参加，全员实施的目的，体现“安全生产、人人有责”的原则。 </w:t>
      </w:r>
    </w:p>
    <w:p w14:paraId="09C95F2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（3）分项工程开工前，对所有上岗人员进行安全教育培训，使全员都能遵守生产必须安全，安全才能生产的原则，严格执行安全操作规程，持证上岗。 </w:t>
      </w:r>
    </w:p>
    <w:p w14:paraId="245808C8">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（4）随时接受业主及监理单位对安全生产的督促、检查、考评，对提出的问题，立即落实方案组织实施，确保安全生产。 </w:t>
      </w:r>
    </w:p>
    <w:p w14:paraId="0EA83606">
      <w:pPr>
        <w:pStyle w:val="4"/>
        <w:bidi w:val="0"/>
        <w:ind w:left="720" w:leftChars="0" w:hanging="720" w:firstLineChars="0"/>
        <w:rPr>
          <w:rFonts w:hint="default"/>
          <w:lang w:val="en-US" w:eastAsia="zh-CN"/>
        </w:rPr>
      </w:pPr>
      <w:r>
        <w:rPr>
          <w:rFonts w:hint="eastAsia"/>
          <w:lang w:val="en-US" w:eastAsia="zh-CN"/>
        </w:rPr>
        <w:t>安全生产职责</w:t>
      </w:r>
    </w:p>
    <w:p w14:paraId="65A9E113">
      <w:pPr>
        <w:bidi w:val="0"/>
        <w:ind w:firstLine="480" w:firstLineChars="200"/>
        <w:rPr>
          <w:highlight w:val="none"/>
        </w:rPr>
      </w:pPr>
      <w:r>
        <w:rPr>
          <w:highlight w:val="none"/>
        </w:rPr>
        <w:t>①项目经理</w:t>
      </w:r>
    </w:p>
    <w:p w14:paraId="1E7EF762">
      <w:pPr>
        <w:bidi w:val="0"/>
        <w:ind w:firstLine="480" w:firstLineChars="200"/>
        <w:rPr>
          <w:rFonts w:hint="default"/>
          <w:highlight w:val="none"/>
          <w:lang w:val="en-US" w:eastAsia="zh-CN"/>
        </w:rPr>
      </w:pPr>
      <w:r>
        <w:rPr>
          <w:highlight w:val="none"/>
        </w:rPr>
        <w:t>项目经理是工程项目安全生产第一责任者和管理，对本工程项目安全生产负全面责任。其安全生产责任是：</w:t>
      </w:r>
    </w:p>
    <w:p w14:paraId="754725D0">
      <w:pPr>
        <w:adjustRightInd w:val="0"/>
        <w:snapToGrid w:val="0"/>
        <w:spacing w:line="460" w:lineRule="exact"/>
        <w:ind w:firstLine="480" w:firstLineChars="200"/>
        <w:jc w:val="left"/>
        <w:rPr>
          <w:rFonts w:hint="eastAsia" w:ascii="宋体" w:hAnsi="宋体" w:cs="仿宋_GB2312+3+5"/>
          <w:kern w:val="0"/>
          <w:sz w:val="24"/>
          <w:highlight w:val="none"/>
        </w:rPr>
      </w:pPr>
      <w:r>
        <w:rPr>
          <w:rFonts w:hint="eastAsia" w:ascii="宋体" w:hAnsi="宋体" w:cs="仿宋_GB2312+3+3"/>
          <w:kern w:val="0"/>
          <w:sz w:val="24"/>
          <w:highlight w:val="none"/>
        </w:rPr>
        <w:t>1</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w:t>
      </w:r>
      <w:r>
        <w:rPr>
          <w:rFonts w:hint="eastAsia" w:ascii="宋体" w:hAnsi="宋体" w:cs="仿宋_GB2312+3+2"/>
          <w:kern w:val="0"/>
          <w:sz w:val="24"/>
          <w:highlight w:val="none"/>
        </w:rPr>
        <w:t>对</w:t>
      </w:r>
      <w:r>
        <w:rPr>
          <w:rFonts w:hint="eastAsia" w:ascii="宋体" w:hAnsi="宋体" w:cs="仿宋_GB2312+3+3"/>
          <w:kern w:val="0"/>
          <w:sz w:val="24"/>
          <w:highlight w:val="none"/>
        </w:rPr>
        <w:t>总</w:t>
      </w:r>
      <w:r>
        <w:rPr>
          <w:rFonts w:hint="eastAsia" w:ascii="宋体" w:hAnsi="宋体" w:cs="仿宋_GB2312+3+1"/>
          <w:kern w:val="0"/>
          <w:sz w:val="24"/>
          <w:highlight w:val="none"/>
        </w:rPr>
        <w:t>经理</w:t>
      </w:r>
      <w:r>
        <w:rPr>
          <w:rFonts w:hint="eastAsia" w:ascii="宋体" w:hAnsi="宋体" w:cs="仿宋_GB2312+3+3"/>
          <w:kern w:val="0"/>
          <w:sz w:val="24"/>
          <w:highlight w:val="none"/>
        </w:rPr>
        <w:t>负</w:t>
      </w:r>
      <w:r>
        <w:rPr>
          <w:rFonts w:hint="eastAsia" w:ascii="宋体" w:hAnsi="宋体" w:cs="仿宋_GB2312+3+1"/>
          <w:kern w:val="0"/>
          <w:sz w:val="24"/>
          <w:highlight w:val="none"/>
        </w:rPr>
        <w:t>责，</w:t>
      </w:r>
      <w:r>
        <w:rPr>
          <w:rFonts w:hint="eastAsia" w:ascii="宋体" w:hAnsi="宋体" w:cs="仿宋_GB2312+3+3"/>
          <w:kern w:val="0"/>
          <w:sz w:val="24"/>
          <w:highlight w:val="none"/>
        </w:rPr>
        <w:t>是</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第一责任</w:t>
      </w:r>
      <w:r>
        <w:rPr>
          <w:rFonts w:hint="eastAsia" w:ascii="宋体" w:hAnsi="宋体" w:cs="仿宋_GB2312+3+4"/>
          <w:kern w:val="0"/>
          <w:sz w:val="24"/>
          <w:highlight w:val="none"/>
        </w:rPr>
        <w:t>者</w:t>
      </w:r>
      <w:r>
        <w:rPr>
          <w:rFonts w:hint="eastAsia" w:ascii="宋体" w:hAnsi="宋体" w:cs="仿宋_GB2312+3+1"/>
          <w:kern w:val="0"/>
          <w:sz w:val="24"/>
          <w:highlight w:val="none"/>
        </w:rPr>
        <w:t>和管理</w:t>
      </w:r>
      <w:r>
        <w:rPr>
          <w:rFonts w:hint="eastAsia" w:ascii="宋体" w:hAnsi="宋体" w:cs="仿宋_GB2312+3+4"/>
          <w:kern w:val="0"/>
          <w:sz w:val="24"/>
          <w:highlight w:val="none"/>
        </w:rPr>
        <w:t>者</w:t>
      </w:r>
      <w:r>
        <w:rPr>
          <w:rFonts w:hint="eastAsia" w:ascii="宋体" w:hAnsi="宋体" w:cs="仿宋_GB2312+3+1"/>
          <w:kern w:val="0"/>
          <w:sz w:val="24"/>
          <w:highlight w:val="none"/>
        </w:rPr>
        <w:t>，</w:t>
      </w:r>
      <w:r>
        <w:rPr>
          <w:rFonts w:hint="eastAsia" w:ascii="宋体" w:hAnsi="宋体" w:cs="仿宋_GB2312+3+2"/>
          <w:kern w:val="0"/>
          <w:sz w:val="24"/>
          <w:highlight w:val="none"/>
        </w:rPr>
        <w:t>对本</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负</w:t>
      </w:r>
      <w:r>
        <w:rPr>
          <w:rFonts w:hint="eastAsia" w:ascii="宋体" w:hAnsi="宋体" w:cs="仿宋_GB2312+3+1"/>
          <w:kern w:val="0"/>
          <w:sz w:val="24"/>
          <w:highlight w:val="none"/>
        </w:rPr>
        <w:t>全面责任。</w:t>
      </w:r>
    </w:p>
    <w:p w14:paraId="4B3E300E">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1"/>
          <w:kern w:val="0"/>
          <w:sz w:val="24"/>
          <w:highlight w:val="none"/>
        </w:rPr>
        <w:t>2</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贯彻</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国家</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方针、</w:t>
      </w:r>
      <w:r>
        <w:rPr>
          <w:rFonts w:hint="eastAsia" w:ascii="宋体" w:hAnsi="宋体" w:cs="仿宋_GB2312+3+4"/>
          <w:kern w:val="0"/>
          <w:sz w:val="24"/>
          <w:highlight w:val="none"/>
        </w:rPr>
        <w:t>政</w:t>
      </w:r>
      <w:r>
        <w:rPr>
          <w:rFonts w:hint="eastAsia" w:ascii="宋体" w:hAnsi="宋体" w:cs="仿宋_GB2312+3+2"/>
          <w:kern w:val="0"/>
          <w:sz w:val="24"/>
          <w:highlight w:val="none"/>
        </w:rPr>
        <w:t>策</w:t>
      </w:r>
      <w:r>
        <w:rPr>
          <w:rFonts w:hint="eastAsia" w:ascii="宋体" w:hAnsi="宋体" w:cs="仿宋_GB2312+3+1"/>
          <w:kern w:val="0"/>
          <w:sz w:val="24"/>
          <w:highlight w:val="none"/>
        </w:rPr>
        <w:t>、</w:t>
      </w:r>
      <w:r>
        <w:rPr>
          <w:rFonts w:hint="eastAsia" w:ascii="宋体" w:hAnsi="宋体" w:cs="仿宋_GB2312+3+2"/>
          <w:kern w:val="0"/>
          <w:sz w:val="24"/>
          <w:highlight w:val="none"/>
        </w:rPr>
        <w:t>法规</w:t>
      </w:r>
      <w:r>
        <w:rPr>
          <w:rFonts w:hint="eastAsia" w:ascii="宋体" w:hAnsi="宋体" w:cs="仿宋_GB2312+3+1"/>
          <w:kern w:val="0"/>
          <w:sz w:val="24"/>
          <w:highlight w:val="none"/>
        </w:rPr>
        <w:t>和各项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3"/>
          <w:kern w:val="0"/>
          <w:sz w:val="24"/>
          <w:highlight w:val="none"/>
        </w:rPr>
        <w:t>落</w:t>
      </w:r>
      <w:r>
        <w:rPr>
          <w:rFonts w:hint="eastAsia" w:ascii="宋体" w:hAnsi="宋体" w:cs="仿宋_GB2312+3+1"/>
          <w:kern w:val="0"/>
          <w:sz w:val="24"/>
          <w:highlight w:val="none"/>
        </w:rPr>
        <w:t>实企业</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2"/>
          <w:kern w:val="0"/>
          <w:sz w:val="24"/>
          <w:highlight w:val="none"/>
        </w:rPr>
        <w:t>结合</w:t>
      </w:r>
      <w:r>
        <w:rPr>
          <w:rFonts w:hint="eastAsia" w:ascii="宋体" w:hAnsi="宋体" w:cs="仿宋_GB2312+3+1"/>
          <w:kern w:val="0"/>
          <w:sz w:val="24"/>
          <w:highlight w:val="none"/>
        </w:rPr>
        <w:t>工程项目</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2"/>
          <w:kern w:val="0"/>
          <w:sz w:val="24"/>
          <w:highlight w:val="none"/>
        </w:rPr>
        <w:t>及</w:t>
      </w:r>
      <w:r>
        <w:rPr>
          <w:rFonts w:hint="eastAsia" w:ascii="宋体" w:hAnsi="宋体" w:cs="仿宋_GB2312+3+1"/>
          <w:kern w:val="0"/>
          <w:sz w:val="24"/>
          <w:highlight w:val="none"/>
        </w:rPr>
        <w:t>施工</w:t>
      </w:r>
      <w:r>
        <w:rPr>
          <w:rFonts w:hint="eastAsia" w:ascii="宋体" w:hAnsi="宋体" w:cs="仿宋_GB2312+3+5"/>
          <w:kern w:val="0"/>
          <w:sz w:val="24"/>
          <w:highlight w:val="none"/>
        </w:rPr>
        <w:t>性</w:t>
      </w:r>
      <w:r>
        <w:rPr>
          <w:rFonts w:hint="eastAsia" w:ascii="宋体" w:hAnsi="宋体" w:cs="仿宋_GB2312+3+1"/>
          <w:kern w:val="0"/>
          <w:sz w:val="24"/>
          <w:highlight w:val="none"/>
        </w:rPr>
        <w:t>质，制</w:t>
      </w:r>
      <w:r>
        <w:rPr>
          <w:rFonts w:hint="eastAsia" w:ascii="宋体" w:hAnsi="宋体" w:cs="仿宋_GB2312+3+2"/>
          <w:kern w:val="0"/>
          <w:sz w:val="24"/>
          <w:highlight w:val="none"/>
        </w:rPr>
        <w:t>定</w:t>
      </w:r>
      <w:r>
        <w:rPr>
          <w:rFonts w:hint="eastAsia" w:ascii="宋体" w:hAnsi="宋体" w:cs="仿宋_GB2312+3+1"/>
          <w:kern w:val="0"/>
          <w:sz w:val="24"/>
          <w:highlight w:val="none"/>
        </w:rPr>
        <w:t>有针</w:t>
      </w:r>
      <w:r>
        <w:rPr>
          <w:rFonts w:hint="eastAsia" w:ascii="宋体" w:hAnsi="宋体" w:cs="仿宋_GB2312+3+2"/>
          <w:kern w:val="0"/>
          <w:sz w:val="24"/>
          <w:highlight w:val="none"/>
        </w:rPr>
        <w:t>对</w:t>
      </w:r>
      <w:r>
        <w:rPr>
          <w:rFonts w:hint="eastAsia" w:ascii="宋体" w:hAnsi="宋体" w:cs="仿宋_GB2312+3+5"/>
          <w:kern w:val="0"/>
          <w:sz w:val="24"/>
          <w:highlight w:val="none"/>
        </w:rPr>
        <w:t>性</w:t>
      </w:r>
      <w:r>
        <w:rPr>
          <w:rFonts w:hint="eastAsia" w:ascii="宋体" w:hAnsi="宋体" w:cs="仿宋_GB2312+3+3"/>
          <w:kern w:val="0"/>
          <w:sz w:val="24"/>
          <w:highlight w:val="none"/>
        </w:rPr>
        <w:t>的</w:t>
      </w:r>
      <w:r>
        <w:rPr>
          <w:rFonts w:hint="eastAsia" w:ascii="宋体" w:hAnsi="宋体" w:cs="仿宋_GB2312+3+1"/>
          <w:kern w:val="0"/>
          <w:sz w:val="24"/>
          <w:highlight w:val="none"/>
        </w:rPr>
        <w:t>各项</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w:t>
      </w:r>
      <w:r>
        <w:rPr>
          <w:rFonts w:hint="eastAsia" w:ascii="宋体" w:hAnsi="宋体" w:cs="仿宋_GB2312+3+3"/>
          <w:kern w:val="0"/>
          <w:sz w:val="24"/>
          <w:highlight w:val="none"/>
        </w:rPr>
        <w:t>办</w:t>
      </w:r>
      <w:r>
        <w:rPr>
          <w:rFonts w:hint="eastAsia" w:ascii="宋体" w:hAnsi="宋体" w:cs="仿宋_GB2312+3+2"/>
          <w:kern w:val="0"/>
          <w:sz w:val="24"/>
          <w:highlight w:val="none"/>
        </w:rPr>
        <w:t>法</w:t>
      </w:r>
      <w:r>
        <w:rPr>
          <w:rFonts w:hint="eastAsia" w:ascii="宋体" w:hAnsi="宋体" w:cs="仿宋_GB2312+3+1"/>
          <w:kern w:val="0"/>
          <w:sz w:val="24"/>
          <w:highlight w:val="none"/>
        </w:rPr>
        <w:t>和实施</w:t>
      </w:r>
      <w:r>
        <w:rPr>
          <w:rFonts w:hint="eastAsia" w:ascii="宋体" w:hAnsi="宋体" w:cs="仿宋_GB2312+3+6"/>
          <w:kern w:val="0"/>
          <w:sz w:val="24"/>
          <w:highlight w:val="none"/>
        </w:rPr>
        <w:t>细</w:t>
      </w:r>
      <w:r>
        <w:rPr>
          <w:rFonts w:hint="eastAsia" w:ascii="宋体" w:hAnsi="宋体" w:cs="仿宋_GB2312+3+3"/>
          <w:kern w:val="0"/>
          <w:sz w:val="24"/>
          <w:highlight w:val="none"/>
        </w:rPr>
        <w:t>则</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1"/>
          <w:kern w:val="0"/>
          <w:sz w:val="24"/>
          <w:highlight w:val="none"/>
        </w:rPr>
        <w:t>主</w:t>
      </w:r>
      <w:r>
        <w:rPr>
          <w:rFonts w:hint="eastAsia" w:ascii="宋体" w:hAnsi="宋体" w:cs="仿宋_GB2312+3+2"/>
          <w:kern w:val="0"/>
          <w:sz w:val="24"/>
          <w:highlight w:val="none"/>
        </w:rPr>
        <w:t>持</w:t>
      </w:r>
      <w:r>
        <w:rPr>
          <w:rFonts w:hint="eastAsia" w:ascii="宋体" w:hAnsi="宋体" w:cs="仿宋_GB2312+3+1"/>
          <w:kern w:val="0"/>
          <w:sz w:val="24"/>
          <w:highlight w:val="none"/>
        </w:rPr>
        <w:t>监督</w:t>
      </w:r>
      <w:r>
        <w:rPr>
          <w:rFonts w:hint="eastAsia" w:ascii="宋体" w:hAnsi="宋体" w:cs="仿宋_GB2312+3+4"/>
          <w:kern w:val="0"/>
          <w:sz w:val="24"/>
          <w:highlight w:val="none"/>
        </w:rPr>
        <w:t>其</w:t>
      </w:r>
      <w:r>
        <w:rPr>
          <w:rFonts w:hint="eastAsia" w:ascii="宋体" w:hAnsi="宋体" w:cs="仿宋_GB2312+3+1"/>
          <w:kern w:val="0"/>
          <w:sz w:val="24"/>
          <w:highlight w:val="none"/>
        </w:rPr>
        <w:t>实施</w:t>
      </w:r>
      <w:r>
        <w:rPr>
          <w:rFonts w:hint="eastAsia" w:ascii="宋体" w:hAnsi="宋体" w:cs="仿宋_GB2312+3+2"/>
          <w:kern w:val="0"/>
          <w:sz w:val="24"/>
          <w:highlight w:val="none"/>
        </w:rPr>
        <w:t>。</w:t>
      </w:r>
    </w:p>
    <w:p w14:paraId="11BF1663">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3</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2"/>
          <w:kern w:val="0"/>
          <w:sz w:val="24"/>
          <w:highlight w:val="none"/>
        </w:rPr>
        <w:t>根据</w:t>
      </w:r>
      <w:r>
        <w:rPr>
          <w:rFonts w:hint="eastAsia" w:ascii="宋体" w:hAnsi="宋体" w:cs="仿宋_GB2312+3+1"/>
          <w:kern w:val="0"/>
          <w:sz w:val="24"/>
          <w:highlight w:val="none"/>
        </w:rPr>
        <w:t>项目工程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和工程</w:t>
      </w:r>
      <w:r>
        <w:rPr>
          <w:rFonts w:hint="eastAsia" w:ascii="宋体" w:hAnsi="宋体" w:cs="仿宋_GB2312+3+2"/>
          <w:kern w:val="0"/>
          <w:sz w:val="24"/>
          <w:highlight w:val="none"/>
        </w:rPr>
        <w:t>规</w:t>
      </w:r>
      <w:r>
        <w:rPr>
          <w:rFonts w:hint="eastAsia" w:ascii="宋体" w:hAnsi="宋体" w:cs="仿宋_GB2312+3+6"/>
          <w:kern w:val="0"/>
          <w:sz w:val="24"/>
          <w:highlight w:val="none"/>
        </w:rPr>
        <w:t>模</w:t>
      </w:r>
      <w:r>
        <w:rPr>
          <w:rFonts w:hint="eastAsia" w:ascii="宋体" w:hAnsi="宋体" w:cs="仿宋_GB2312+3+1"/>
          <w:kern w:val="0"/>
          <w:sz w:val="24"/>
          <w:highlight w:val="none"/>
        </w:rPr>
        <w:t>，</w:t>
      </w:r>
      <w:r>
        <w:rPr>
          <w:rFonts w:hint="eastAsia" w:ascii="宋体" w:hAnsi="宋体" w:cs="仿宋_GB2312+3+2"/>
          <w:kern w:val="0"/>
          <w:sz w:val="24"/>
          <w:highlight w:val="none"/>
        </w:rPr>
        <w:t>成</w:t>
      </w:r>
      <w:r>
        <w:rPr>
          <w:rFonts w:hint="eastAsia" w:ascii="宋体" w:hAnsi="宋体" w:cs="仿宋_GB2312+3+1"/>
          <w:kern w:val="0"/>
          <w:sz w:val="24"/>
          <w:highlight w:val="none"/>
        </w:rPr>
        <w:t>立工程项目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7"/>
          <w:kern w:val="0"/>
          <w:sz w:val="24"/>
          <w:highlight w:val="none"/>
        </w:rPr>
        <w:t>委</w:t>
      </w:r>
      <w:r>
        <w:rPr>
          <w:rFonts w:hint="eastAsia" w:ascii="宋体" w:hAnsi="宋体" w:cs="仿宋_GB2312+3+1"/>
          <w:kern w:val="0"/>
          <w:sz w:val="24"/>
          <w:highlight w:val="none"/>
        </w:rPr>
        <w:t>员</w:t>
      </w:r>
      <w:r>
        <w:rPr>
          <w:rFonts w:hint="eastAsia" w:ascii="宋体" w:hAnsi="宋体" w:cs="仿宋_GB2312+3+4"/>
          <w:kern w:val="0"/>
          <w:sz w:val="24"/>
          <w:highlight w:val="none"/>
        </w:rPr>
        <w:t>会或</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领导</w:t>
      </w:r>
      <w:r>
        <w:rPr>
          <w:rFonts w:hint="eastAsia" w:ascii="宋体" w:hAnsi="宋体" w:cs="仿宋_GB2312+3+3"/>
          <w:kern w:val="0"/>
          <w:sz w:val="24"/>
          <w:highlight w:val="none"/>
        </w:rPr>
        <w:t>小</w:t>
      </w:r>
      <w:r>
        <w:rPr>
          <w:rFonts w:hint="eastAsia" w:ascii="宋体" w:hAnsi="宋体" w:cs="仿宋_GB2312+3+2"/>
          <w:kern w:val="0"/>
          <w:sz w:val="24"/>
          <w:highlight w:val="none"/>
        </w:rPr>
        <w:t>组</w:t>
      </w:r>
      <w:r>
        <w:rPr>
          <w:rFonts w:hint="eastAsia" w:ascii="宋体" w:hAnsi="宋体" w:cs="仿宋_GB2312+3+1"/>
          <w:kern w:val="0"/>
          <w:sz w:val="24"/>
          <w:highlight w:val="none"/>
        </w:rPr>
        <w:t>，明确</w:t>
      </w:r>
      <w:r>
        <w:rPr>
          <w:rFonts w:hint="eastAsia" w:ascii="宋体" w:hAnsi="宋体" w:cs="仿宋_GB2312+3+2"/>
          <w:kern w:val="0"/>
          <w:sz w:val="24"/>
          <w:highlight w:val="none"/>
        </w:rPr>
        <w:t>本</w:t>
      </w:r>
      <w:r>
        <w:rPr>
          <w:rFonts w:hint="eastAsia" w:ascii="宋体" w:hAnsi="宋体" w:cs="仿宋_GB2312+3+1"/>
          <w:kern w:val="0"/>
          <w:sz w:val="24"/>
          <w:highlight w:val="none"/>
        </w:rPr>
        <w:t>项目工程</w:t>
      </w:r>
      <w:r>
        <w:rPr>
          <w:rFonts w:hint="eastAsia" w:ascii="宋体" w:hAnsi="宋体" w:cs="仿宋_GB2312+3+6"/>
          <w:kern w:val="0"/>
          <w:sz w:val="24"/>
          <w:highlight w:val="none"/>
        </w:rPr>
        <w:t>专</w:t>
      </w:r>
      <w:r>
        <w:rPr>
          <w:rFonts w:hint="eastAsia" w:ascii="宋体" w:hAnsi="宋体" w:cs="仿宋_GB2312+3+3"/>
          <w:kern w:val="0"/>
          <w:sz w:val="24"/>
          <w:highlight w:val="none"/>
        </w:rPr>
        <w:t>（</w:t>
      </w:r>
      <w:r>
        <w:rPr>
          <w:rFonts w:hint="eastAsia" w:ascii="宋体" w:hAnsi="宋体" w:cs="仿宋_GB2312+3+6"/>
          <w:kern w:val="0"/>
          <w:sz w:val="24"/>
          <w:highlight w:val="none"/>
        </w:rPr>
        <w:t>兼</w:t>
      </w:r>
      <w:r>
        <w:rPr>
          <w:rFonts w:hint="eastAsia" w:ascii="宋体" w:hAnsi="宋体" w:cs="仿宋_GB2312+3+3"/>
          <w:kern w:val="0"/>
          <w:sz w:val="24"/>
          <w:highlight w:val="none"/>
        </w:rPr>
        <w:t>）职安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w:t>
      </w:r>
      <w:r>
        <w:rPr>
          <w:rFonts w:hint="eastAsia" w:ascii="宋体" w:hAnsi="宋体" w:cs="仿宋_GB2312+3+8"/>
          <w:kern w:val="0"/>
          <w:sz w:val="24"/>
          <w:highlight w:val="none"/>
        </w:rPr>
        <w:t>支</w:t>
      </w:r>
      <w:r>
        <w:rPr>
          <w:rFonts w:hint="eastAsia" w:ascii="宋体" w:hAnsi="宋体" w:cs="仿宋_GB2312+3+2"/>
          <w:kern w:val="0"/>
          <w:sz w:val="24"/>
          <w:highlight w:val="none"/>
        </w:rPr>
        <w:t>持</w:t>
      </w:r>
      <w:r>
        <w:rPr>
          <w:rFonts w:hint="eastAsia" w:ascii="宋体" w:hAnsi="宋体" w:cs="仿宋_GB2312+3+1"/>
          <w:kern w:val="0"/>
          <w:sz w:val="24"/>
          <w:highlight w:val="none"/>
        </w:rPr>
        <w:t>、</w:t>
      </w:r>
      <w:r>
        <w:rPr>
          <w:rFonts w:hint="eastAsia" w:ascii="宋体" w:hAnsi="宋体" w:cs="仿宋_GB2312+3+4"/>
          <w:kern w:val="0"/>
          <w:sz w:val="24"/>
          <w:highlight w:val="none"/>
        </w:rPr>
        <w:t>指</w:t>
      </w:r>
      <w:r>
        <w:rPr>
          <w:rFonts w:hint="eastAsia" w:ascii="宋体" w:hAnsi="宋体" w:cs="仿宋_GB2312+3+2"/>
          <w:kern w:val="0"/>
          <w:sz w:val="24"/>
          <w:highlight w:val="none"/>
        </w:rPr>
        <w:t>导</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业监督管理人员工作，</w:t>
      </w:r>
      <w:r>
        <w:rPr>
          <w:rFonts w:hint="eastAsia" w:ascii="宋体" w:hAnsi="宋体" w:cs="仿宋_GB2312+3+2"/>
          <w:kern w:val="0"/>
          <w:sz w:val="24"/>
          <w:highlight w:val="none"/>
        </w:rPr>
        <w:t>并</w:t>
      </w:r>
      <w:r>
        <w:rPr>
          <w:rFonts w:hint="eastAsia" w:ascii="宋体" w:hAnsi="宋体" w:cs="仿宋_GB2312+3+3"/>
          <w:kern w:val="0"/>
          <w:sz w:val="24"/>
          <w:highlight w:val="none"/>
        </w:rPr>
        <w:t>不得</w:t>
      </w:r>
      <w:r>
        <w:rPr>
          <w:rFonts w:hint="eastAsia" w:ascii="宋体" w:hAnsi="宋体" w:cs="仿宋_GB2312+3+5"/>
          <w:kern w:val="0"/>
          <w:sz w:val="24"/>
          <w:highlight w:val="none"/>
        </w:rPr>
        <w:t>干</w:t>
      </w:r>
      <w:r>
        <w:rPr>
          <w:rFonts w:hint="eastAsia" w:ascii="宋体" w:hAnsi="宋体" w:cs="仿宋_GB2312+3+8"/>
          <w:kern w:val="0"/>
          <w:sz w:val="24"/>
          <w:highlight w:val="none"/>
        </w:rPr>
        <w:t>扰</w:t>
      </w:r>
      <w:r>
        <w:rPr>
          <w:rFonts w:hint="eastAsia" w:ascii="宋体" w:hAnsi="宋体" w:cs="仿宋_GB2312+3+4"/>
          <w:kern w:val="0"/>
          <w:sz w:val="24"/>
          <w:highlight w:val="none"/>
        </w:rPr>
        <w:t>或</w:t>
      </w:r>
      <w:r>
        <w:rPr>
          <w:rFonts w:hint="eastAsia" w:ascii="宋体" w:hAnsi="宋体" w:cs="仿宋_GB2312+3+8"/>
          <w:kern w:val="0"/>
          <w:sz w:val="24"/>
          <w:highlight w:val="none"/>
        </w:rPr>
        <w:t>阻</w:t>
      </w:r>
      <w:r>
        <w:rPr>
          <w:rFonts w:hint="eastAsia" w:ascii="宋体" w:hAnsi="宋体" w:cs="仿宋_GB2312+3+9"/>
          <w:kern w:val="0"/>
          <w:sz w:val="24"/>
          <w:highlight w:val="none"/>
        </w:rPr>
        <w:t>挠</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业监督管理人员行</w:t>
      </w:r>
      <w:r>
        <w:rPr>
          <w:rFonts w:hint="eastAsia" w:ascii="宋体" w:hAnsi="宋体" w:cs="仿宋_GB2312+3+3"/>
          <w:kern w:val="0"/>
          <w:sz w:val="24"/>
          <w:highlight w:val="none"/>
        </w:rPr>
        <w:t>使职权</w:t>
      </w:r>
      <w:r>
        <w:rPr>
          <w:rFonts w:hint="eastAsia" w:ascii="宋体" w:hAnsi="宋体" w:cs="仿宋_GB2312+3+2"/>
          <w:kern w:val="0"/>
          <w:sz w:val="24"/>
          <w:highlight w:val="none"/>
        </w:rPr>
        <w:t>。</w:t>
      </w:r>
    </w:p>
    <w:p w14:paraId="0DBCD7EC">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4</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在</w:t>
      </w:r>
      <w:r>
        <w:rPr>
          <w:rFonts w:hint="eastAsia" w:ascii="宋体" w:hAnsi="宋体" w:cs="仿宋_GB2312+3+2"/>
          <w:kern w:val="0"/>
          <w:sz w:val="24"/>
          <w:highlight w:val="none"/>
        </w:rPr>
        <w:t>组织</w:t>
      </w:r>
      <w:r>
        <w:rPr>
          <w:rFonts w:hint="eastAsia" w:ascii="宋体" w:hAnsi="宋体" w:cs="仿宋_GB2312+3+1"/>
          <w:kern w:val="0"/>
          <w:sz w:val="24"/>
          <w:highlight w:val="none"/>
        </w:rPr>
        <w:t>项目工程施工</w:t>
      </w:r>
      <w:r>
        <w:rPr>
          <w:rFonts w:hint="eastAsia" w:ascii="宋体" w:hAnsi="宋体" w:cs="仿宋_GB2312+3+5"/>
          <w:kern w:val="0"/>
          <w:sz w:val="24"/>
          <w:highlight w:val="none"/>
        </w:rPr>
        <w:t>前</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须明确各</w:t>
      </w:r>
      <w:r>
        <w:rPr>
          <w:rFonts w:hint="eastAsia" w:ascii="宋体" w:hAnsi="宋体" w:cs="仿宋_GB2312+3+6"/>
          <w:kern w:val="0"/>
          <w:sz w:val="24"/>
          <w:highlight w:val="none"/>
        </w:rPr>
        <w:t>专</w:t>
      </w:r>
      <w:r>
        <w:rPr>
          <w:rFonts w:hint="eastAsia" w:ascii="宋体" w:hAnsi="宋体" w:cs="仿宋_GB2312+3+1"/>
          <w:kern w:val="0"/>
          <w:sz w:val="24"/>
          <w:highlight w:val="none"/>
        </w:rPr>
        <w:t>业管理部</w:t>
      </w:r>
      <w:r>
        <w:rPr>
          <w:rFonts w:hint="eastAsia" w:ascii="宋体" w:hAnsi="宋体" w:cs="仿宋_GB2312+3+2"/>
          <w:kern w:val="0"/>
          <w:sz w:val="24"/>
          <w:highlight w:val="none"/>
        </w:rPr>
        <w:t>门</w:t>
      </w:r>
      <w:r>
        <w:rPr>
          <w:rFonts w:hint="eastAsia" w:ascii="宋体" w:hAnsi="宋体" w:cs="仿宋_GB2312+3+1"/>
          <w:kern w:val="0"/>
          <w:sz w:val="24"/>
          <w:highlight w:val="none"/>
        </w:rPr>
        <w:t>和</w:t>
      </w:r>
      <w:r>
        <w:rPr>
          <w:rFonts w:hint="eastAsia" w:ascii="宋体" w:hAnsi="宋体" w:cs="仿宋_GB2312+3+3"/>
          <w:kern w:val="0"/>
          <w:sz w:val="24"/>
          <w:highlight w:val="none"/>
        </w:rPr>
        <w:t>关</w:t>
      </w:r>
      <w:r>
        <w:rPr>
          <w:rFonts w:hint="eastAsia" w:ascii="宋体" w:hAnsi="宋体" w:cs="仿宋_GB2312+3+6"/>
          <w:kern w:val="0"/>
          <w:sz w:val="24"/>
          <w:highlight w:val="none"/>
        </w:rPr>
        <w:t>键</w:t>
      </w:r>
      <w:r>
        <w:rPr>
          <w:rFonts w:hint="eastAsia" w:ascii="宋体" w:hAnsi="宋体" w:cs="仿宋_GB2312+3+3"/>
          <w:kern w:val="0"/>
          <w:sz w:val="24"/>
          <w:highlight w:val="none"/>
        </w:rPr>
        <w:t>岗</w:t>
      </w:r>
      <w:r>
        <w:rPr>
          <w:rFonts w:hint="eastAsia" w:ascii="宋体" w:hAnsi="宋体" w:cs="仿宋_GB2312+3+2"/>
          <w:kern w:val="0"/>
          <w:sz w:val="24"/>
          <w:highlight w:val="none"/>
        </w:rPr>
        <w:t>位</w:t>
      </w:r>
      <w:r>
        <w:rPr>
          <w:rFonts w:hint="eastAsia" w:ascii="宋体" w:hAnsi="宋体" w:cs="仿宋_GB2312+3+1"/>
          <w:kern w:val="0"/>
          <w:sz w:val="24"/>
          <w:highlight w:val="none"/>
        </w:rPr>
        <w:t>人员</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w:t>
      </w:r>
      <w:r>
        <w:rPr>
          <w:rFonts w:hint="eastAsia" w:ascii="宋体" w:hAnsi="宋体" w:cs="仿宋_GB2312+3+3"/>
          <w:kern w:val="0"/>
          <w:sz w:val="24"/>
          <w:highlight w:val="none"/>
        </w:rPr>
        <w:t>考核</w:t>
      </w:r>
      <w:r>
        <w:rPr>
          <w:rFonts w:hint="eastAsia" w:ascii="宋体" w:hAnsi="宋体" w:cs="仿宋_GB2312+3+4"/>
          <w:kern w:val="0"/>
          <w:sz w:val="24"/>
          <w:highlight w:val="none"/>
        </w:rPr>
        <w:t>指</w:t>
      </w:r>
      <w:r>
        <w:rPr>
          <w:rFonts w:hint="eastAsia" w:ascii="宋体" w:hAnsi="宋体" w:cs="仿宋_GB2312+3+1"/>
          <w:kern w:val="0"/>
          <w:sz w:val="24"/>
          <w:highlight w:val="none"/>
        </w:rPr>
        <w:t>标和</w:t>
      </w:r>
      <w:r>
        <w:rPr>
          <w:rFonts w:hint="eastAsia" w:ascii="宋体" w:hAnsi="宋体" w:cs="仿宋_GB2312+3+3"/>
          <w:kern w:val="0"/>
          <w:sz w:val="24"/>
          <w:highlight w:val="none"/>
        </w:rPr>
        <w:t>考核办</w:t>
      </w:r>
      <w:r>
        <w:rPr>
          <w:rFonts w:hint="eastAsia" w:ascii="宋体" w:hAnsi="宋体" w:cs="仿宋_GB2312+3+2"/>
          <w:kern w:val="0"/>
          <w:sz w:val="24"/>
          <w:highlight w:val="none"/>
        </w:rPr>
        <w:t>法</w:t>
      </w:r>
      <w:r>
        <w:rPr>
          <w:rFonts w:hint="eastAsia" w:ascii="宋体" w:hAnsi="宋体" w:cs="仿宋_GB2312+3+1"/>
          <w:kern w:val="0"/>
          <w:sz w:val="24"/>
          <w:highlight w:val="none"/>
        </w:rPr>
        <w:t>，</w:t>
      </w:r>
      <w:r>
        <w:rPr>
          <w:rFonts w:hint="eastAsia" w:ascii="宋体" w:hAnsi="宋体" w:cs="仿宋_GB2312+3+2"/>
          <w:kern w:val="0"/>
          <w:sz w:val="24"/>
          <w:highlight w:val="none"/>
        </w:rPr>
        <w:t>定期组织</w:t>
      </w:r>
      <w:r>
        <w:rPr>
          <w:rFonts w:hint="eastAsia" w:ascii="宋体" w:hAnsi="宋体" w:cs="仿宋_GB2312+3+1"/>
          <w:kern w:val="0"/>
          <w:sz w:val="24"/>
          <w:highlight w:val="none"/>
        </w:rPr>
        <w:t>实施</w:t>
      </w:r>
      <w:r>
        <w:rPr>
          <w:rFonts w:hint="eastAsia" w:ascii="宋体" w:hAnsi="宋体" w:cs="仿宋_GB2312+3+3"/>
          <w:kern w:val="0"/>
          <w:sz w:val="24"/>
          <w:highlight w:val="none"/>
        </w:rPr>
        <w:t>考核</w:t>
      </w:r>
      <w:r>
        <w:rPr>
          <w:rFonts w:hint="eastAsia" w:ascii="宋体" w:hAnsi="宋体" w:cs="仿宋_GB2312+3+1"/>
          <w:kern w:val="0"/>
          <w:sz w:val="24"/>
          <w:highlight w:val="none"/>
        </w:rPr>
        <w:t>，项目工程</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w:t>
      </w:r>
      <w:r>
        <w:rPr>
          <w:rFonts w:hint="eastAsia" w:ascii="宋体" w:hAnsi="宋体" w:cs="仿宋_GB2312+3+3"/>
          <w:kern w:val="0"/>
          <w:sz w:val="24"/>
          <w:highlight w:val="none"/>
        </w:rPr>
        <w:t>考核</w:t>
      </w:r>
      <w:r>
        <w:rPr>
          <w:rFonts w:hint="eastAsia" w:ascii="宋体" w:hAnsi="宋体" w:cs="仿宋_GB2312+3+1"/>
          <w:kern w:val="0"/>
          <w:sz w:val="24"/>
          <w:highlight w:val="none"/>
        </w:rPr>
        <w:t>要</w:t>
      </w:r>
      <w:r>
        <w:rPr>
          <w:rFonts w:hint="eastAsia" w:ascii="宋体" w:hAnsi="宋体" w:cs="仿宋_GB2312+3+4"/>
          <w:kern w:val="0"/>
          <w:sz w:val="24"/>
          <w:highlight w:val="none"/>
        </w:rPr>
        <w:t>与</w:t>
      </w:r>
      <w:r>
        <w:rPr>
          <w:rFonts w:hint="eastAsia" w:ascii="宋体" w:hAnsi="宋体" w:cs="仿宋_GB2312+3+1"/>
          <w:kern w:val="0"/>
          <w:sz w:val="24"/>
          <w:highlight w:val="none"/>
        </w:rPr>
        <w:t>经</w:t>
      </w:r>
      <w:r>
        <w:rPr>
          <w:rFonts w:hint="eastAsia" w:ascii="宋体" w:hAnsi="宋体" w:cs="仿宋_GB2312+3+2"/>
          <w:kern w:val="0"/>
          <w:sz w:val="24"/>
          <w:highlight w:val="none"/>
        </w:rPr>
        <w:t>济</w:t>
      </w:r>
      <w:r>
        <w:rPr>
          <w:rFonts w:hint="eastAsia" w:ascii="宋体" w:hAnsi="宋体" w:cs="仿宋_GB2312+3+1"/>
          <w:kern w:val="0"/>
          <w:sz w:val="24"/>
          <w:highlight w:val="none"/>
        </w:rPr>
        <w:t>效</w:t>
      </w:r>
      <w:r>
        <w:rPr>
          <w:rFonts w:hint="eastAsia" w:ascii="宋体" w:hAnsi="宋体" w:cs="仿宋_GB2312+3+3"/>
          <w:kern w:val="0"/>
          <w:sz w:val="24"/>
          <w:highlight w:val="none"/>
        </w:rPr>
        <w:t>益挂钩</w:t>
      </w:r>
      <w:r>
        <w:rPr>
          <w:rFonts w:hint="eastAsia" w:ascii="宋体" w:hAnsi="宋体" w:cs="仿宋_GB2312+3+2"/>
          <w:kern w:val="0"/>
          <w:sz w:val="24"/>
          <w:highlight w:val="none"/>
        </w:rPr>
        <w:t>；</w:t>
      </w:r>
    </w:p>
    <w:p w14:paraId="1C82263B">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2"/>
          <w:kern w:val="0"/>
          <w:sz w:val="24"/>
          <w:highlight w:val="none"/>
        </w:rPr>
        <w:t>5</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定期组织</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w:t>
      </w:r>
      <w:r>
        <w:rPr>
          <w:rFonts w:hint="eastAsia" w:ascii="宋体" w:hAnsi="宋体" w:cs="仿宋_GB2312+3+2"/>
          <w:kern w:val="0"/>
          <w:sz w:val="24"/>
          <w:highlight w:val="none"/>
        </w:rPr>
        <w:t>对上级</w:t>
      </w:r>
      <w:r>
        <w:rPr>
          <w:rFonts w:hint="eastAsia" w:ascii="宋体" w:hAnsi="宋体" w:cs="仿宋_GB2312+3+1"/>
          <w:kern w:val="0"/>
          <w:sz w:val="24"/>
          <w:highlight w:val="none"/>
        </w:rPr>
        <w:t>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中</w:t>
      </w:r>
      <w:r>
        <w:rPr>
          <w:rFonts w:hint="eastAsia" w:ascii="宋体" w:hAnsi="宋体" w:cs="仿宋_GB2312+3+2"/>
          <w:kern w:val="0"/>
          <w:sz w:val="24"/>
          <w:highlight w:val="none"/>
        </w:rPr>
        <w:t>提</w:t>
      </w:r>
      <w:r>
        <w:rPr>
          <w:rFonts w:hint="eastAsia" w:ascii="宋体" w:hAnsi="宋体" w:cs="仿宋_GB2312+3+4"/>
          <w:kern w:val="0"/>
          <w:sz w:val="24"/>
          <w:highlight w:val="none"/>
        </w:rPr>
        <w:t>出</w:t>
      </w:r>
      <w:r>
        <w:rPr>
          <w:rFonts w:hint="eastAsia" w:ascii="宋体" w:hAnsi="宋体" w:cs="仿宋_GB2312+3+3"/>
          <w:kern w:val="0"/>
          <w:sz w:val="24"/>
          <w:highlight w:val="none"/>
        </w:rPr>
        <w:t>的</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和管理</w:t>
      </w:r>
      <w:r>
        <w:rPr>
          <w:rFonts w:hint="eastAsia" w:ascii="宋体" w:hAnsi="宋体" w:cs="仿宋_GB2312+3+4"/>
          <w:kern w:val="0"/>
          <w:sz w:val="24"/>
          <w:highlight w:val="none"/>
        </w:rPr>
        <w:t>存</w:t>
      </w:r>
      <w:r>
        <w:rPr>
          <w:rFonts w:hint="eastAsia" w:ascii="宋体" w:hAnsi="宋体" w:cs="仿宋_GB2312+3+1"/>
          <w:kern w:val="0"/>
          <w:sz w:val="24"/>
          <w:highlight w:val="none"/>
        </w:rPr>
        <w:t>在</w:t>
      </w:r>
      <w:r>
        <w:rPr>
          <w:rFonts w:hint="eastAsia" w:ascii="宋体" w:hAnsi="宋体" w:cs="仿宋_GB2312+3+4"/>
          <w:kern w:val="0"/>
          <w:sz w:val="24"/>
          <w:highlight w:val="none"/>
        </w:rPr>
        <w:t>问题</w:t>
      </w:r>
      <w:r>
        <w:rPr>
          <w:rFonts w:hint="eastAsia" w:ascii="宋体" w:hAnsi="宋体" w:cs="仿宋_GB2312+3+1"/>
          <w:kern w:val="0"/>
          <w:sz w:val="24"/>
          <w:highlight w:val="none"/>
        </w:rPr>
        <w:t>，应</w:t>
      </w:r>
      <w:r>
        <w:rPr>
          <w:rFonts w:hint="eastAsia" w:ascii="宋体" w:hAnsi="宋体" w:cs="仿宋_GB2312+3+3"/>
          <w:kern w:val="0"/>
          <w:sz w:val="24"/>
          <w:highlight w:val="none"/>
        </w:rPr>
        <w:t>按</w:t>
      </w:r>
      <w:r>
        <w:rPr>
          <w:rFonts w:hint="eastAsia" w:ascii="宋体" w:hAnsi="宋体" w:cs="仿宋_GB2312+3+2"/>
          <w:kern w:val="0"/>
          <w:sz w:val="24"/>
          <w:highlight w:val="none"/>
        </w:rPr>
        <w:t>照“</w:t>
      </w:r>
      <w:r>
        <w:rPr>
          <w:rFonts w:hint="eastAsia" w:ascii="宋体" w:hAnsi="宋体" w:cs="仿宋_GB2312+3+1"/>
          <w:kern w:val="0"/>
          <w:sz w:val="24"/>
          <w:highlight w:val="none"/>
        </w:rPr>
        <w:t>三</w:t>
      </w:r>
      <w:r>
        <w:rPr>
          <w:rFonts w:hint="eastAsia" w:ascii="宋体" w:hAnsi="宋体" w:cs="仿宋_GB2312+3+2"/>
          <w:kern w:val="0"/>
          <w:sz w:val="24"/>
          <w:highlight w:val="none"/>
        </w:rPr>
        <w:t>定”</w:t>
      </w:r>
      <w:r>
        <w:rPr>
          <w:rFonts w:hint="eastAsia" w:ascii="宋体" w:hAnsi="宋体" w:cs="仿宋_GB2312+3+3"/>
          <w:kern w:val="0"/>
          <w:sz w:val="24"/>
          <w:highlight w:val="none"/>
        </w:rPr>
        <w:t>原则（</w:t>
      </w:r>
      <w:r>
        <w:rPr>
          <w:rFonts w:hint="eastAsia" w:ascii="宋体" w:hAnsi="宋体" w:cs="仿宋_GB2312+3+2"/>
          <w:kern w:val="0"/>
          <w:sz w:val="24"/>
          <w:highlight w:val="none"/>
        </w:rPr>
        <w:t>定</w:t>
      </w:r>
      <w:r>
        <w:rPr>
          <w:rFonts w:hint="eastAsia" w:ascii="宋体" w:hAnsi="宋体" w:cs="仿宋_GB2312+3+1"/>
          <w:kern w:val="0"/>
          <w:sz w:val="24"/>
          <w:highlight w:val="none"/>
        </w:rPr>
        <w:t>人、</w:t>
      </w:r>
      <w:r>
        <w:rPr>
          <w:rFonts w:hint="eastAsia" w:ascii="宋体" w:hAnsi="宋体" w:cs="仿宋_GB2312+3+2"/>
          <w:kern w:val="0"/>
          <w:sz w:val="24"/>
          <w:highlight w:val="none"/>
        </w:rPr>
        <w:t>定</w:t>
      </w:r>
      <w:r>
        <w:rPr>
          <w:rFonts w:hint="eastAsia" w:ascii="宋体" w:hAnsi="宋体" w:cs="仿宋_GB2312+3+3"/>
          <w:kern w:val="0"/>
          <w:sz w:val="24"/>
          <w:highlight w:val="none"/>
        </w:rPr>
        <w:t>时</w:t>
      </w:r>
      <w:r>
        <w:rPr>
          <w:rFonts w:hint="eastAsia" w:ascii="宋体" w:hAnsi="宋体" w:cs="仿宋_GB2312+3+7"/>
          <w:kern w:val="0"/>
          <w:sz w:val="24"/>
          <w:highlight w:val="none"/>
        </w:rPr>
        <w:t>间</w:t>
      </w:r>
      <w:r>
        <w:rPr>
          <w:rFonts w:hint="eastAsia" w:ascii="宋体" w:hAnsi="宋体" w:cs="仿宋_GB2312+3+1"/>
          <w:kern w:val="0"/>
          <w:sz w:val="24"/>
          <w:highlight w:val="none"/>
        </w:rPr>
        <w:t>、</w:t>
      </w:r>
      <w:r>
        <w:rPr>
          <w:rFonts w:hint="eastAsia" w:ascii="宋体" w:hAnsi="宋体" w:cs="仿宋_GB2312+3+2"/>
          <w:kern w:val="0"/>
          <w:sz w:val="24"/>
          <w:highlight w:val="none"/>
        </w:rPr>
        <w:t>定措</w:t>
      </w:r>
      <w:r>
        <w:rPr>
          <w:rFonts w:hint="eastAsia" w:ascii="宋体" w:hAnsi="宋体" w:cs="仿宋_GB2312+3+1"/>
          <w:kern w:val="0"/>
          <w:sz w:val="24"/>
          <w:highlight w:val="none"/>
        </w:rPr>
        <w:t>施</w:t>
      </w:r>
      <w:r>
        <w:rPr>
          <w:rFonts w:hint="eastAsia" w:ascii="宋体" w:hAnsi="宋体" w:cs="仿宋_GB2312+3+3"/>
          <w:kern w:val="0"/>
          <w:sz w:val="24"/>
          <w:highlight w:val="none"/>
        </w:rPr>
        <w:t>）</w:t>
      </w:r>
      <w:r>
        <w:rPr>
          <w:rFonts w:hint="eastAsia" w:ascii="宋体" w:hAnsi="宋体" w:cs="仿宋_GB2312+3+5"/>
          <w:kern w:val="0"/>
          <w:sz w:val="24"/>
          <w:highlight w:val="none"/>
        </w:rPr>
        <w:t>予</w:t>
      </w:r>
      <w:r>
        <w:rPr>
          <w:rFonts w:hint="eastAsia" w:ascii="宋体" w:hAnsi="宋体" w:cs="仿宋_GB2312+3+1"/>
          <w:kern w:val="0"/>
          <w:sz w:val="24"/>
          <w:highlight w:val="none"/>
        </w:rPr>
        <w:t>以</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3"/>
          <w:kern w:val="0"/>
          <w:sz w:val="24"/>
          <w:highlight w:val="none"/>
        </w:rPr>
        <w:t>按时</w:t>
      </w:r>
      <w:r>
        <w:rPr>
          <w:rFonts w:hint="eastAsia" w:ascii="宋体" w:hAnsi="宋体" w:cs="仿宋_GB2312+3+7"/>
          <w:kern w:val="0"/>
          <w:sz w:val="24"/>
          <w:highlight w:val="none"/>
        </w:rPr>
        <w:t>将</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4"/>
          <w:kern w:val="0"/>
          <w:sz w:val="24"/>
          <w:highlight w:val="none"/>
        </w:rPr>
        <w:t>情况</w:t>
      </w:r>
      <w:r>
        <w:rPr>
          <w:rFonts w:hint="eastAsia" w:ascii="宋体" w:hAnsi="宋体" w:cs="仿宋_GB2312+3+5"/>
          <w:kern w:val="0"/>
          <w:sz w:val="24"/>
          <w:highlight w:val="none"/>
        </w:rPr>
        <w:t>向</w:t>
      </w:r>
      <w:r>
        <w:rPr>
          <w:rFonts w:hint="eastAsia" w:ascii="宋体" w:hAnsi="宋体" w:cs="仿宋_GB2312+3+2"/>
          <w:kern w:val="0"/>
          <w:sz w:val="24"/>
          <w:highlight w:val="none"/>
        </w:rPr>
        <w:t>上级</w:t>
      </w:r>
      <w:r>
        <w:rPr>
          <w:rFonts w:hint="eastAsia" w:ascii="宋体" w:hAnsi="宋体" w:cs="仿宋_GB2312+3+4"/>
          <w:kern w:val="0"/>
          <w:sz w:val="24"/>
          <w:highlight w:val="none"/>
        </w:rPr>
        <w:t>反</w:t>
      </w:r>
      <w:r>
        <w:rPr>
          <w:rFonts w:hint="eastAsia" w:ascii="宋体" w:hAnsi="宋体" w:cs="仿宋_GB2312+3+9"/>
          <w:kern w:val="0"/>
          <w:sz w:val="24"/>
          <w:highlight w:val="none"/>
        </w:rPr>
        <w:t>馈</w:t>
      </w:r>
      <w:r>
        <w:rPr>
          <w:rFonts w:hint="eastAsia" w:ascii="宋体" w:hAnsi="宋体" w:cs="仿宋_GB2312+3+1"/>
          <w:kern w:val="0"/>
          <w:sz w:val="24"/>
          <w:highlight w:val="none"/>
        </w:rPr>
        <w:t>。</w:t>
      </w:r>
      <w:r>
        <w:rPr>
          <w:rFonts w:hint="eastAsia" w:ascii="宋体" w:hAnsi="宋体" w:cs="仿宋_GB2312+3+3"/>
          <w:kern w:val="0"/>
          <w:sz w:val="24"/>
          <w:highlight w:val="none"/>
        </w:rPr>
        <w:t>重</w:t>
      </w:r>
      <w:r>
        <w:rPr>
          <w:rFonts w:hint="eastAsia" w:ascii="宋体" w:hAnsi="宋体" w:cs="仿宋_GB2312+3+2"/>
          <w:kern w:val="0"/>
          <w:sz w:val="24"/>
          <w:highlight w:val="none"/>
        </w:rPr>
        <w:t>大</w:t>
      </w:r>
      <w:r>
        <w:rPr>
          <w:rFonts w:hint="eastAsia" w:ascii="宋体" w:hAnsi="宋体" w:cs="仿宋_GB2312+3+6"/>
          <w:kern w:val="0"/>
          <w:sz w:val="24"/>
          <w:highlight w:val="none"/>
        </w:rPr>
        <w:t>隐患</w:t>
      </w:r>
      <w:r>
        <w:rPr>
          <w:rFonts w:hint="eastAsia" w:ascii="宋体" w:hAnsi="宋体" w:cs="仿宋_GB2312+3+2"/>
          <w:kern w:val="0"/>
          <w:sz w:val="24"/>
          <w:highlight w:val="none"/>
        </w:rPr>
        <w:t>必</w:t>
      </w:r>
      <w:r>
        <w:rPr>
          <w:rFonts w:hint="eastAsia" w:ascii="宋体" w:hAnsi="宋体" w:cs="仿宋_GB2312+3+1"/>
          <w:kern w:val="0"/>
          <w:sz w:val="24"/>
          <w:highlight w:val="none"/>
        </w:rPr>
        <w:t>须立</w:t>
      </w:r>
      <w:r>
        <w:rPr>
          <w:rFonts w:hint="eastAsia" w:ascii="宋体" w:hAnsi="宋体" w:cs="仿宋_GB2312+3+7"/>
          <w:kern w:val="0"/>
          <w:sz w:val="24"/>
          <w:highlight w:val="none"/>
        </w:rPr>
        <w:t>即</w:t>
      </w:r>
      <w:r>
        <w:rPr>
          <w:rFonts w:hint="eastAsia" w:ascii="宋体" w:hAnsi="宋体" w:cs="仿宋_GB2312+3+5"/>
          <w:kern w:val="0"/>
          <w:sz w:val="24"/>
          <w:highlight w:val="none"/>
        </w:rPr>
        <w:t>停</w:t>
      </w:r>
      <w:r>
        <w:rPr>
          <w:rFonts w:hint="eastAsia" w:ascii="宋体" w:hAnsi="宋体" w:cs="仿宋_GB2312+3+4"/>
          <w:kern w:val="0"/>
          <w:sz w:val="24"/>
          <w:highlight w:val="none"/>
        </w:rPr>
        <w:t>止</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r>
        <w:rPr>
          <w:rFonts w:hint="eastAsia" w:ascii="宋体" w:hAnsi="宋体" w:cs="仿宋_GB2312+3+9"/>
          <w:kern w:val="0"/>
          <w:sz w:val="24"/>
          <w:highlight w:val="none"/>
        </w:rPr>
        <w:t>待</w:t>
      </w:r>
      <w:r>
        <w:rPr>
          <w:rFonts w:hint="eastAsia" w:ascii="宋体" w:hAnsi="宋体" w:cs="仿宋_GB2312+3+6"/>
          <w:kern w:val="0"/>
          <w:sz w:val="24"/>
          <w:highlight w:val="none"/>
        </w:rPr>
        <w:t>隐患</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1"/>
          <w:kern w:val="0"/>
          <w:sz w:val="24"/>
          <w:highlight w:val="none"/>
        </w:rPr>
        <w:t>，</w:t>
      </w:r>
      <w:r>
        <w:rPr>
          <w:rFonts w:hint="eastAsia" w:ascii="宋体" w:hAnsi="宋体" w:cs="仿宋_GB2312+3+2"/>
          <w:kern w:val="0"/>
          <w:sz w:val="24"/>
          <w:highlight w:val="none"/>
        </w:rPr>
        <w:t>报</w:t>
      </w:r>
      <w:r>
        <w:rPr>
          <w:rFonts w:hint="eastAsia" w:ascii="宋体" w:hAnsi="宋体" w:cs="仿宋_GB2312+3+6"/>
          <w:kern w:val="0"/>
          <w:sz w:val="24"/>
          <w:highlight w:val="none"/>
        </w:rPr>
        <w:t>请</w:t>
      </w:r>
      <w:r>
        <w:rPr>
          <w:rFonts w:hint="eastAsia" w:ascii="宋体" w:hAnsi="宋体" w:cs="仿宋_GB2312+3+2"/>
          <w:kern w:val="0"/>
          <w:sz w:val="24"/>
          <w:highlight w:val="none"/>
        </w:rPr>
        <w:t>上级</w:t>
      </w:r>
      <w:r>
        <w:rPr>
          <w:rFonts w:hint="eastAsia" w:ascii="宋体" w:hAnsi="宋体" w:cs="仿宋_GB2312+3+1"/>
          <w:kern w:val="0"/>
          <w:sz w:val="24"/>
          <w:highlight w:val="none"/>
        </w:rPr>
        <w:t>部</w:t>
      </w:r>
      <w:r>
        <w:rPr>
          <w:rFonts w:hint="eastAsia" w:ascii="宋体" w:hAnsi="宋体" w:cs="仿宋_GB2312+3+2"/>
          <w:kern w:val="0"/>
          <w:sz w:val="24"/>
          <w:highlight w:val="none"/>
        </w:rPr>
        <w:t>门</w:t>
      </w:r>
      <w:r>
        <w:rPr>
          <w:rFonts w:hint="eastAsia" w:ascii="宋体" w:hAnsi="宋体" w:cs="仿宋_GB2312+3+1"/>
          <w:kern w:val="0"/>
          <w:sz w:val="24"/>
          <w:highlight w:val="none"/>
        </w:rPr>
        <w:t>验</w:t>
      </w:r>
      <w:r>
        <w:rPr>
          <w:rFonts w:hint="eastAsia" w:ascii="宋体" w:hAnsi="宋体" w:cs="仿宋_GB2312+3+2"/>
          <w:kern w:val="0"/>
          <w:sz w:val="24"/>
          <w:highlight w:val="none"/>
        </w:rPr>
        <w:t>收合格后</w:t>
      </w:r>
      <w:r>
        <w:rPr>
          <w:rFonts w:hint="eastAsia" w:ascii="宋体" w:hAnsi="宋体" w:cs="仿宋_GB2312+3+1"/>
          <w:kern w:val="0"/>
          <w:sz w:val="24"/>
          <w:highlight w:val="none"/>
        </w:rPr>
        <w:t>，方</w:t>
      </w:r>
      <w:r>
        <w:rPr>
          <w:rFonts w:hint="eastAsia" w:ascii="宋体" w:hAnsi="宋体" w:cs="仿宋_GB2312+3+3"/>
          <w:kern w:val="0"/>
          <w:sz w:val="24"/>
          <w:highlight w:val="none"/>
        </w:rPr>
        <w:t>可</w:t>
      </w:r>
      <w:r>
        <w:rPr>
          <w:rFonts w:hint="eastAsia" w:ascii="宋体" w:hAnsi="宋体" w:cs="仿宋_GB2312+3+9"/>
          <w:kern w:val="0"/>
          <w:sz w:val="24"/>
          <w:highlight w:val="none"/>
        </w:rPr>
        <w:t>恢</w:t>
      </w:r>
      <w:r>
        <w:rPr>
          <w:rFonts w:hint="eastAsia" w:ascii="宋体" w:hAnsi="宋体" w:cs="仿宋_GB2312+3+5"/>
          <w:kern w:val="0"/>
          <w:sz w:val="24"/>
          <w:highlight w:val="none"/>
        </w:rPr>
        <w:t>复</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p>
    <w:p w14:paraId="541B564F">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6</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组织</w:t>
      </w:r>
      <w:r>
        <w:rPr>
          <w:rFonts w:hint="eastAsia" w:ascii="宋体" w:hAnsi="宋体" w:cs="仿宋_GB2312+3+1"/>
          <w:kern w:val="0"/>
          <w:sz w:val="24"/>
          <w:highlight w:val="none"/>
        </w:rPr>
        <w:t>制</w:t>
      </w:r>
      <w:r>
        <w:rPr>
          <w:rFonts w:hint="eastAsia" w:ascii="宋体" w:hAnsi="宋体" w:cs="仿宋_GB2312+3+2"/>
          <w:kern w:val="0"/>
          <w:sz w:val="24"/>
          <w:highlight w:val="none"/>
        </w:rPr>
        <w:t>定并</w:t>
      </w:r>
      <w:r>
        <w:rPr>
          <w:rFonts w:hint="eastAsia" w:ascii="宋体" w:hAnsi="宋体" w:cs="仿宋_GB2312+3+1"/>
          <w:kern w:val="0"/>
          <w:sz w:val="24"/>
          <w:highlight w:val="none"/>
        </w:rPr>
        <w:t>实施工程项目</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事故</w:t>
      </w:r>
      <w:r>
        <w:rPr>
          <w:rFonts w:hint="eastAsia" w:ascii="宋体" w:hAnsi="宋体" w:cs="仿宋_GB2312+3+1"/>
          <w:kern w:val="0"/>
          <w:sz w:val="24"/>
          <w:highlight w:val="none"/>
        </w:rPr>
        <w:t>应</w:t>
      </w:r>
      <w:r>
        <w:rPr>
          <w:rFonts w:hint="eastAsia" w:ascii="宋体" w:hAnsi="宋体" w:cs="仿宋_GB2312+3+8"/>
          <w:kern w:val="0"/>
          <w:sz w:val="24"/>
          <w:highlight w:val="none"/>
        </w:rPr>
        <w:t>急救</w:t>
      </w:r>
      <w:r>
        <w:rPr>
          <w:rFonts w:hint="eastAsia" w:ascii="宋体" w:hAnsi="宋体" w:cs="仿宋_GB2312+3+9"/>
          <w:kern w:val="0"/>
          <w:sz w:val="24"/>
          <w:highlight w:val="none"/>
        </w:rPr>
        <w:t>援</w:t>
      </w:r>
      <w:r>
        <w:rPr>
          <w:rFonts w:hint="eastAsia" w:ascii="宋体" w:hAnsi="宋体" w:cs="仿宋_GB2312+3+4"/>
          <w:kern w:val="0"/>
          <w:sz w:val="24"/>
          <w:highlight w:val="none"/>
        </w:rPr>
        <w:t>预案</w:t>
      </w:r>
      <w:r>
        <w:rPr>
          <w:rFonts w:hint="eastAsia" w:ascii="宋体" w:hAnsi="宋体" w:cs="仿宋_GB2312+3+2"/>
          <w:kern w:val="0"/>
          <w:sz w:val="24"/>
          <w:highlight w:val="none"/>
        </w:rPr>
        <w:t>。</w:t>
      </w:r>
    </w:p>
    <w:p w14:paraId="21D8D00E">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7</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全管理作为项目管理</w:t>
      </w:r>
      <w:r>
        <w:rPr>
          <w:rFonts w:hint="eastAsia" w:ascii="宋体" w:hAnsi="宋体" w:cs="仿宋_GB2312+3+3"/>
          <w:kern w:val="0"/>
          <w:sz w:val="24"/>
          <w:highlight w:val="none"/>
        </w:rPr>
        <w:t>重</w:t>
      </w:r>
      <w:r>
        <w:rPr>
          <w:rFonts w:hint="eastAsia" w:ascii="宋体" w:hAnsi="宋体" w:cs="仿宋_GB2312+3+1"/>
          <w:kern w:val="0"/>
          <w:sz w:val="24"/>
          <w:highlight w:val="none"/>
        </w:rPr>
        <w:t>要内</w:t>
      </w:r>
      <w:r>
        <w:rPr>
          <w:rFonts w:hint="eastAsia" w:ascii="宋体" w:hAnsi="宋体" w:cs="仿宋_GB2312+3+3"/>
          <w:kern w:val="0"/>
          <w:sz w:val="24"/>
          <w:highlight w:val="none"/>
        </w:rPr>
        <w:t>容</w:t>
      </w:r>
      <w:r>
        <w:rPr>
          <w:rFonts w:hint="eastAsia" w:ascii="宋体" w:hAnsi="宋体" w:cs="仿宋_GB2312+3+1"/>
          <w:kern w:val="0"/>
          <w:sz w:val="24"/>
          <w:highlight w:val="none"/>
        </w:rPr>
        <w:t>，</w:t>
      </w:r>
      <w:r>
        <w:rPr>
          <w:rFonts w:hint="eastAsia" w:ascii="宋体" w:hAnsi="宋体" w:cs="仿宋_GB2312+3+4"/>
          <w:kern w:val="0"/>
          <w:sz w:val="24"/>
          <w:highlight w:val="none"/>
        </w:rPr>
        <w:t>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同</w:t>
      </w:r>
      <w:r>
        <w:rPr>
          <w:rFonts w:hint="eastAsia" w:ascii="宋体" w:hAnsi="宋体" w:cs="仿宋_GB2312+3+3"/>
          <w:kern w:val="0"/>
          <w:sz w:val="24"/>
          <w:highlight w:val="none"/>
        </w:rPr>
        <w:t>时</w:t>
      </w:r>
      <w:r>
        <w:rPr>
          <w:rFonts w:hint="eastAsia" w:ascii="宋体" w:hAnsi="宋体" w:cs="仿宋_GB2312+3+1"/>
          <w:kern w:val="0"/>
          <w:sz w:val="24"/>
          <w:highlight w:val="none"/>
        </w:rPr>
        <w:t>进行</w:t>
      </w:r>
      <w:r>
        <w:rPr>
          <w:rFonts w:hint="eastAsia" w:ascii="宋体" w:hAnsi="宋体" w:cs="仿宋_GB2312+3+2"/>
          <w:kern w:val="0"/>
          <w:sz w:val="24"/>
          <w:highlight w:val="none"/>
        </w:rPr>
        <w:t>。</w:t>
      </w:r>
    </w:p>
    <w:p w14:paraId="48FE2BB6">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8</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建立、</w:t>
      </w:r>
      <w:r>
        <w:rPr>
          <w:rFonts w:hint="eastAsia" w:ascii="宋体" w:hAnsi="宋体" w:cs="仿宋_GB2312+3+3"/>
          <w:kern w:val="0"/>
          <w:sz w:val="24"/>
          <w:highlight w:val="none"/>
        </w:rPr>
        <w:t>健</w:t>
      </w:r>
      <w:r>
        <w:rPr>
          <w:rFonts w:hint="eastAsia" w:ascii="宋体" w:hAnsi="宋体" w:cs="仿宋_GB2312+3+1"/>
          <w:kern w:val="0"/>
          <w:sz w:val="24"/>
          <w:highlight w:val="none"/>
        </w:rPr>
        <w:t>全工程项目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管理规章制度和</w:t>
      </w:r>
      <w:r>
        <w:rPr>
          <w:rFonts w:hint="eastAsia" w:ascii="宋体" w:hAnsi="宋体" w:cs="仿宋_GB2312+3+4"/>
          <w:kern w:val="0"/>
          <w:sz w:val="24"/>
          <w:highlight w:val="none"/>
        </w:rPr>
        <w:t>操</w:t>
      </w:r>
      <w:r>
        <w:rPr>
          <w:rFonts w:hint="eastAsia" w:ascii="宋体" w:hAnsi="宋体" w:cs="仿宋_GB2312+3+1"/>
          <w:kern w:val="0"/>
          <w:sz w:val="24"/>
          <w:highlight w:val="none"/>
        </w:rPr>
        <w:t>作</w:t>
      </w:r>
      <w:r>
        <w:rPr>
          <w:rFonts w:hint="eastAsia" w:ascii="宋体" w:hAnsi="宋体" w:cs="仿宋_GB2312+3+2"/>
          <w:kern w:val="0"/>
          <w:sz w:val="24"/>
          <w:highlight w:val="none"/>
        </w:rPr>
        <w:t>规</w:t>
      </w:r>
      <w:r>
        <w:rPr>
          <w:rFonts w:hint="eastAsia" w:ascii="宋体" w:hAnsi="宋体" w:cs="仿宋_GB2312+3+1"/>
          <w:kern w:val="0"/>
          <w:sz w:val="24"/>
          <w:highlight w:val="none"/>
        </w:rPr>
        <w:t>程，</w:t>
      </w:r>
      <w:r>
        <w:rPr>
          <w:rFonts w:hint="eastAsia" w:ascii="宋体" w:hAnsi="宋体" w:cs="仿宋_GB2312+3+2"/>
          <w:kern w:val="0"/>
          <w:sz w:val="24"/>
          <w:highlight w:val="none"/>
        </w:rPr>
        <w:t>合</w:t>
      </w:r>
      <w:r>
        <w:rPr>
          <w:rFonts w:hint="eastAsia" w:ascii="宋体" w:hAnsi="宋体" w:cs="仿宋_GB2312+3+1"/>
          <w:kern w:val="0"/>
          <w:sz w:val="24"/>
          <w:highlight w:val="none"/>
        </w:rPr>
        <w:t>理</w:t>
      </w:r>
      <w:r>
        <w:rPr>
          <w:rFonts w:hint="eastAsia" w:ascii="宋体" w:hAnsi="宋体" w:cs="仿宋_GB2312+3+3"/>
          <w:kern w:val="0"/>
          <w:sz w:val="24"/>
          <w:highlight w:val="none"/>
        </w:rPr>
        <w:t>配</w:t>
      </w:r>
      <w:r>
        <w:rPr>
          <w:rFonts w:hint="eastAsia" w:ascii="宋体" w:hAnsi="宋体" w:cs="仿宋_GB2312+3+6"/>
          <w:kern w:val="0"/>
          <w:sz w:val="24"/>
          <w:highlight w:val="none"/>
        </w:rPr>
        <w:t>置</w:t>
      </w:r>
      <w:r>
        <w:rPr>
          <w:rFonts w:hint="eastAsia" w:ascii="宋体" w:hAnsi="宋体" w:cs="仿宋_GB2312+3+1"/>
          <w:kern w:val="0"/>
          <w:sz w:val="24"/>
          <w:highlight w:val="none"/>
        </w:rPr>
        <w:t>人</w:t>
      </w:r>
      <w:r>
        <w:rPr>
          <w:rFonts w:hint="eastAsia" w:ascii="宋体" w:hAnsi="宋体" w:cs="仿宋_GB2312+3+2"/>
          <w:kern w:val="0"/>
          <w:sz w:val="24"/>
          <w:highlight w:val="none"/>
        </w:rPr>
        <w:t>力</w:t>
      </w:r>
      <w:r>
        <w:rPr>
          <w:rFonts w:hint="eastAsia" w:ascii="宋体" w:hAnsi="宋体" w:cs="仿宋_GB2312+3+1"/>
          <w:kern w:val="0"/>
          <w:sz w:val="24"/>
          <w:highlight w:val="none"/>
        </w:rPr>
        <w:t>、</w:t>
      </w:r>
      <w:r>
        <w:rPr>
          <w:rFonts w:hint="eastAsia" w:ascii="宋体" w:hAnsi="宋体" w:cs="仿宋_GB2312+3+6"/>
          <w:kern w:val="0"/>
          <w:sz w:val="24"/>
          <w:highlight w:val="none"/>
        </w:rPr>
        <w:t>物</w:t>
      </w:r>
      <w:r>
        <w:rPr>
          <w:rFonts w:hint="eastAsia" w:ascii="宋体" w:hAnsi="宋体" w:cs="仿宋_GB2312+3+4"/>
          <w:kern w:val="0"/>
          <w:sz w:val="24"/>
          <w:highlight w:val="none"/>
        </w:rPr>
        <w:t>资</w:t>
      </w:r>
      <w:r>
        <w:rPr>
          <w:rFonts w:hint="eastAsia" w:ascii="宋体" w:hAnsi="宋体" w:cs="仿宋_GB2312+3+1"/>
          <w:kern w:val="0"/>
          <w:sz w:val="24"/>
          <w:highlight w:val="none"/>
        </w:rPr>
        <w:t>、机</w:t>
      </w:r>
      <w:r>
        <w:rPr>
          <w:rFonts w:hint="eastAsia" w:ascii="宋体" w:hAnsi="宋体" w:cs="仿宋_GB2312+3+3"/>
          <w:kern w:val="0"/>
          <w:sz w:val="24"/>
          <w:highlight w:val="none"/>
        </w:rPr>
        <w:t>具</w:t>
      </w:r>
      <w:r>
        <w:rPr>
          <w:rFonts w:hint="eastAsia" w:ascii="宋体" w:hAnsi="宋体" w:cs="仿宋_GB2312+3+1"/>
          <w:kern w:val="0"/>
          <w:sz w:val="24"/>
          <w:highlight w:val="none"/>
        </w:rPr>
        <w:t>、</w:t>
      </w:r>
      <w:r>
        <w:rPr>
          <w:rFonts w:hint="eastAsia" w:ascii="宋体" w:hAnsi="宋体" w:cs="仿宋_GB2312+3+4"/>
          <w:kern w:val="0"/>
          <w:sz w:val="24"/>
          <w:highlight w:val="none"/>
        </w:rPr>
        <w:t>资</w:t>
      </w:r>
      <w:r>
        <w:rPr>
          <w:rFonts w:hint="eastAsia" w:ascii="宋体" w:hAnsi="宋体" w:cs="仿宋_GB2312+3+3"/>
          <w:kern w:val="0"/>
          <w:sz w:val="24"/>
          <w:highlight w:val="none"/>
        </w:rPr>
        <w:t>金</w:t>
      </w:r>
      <w:r>
        <w:rPr>
          <w:rFonts w:hint="eastAsia" w:ascii="宋体" w:hAnsi="宋体" w:cs="仿宋_GB2312+3+4"/>
          <w:kern w:val="0"/>
          <w:sz w:val="24"/>
          <w:highlight w:val="none"/>
        </w:rPr>
        <w:t>等</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要</w:t>
      </w:r>
      <w:r>
        <w:rPr>
          <w:rFonts w:hint="eastAsia" w:ascii="宋体" w:hAnsi="宋体" w:cs="仿宋_GB2312+3+3"/>
          <w:kern w:val="0"/>
          <w:sz w:val="24"/>
          <w:highlight w:val="none"/>
        </w:rPr>
        <w:t>素</w:t>
      </w:r>
      <w:r>
        <w:rPr>
          <w:rFonts w:hint="eastAsia" w:ascii="宋体" w:hAnsi="宋体" w:cs="仿宋_GB2312+3+1"/>
          <w:kern w:val="0"/>
          <w:sz w:val="24"/>
          <w:highlight w:val="none"/>
        </w:rPr>
        <w:t>。保</w:t>
      </w:r>
      <w:r>
        <w:rPr>
          <w:rFonts w:hint="eastAsia" w:ascii="宋体" w:hAnsi="宋体" w:cs="仿宋_GB2312+3+3"/>
          <w:kern w:val="0"/>
          <w:sz w:val="24"/>
          <w:highlight w:val="none"/>
        </w:rPr>
        <w:t>证</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投</w:t>
      </w:r>
      <w:r>
        <w:rPr>
          <w:rFonts w:hint="eastAsia" w:ascii="宋体" w:hAnsi="宋体" w:cs="仿宋_GB2312+3+2"/>
          <w:kern w:val="0"/>
          <w:sz w:val="24"/>
          <w:highlight w:val="none"/>
        </w:rPr>
        <w:t>入</w:t>
      </w:r>
      <w:r>
        <w:rPr>
          <w:rFonts w:hint="eastAsia" w:ascii="宋体" w:hAnsi="宋体" w:cs="仿宋_GB2312+3+1"/>
          <w:kern w:val="0"/>
          <w:sz w:val="24"/>
          <w:highlight w:val="none"/>
        </w:rPr>
        <w:t>有效实施，</w:t>
      </w:r>
      <w:r>
        <w:rPr>
          <w:rFonts w:hint="eastAsia" w:ascii="宋体" w:hAnsi="宋体" w:cs="仿宋_GB2312+3+2"/>
          <w:kern w:val="0"/>
          <w:sz w:val="24"/>
          <w:highlight w:val="none"/>
        </w:rPr>
        <w:t>积极采用</w:t>
      </w:r>
      <w:r>
        <w:rPr>
          <w:rFonts w:hint="eastAsia" w:ascii="宋体" w:hAnsi="宋体" w:cs="仿宋_GB2312+3+1"/>
          <w:kern w:val="0"/>
          <w:sz w:val="24"/>
          <w:highlight w:val="none"/>
        </w:rPr>
        <w:t>新</w:t>
      </w:r>
      <w:r>
        <w:rPr>
          <w:rFonts w:hint="eastAsia" w:ascii="宋体" w:hAnsi="宋体" w:cs="仿宋_GB2312+3+2"/>
          <w:kern w:val="0"/>
          <w:sz w:val="24"/>
          <w:highlight w:val="none"/>
        </w:rPr>
        <w:t>技术</w:t>
      </w:r>
      <w:r>
        <w:rPr>
          <w:rFonts w:hint="eastAsia" w:ascii="宋体" w:hAnsi="宋体" w:cs="仿宋_GB2312+3+1"/>
          <w:kern w:val="0"/>
          <w:sz w:val="24"/>
          <w:highlight w:val="none"/>
        </w:rPr>
        <w:t>、新工</w:t>
      </w:r>
      <w:r>
        <w:rPr>
          <w:rFonts w:hint="eastAsia" w:ascii="宋体" w:hAnsi="宋体" w:cs="仿宋_GB2312+3+5"/>
          <w:kern w:val="0"/>
          <w:sz w:val="24"/>
          <w:highlight w:val="none"/>
        </w:rPr>
        <w:t>艺</w:t>
      </w:r>
      <w:r>
        <w:rPr>
          <w:rFonts w:hint="eastAsia" w:ascii="宋体" w:hAnsi="宋体" w:cs="仿宋_GB2312+3+1"/>
          <w:kern w:val="0"/>
          <w:sz w:val="24"/>
          <w:highlight w:val="none"/>
        </w:rPr>
        <w:t>、新</w:t>
      </w:r>
      <w:r>
        <w:rPr>
          <w:rFonts w:hint="eastAsia" w:ascii="宋体" w:hAnsi="宋体" w:cs="仿宋_GB2312+3+2"/>
          <w:kern w:val="0"/>
          <w:sz w:val="24"/>
          <w:highlight w:val="none"/>
        </w:rPr>
        <w:t>设</w:t>
      </w:r>
      <w:r>
        <w:rPr>
          <w:rFonts w:hint="eastAsia" w:ascii="宋体" w:hAnsi="宋体" w:cs="仿宋_GB2312+3+3"/>
          <w:kern w:val="0"/>
          <w:sz w:val="24"/>
          <w:highlight w:val="none"/>
        </w:rPr>
        <w:t>备</w:t>
      </w:r>
      <w:r>
        <w:rPr>
          <w:rFonts w:hint="eastAsia" w:ascii="宋体" w:hAnsi="宋体" w:cs="仿宋_GB2312+3+1"/>
          <w:kern w:val="0"/>
          <w:sz w:val="24"/>
          <w:highlight w:val="none"/>
        </w:rPr>
        <w:t>、新</w:t>
      </w:r>
      <w:r>
        <w:rPr>
          <w:rFonts w:hint="eastAsia" w:ascii="宋体" w:hAnsi="宋体" w:cs="仿宋_GB2312+3+4"/>
          <w:kern w:val="0"/>
          <w:sz w:val="24"/>
          <w:highlight w:val="none"/>
        </w:rPr>
        <w:t>材料</w:t>
      </w:r>
      <w:r>
        <w:rPr>
          <w:rFonts w:hint="eastAsia" w:ascii="宋体" w:hAnsi="宋体" w:cs="仿宋_GB2312+3+1"/>
          <w:kern w:val="0"/>
          <w:sz w:val="24"/>
          <w:highlight w:val="none"/>
        </w:rPr>
        <w:t>，</w:t>
      </w:r>
      <w:r>
        <w:rPr>
          <w:rFonts w:hint="eastAsia" w:ascii="宋体" w:hAnsi="宋体" w:cs="仿宋_GB2312+3+2"/>
          <w:kern w:val="0"/>
          <w:sz w:val="24"/>
          <w:highlight w:val="none"/>
        </w:rPr>
        <w:t>提</w:t>
      </w:r>
      <w:r>
        <w:rPr>
          <w:rFonts w:hint="eastAsia" w:ascii="宋体" w:hAnsi="宋体" w:cs="仿宋_GB2312+3+1"/>
          <w:kern w:val="0"/>
          <w:sz w:val="24"/>
          <w:highlight w:val="none"/>
        </w:rPr>
        <w:t>高施工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水平。</w:t>
      </w:r>
    </w:p>
    <w:p w14:paraId="732BA087">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3"/>
          <w:kern w:val="0"/>
          <w:sz w:val="24"/>
          <w:highlight w:val="none"/>
        </w:rPr>
        <w:t>9</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依</w:t>
      </w:r>
      <w:r>
        <w:rPr>
          <w:rFonts w:hint="eastAsia" w:ascii="宋体" w:hAnsi="宋体" w:cs="仿宋_GB2312+3+2"/>
          <w:kern w:val="0"/>
          <w:sz w:val="24"/>
          <w:highlight w:val="none"/>
        </w:rPr>
        <w:t>据</w:t>
      </w:r>
      <w:r>
        <w:rPr>
          <w:rFonts w:hint="eastAsia" w:ascii="宋体" w:hAnsi="宋体" w:cs="仿宋_GB2312+3+1"/>
          <w:kern w:val="0"/>
          <w:sz w:val="24"/>
          <w:highlight w:val="none"/>
        </w:rPr>
        <w:t>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w:t>
      </w:r>
      <w:r>
        <w:rPr>
          <w:rFonts w:hint="eastAsia" w:ascii="宋体" w:hAnsi="宋体" w:cs="仿宋_GB2312+3+2"/>
          <w:kern w:val="0"/>
          <w:sz w:val="24"/>
          <w:highlight w:val="none"/>
        </w:rPr>
        <w:t>科学编</w:t>
      </w:r>
      <w:r>
        <w:rPr>
          <w:rFonts w:hint="eastAsia" w:ascii="宋体" w:hAnsi="宋体" w:cs="仿宋_GB2312+3+1"/>
          <w:kern w:val="0"/>
          <w:sz w:val="24"/>
          <w:highlight w:val="none"/>
        </w:rPr>
        <w:t>制施工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3"/>
          <w:kern w:val="0"/>
          <w:sz w:val="24"/>
          <w:highlight w:val="none"/>
        </w:rPr>
        <w:t>正</w:t>
      </w:r>
      <w:r>
        <w:rPr>
          <w:rFonts w:hint="eastAsia" w:ascii="宋体" w:hAnsi="宋体" w:cs="仿宋_GB2312+3+1"/>
          <w:kern w:val="0"/>
          <w:sz w:val="24"/>
          <w:highlight w:val="none"/>
        </w:rPr>
        <w:t>确</w:t>
      </w:r>
      <w:r>
        <w:rPr>
          <w:rFonts w:hint="eastAsia" w:ascii="宋体" w:hAnsi="宋体" w:cs="仿宋_GB2312+3+4"/>
          <w:kern w:val="0"/>
          <w:sz w:val="24"/>
          <w:highlight w:val="none"/>
        </w:rPr>
        <w:t>处</w:t>
      </w:r>
      <w:r>
        <w:rPr>
          <w:rFonts w:hint="eastAsia" w:ascii="宋体" w:hAnsi="宋体" w:cs="仿宋_GB2312+3+1"/>
          <w:kern w:val="0"/>
          <w:sz w:val="24"/>
          <w:highlight w:val="none"/>
        </w:rPr>
        <w:t>理</w:t>
      </w:r>
      <w:r>
        <w:rPr>
          <w:rFonts w:hint="eastAsia" w:ascii="宋体" w:hAnsi="宋体" w:cs="仿宋_GB2312+3+3"/>
          <w:kern w:val="0"/>
          <w:sz w:val="24"/>
          <w:highlight w:val="none"/>
        </w:rPr>
        <w:t>好安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进度、</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效</w:t>
      </w:r>
      <w:r>
        <w:rPr>
          <w:rFonts w:hint="eastAsia" w:ascii="宋体" w:hAnsi="宋体" w:cs="仿宋_GB2312+3+3"/>
          <w:kern w:val="0"/>
          <w:sz w:val="24"/>
          <w:highlight w:val="none"/>
        </w:rPr>
        <w:t>益关</w:t>
      </w:r>
      <w:r>
        <w:rPr>
          <w:rFonts w:hint="eastAsia" w:ascii="宋体" w:hAnsi="宋体" w:cs="仿宋_GB2312+3+1"/>
          <w:kern w:val="0"/>
          <w:sz w:val="24"/>
          <w:highlight w:val="none"/>
        </w:rPr>
        <w:t>系，</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贯</w:t>
      </w:r>
      <w:r>
        <w:rPr>
          <w:rFonts w:hint="eastAsia" w:ascii="宋体" w:hAnsi="宋体" w:cs="仿宋_GB2312+3+9"/>
          <w:kern w:val="0"/>
          <w:sz w:val="24"/>
          <w:highlight w:val="none"/>
        </w:rPr>
        <w:t>穿</w:t>
      </w:r>
      <w:r>
        <w:rPr>
          <w:rFonts w:hint="eastAsia" w:ascii="宋体" w:hAnsi="宋体" w:cs="仿宋_GB2312+3+5"/>
          <w:kern w:val="0"/>
          <w:sz w:val="24"/>
          <w:highlight w:val="none"/>
        </w:rPr>
        <w:t>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全过程，</w:t>
      </w:r>
      <w:r>
        <w:rPr>
          <w:rFonts w:hint="eastAsia" w:ascii="宋体" w:hAnsi="宋体" w:cs="仿宋_GB2312+3+2"/>
          <w:kern w:val="0"/>
          <w:sz w:val="24"/>
          <w:highlight w:val="none"/>
        </w:rPr>
        <w:t>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摆</w:t>
      </w:r>
      <w:r>
        <w:rPr>
          <w:rFonts w:hint="eastAsia" w:ascii="宋体" w:hAnsi="宋体" w:cs="仿宋_GB2312+3+1"/>
          <w:kern w:val="0"/>
          <w:sz w:val="24"/>
          <w:highlight w:val="none"/>
        </w:rPr>
        <w:t>在</w:t>
      </w:r>
      <w:r>
        <w:rPr>
          <w:rFonts w:hint="eastAsia" w:ascii="宋体" w:hAnsi="宋体" w:cs="仿宋_GB2312+3+3"/>
          <w:kern w:val="0"/>
          <w:sz w:val="24"/>
          <w:highlight w:val="none"/>
        </w:rPr>
        <w:t>首</w:t>
      </w:r>
      <w:r>
        <w:rPr>
          <w:rFonts w:hint="eastAsia" w:ascii="宋体" w:hAnsi="宋体" w:cs="仿宋_GB2312+3+2"/>
          <w:kern w:val="0"/>
          <w:sz w:val="24"/>
          <w:highlight w:val="none"/>
        </w:rPr>
        <w:t>位</w:t>
      </w:r>
      <w:r>
        <w:rPr>
          <w:rFonts w:hint="eastAsia" w:ascii="宋体" w:hAnsi="宋体" w:cs="仿宋_GB2312+3+9"/>
          <w:kern w:val="0"/>
          <w:sz w:val="24"/>
          <w:highlight w:val="none"/>
        </w:rPr>
        <w:t>抓</w:t>
      </w:r>
      <w:r>
        <w:rPr>
          <w:rFonts w:hint="eastAsia" w:ascii="宋体" w:hAnsi="宋体" w:cs="仿宋_GB2312+3+7"/>
          <w:kern w:val="0"/>
          <w:sz w:val="24"/>
          <w:highlight w:val="none"/>
        </w:rPr>
        <w:t>紧</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3"/>
          <w:kern w:val="0"/>
          <w:sz w:val="24"/>
          <w:highlight w:val="none"/>
        </w:rPr>
        <w:t>好</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1"/>
          <w:kern w:val="0"/>
          <w:sz w:val="24"/>
          <w:highlight w:val="none"/>
        </w:rPr>
        <w:t>实</w:t>
      </w:r>
      <w:r>
        <w:rPr>
          <w:rFonts w:hint="eastAsia" w:ascii="宋体" w:hAnsi="宋体" w:cs="仿宋_GB2312+3+2"/>
          <w:kern w:val="0"/>
          <w:sz w:val="24"/>
          <w:highlight w:val="none"/>
        </w:rPr>
        <w:t>。</w:t>
      </w:r>
    </w:p>
    <w:p w14:paraId="2697DF5F">
      <w:pPr>
        <w:adjustRightInd w:val="0"/>
        <w:snapToGrid w:val="0"/>
        <w:spacing w:line="460" w:lineRule="exact"/>
        <w:ind w:firstLine="360" w:firstLineChars="150"/>
        <w:jc w:val="left"/>
        <w:rPr>
          <w:rFonts w:hint="eastAsia" w:ascii="宋体" w:hAnsi="宋体" w:cs="仿宋_GB2312+3+1"/>
          <w:kern w:val="0"/>
          <w:sz w:val="24"/>
          <w:highlight w:val="none"/>
        </w:rPr>
      </w:pPr>
      <w:r>
        <w:rPr>
          <w:rFonts w:hint="eastAsia" w:ascii="宋体" w:hAnsi="宋体" w:cs="仿宋_GB2312+3+1"/>
          <w:kern w:val="0"/>
          <w:sz w:val="24"/>
          <w:highlight w:val="none"/>
        </w:rPr>
        <w:t>10</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2"/>
          <w:kern w:val="0"/>
          <w:sz w:val="24"/>
          <w:highlight w:val="none"/>
        </w:rPr>
        <w:t>动</w:t>
      </w:r>
      <w:r>
        <w:rPr>
          <w:rFonts w:hint="eastAsia" w:ascii="宋体" w:hAnsi="宋体" w:cs="仿宋_GB2312+3+9"/>
          <w:kern w:val="0"/>
          <w:sz w:val="24"/>
          <w:highlight w:val="none"/>
        </w:rPr>
        <w:t>群众</w:t>
      </w:r>
      <w:r>
        <w:rPr>
          <w:rFonts w:hint="eastAsia" w:ascii="宋体" w:hAnsi="宋体" w:cs="仿宋_GB2312+3+1"/>
          <w:kern w:val="0"/>
          <w:sz w:val="24"/>
          <w:highlight w:val="none"/>
        </w:rPr>
        <w:t>，实行全员、全面、全方</w:t>
      </w:r>
      <w:r>
        <w:rPr>
          <w:rFonts w:hint="eastAsia" w:ascii="宋体" w:hAnsi="宋体" w:cs="仿宋_GB2312+3+2"/>
          <w:kern w:val="0"/>
          <w:sz w:val="24"/>
          <w:highlight w:val="none"/>
        </w:rPr>
        <w:t>位</w:t>
      </w:r>
      <w:r>
        <w:rPr>
          <w:rFonts w:hint="eastAsia" w:ascii="宋体" w:hAnsi="宋体" w:cs="仿宋_GB2312+3+1"/>
          <w:kern w:val="0"/>
          <w:sz w:val="24"/>
          <w:highlight w:val="none"/>
        </w:rPr>
        <w:t>、全过程的</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管理。经</w:t>
      </w:r>
      <w:r>
        <w:rPr>
          <w:rFonts w:hint="eastAsia" w:ascii="宋体" w:hAnsi="宋体" w:cs="仿宋_GB2312+3+3"/>
          <w:kern w:val="0"/>
          <w:sz w:val="24"/>
          <w:highlight w:val="none"/>
        </w:rPr>
        <w:t>常</w:t>
      </w:r>
      <w:r>
        <w:rPr>
          <w:rFonts w:hint="eastAsia" w:ascii="宋体" w:hAnsi="宋体" w:cs="仿宋_GB2312+3+5"/>
          <w:kern w:val="0"/>
          <w:sz w:val="24"/>
          <w:highlight w:val="none"/>
        </w:rPr>
        <w:t>听</w:t>
      </w:r>
      <w:r>
        <w:rPr>
          <w:rFonts w:hint="eastAsia" w:ascii="宋体" w:hAnsi="宋体" w:cs="仿宋_GB2312+3+6"/>
          <w:kern w:val="0"/>
          <w:sz w:val="24"/>
          <w:highlight w:val="none"/>
        </w:rPr>
        <w:t>取</w:t>
      </w:r>
      <w:r>
        <w:rPr>
          <w:rFonts w:hint="eastAsia" w:ascii="宋体" w:hAnsi="宋体" w:cs="仿宋_GB2312+3+4"/>
          <w:kern w:val="0"/>
          <w:sz w:val="24"/>
          <w:highlight w:val="none"/>
        </w:rPr>
        <w:t>广</w:t>
      </w:r>
      <w:r>
        <w:rPr>
          <w:rFonts w:hint="eastAsia" w:ascii="宋体" w:hAnsi="宋体" w:cs="仿宋_GB2312+3+2"/>
          <w:kern w:val="0"/>
          <w:sz w:val="24"/>
          <w:highlight w:val="none"/>
        </w:rPr>
        <w:t>大</w:t>
      </w:r>
      <w:r>
        <w:rPr>
          <w:rFonts w:hint="eastAsia" w:ascii="宋体" w:hAnsi="宋体" w:cs="仿宋_GB2312+3+1"/>
          <w:kern w:val="0"/>
          <w:sz w:val="24"/>
          <w:highlight w:val="none"/>
        </w:rPr>
        <w:t>员工在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方面的</w:t>
      </w:r>
      <w:r>
        <w:rPr>
          <w:rFonts w:hint="eastAsia" w:ascii="宋体" w:hAnsi="宋体" w:cs="仿宋_GB2312+3+3"/>
          <w:kern w:val="0"/>
          <w:sz w:val="24"/>
          <w:highlight w:val="none"/>
        </w:rPr>
        <w:t>意</w:t>
      </w:r>
      <w:r>
        <w:rPr>
          <w:rFonts w:hint="eastAsia" w:ascii="宋体" w:hAnsi="宋体" w:cs="仿宋_GB2312+3+6"/>
          <w:kern w:val="0"/>
          <w:sz w:val="24"/>
          <w:highlight w:val="none"/>
        </w:rPr>
        <w:t>见</w:t>
      </w:r>
      <w:r>
        <w:rPr>
          <w:rFonts w:hint="eastAsia" w:ascii="宋体" w:hAnsi="宋体" w:cs="仿宋_GB2312+3+1"/>
          <w:kern w:val="0"/>
          <w:sz w:val="24"/>
          <w:highlight w:val="none"/>
        </w:rPr>
        <w:t>和建</w:t>
      </w:r>
      <w:r>
        <w:rPr>
          <w:rFonts w:hint="eastAsia" w:ascii="宋体" w:hAnsi="宋体" w:cs="仿宋_GB2312+3+5"/>
          <w:kern w:val="0"/>
          <w:sz w:val="24"/>
          <w:highlight w:val="none"/>
        </w:rPr>
        <w:t>议</w:t>
      </w:r>
      <w:r>
        <w:rPr>
          <w:rFonts w:hint="eastAsia" w:ascii="宋体" w:hAnsi="宋体" w:cs="仿宋_GB2312+3+1"/>
          <w:kern w:val="0"/>
          <w:sz w:val="24"/>
          <w:highlight w:val="none"/>
        </w:rPr>
        <w:t>，</w:t>
      </w:r>
      <w:r>
        <w:rPr>
          <w:rFonts w:hint="eastAsia" w:ascii="宋体" w:hAnsi="宋体" w:cs="仿宋_GB2312+3+3"/>
          <w:kern w:val="0"/>
          <w:sz w:val="24"/>
          <w:highlight w:val="none"/>
        </w:rPr>
        <w:t>总</w:t>
      </w:r>
      <w:r>
        <w:rPr>
          <w:rFonts w:hint="eastAsia" w:ascii="宋体" w:hAnsi="宋体" w:cs="仿宋_GB2312+3+2"/>
          <w:kern w:val="0"/>
          <w:sz w:val="24"/>
          <w:highlight w:val="none"/>
        </w:rPr>
        <w:t>结</w:t>
      </w:r>
      <w:r>
        <w:rPr>
          <w:rFonts w:hint="eastAsia" w:ascii="宋体" w:hAnsi="宋体" w:cs="仿宋_GB2312+3+4"/>
          <w:kern w:val="0"/>
          <w:sz w:val="24"/>
          <w:highlight w:val="none"/>
        </w:rPr>
        <w:t>推广</w:t>
      </w:r>
      <w:r>
        <w:rPr>
          <w:rFonts w:hint="eastAsia" w:ascii="宋体" w:hAnsi="宋体" w:cs="仿宋_GB2312+3+2"/>
          <w:kern w:val="0"/>
          <w:sz w:val="24"/>
          <w:highlight w:val="none"/>
        </w:rPr>
        <w:t>科学</w:t>
      </w:r>
      <w:r>
        <w:rPr>
          <w:rFonts w:hint="eastAsia" w:ascii="宋体" w:hAnsi="宋体" w:cs="仿宋_GB2312+3+1"/>
          <w:kern w:val="0"/>
          <w:sz w:val="24"/>
          <w:highlight w:val="none"/>
        </w:rPr>
        <w:t>管理经验，</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5"/>
          <w:kern w:val="0"/>
          <w:sz w:val="24"/>
          <w:highlight w:val="none"/>
        </w:rPr>
        <w:t>表彰</w:t>
      </w:r>
      <w:r>
        <w:rPr>
          <w:rFonts w:hint="eastAsia" w:ascii="宋体" w:hAnsi="宋体" w:cs="仿宋_GB2312+3+2"/>
          <w:kern w:val="0"/>
          <w:sz w:val="24"/>
          <w:highlight w:val="none"/>
        </w:rPr>
        <w:t>先</w:t>
      </w:r>
      <w:r>
        <w:rPr>
          <w:rFonts w:hint="eastAsia" w:ascii="宋体" w:hAnsi="宋体" w:cs="仿宋_GB2312+3+1"/>
          <w:kern w:val="0"/>
          <w:sz w:val="24"/>
          <w:highlight w:val="none"/>
        </w:rPr>
        <w:t>进，</w:t>
      </w:r>
      <w:r>
        <w:rPr>
          <w:rFonts w:hint="eastAsia" w:ascii="宋体" w:hAnsi="宋体" w:cs="仿宋_GB2312+3+3"/>
          <w:kern w:val="0"/>
          <w:sz w:val="24"/>
          <w:highlight w:val="none"/>
        </w:rPr>
        <w:t>严</w:t>
      </w:r>
      <w:r>
        <w:rPr>
          <w:rFonts w:hint="eastAsia" w:ascii="宋体" w:hAnsi="宋体" w:cs="仿宋_GB2312+3+9"/>
          <w:kern w:val="0"/>
          <w:sz w:val="24"/>
          <w:highlight w:val="none"/>
        </w:rPr>
        <w:t>肃</w:t>
      </w:r>
      <w:r>
        <w:rPr>
          <w:rFonts w:hint="eastAsia" w:ascii="宋体" w:hAnsi="宋体" w:cs="仿宋_GB2312+3+4"/>
          <w:kern w:val="0"/>
          <w:sz w:val="24"/>
          <w:highlight w:val="none"/>
        </w:rPr>
        <w:t>处</w:t>
      </w:r>
      <w:r>
        <w:rPr>
          <w:rFonts w:hint="eastAsia" w:ascii="宋体" w:hAnsi="宋体" w:cs="仿宋_GB2312+3+6"/>
          <w:kern w:val="0"/>
          <w:sz w:val="24"/>
          <w:highlight w:val="none"/>
        </w:rPr>
        <w:t>罚</w:t>
      </w:r>
      <w:r>
        <w:rPr>
          <w:rFonts w:hint="eastAsia" w:ascii="宋体" w:hAnsi="宋体" w:cs="仿宋_GB2312+3+2"/>
          <w:kern w:val="0"/>
          <w:sz w:val="24"/>
          <w:highlight w:val="none"/>
        </w:rPr>
        <w:t>事故</w:t>
      </w:r>
      <w:r>
        <w:rPr>
          <w:rFonts w:hint="eastAsia" w:ascii="宋体" w:hAnsi="宋体" w:cs="仿宋_GB2312+3+1"/>
          <w:kern w:val="0"/>
          <w:sz w:val="24"/>
          <w:highlight w:val="none"/>
        </w:rPr>
        <w:t>责任</w:t>
      </w:r>
      <w:r>
        <w:rPr>
          <w:rFonts w:hint="eastAsia" w:ascii="宋体" w:hAnsi="宋体" w:cs="仿宋_GB2312+3+4"/>
          <w:kern w:val="0"/>
          <w:sz w:val="24"/>
          <w:highlight w:val="none"/>
        </w:rPr>
        <w:t>者</w:t>
      </w:r>
      <w:r>
        <w:rPr>
          <w:rFonts w:hint="eastAsia" w:ascii="宋体" w:hAnsi="宋体" w:cs="仿宋_GB2312+3+1"/>
          <w:kern w:val="0"/>
          <w:sz w:val="24"/>
          <w:highlight w:val="none"/>
        </w:rPr>
        <w:t>。</w:t>
      </w:r>
    </w:p>
    <w:p w14:paraId="0FB397D9">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11</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3"/>
          <w:kern w:val="0"/>
          <w:sz w:val="24"/>
          <w:highlight w:val="none"/>
        </w:rPr>
        <w:t>生</w:t>
      </w:r>
      <w:r>
        <w:rPr>
          <w:rFonts w:hint="eastAsia" w:ascii="宋体" w:hAnsi="宋体" w:cs="仿宋_GB2312+3+4"/>
          <w:kern w:val="0"/>
          <w:sz w:val="24"/>
          <w:highlight w:val="none"/>
        </w:rPr>
        <w:t>因</w:t>
      </w:r>
      <w:r>
        <w:rPr>
          <w:rFonts w:hint="eastAsia" w:ascii="宋体" w:hAnsi="宋体" w:cs="仿宋_GB2312+3+1"/>
          <w:kern w:val="0"/>
          <w:sz w:val="24"/>
          <w:highlight w:val="none"/>
        </w:rPr>
        <w:t>工</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3"/>
          <w:kern w:val="0"/>
          <w:sz w:val="24"/>
          <w:highlight w:val="none"/>
        </w:rPr>
        <w:t>时</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3"/>
          <w:kern w:val="0"/>
          <w:sz w:val="24"/>
          <w:highlight w:val="none"/>
        </w:rPr>
        <w:t>做好</w:t>
      </w:r>
      <w:r>
        <w:rPr>
          <w:rFonts w:hint="eastAsia" w:ascii="宋体" w:hAnsi="宋体" w:cs="仿宋_GB2312+3+2"/>
          <w:kern w:val="0"/>
          <w:sz w:val="24"/>
          <w:highlight w:val="none"/>
        </w:rPr>
        <w:t>事故现</w:t>
      </w:r>
      <w:r>
        <w:rPr>
          <w:rFonts w:hint="eastAsia" w:ascii="宋体" w:hAnsi="宋体" w:cs="仿宋_GB2312+3+1"/>
          <w:kern w:val="0"/>
          <w:sz w:val="24"/>
          <w:highlight w:val="none"/>
        </w:rPr>
        <w:t>场保</w:t>
      </w:r>
      <w:r>
        <w:rPr>
          <w:rFonts w:hint="eastAsia" w:ascii="宋体" w:hAnsi="宋体" w:cs="仿宋_GB2312+3+6"/>
          <w:kern w:val="0"/>
          <w:sz w:val="24"/>
          <w:highlight w:val="none"/>
        </w:rPr>
        <w:t>护</w:t>
      </w:r>
      <w:r>
        <w:rPr>
          <w:rFonts w:hint="eastAsia" w:ascii="宋体" w:hAnsi="宋体" w:cs="仿宋_GB2312+3+4"/>
          <w:kern w:val="0"/>
          <w:sz w:val="24"/>
          <w:highlight w:val="none"/>
        </w:rPr>
        <w:t>与</w:t>
      </w:r>
      <w:r>
        <w:rPr>
          <w:rFonts w:hint="eastAsia" w:ascii="宋体" w:hAnsi="宋体" w:cs="仿宋_GB2312+3+8"/>
          <w:kern w:val="0"/>
          <w:sz w:val="24"/>
          <w:highlight w:val="none"/>
        </w:rPr>
        <w:t>伤</w:t>
      </w:r>
      <w:r>
        <w:rPr>
          <w:rFonts w:hint="eastAsia" w:ascii="宋体" w:hAnsi="宋体" w:cs="仿宋_GB2312+3+1"/>
          <w:kern w:val="0"/>
          <w:sz w:val="24"/>
          <w:highlight w:val="none"/>
        </w:rPr>
        <w:t>员</w:t>
      </w:r>
      <w:r>
        <w:rPr>
          <w:rFonts w:hint="eastAsia" w:ascii="宋体" w:hAnsi="宋体" w:cs="仿宋_GB2312+3+8"/>
          <w:kern w:val="0"/>
          <w:sz w:val="24"/>
          <w:highlight w:val="none"/>
        </w:rPr>
        <w:t>抢救</w:t>
      </w:r>
      <w:r>
        <w:rPr>
          <w:rFonts w:hint="eastAsia" w:ascii="宋体" w:hAnsi="宋体" w:cs="仿宋_GB2312+3+1"/>
          <w:kern w:val="0"/>
          <w:sz w:val="24"/>
          <w:highlight w:val="none"/>
        </w:rPr>
        <w:t>工作，</w:t>
      </w:r>
      <w:r>
        <w:rPr>
          <w:rFonts w:hint="eastAsia" w:ascii="宋体" w:hAnsi="宋体" w:cs="仿宋_GB2312+3+3"/>
          <w:kern w:val="0"/>
          <w:sz w:val="24"/>
          <w:highlight w:val="none"/>
        </w:rPr>
        <w:t>按</w:t>
      </w:r>
      <w:r>
        <w:rPr>
          <w:rFonts w:hint="eastAsia" w:ascii="宋体" w:hAnsi="宋体" w:cs="仿宋_GB2312+3+2"/>
          <w:kern w:val="0"/>
          <w:sz w:val="24"/>
          <w:highlight w:val="none"/>
        </w:rPr>
        <w:t>规定及</w:t>
      </w:r>
      <w:r>
        <w:rPr>
          <w:rFonts w:hint="eastAsia" w:ascii="宋体" w:hAnsi="宋体" w:cs="仿宋_GB2312+3+3"/>
          <w:kern w:val="0"/>
          <w:sz w:val="24"/>
          <w:highlight w:val="none"/>
        </w:rPr>
        <w:t>时</w:t>
      </w:r>
      <w:r>
        <w:rPr>
          <w:rFonts w:hint="eastAsia" w:ascii="宋体" w:hAnsi="宋体" w:cs="仿宋_GB2312+3+2"/>
          <w:kern w:val="0"/>
          <w:sz w:val="24"/>
          <w:highlight w:val="none"/>
        </w:rPr>
        <w:t>上报</w:t>
      </w:r>
      <w:r>
        <w:rPr>
          <w:rFonts w:hint="eastAsia" w:ascii="宋体" w:hAnsi="宋体" w:cs="仿宋_GB2312+3+1"/>
          <w:kern w:val="0"/>
          <w:sz w:val="24"/>
          <w:highlight w:val="none"/>
        </w:rPr>
        <w:t>，</w:t>
      </w:r>
      <w:r>
        <w:rPr>
          <w:rFonts w:hint="eastAsia" w:ascii="宋体" w:hAnsi="宋体" w:cs="仿宋_GB2312+3+3"/>
          <w:kern w:val="0"/>
          <w:sz w:val="24"/>
          <w:highlight w:val="none"/>
        </w:rPr>
        <w:t>不得</w:t>
      </w:r>
      <w:r>
        <w:rPr>
          <w:rFonts w:hint="eastAsia" w:ascii="宋体" w:hAnsi="宋体" w:cs="仿宋_GB2312+3+6"/>
          <w:kern w:val="0"/>
          <w:sz w:val="24"/>
          <w:highlight w:val="none"/>
        </w:rPr>
        <w:t>隐</w:t>
      </w:r>
      <w:r>
        <w:rPr>
          <w:rFonts w:hint="eastAsia" w:ascii="宋体" w:hAnsi="宋体" w:cs="仿宋_GB2312+3+8"/>
          <w:kern w:val="0"/>
          <w:sz w:val="24"/>
          <w:highlight w:val="none"/>
        </w:rPr>
        <w:t>瞒</w:t>
      </w:r>
      <w:r>
        <w:rPr>
          <w:rFonts w:hint="eastAsia" w:ascii="宋体" w:hAnsi="宋体" w:cs="仿宋_GB2312+3+1"/>
          <w:kern w:val="0"/>
          <w:sz w:val="24"/>
          <w:highlight w:val="none"/>
        </w:rPr>
        <w:t>、</w:t>
      </w:r>
      <w:r>
        <w:rPr>
          <w:rFonts w:hint="eastAsia" w:ascii="宋体" w:hAnsi="宋体" w:cs="仿宋_GB2312+3+9"/>
          <w:kern w:val="0"/>
          <w:sz w:val="24"/>
          <w:highlight w:val="none"/>
        </w:rPr>
        <w:t>虚</w:t>
      </w:r>
      <w:r>
        <w:rPr>
          <w:rFonts w:hint="eastAsia" w:ascii="宋体" w:hAnsi="宋体" w:cs="仿宋_GB2312+3+2"/>
          <w:kern w:val="0"/>
          <w:sz w:val="24"/>
          <w:highlight w:val="none"/>
        </w:rPr>
        <w:t>报</w:t>
      </w:r>
      <w:r>
        <w:rPr>
          <w:rFonts w:hint="eastAsia" w:ascii="宋体" w:hAnsi="宋体" w:cs="仿宋_GB2312+3+1"/>
          <w:kern w:val="0"/>
          <w:sz w:val="24"/>
          <w:highlight w:val="none"/>
        </w:rPr>
        <w:t>和</w:t>
      </w:r>
      <w:r>
        <w:rPr>
          <w:rFonts w:hint="eastAsia" w:ascii="宋体" w:hAnsi="宋体" w:cs="仿宋_GB2312+3+2"/>
          <w:kern w:val="0"/>
          <w:sz w:val="24"/>
          <w:highlight w:val="none"/>
        </w:rPr>
        <w:t>故</w:t>
      </w:r>
      <w:r>
        <w:rPr>
          <w:rFonts w:hint="eastAsia" w:ascii="宋体" w:hAnsi="宋体" w:cs="仿宋_GB2312+3+3"/>
          <w:kern w:val="0"/>
          <w:sz w:val="24"/>
          <w:highlight w:val="none"/>
        </w:rPr>
        <w:t>意</w:t>
      </w:r>
      <w:r>
        <w:rPr>
          <w:rFonts w:hint="eastAsia" w:ascii="宋体" w:hAnsi="宋体" w:cs="仿宋_GB2312+3+10"/>
          <w:kern w:val="0"/>
          <w:sz w:val="24"/>
          <w:highlight w:val="none"/>
        </w:rPr>
        <w:t>拖延</w:t>
      </w:r>
      <w:r>
        <w:rPr>
          <w:rFonts w:hint="eastAsia" w:ascii="宋体" w:hAnsi="宋体" w:cs="仿宋_GB2312+3+3"/>
          <w:kern w:val="0"/>
          <w:sz w:val="24"/>
          <w:highlight w:val="none"/>
        </w:rPr>
        <w:t>不</w:t>
      </w:r>
      <w:r>
        <w:rPr>
          <w:rFonts w:hint="eastAsia" w:ascii="宋体" w:hAnsi="宋体" w:cs="仿宋_GB2312+3+2"/>
          <w:kern w:val="0"/>
          <w:sz w:val="24"/>
          <w:highlight w:val="none"/>
        </w:rPr>
        <w:t>报</w:t>
      </w:r>
      <w:r>
        <w:rPr>
          <w:rFonts w:hint="eastAsia" w:ascii="宋体" w:hAnsi="宋体" w:cs="仿宋_GB2312+3+1"/>
          <w:kern w:val="0"/>
          <w:sz w:val="24"/>
          <w:highlight w:val="none"/>
        </w:rPr>
        <w:t>。</w:t>
      </w:r>
      <w:r>
        <w:rPr>
          <w:rFonts w:hint="eastAsia" w:ascii="宋体" w:hAnsi="宋体" w:cs="仿宋_GB2312+3+2"/>
          <w:kern w:val="0"/>
          <w:sz w:val="24"/>
          <w:highlight w:val="none"/>
        </w:rPr>
        <w:t>积极</w:t>
      </w:r>
      <w:r>
        <w:rPr>
          <w:rFonts w:hint="eastAsia" w:ascii="宋体" w:hAnsi="宋体" w:cs="仿宋_GB2312+3+3"/>
          <w:kern w:val="0"/>
          <w:sz w:val="24"/>
          <w:highlight w:val="none"/>
        </w:rPr>
        <w:t>配</w:t>
      </w:r>
      <w:r>
        <w:rPr>
          <w:rFonts w:hint="eastAsia" w:ascii="宋体" w:hAnsi="宋体" w:cs="仿宋_GB2312+3+2"/>
          <w:kern w:val="0"/>
          <w:sz w:val="24"/>
          <w:highlight w:val="none"/>
        </w:rPr>
        <w:t>合事故</w:t>
      </w:r>
      <w:r>
        <w:rPr>
          <w:rFonts w:hint="eastAsia" w:ascii="宋体" w:hAnsi="宋体" w:cs="仿宋_GB2312+3+3"/>
          <w:kern w:val="0"/>
          <w:sz w:val="24"/>
          <w:highlight w:val="none"/>
        </w:rPr>
        <w:t>调</w:t>
      </w:r>
      <w:r>
        <w:rPr>
          <w:rFonts w:hint="eastAsia" w:ascii="宋体" w:hAnsi="宋体" w:cs="仿宋_GB2312+3+4"/>
          <w:kern w:val="0"/>
          <w:sz w:val="24"/>
          <w:highlight w:val="none"/>
        </w:rPr>
        <w:t>查</w:t>
      </w:r>
      <w:r>
        <w:rPr>
          <w:rFonts w:hint="eastAsia" w:ascii="宋体" w:hAnsi="宋体" w:cs="仿宋_GB2312+3+1"/>
          <w:kern w:val="0"/>
          <w:sz w:val="24"/>
          <w:highlight w:val="none"/>
        </w:rPr>
        <w:t>，认真制</w:t>
      </w:r>
      <w:r>
        <w:rPr>
          <w:rFonts w:hint="eastAsia" w:ascii="宋体" w:hAnsi="宋体" w:cs="仿宋_GB2312+3+2"/>
          <w:kern w:val="0"/>
          <w:sz w:val="24"/>
          <w:highlight w:val="none"/>
        </w:rPr>
        <w:t>定并</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防</w:t>
      </w:r>
      <w:r>
        <w:rPr>
          <w:rFonts w:hint="eastAsia" w:ascii="宋体" w:hAnsi="宋体" w:cs="仿宋_GB2312+3+1"/>
          <w:kern w:val="0"/>
          <w:sz w:val="24"/>
          <w:highlight w:val="none"/>
        </w:rPr>
        <w:t>范</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10"/>
          <w:kern w:val="0"/>
          <w:sz w:val="24"/>
          <w:highlight w:val="none"/>
        </w:rPr>
        <w:t>吸</w:t>
      </w:r>
      <w:r>
        <w:rPr>
          <w:rFonts w:hint="eastAsia" w:ascii="宋体" w:hAnsi="宋体" w:cs="仿宋_GB2312+3+6"/>
          <w:kern w:val="0"/>
          <w:sz w:val="24"/>
          <w:highlight w:val="none"/>
        </w:rPr>
        <w:t>取</w:t>
      </w:r>
      <w:r>
        <w:rPr>
          <w:rFonts w:hint="eastAsia" w:ascii="宋体" w:hAnsi="宋体" w:cs="仿宋_GB2312+3+2"/>
          <w:kern w:val="0"/>
          <w:sz w:val="24"/>
          <w:highlight w:val="none"/>
        </w:rPr>
        <w:t>事故</w:t>
      </w:r>
      <w:r>
        <w:rPr>
          <w:rFonts w:hint="eastAsia" w:ascii="宋体" w:hAnsi="宋体" w:cs="仿宋_GB2312+3+5"/>
          <w:kern w:val="0"/>
          <w:sz w:val="24"/>
          <w:highlight w:val="none"/>
        </w:rPr>
        <w:t>教</w:t>
      </w:r>
      <w:r>
        <w:rPr>
          <w:rFonts w:hint="eastAsia" w:ascii="宋体" w:hAnsi="宋体" w:cs="仿宋_GB2312+3+6"/>
          <w:kern w:val="0"/>
          <w:sz w:val="24"/>
          <w:highlight w:val="none"/>
        </w:rPr>
        <w:t>训</w:t>
      </w:r>
      <w:r>
        <w:rPr>
          <w:rFonts w:hint="eastAsia" w:ascii="宋体" w:hAnsi="宋体" w:cs="仿宋_GB2312+3+1"/>
          <w:kern w:val="0"/>
          <w:sz w:val="24"/>
          <w:highlight w:val="none"/>
        </w:rPr>
        <w:t>，</w:t>
      </w:r>
      <w:r>
        <w:rPr>
          <w:rFonts w:hint="eastAsia" w:ascii="宋体" w:hAnsi="宋体" w:cs="仿宋_GB2312+3+4"/>
          <w:kern w:val="0"/>
          <w:sz w:val="24"/>
          <w:highlight w:val="none"/>
        </w:rPr>
        <w:t>防止</w:t>
      </w:r>
      <w:r>
        <w:rPr>
          <w:rFonts w:hint="eastAsia" w:ascii="宋体" w:hAnsi="宋体" w:cs="仿宋_GB2312+3+1"/>
          <w:kern w:val="0"/>
          <w:sz w:val="24"/>
          <w:highlight w:val="none"/>
        </w:rPr>
        <w:t>发</w:t>
      </w:r>
      <w:r>
        <w:rPr>
          <w:rFonts w:hint="eastAsia" w:ascii="宋体" w:hAnsi="宋体" w:cs="仿宋_GB2312+3+3"/>
          <w:kern w:val="0"/>
          <w:sz w:val="24"/>
          <w:highlight w:val="none"/>
        </w:rPr>
        <w:t>生重</w:t>
      </w:r>
      <w:r>
        <w:rPr>
          <w:rFonts w:hint="eastAsia" w:ascii="宋体" w:hAnsi="宋体" w:cs="仿宋_GB2312+3+5"/>
          <w:kern w:val="0"/>
          <w:sz w:val="24"/>
          <w:highlight w:val="none"/>
        </w:rPr>
        <w:t>复</w:t>
      </w:r>
      <w:r>
        <w:rPr>
          <w:rFonts w:hint="eastAsia" w:ascii="宋体" w:hAnsi="宋体" w:cs="仿宋_GB2312+3+2"/>
          <w:kern w:val="0"/>
          <w:sz w:val="24"/>
          <w:highlight w:val="none"/>
        </w:rPr>
        <w:t>事故。</w:t>
      </w:r>
    </w:p>
    <w:p w14:paraId="0331D574">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12</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对</w:t>
      </w:r>
      <w:r>
        <w:rPr>
          <w:rFonts w:hint="eastAsia" w:ascii="宋体" w:hAnsi="宋体" w:cs="仿宋_GB2312+3+4"/>
          <w:kern w:val="0"/>
          <w:sz w:val="24"/>
          <w:highlight w:val="none"/>
        </w:rPr>
        <w:t>因违</w:t>
      </w:r>
      <w:r>
        <w:rPr>
          <w:rFonts w:hint="eastAsia" w:ascii="宋体" w:hAnsi="宋体" w:cs="仿宋_GB2312+3+5"/>
          <w:kern w:val="0"/>
          <w:sz w:val="24"/>
          <w:highlight w:val="none"/>
        </w:rPr>
        <w:t>章</w:t>
      </w:r>
      <w:r>
        <w:rPr>
          <w:rFonts w:hint="eastAsia" w:ascii="宋体" w:hAnsi="宋体" w:cs="仿宋_GB2312+3+4"/>
          <w:kern w:val="0"/>
          <w:sz w:val="24"/>
          <w:highlight w:val="none"/>
        </w:rPr>
        <w:t>指挥或</w:t>
      </w:r>
      <w:r>
        <w:rPr>
          <w:rFonts w:hint="eastAsia" w:ascii="宋体" w:hAnsi="宋体" w:cs="仿宋_GB2312+3+3"/>
          <w:kern w:val="0"/>
          <w:sz w:val="24"/>
          <w:highlight w:val="none"/>
        </w:rPr>
        <w:t>决</w:t>
      </w:r>
      <w:r>
        <w:rPr>
          <w:rFonts w:hint="eastAsia" w:ascii="宋体" w:hAnsi="宋体" w:cs="仿宋_GB2312+3+2"/>
          <w:kern w:val="0"/>
          <w:sz w:val="24"/>
          <w:highlight w:val="none"/>
        </w:rPr>
        <w:t>策</w:t>
      </w:r>
      <w:r>
        <w:rPr>
          <w:rFonts w:hint="eastAsia" w:ascii="宋体" w:hAnsi="宋体" w:cs="仿宋_GB2312+3+6"/>
          <w:kern w:val="0"/>
          <w:sz w:val="24"/>
          <w:highlight w:val="none"/>
        </w:rPr>
        <w:t>失</w:t>
      </w:r>
      <w:r>
        <w:rPr>
          <w:rFonts w:hint="eastAsia" w:ascii="宋体" w:hAnsi="宋体" w:cs="仿宋_GB2312+3+5"/>
          <w:kern w:val="0"/>
          <w:sz w:val="24"/>
          <w:highlight w:val="none"/>
        </w:rPr>
        <w:t>误而</w:t>
      </w:r>
      <w:r>
        <w:rPr>
          <w:rFonts w:hint="eastAsia" w:ascii="宋体" w:hAnsi="宋体" w:cs="仿宋_GB2312+3+4"/>
          <w:kern w:val="0"/>
          <w:sz w:val="24"/>
          <w:highlight w:val="none"/>
        </w:rPr>
        <w:t>造</w:t>
      </w:r>
      <w:r>
        <w:rPr>
          <w:rFonts w:hint="eastAsia" w:ascii="宋体" w:hAnsi="宋体" w:cs="仿宋_GB2312+3+2"/>
          <w:kern w:val="0"/>
          <w:sz w:val="24"/>
          <w:highlight w:val="none"/>
        </w:rPr>
        <w:t>成</w:t>
      </w:r>
      <w:r>
        <w:rPr>
          <w:rFonts w:hint="eastAsia" w:ascii="宋体" w:hAnsi="宋体" w:cs="仿宋_GB2312+3+1"/>
          <w:kern w:val="0"/>
          <w:sz w:val="24"/>
          <w:highlight w:val="none"/>
        </w:rPr>
        <w:t>员工</w:t>
      </w:r>
      <w:r>
        <w:rPr>
          <w:rFonts w:hint="eastAsia" w:ascii="宋体" w:hAnsi="宋体" w:cs="仿宋_GB2312+3+8"/>
          <w:kern w:val="0"/>
          <w:sz w:val="24"/>
          <w:highlight w:val="none"/>
        </w:rPr>
        <w:t>伤亡的</w:t>
      </w:r>
      <w:r>
        <w:rPr>
          <w:rFonts w:hint="eastAsia" w:ascii="宋体" w:hAnsi="宋体" w:cs="仿宋_GB2312+3+2"/>
          <w:kern w:val="0"/>
          <w:sz w:val="24"/>
          <w:highlight w:val="none"/>
        </w:rPr>
        <w:t>事故承</w:t>
      </w:r>
      <w:r>
        <w:rPr>
          <w:rFonts w:hint="eastAsia" w:ascii="宋体" w:hAnsi="宋体" w:cs="仿宋_GB2312+3+3"/>
          <w:kern w:val="0"/>
          <w:sz w:val="24"/>
          <w:highlight w:val="none"/>
        </w:rPr>
        <w:t>担</w:t>
      </w:r>
      <w:r>
        <w:rPr>
          <w:rFonts w:hint="eastAsia" w:ascii="宋体" w:hAnsi="宋体" w:cs="仿宋_GB2312+3+2"/>
          <w:kern w:val="0"/>
          <w:sz w:val="24"/>
          <w:highlight w:val="none"/>
        </w:rPr>
        <w:t>领导</w:t>
      </w:r>
      <w:r>
        <w:rPr>
          <w:rFonts w:hint="eastAsia" w:ascii="宋体" w:hAnsi="宋体" w:cs="仿宋_GB2312+3+1"/>
          <w:kern w:val="0"/>
          <w:sz w:val="24"/>
          <w:highlight w:val="none"/>
        </w:rPr>
        <w:t>责任。</w:t>
      </w:r>
      <w:r>
        <w:rPr>
          <w:rFonts w:hint="eastAsia" w:ascii="宋体" w:hAnsi="宋体" w:cs="仿宋_GB2312+3+2"/>
          <w:kern w:val="0"/>
          <w:sz w:val="24"/>
          <w:highlight w:val="none"/>
        </w:rPr>
        <w:t>并对</w:t>
      </w:r>
      <w:r>
        <w:rPr>
          <w:rFonts w:hint="eastAsia" w:ascii="宋体" w:hAnsi="宋体" w:cs="仿宋_GB2312+3+4"/>
          <w:kern w:val="0"/>
          <w:sz w:val="24"/>
          <w:highlight w:val="none"/>
        </w:rPr>
        <w:t>因</w:t>
      </w:r>
      <w:r>
        <w:rPr>
          <w:rFonts w:hint="eastAsia" w:ascii="宋体" w:hAnsi="宋体" w:cs="仿宋_GB2312+3+1"/>
          <w:kern w:val="0"/>
          <w:sz w:val="24"/>
          <w:highlight w:val="none"/>
        </w:rPr>
        <w:t>强</w:t>
      </w:r>
      <w:r>
        <w:rPr>
          <w:rFonts w:hint="eastAsia" w:ascii="宋体" w:hAnsi="宋体" w:cs="仿宋_GB2312+3+4"/>
          <w:kern w:val="0"/>
          <w:sz w:val="24"/>
          <w:highlight w:val="none"/>
        </w:rPr>
        <w:t>令</w:t>
      </w:r>
      <w:r>
        <w:rPr>
          <w:rFonts w:hint="eastAsia" w:ascii="宋体" w:hAnsi="宋体" w:cs="仿宋_GB2312+3+1"/>
          <w:kern w:val="0"/>
          <w:sz w:val="24"/>
          <w:highlight w:val="none"/>
        </w:rPr>
        <w:t>员工</w:t>
      </w:r>
      <w:r>
        <w:rPr>
          <w:rFonts w:hint="eastAsia" w:ascii="宋体" w:hAnsi="宋体" w:cs="仿宋_GB2312+3+4"/>
          <w:kern w:val="0"/>
          <w:sz w:val="24"/>
          <w:highlight w:val="none"/>
        </w:rPr>
        <w:t>违</w:t>
      </w:r>
      <w:r>
        <w:rPr>
          <w:rFonts w:hint="eastAsia" w:ascii="宋体" w:hAnsi="宋体" w:cs="仿宋_GB2312+3+5"/>
          <w:kern w:val="0"/>
          <w:sz w:val="24"/>
          <w:highlight w:val="none"/>
        </w:rPr>
        <w:t>章</w:t>
      </w:r>
      <w:r>
        <w:rPr>
          <w:rFonts w:hint="eastAsia" w:ascii="宋体" w:hAnsi="宋体" w:cs="仿宋_GB2312+3+10"/>
          <w:kern w:val="0"/>
          <w:sz w:val="24"/>
          <w:highlight w:val="none"/>
        </w:rPr>
        <w:t>冒</w:t>
      </w:r>
      <w:r>
        <w:rPr>
          <w:rFonts w:hint="eastAsia" w:ascii="宋体" w:hAnsi="宋体" w:cs="仿宋_GB2312+3+8"/>
          <w:kern w:val="0"/>
          <w:sz w:val="24"/>
          <w:highlight w:val="none"/>
        </w:rPr>
        <w:t>险</w:t>
      </w:r>
      <w:r>
        <w:rPr>
          <w:rFonts w:hint="eastAsia" w:ascii="宋体" w:hAnsi="宋体" w:cs="仿宋_GB2312+3+1"/>
          <w:kern w:val="0"/>
          <w:sz w:val="24"/>
          <w:highlight w:val="none"/>
        </w:rPr>
        <w:t>作业，发</w:t>
      </w:r>
      <w:r>
        <w:rPr>
          <w:rFonts w:hint="eastAsia" w:ascii="宋体" w:hAnsi="宋体" w:cs="仿宋_GB2312+3+3"/>
          <w:kern w:val="0"/>
          <w:sz w:val="24"/>
          <w:highlight w:val="none"/>
        </w:rPr>
        <w:t>生重</w:t>
      </w:r>
      <w:r>
        <w:rPr>
          <w:rFonts w:hint="eastAsia" w:ascii="宋体" w:hAnsi="宋体" w:cs="仿宋_GB2312+3+2"/>
          <w:kern w:val="0"/>
          <w:sz w:val="24"/>
          <w:highlight w:val="none"/>
        </w:rPr>
        <w:t>大</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1"/>
          <w:kern w:val="0"/>
          <w:sz w:val="24"/>
          <w:highlight w:val="none"/>
        </w:rPr>
        <w:t>，</w:t>
      </w:r>
      <w:r>
        <w:rPr>
          <w:rFonts w:hint="eastAsia" w:ascii="宋体" w:hAnsi="宋体" w:cs="仿宋_GB2312+3+2"/>
          <w:kern w:val="0"/>
          <w:sz w:val="24"/>
          <w:highlight w:val="none"/>
        </w:rPr>
        <w:t>承</w:t>
      </w:r>
      <w:r>
        <w:rPr>
          <w:rFonts w:hint="eastAsia" w:ascii="宋体" w:hAnsi="宋体" w:cs="仿宋_GB2312+3+3"/>
          <w:kern w:val="0"/>
          <w:sz w:val="24"/>
          <w:highlight w:val="none"/>
        </w:rPr>
        <w:t>担</w:t>
      </w:r>
      <w:r>
        <w:rPr>
          <w:rFonts w:hint="eastAsia" w:ascii="宋体" w:hAnsi="宋体" w:cs="仿宋_GB2312+3+8"/>
          <w:kern w:val="0"/>
          <w:sz w:val="24"/>
          <w:highlight w:val="none"/>
        </w:rPr>
        <w:t>刑</w:t>
      </w:r>
      <w:r>
        <w:rPr>
          <w:rFonts w:hint="eastAsia" w:ascii="宋体" w:hAnsi="宋体" w:cs="仿宋_GB2312+3+2"/>
          <w:kern w:val="0"/>
          <w:sz w:val="24"/>
          <w:highlight w:val="none"/>
        </w:rPr>
        <w:t>事</w:t>
      </w:r>
      <w:r>
        <w:rPr>
          <w:rFonts w:hint="eastAsia" w:ascii="宋体" w:hAnsi="宋体" w:cs="仿宋_GB2312+3+1"/>
          <w:kern w:val="0"/>
          <w:sz w:val="24"/>
          <w:highlight w:val="none"/>
        </w:rPr>
        <w:t>责任</w:t>
      </w:r>
      <w:r>
        <w:rPr>
          <w:rFonts w:hint="eastAsia" w:ascii="宋体" w:hAnsi="宋体" w:cs="仿宋_GB2312+3+2"/>
          <w:kern w:val="0"/>
          <w:sz w:val="24"/>
          <w:highlight w:val="none"/>
        </w:rPr>
        <w:t>。</w:t>
      </w:r>
    </w:p>
    <w:p w14:paraId="079D4189">
      <w:pPr>
        <w:bidi w:val="0"/>
        <w:ind w:firstLine="480" w:firstLineChars="200"/>
        <w:rPr>
          <w:rFonts w:hint="eastAsia"/>
          <w:highlight w:val="none"/>
        </w:rPr>
      </w:pPr>
      <w:r>
        <w:rPr>
          <w:rFonts w:hint="eastAsia"/>
          <w:highlight w:val="none"/>
        </w:rPr>
        <w:t>13</w:t>
      </w:r>
      <w:r>
        <w:rPr>
          <w:rFonts w:hint="eastAsia"/>
          <w:highlight w:val="none"/>
          <w:lang w:eastAsia="zh-CN"/>
        </w:rPr>
        <w:t>）</w:t>
      </w:r>
      <w:r>
        <w:rPr>
          <w:rFonts w:hint="eastAsia"/>
          <w:highlight w:val="none"/>
        </w:rPr>
        <w:t>及时、如实报告施工生产安全事故。</w:t>
      </w:r>
    </w:p>
    <w:p w14:paraId="1C9A5DE0">
      <w:pPr>
        <w:bidi w:val="0"/>
        <w:ind w:firstLine="480" w:firstLineChars="200"/>
        <w:rPr>
          <w:rFonts w:hint="default"/>
          <w:highlight w:val="none"/>
          <w:lang w:val="en-US" w:eastAsia="zh-CN"/>
        </w:rPr>
      </w:pPr>
      <w:r>
        <w:rPr>
          <w:rFonts w:hint="eastAsia"/>
          <w:highlight w:val="none"/>
        </w:rPr>
        <w:t>14</w:t>
      </w:r>
      <w:r>
        <w:rPr>
          <w:rFonts w:hint="eastAsia"/>
          <w:highlight w:val="none"/>
          <w:lang w:eastAsia="zh-CN"/>
        </w:rPr>
        <w:t>）</w:t>
      </w:r>
      <w:r>
        <w:rPr>
          <w:rFonts w:hint="eastAsia"/>
          <w:highlight w:val="none"/>
        </w:rPr>
        <w:t>保证安全生产和环保经费投入，并督促及时有效落实。</w:t>
      </w:r>
    </w:p>
    <w:p w14:paraId="7DF40141">
      <w:pPr>
        <w:spacing w:line="359" w:lineRule="auto"/>
        <w:ind w:left="516" w:firstLine="20"/>
        <w:rPr>
          <w:rFonts w:ascii="宋体" w:hAnsi="宋体" w:eastAsia="宋体" w:cs="宋体"/>
          <w:sz w:val="24"/>
          <w:szCs w:val="24"/>
          <w:highlight w:val="none"/>
        </w:rPr>
      </w:pPr>
      <w:r>
        <w:rPr>
          <w:rFonts w:ascii="宋体" w:hAnsi="宋体" w:eastAsia="宋体" w:cs="宋体"/>
          <w:spacing w:val="-2"/>
          <w:sz w:val="24"/>
          <w:szCs w:val="24"/>
          <w:highlight w:val="none"/>
        </w:rPr>
        <w:t>②</w:t>
      </w:r>
      <w:r>
        <w:rPr>
          <w:rFonts w:ascii="宋体" w:hAnsi="宋体" w:eastAsia="宋体" w:cs="宋体"/>
          <w:spacing w:val="-1"/>
          <w:sz w:val="24"/>
          <w:szCs w:val="24"/>
          <w:highlight w:val="none"/>
        </w:rPr>
        <w:t>项目总工程师</w:t>
      </w:r>
    </w:p>
    <w:p w14:paraId="6E2F0031">
      <w:pPr>
        <w:bidi w:val="0"/>
        <w:ind w:firstLine="480" w:firstLineChars="200"/>
        <w:rPr>
          <w:highlight w:val="none"/>
        </w:rPr>
      </w:pPr>
      <w:r>
        <w:rPr>
          <w:highlight w:val="none"/>
        </w:rPr>
        <w:t>项目总工程师对工程项目生产过程中安全生产负技术责任。</w:t>
      </w:r>
    </w:p>
    <w:p w14:paraId="50067DD4">
      <w:pPr>
        <w:numPr>
          <w:ilvl w:val="0"/>
          <w:numId w:val="0"/>
        </w:numPr>
        <w:bidi w:val="0"/>
        <w:ind w:firstLine="480" w:firstLineChars="200"/>
        <w:rPr>
          <w:highlight w:val="none"/>
        </w:rPr>
      </w:pPr>
      <w:r>
        <w:rPr>
          <w:highlight w:val="none"/>
        </w:rPr>
        <w:t>1)组织编制、会审施工组织设计、施工技术方案及危险性较大分部分项工程专项施工方案，对安全技术措施、防护设施进行技术把关。</w:t>
      </w:r>
    </w:p>
    <w:p w14:paraId="5FA506EA">
      <w:pPr>
        <w:numPr>
          <w:ilvl w:val="0"/>
          <w:numId w:val="0"/>
        </w:numPr>
        <w:bidi w:val="0"/>
        <w:ind w:firstLine="480" w:firstLineChars="200"/>
        <w:rPr>
          <w:highlight w:val="none"/>
        </w:rPr>
      </w:pPr>
      <w:r>
        <w:rPr>
          <w:highlight w:val="none"/>
        </w:rPr>
        <w:t>2)协助项目经理按规定要求开展实施项目的安全风险评估工作。</w:t>
      </w:r>
    </w:p>
    <w:p w14:paraId="7755C1CB">
      <w:pPr>
        <w:numPr>
          <w:ilvl w:val="0"/>
          <w:numId w:val="0"/>
        </w:numPr>
        <w:bidi w:val="0"/>
        <w:ind w:firstLine="480" w:firstLineChars="200"/>
        <w:rPr>
          <w:highlight w:val="none"/>
        </w:rPr>
      </w:pPr>
      <w:r>
        <w:rPr>
          <w:highlight w:val="none"/>
        </w:rPr>
        <w:t>3)对照图纸及设计说明的有关要求，组织对项目周围环境、地质条件、地下管</w:t>
      </w:r>
    </w:p>
    <w:p w14:paraId="1F79F0AC">
      <w:pPr>
        <w:bidi w:val="0"/>
        <w:rPr>
          <w:highlight w:val="none"/>
        </w:rPr>
      </w:pPr>
      <w:r>
        <w:rPr>
          <w:highlight w:val="none"/>
        </w:rPr>
        <w:t>线等因素进行调查复核。</w:t>
      </w:r>
    </w:p>
    <w:p w14:paraId="1E25C5AF">
      <w:pPr>
        <w:bidi w:val="0"/>
        <w:ind w:firstLine="480" w:firstLineChars="200"/>
        <w:rPr>
          <w:highlight w:val="none"/>
        </w:rPr>
      </w:pPr>
      <w:r>
        <w:rPr>
          <w:highlight w:val="none"/>
        </w:rPr>
        <w:t>4)督促技术部门按规定完成专项方案的报审、专家论证流程。</w:t>
      </w:r>
    </w:p>
    <w:p w14:paraId="568678C5">
      <w:pPr>
        <w:bidi w:val="0"/>
        <w:ind w:firstLine="480" w:firstLineChars="200"/>
        <w:rPr>
          <w:highlight w:val="none"/>
        </w:rPr>
      </w:pPr>
      <w:r>
        <w:rPr>
          <w:highlight w:val="none"/>
        </w:rPr>
        <w:t>5)督促技术部门牵头对分部分项工程施工进行安全技术交底。</w:t>
      </w:r>
    </w:p>
    <w:p w14:paraId="5EE3A7C9">
      <w:pPr>
        <w:bidi w:val="0"/>
        <w:ind w:firstLine="480" w:firstLineChars="200"/>
        <w:rPr>
          <w:highlight w:val="none"/>
        </w:rPr>
      </w:pPr>
      <w:r>
        <w:rPr>
          <w:highlight w:val="none"/>
        </w:rPr>
        <w:t>6)动态关注危险性较大分部分项工程实施过程中施工边界条件的变化，及时调整专项施工方案。</w:t>
      </w:r>
    </w:p>
    <w:p w14:paraId="54EBEEC6">
      <w:pPr>
        <w:bidi w:val="0"/>
        <w:ind w:firstLine="480" w:firstLineChars="200"/>
        <w:rPr>
          <w:rFonts w:hint="default"/>
          <w:highlight w:val="none"/>
          <w:lang w:val="en-US" w:eastAsia="zh-CN"/>
        </w:rPr>
      </w:pPr>
      <w:r>
        <w:rPr>
          <w:highlight w:val="none"/>
        </w:rPr>
        <w:t>7)针对项目应用的新材料、新工艺、新技术、新设备，组织编制并督促实施安全技术规程；编制作业指导书。</w:t>
      </w:r>
    </w:p>
    <w:p w14:paraId="1BE495AC">
      <w:pPr>
        <w:bidi w:val="0"/>
        <w:ind w:firstLine="480" w:firstLineChars="200"/>
        <w:rPr>
          <w:highlight w:val="none"/>
        </w:rPr>
      </w:pPr>
      <w:r>
        <w:rPr>
          <w:rFonts w:hint="eastAsia"/>
          <w:highlight w:val="none"/>
          <w:lang w:val="en-US" w:eastAsia="zh-CN"/>
        </w:rPr>
        <w:t>8</w:t>
      </w:r>
      <w:r>
        <w:rPr>
          <w:highlight w:val="none"/>
        </w:rPr>
        <w:t>)组织制订重大隐患治理方案。</w:t>
      </w:r>
    </w:p>
    <w:p w14:paraId="6FBCD397">
      <w:pPr>
        <w:bidi w:val="0"/>
        <w:ind w:firstLine="480" w:firstLineChars="200"/>
        <w:rPr>
          <w:highlight w:val="none"/>
        </w:rPr>
      </w:pPr>
      <w:r>
        <w:rPr>
          <w:rFonts w:hint="eastAsia"/>
          <w:highlight w:val="none"/>
          <w:lang w:val="en-US" w:eastAsia="zh-CN"/>
        </w:rPr>
        <w:t>9</w:t>
      </w:r>
      <w:r>
        <w:rPr>
          <w:highlight w:val="none"/>
        </w:rPr>
        <w:t>)分管试验检测工作，对试验检测的安全管理工作负技术领导责任。</w:t>
      </w:r>
    </w:p>
    <w:p w14:paraId="340CF243">
      <w:pPr>
        <w:bidi w:val="0"/>
        <w:ind w:firstLine="480" w:firstLineChars="200"/>
        <w:rPr>
          <w:highlight w:val="none"/>
        </w:rPr>
      </w:pPr>
      <w:r>
        <w:rPr>
          <w:highlight w:val="none"/>
        </w:rPr>
        <w:t>1</w:t>
      </w:r>
      <w:r>
        <w:rPr>
          <w:rFonts w:hint="eastAsia"/>
          <w:highlight w:val="none"/>
          <w:lang w:val="en-US" w:eastAsia="zh-CN"/>
        </w:rPr>
        <w:t>0</w:t>
      </w:r>
      <w:r>
        <w:rPr>
          <w:highlight w:val="none"/>
        </w:rPr>
        <w:t>)分管测量工作，对测量的安全管理工作负技术领导责任。</w:t>
      </w:r>
    </w:p>
    <w:p w14:paraId="132E7E49">
      <w:pPr>
        <w:bidi w:val="0"/>
        <w:ind w:firstLine="480" w:firstLineChars="200"/>
        <w:rPr>
          <w:highlight w:val="none"/>
        </w:rPr>
      </w:pPr>
      <w:r>
        <w:rPr>
          <w:highlight w:val="none"/>
        </w:rPr>
        <w:t>1</w:t>
      </w:r>
      <w:r>
        <w:rPr>
          <w:rFonts w:hint="eastAsia"/>
          <w:highlight w:val="none"/>
          <w:lang w:val="en-US" w:eastAsia="zh-CN"/>
        </w:rPr>
        <w:t>1</w:t>
      </w:r>
      <w:r>
        <w:rPr>
          <w:highlight w:val="none"/>
        </w:rPr>
        <w:t>) 按要求进行带班值班， 检查项目部的安全生产工作， 排查事故隐患， 协调解决安全生产问题。</w:t>
      </w:r>
    </w:p>
    <w:p w14:paraId="19270DD3">
      <w:pPr>
        <w:bidi w:val="0"/>
        <w:ind w:firstLine="480" w:firstLineChars="200"/>
        <w:rPr>
          <w:highlight w:val="none"/>
        </w:rPr>
      </w:pPr>
      <w:r>
        <w:rPr>
          <w:highlight w:val="none"/>
        </w:rPr>
        <w:t>1</w:t>
      </w:r>
      <w:r>
        <w:rPr>
          <w:rFonts w:hint="eastAsia"/>
          <w:highlight w:val="none"/>
          <w:lang w:val="en-US" w:eastAsia="zh-CN"/>
        </w:rPr>
        <w:t>2</w:t>
      </w:r>
      <w:r>
        <w:rPr>
          <w:highlight w:val="none"/>
        </w:rPr>
        <w:t>)参加生产安全事故(重大隐患)的调查处理。</w:t>
      </w:r>
    </w:p>
    <w:p w14:paraId="5F2F6A84">
      <w:pPr>
        <w:bidi w:val="0"/>
        <w:ind w:firstLine="480" w:firstLineChars="200"/>
        <w:rPr>
          <w:highlight w:val="none"/>
        </w:rPr>
      </w:pPr>
      <w:r>
        <w:rPr>
          <w:highlight w:val="none"/>
        </w:rPr>
        <w:t>③安监部职责</w:t>
      </w:r>
    </w:p>
    <w:p w14:paraId="51FC446A">
      <w:pPr>
        <w:bidi w:val="0"/>
        <w:ind w:firstLine="480" w:firstLineChars="200"/>
        <w:rPr>
          <w:highlight w:val="none"/>
        </w:rPr>
      </w:pPr>
      <w:r>
        <w:rPr>
          <w:highlight w:val="none"/>
        </w:rPr>
        <w:t>1)及时获取、识别适用于本项目的职业健康安全生产法律法规及标准规范，并 及时对从业人员进行宣贯培训。</w:t>
      </w:r>
    </w:p>
    <w:p w14:paraId="11E0A663">
      <w:pPr>
        <w:bidi w:val="0"/>
        <w:ind w:firstLine="480" w:firstLineChars="200"/>
        <w:rPr>
          <w:highlight w:val="none"/>
        </w:rPr>
      </w:pPr>
      <w:r>
        <w:rPr>
          <w:highlight w:val="none"/>
        </w:rPr>
        <w:t>2)协助项目经理及分管领导制定以责任制为核心的职业健康安全生产规章制度。</w:t>
      </w:r>
    </w:p>
    <w:p w14:paraId="0DC52931">
      <w:pPr>
        <w:bidi w:val="0"/>
        <w:ind w:firstLine="480" w:firstLineChars="200"/>
        <w:rPr>
          <w:highlight w:val="none"/>
        </w:rPr>
      </w:pPr>
      <w:r>
        <w:rPr>
          <w:highlight w:val="none"/>
        </w:rPr>
        <w:t>3)参与制定安全操作规程。</w:t>
      </w:r>
    </w:p>
    <w:p w14:paraId="74E791AD">
      <w:pPr>
        <w:bidi w:val="0"/>
        <w:ind w:firstLine="480" w:firstLineChars="200"/>
        <w:rPr>
          <w:highlight w:val="none"/>
        </w:rPr>
      </w:pPr>
      <w:r>
        <w:rPr>
          <w:highlight w:val="none"/>
        </w:rPr>
        <w:t>4)牵头编制安全生产保证计划、年(季)度安全生产工作计划，并定期检查计 划实施情况。</w:t>
      </w:r>
    </w:p>
    <w:p w14:paraId="6D7D660F">
      <w:pPr>
        <w:bidi w:val="0"/>
        <w:ind w:firstLine="480" w:firstLineChars="200"/>
        <w:rPr>
          <w:highlight w:val="none"/>
        </w:rPr>
      </w:pPr>
      <w:r>
        <w:rPr>
          <w:highlight w:val="none"/>
        </w:rPr>
        <w:t>5)督促检查各部门、工段、班组、船舶认真执行国家安全生产方针、政策、法规、法令、标准及上级指示、决议等，组织签订安全生产责任书。</w:t>
      </w:r>
    </w:p>
    <w:p w14:paraId="7065633E">
      <w:pPr>
        <w:bidi w:val="0"/>
        <w:ind w:firstLine="480" w:firstLineChars="200"/>
        <w:rPr>
          <w:highlight w:val="none"/>
        </w:rPr>
      </w:pPr>
      <w:r>
        <w:rPr>
          <w:highlight w:val="none"/>
        </w:rPr>
        <w:t>6)牵头组织危险有害因素的识别与评价，建立重大危害因素清单；组织编制项目应急预案，组织应急预案培训、交底，适时开展应急演练。</w:t>
      </w:r>
    </w:p>
    <w:p w14:paraId="07C7AED0">
      <w:pPr>
        <w:bidi w:val="0"/>
        <w:ind w:firstLine="480" w:firstLineChars="200"/>
        <w:rPr>
          <w:highlight w:val="none"/>
        </w:rPr>
      </w:pPr>
      <w:r>
        <w:rPr>
          <w:highlight w:val="none"/>
        </w:rPr>
        <w:t>7)牵头建立项目危险性较大分部分项工程清单， 参与编制、会审专项施工方案。</w:t>
      </w:r>
    </w:p>
    <w:p w14:paraId="7DFF45FC">
      <w:pPr>
        <w:bidi w:val="0"/>
        <w:ind w:firstLine="480" w:firstLineChars="200"/>
        <w:rPr>
          <w:highlight w:val="none"/>
        </w:rPr>
      </w:pPr>
      <w:r>
        <w:rPr>
          <w:highlight w:val="none"/>
        </w:rPr>
        <w:t>8)参与危险作业施工许可验收。</w:t>
      </w:r>
    </w:p>
    <w:p w14:paraId="538BB2C3">
      <w:pPr>
        <w:bidi w:val="0"/>
        <w:ind w:firstLine="480" w:firstLineChars="200"/>
        <w:rPr>
          <w:highlight w:val="none"/>
        </w:rPr>
      </w:pPr>
      <w:r>
        <w:rPr>
          <w:highlight w:val="none"/>
        </w:rPr>
        <w:t>9)建立特种作业人员花名册，并动态更新。</w:t>
      </w:r>
    </w:p>
    <w:p w14:paraId="62640650">
      <w:pPr>
        <w:bidi w:val="0"/>
        <w:ind w:firstLine="480" w:firstLineChars="200"/>
        <w:rPr>
          <w:highlight w:val="none"/>
        </w:rPr>
      </w:pPr>
      <w:r>
        <w:rPr>
          <w:highlight w:val="none"/>
        </w:rPr>
        <w:t>10)根据需求编制年度安全教育培训计划， 组织对新进场人员的“三级安全教育”、进场教育等教育培训，保证全员三级安全教育培训覆盖率 100%。</w:t>
      </w:r>
    </w:p>
    <w:p w14:paraId="25874E6B">
      <w:pPr>
        <w:bidi w:val="0"/>
        <w:ind w:firstLine="480" w:firstLineChars="200"/>
        <w:rPr>
          <w:highlight w:val="none"/>
        </w:rPr>
      </w:pPr>
      <w:r>
        <w:rPr>
          <w:highlight w:val="none"/>
        </w:rPr>
        <w:t>11)参与分部分项工程安全技术交底， 组织或参与特种作业人员的安全操作规程交底和培训，参与新工艺、新设备、新技术、新材料使用的教育培训。</w:t>
      </w:r>
    </w:p>
    <w:p w14:paraId="26DC9120">
      <w:pPr>
        <w:bidi w:val="0"/>
        <w:rPr>
          <w:highlight w:val="none"/>
        </w:rPr>
      </w:pPr>
      <w:r>
        <w:rPr>
          <w:highlight w:val="none"/>
        </w:rPr>
        <w:t>通过交底或培训， 书面告知作业人员项目存在的危险因素、防范措施及事故应急 措施。</w:t>
      </w:r>
    </w:p>
    <w:p w14:paraId="597964C6">
      <w:pPr>
        <w:bidi w:val="0"/>
        <w:ind w:firstLine="480" w:firstLineChars="200"/>
        <w:rPr>
          <w:highlight w:val="none"/>
        </w:rPr>
      </w:pPr>
      <w:r>
        <w:rPr>
          <w:highlight w:val="none"/>
        </w:rPr>
        <w:t>12)组织开展日常安全生产检查，监督事故隐患的整改落实情况。</w:t>
      </w:r>
    </w:p>
    <w:p w14:paraId="01FA4C80">
      <w:pPr>
        <w:bidi w:val="0"/>
        <w:ind w:firstLine="480" w:firstLineChars="200"/>
        <w:rPr>
          <w:highlight w:val="none"/>
        </w:rPr>
      </w:pPr>
      <w:r>
        <w:rPr>
          <w:highlight w:val="none"/>
        </w:rPr>
        <w:t>13)组织消防、安全防护设施专项检查。</w:t>
      </w:r>
    </w:p>
    <w:p w14:paraId="1AA5F983">
      <w:pPr>
        <w:bidi w:val="0"/>
        <w:ind w:firstLine="480" w:firstLineChars="200"/>
        <w:rPr>
          <w:highlight w:val="none"/>
        </w:rPr>
      </w:pPr>
      <w:r>
        <w:rPr>
          <w:highlight w:val="none"/>
        </w:rPr>
        <w:t>14) 参与月度安全生产大检查， 参与防台防汛、特种设备、临电、起重作业、模板、脚手架、易燃易爆危化品等安全专项检查。对查出的重大隐患登记建档， 重大隐 患有治理方案，并报相关部门备案。</w:t>
      </w:r>
    </w:p>
    <w:p w14:paraId="2DE82DD4">
      <w:pPr>
        <w:bidi w:val="0"/>
        <w:ind w:firstLine="480" w:firstLineChars="200"/>
        <w:rPr>
          <w:highlight w:val="none"/>
        </w:rPr>
      </w:pPr>
      <w:r>
        <w:rPr>
          <w:highlight w:val="none"/>
        </w:rPr>
        <w:t>15)参与施工现场安全设施、临时设施的验收、检查、维护工作。</w:t>
      </w:r>
    </w:p>
    <w:p w14:paraId="6B0C1B48">
      <w:pPr>
        <w:bidi w:val="0"/>
        <w:ind w:firstLine="480" w:firstLineChars="200"/>
        <w:rPr>
          <w:highlight w:val="none"/>
        </w:rPr>
      </w:pPr>
      <w:r>
        <w:rPr>
          <w:highlight w:val="none"/>
        </w:rPr>
        <w:t>16)参与项目安全风险评估， 协助技术管理部门制定重大危险有害因素及重大隐 患管控措施。</w:t>
      </w:r>
    </w:p>
    <w:p w14:paraId="20B31450">
      <w:pPr>
        <w:bidi w:val="0"/>
        <w:ind w:firstLine="480" w:firstLineChars="200"/>
        <w:rPr>
          <w:highlight w:val="none"/>
        </w:rPr>
      </w:pPr>
      <w:r>
        <w:rPr>
          <w:highlight w:val="none"/>
        </w:rPr>
        <w:t>17)组织开展“安全生产月” 、“隐患排查治理”及各类安全专项整治活动，活动有 方案，有记录、有总结。</w:t>
      </w:r>
    </w:p>
    <w:p w14:paraId="7749C7E1">
      <w:pPr>
        <w:bidi w:val="0"/>
        <w:ind w:firstLine="480" w:firstLineChars="200"/>
        <w:rPr>
          <w:highlight w:val="none"/>
        </w:rPr>
      </w:pPr>
      <w:r>
        <w:rPr>
          <w:highlight w:val="none"/>
        </w:rPr>
        <w:t>18)牵头编制项目安全专项费用使用总计划、年度计划及月度计划， 统计安全生产措施费用投入情况，配合合同管理部门向业主计量安全生产措施费用。</w:t>
      </w:r>
    </w:p>
    <w:p w14:paraId="62E05E6A">
      <w:pPr>
        <w:bidi w:val="0"/>
        <w:ind w:firstLine="480" w:firstLineChars="200"/>
        <w:rPr>
          <w:highlight w:val="none"/>
        </w:rPr>
      </w:pPr>
      <w:r>
        <w:rPr>
          <w:highlight w:val="none"/>
        </w:rPr>
        <w:t>19)对行业主管部门或上级单位的安全投诉及时处理。针对业主、监理及上级主 管部门在检查中提出的隐患整改意见，及时整改闭合。</w:t>
      </w:r>
    </w:p>
    <w:p w14:paraId="7543D5C2">
      <w:pPr>
        <w:bidi w:val="0"/>
        <w:ind w:firstLine="480" w:firstLineChars="200"/>
        <w:rPr>
          <w:highlight w:val="none"/>
        </w:rPr>
      </w:pPr>
      <w:r>
        <w:rPr>
          <w:highlight w:val="none"/>
        </w:rPr>
        <w:t>20)及时参与事故现场处置， 及时向有关部门报告。配合事故调查处理， 及时落 实整改措施。</w:t>
      </w:r>
    </w:p>
    <w:p w14:paraId="229CFC28">
      <w:pPr>
        <w:bidi w:val="0"/>
        <w:ind w:firstLine="480" w:firstLineChars="200"/>
        <w:rPr>
          <w:highlight w:val="none"/>
        </w:rPr>
      </w:pPr>
      <w:r>
        <w:rPr>
          <w:highlight w:val="none"/>
        </w:rPr>
        <w:t>21)协助上级安全管理部门落实国家注册安全工程师、国家要求取证的安全生产 管理人员的继续教育、取证换证工作，严格执行有关人员持证上岗的规定。</w:t>
      </w:r>
    </w:p>
    <w:p w14:paraId="064C5565">
      <w:pPr>
        <w:bidi w:val="0"/>
        <w:ind w:firstLine="480" w:firstLineChars="200"/>
        <w:rPr>
          <w:highlight w:val="none"/>
        </w:rPr>
      </w:pPr>
      <w:r>
        <w:rPr>
          <w:highlight w:val="none"/>
        </w:rPr>
        <w:t>22)按要求上报各类安全生产信息报表。</w:t>
      </w:r>
    </w:p>
    <w:p w14:paraId="3E078FA3">
      <w:pPr>
        <w:bidi w:val="0"/>
        <w:ind w:firstLine="480" w:firstLineChars="200"/>
        <w:rPr>
          <w:highlight w:val="none"/>
        </w:rPr>
      </w:pPr>
      <w:r>
        <w:rPr>
          <w:highlight w:val="none"/>
        </w:rPr>
        <w:t>④合约部职责</w:t>
      </w:r>
    </w:p>
    <w:p w14:paraId="2F480E09">
      <w:pPr>
        <w:bidi w:val="0"/>
        <w:ind w:firstLine="480" w:firstLineChars="200"/>
        <w:rPr>
          <w:highlight w:val="none"/>
        </w:rPr>
      </w:pPr>
      <w:r>
        <w:rPr>
          <w:highlight w:val="none"/>
        </w:rPr>
        <w:t>1)组织分包招议标及合同审查，确保分包单位具有独立法人资格和相应的资质 等级资格。</w:t>
      </w:r>
    </w:p>
    <w:p w14:paraId="471ABC63">
      <w:pPr>
        <w:bidi w:val="0"/>
        <w:ind w:firstLine="480" w:firstLineChars="200"/>
        <w:rPr>
          <w:highlight w:val="none"/>
        </w:rPr>
      </w:pPr>
      <w:r>
        <w:rPr>
          <w:highlight w:val="none"/>
        </w:rPr>
        <w:t>2)在签订有效的分包合同时，必须同时签订安全生产协议书。</w:t>
      </w:r>
    </w:p>
    <w:p w14:paraId="731AB5E1">
      <w:pPr>
        <w:bidi w:val="0"/>
        <w:ind w:firstLine="480" w:firstLineChars="200"/>
        <w:rPr>
          <w:highlight w:val="none"/>
        </w:rPr>
      </w:pPr>
      <w:r>
        <w:rPr>
          <w:highlight w:val="none"/>
        </w:rPr>
        <w:t>3)协助生产管理部门、安全管理部门做好分包队伍安全管理。</w:t>
      </w:r>
    </w:p>
    <w:p w14:paraId="11275F93">
      <w:pPr>
        <w:bidi w:val="0"/>
        <w:ind w:firstLine="480" w:firstLineChars="200"/>
        <w:rPr>
          <w:highlight w:val="none"/>
        </w:rPr>
      </w:pPr>
      <w:r>
        <w:rPr>
          <w:highlight w:val="none"/>
        </w:rPr>
        <w:t>4)做好安全生产措施费用的计量。</w:t>
      </w:r>
    </w:p>
    <w:p w14:paraId="1861E7DD">
      <w:pPr>
        <w:bidi w:val="0"/>
        <w:ind w:firstLine="480" w:firstLineChars="200"/>
        <w:rPr>
          <w:highlight w:val="none"/>
        </w:rPr>
      </w:pPr>
      <w:r>
        <w:rPr>
          <w:highlight w:val="none"/>
        </w:rPr>
        <w:t>5)使用、管理好本企业安全生产方面的资质证书。</w:t>
      </w:r>
    </w:p>
    <w:p w14:paraId="57D395A6">
      <w:pPr>
        <w:bidi w:val="0"/>
        <w:ind w:firstLine="480" w:firstLineChars="200"/>
        <w:rPr>
          <w:highlight w:val="none"/>
        </w:rPr>
      </w:pPr>
      <w:r>
        <w:rPr>
          <w:highlight w:val="none"/>
        </w:rPr>
        <w:t>6)每月定期收集分包队伍进场人员信息，协助综合办公室对进(退)场劳务人 员进行登记造册。</w:t>
      </w:r>
    </w:p>
    <w:p w14:paraId="5DB6D1F4">
      <w:pPr>
        <w:bidi w:val="0"/>
        <w:ind w:firstLine="480" w:firstLineChars="200"/>
        <w:rPr>
          <w:highlight w:val="none"/>
        </w:rPr>
      </w:pPr>
      <w:r>
        <w:rPr>
          <w:highlight w:val="none"/>
        </w:rPr>
        <w:t>⑤其他部门人员安全生产责任制</w:t>
      </w:r>
    </w:p>
    <w:p w14:paraId="53EB51DA">
      <w:pPr>
        <w:bidi w:val="0"/>
        <w:ind w:firstLine="480" w:firstLineChars="200"/>
        <w:rPr>
          <w:highlight w:val="none"/>
        </w:rPr>
      </w:pPr>
      <w:r>
        <w:rPr>
          <w:highlight w:val="none"/>
        </w:rPr>
        <w:t>负责配合协调现场安全生产工作，给予安全生产最大的支持。</w:t>
      </w:r>
    </w:p>
    <w:p w14:paraId="060F4787">
      <w:pPr>
        <w:bidi w:val="0"/>
        <w:ind w:firstLine="480" w:firstLineChars="200"/>
        <w:rPr>
          <w:highlight w:val="none"/>
        </w:rPr>
      </w:pPr>
      <w:r>
        <w:rPr>
          <w:highlight w:val="none"/>
        </w:rPr>
        <w:t>⑥安全监督人员安全生产责任</w:t>
      </w:r>
    </w:p>
    <w:p w14:paraId="66E8FF35">
      <w:pPr>
        <w:bidi w:val="0"/>
        <w:ind w:firstLine="480" w:firstLineChars="200"/>
        <w:rPr>
          <w:highlight w:val="none"/>
        </w:rPr>
      </w:pPr>
      <w:r>
        <w:rPr>
          <w:highlight w:val="none"/>
        </w:rPr>
        <w:t>1)负责监督施工现场安全管理制度及各项管理规定的贯彻实施，落实现场安全生产奖罚制度。</w:t>
      </w:r>
    </w:p>
    <w:p w14:paraId="44B45354">
      <w:pPr>
        <w:bidi w:val="0"/>
        <w:ind w:firstLine="480" w:firstLineChars="200"/>
        <w:rPr>
          <w:highlight w:val="none"/>
        </w:rPr>
      </w:pPr>
      <w:r>
        <w:rPr>
          <w:highlight w:val="none"/>
        </w:rPr>
        <w:t>2)进行日常安全检查，发现隐患及时上报安监部长，并要求现场技术人员及时 进行整改，跟踪落实各类事故隐患的整改。</w:t>
      </w:r>
    </w:p>
    <w:p w14:paraId="492D8DEA">
      <w:pPr>
        <w:bidi w:val="0"/>
        <w:ind w:firstLine="480" w:firstLineChars="200"/>
        <w:rPr>
          <w:highlight w:val="none"/>
        </w:rPr>
      </w:pPr>
      <w:r>
        <w:rPr>
          <w:highlight w:val="none"/>
        </w:rPr>
        <w:t>3)督促现场所有人员按要求穿戴好劳动防护用品，检查各项安全防护措施的有 效性， 有权制止他人的违规行为， 发现重大隐患要求现场立即整改， 并及时向安监部长和现场负责人报告。</w:t>
      </w:r>
    </w:p>
    <w:p w14:paraId="2E918D03">
      <w:pPr>
        <w:bidi w:val="0"/>
        <w:ind w:firstLine="480" w:firstLineChars="200"/>
        <w:rPr>
          <w:highlight w:val="none"/>
        </w:rPr>
      </w:pPr>
      <w:r>
        <w:rPr>
          <w:highlight w:val="none"/>
        </w:rPr>
        <w:t>4)负责各班组的安全教育和管理，协助相关部门抓好各班组、设备的资质管理 和相关证照把关，施工过程中加强督促检查，控制各班组、设备的事故发生率。</w:t>
      </w:r>
    </w:p>
    <w:p w14:paraId="5E327852">
      <w:pPr>
        <w:bidi w:val="0"/>
        <w:ind w:firstLine="480" w:firstLineChars="200"/>
        <w:rPr>
          <w:highlight w:val="none"/>
        </w:rPr>
      </w:pPr>
      <w:r>
        <w:rPr>
          <w:highlight w:val="none"/>
        </w:rPr>
        <w:t>5)组织开展安全教育和培训工作，对特殊工种作业人员把好外培质量关，确保 特殊工种的安全技术素质，确保持证上岗。</w:t>
      </w:r>
    </w:p>
    <w:p w14:paraId="5B155810">
      <w:pPr>
        <w:bidi w:val="0"/>
        <w:ind w:firstLine="480" w:firstLineChars="200"/>
        <w:rPr>
          <w:highlight w:val="none"/>
        </w:rPr>
      </w:pPr>
      <w:r>
        <w:rPr>
          <w:highlight w:val="none"/>
        </w:rPr>
        <w:t>6)组织召开现场安全会议和开展各类安全活动。</w:t>
      </w:r>
    </w:p>
    <w:p w14:paraId="35B4EC81">
      <w:pPr>
        <w:bidi w:val="0"/>
        <w:ind w:firstLine="480" w:firstLineChars="200"/>
        <w:rPr>
          <w:highlight w:val="none"/>
        </w:rPr>
      </w:pPr>
      <w:r>
        <w:rPr>
          <w:highlight w:val="none"/>
        </w:rPr>
        <w:t>7)重点抓好施工的季节性安全防范措施的现场落实工作。</w:t>
      </w:r>
    </w:p>
    <w:p w14:paraId="7ABC3186">
      <w:pPr>
        <w:bidi w:val="0"/>
        <w:ind w:firstLine="480" w:firstLineChars="200"/>
        <w:rPr>
          <w:highlight w:val="none"/>
        </w:rPr>
      </w:pPr>
      <w:r>
        <w:rPr>
          <w:highlight w:val="none"/>
        </w:rPr>
        <w:t>8) 及时传达上级主管部门对施工现场有关安全生产的指令， 抓好现场落实工作。</w:t>
      </w:r>
    </w:p>
    <w:p w14:paraId="3C615F8D">
      <w:pPr>
        <w:bidi w:val="0"/>
        <w:ind w:firstLine="480" w:firstLineChars="200"/>
        <w:rPr>
          <w:highlight w:val="none"/>
        </w:rPr>
      </w:pPr>
      <w:r>
        <w:rPr>
          <w:highlight w:val="none"/>
        </w:rPr>
        <w:t>9)发现事故，立即上报现场负责人，并采取有效措施防止事故扩大及蔓延，参 加各类事故(包括事故险兆)的调查、分析和处理。</w:t>
      </w:r>
    </w:p>
    <w:p w14:paraId="1ECE9933">
      <w:pPr>
        <w:bidi w:val="0"/>
        <w:ind w:firstLine="480" w:firstLineChars="200"/>
        <w:rPr>
          <w:highlight w:val="none"/>
        </w:rPr>
      </w:pPr>
      <w:r>
        <w:rPr>
          <w:highlight w:val="none"/>
        </w:rPr>
        <w:t>10)完成领导临时交办的工作任务。</w:t>
      </w:r>
    </w:p>
    <w:p w14:paraId="02B97089">
      <w:pPr>
        <w:bidi w:val="0"/>
        <w:ind w:firstLine="480" w:firstLineChars="200"/>
        <w:rPr>
          <w:highlight w:val="none"/>
        </w:rPr>
      </w:pPr>
      <w:r>
        <w:rPr>
          <w:highlight w:val="none"/>
        </w:rPr>
        <w:t>⑦班(组)长安全生产责任</w:t>
      </w:r>
    </w:p>
    <w:p w14:paraId="35C7C02D">
      <w:pPr>
        <w:bidi w:val="0"/>
        <w:ind w:firstLine="480" w:firstLineChars="200"/>
        <w:rPr>
          <w:highlight w:val="none"/>
        </w:rPr>
      </w:pPr>
      <w:r>
        <w:rPr>
          <w:highlight w:val="none"/>
        </w:rPr>
        <w:t>1)带领本班组员工认真落实上级安全生产规章制度，严格执行安全管理标准和 操作规程，遵守劳动纪律，制止“三违”行为。</w:t>
      </w:r>
    </w:p>
    <w:p w14:paraId="4D6EBD71">
      <w:pPr>
        <w:bidi w:val="0"/>
        <w:ind w:firstLine="480" w:firstLineChars="200"/>
        <w:rPr>
          <w:highlight w:val="none"/>
        </w:rPr>
      </w:pPr>
      <w:r>
        <w:rPr>
          <w:highlight w:val="none"/>
        </w:rPr>
        <w:t>2)认真坚持“三工”  (工前交代、工中检查、工后讲评)制度，积极开展班组安 全生产活动，做好班组安全活动记录和交接班记录。</w:t>
      </w:r>
    </w:p>
    <w:p w14:paraId="56E2E8F4">
      <w:pPr>
        <w:bidi w:val="0"/>
        <w:ind w:firstLine="480" w:firstLineChars="200"/>
        <w:rPr>
          <w:highlight w:val="none"/>
        </w:rPr>
      </w:pPr>
      <w:r>
        <w:rPr>
          <w:highlight w:val="none"/>
        </w:rPr>
        <w:t>3)认真组织安全生产和技术学习，不断提高班组人员安全技能素质，做好施工 过程中安全生产检查。及时制止员工违章行为， 消除事故隐患。 本班组不能处理事故 隐患及时向上级领导报告。</w:t>
      </w:r>
    </w:p>
    <w:p w14:paraId="09DE2FA3">
      <w:pPr>
        <w:bidi w:val="0"/>
        <w:ind w:firstLine="480" w:firstLineChars="200"/>
        <w:rPr>
          <w:highlight w:val="none"/>
        </w:rPr>
      </w:pPr>
      <w:r>
        <w:rPr>
          <w:highlight w:val="none"/>
        </w:rPr>
        <w:t>4)自觉接受上级领导和安检人员监督检查，对检查中提出的问题及时进行整改 不留隐患。</w:t>
      </w:r>
    </w:p>
    <w:p w14:paraId="7F9BE45A">
      <w:pPr>
        <w:bidi w:val="0"/>
        <w:ind w:firstLine="480" w:firstLineChars="200"/>
        <w:rPr>
          <w:rFonts w:hint="default"/>
          <w:highlight w:val="none"/>
          <w:lang w:val="en-US" w:eastAsia="zh-CN"/>
        </w:rPr>
      </w:pPr>
      <w:r>
        <w:rPr>
          <w:highlight w:val="none"/>
        </w:rPr>
        <w:t>5)认真执行安全技术交底制度，对不具备安全生产条件，人身安全得不到保障 工程任务，有权拒绝施工， 必要时可越级向上级领导或安检部门反映， 待问题解决后方可复工。</w:t>
      </w:r>
    </w:p>
    <w:p w14:paraId="670D3EC5">
      <w:pPr>
        <w:bidi w:val="0"/>
        <w:ind w:firstLine="480" w:firstLineChars="200"/>
        <w:rPr>
          <w:highlight w:val="none"/>
        </w:rPr>
      </w:pPr>
      <w:r>
        <w:rPr>
          <w:highlight w:val="none"/>
        </w:rPr>
        <w:t>6)对发现违章指挥、违章作业行为不予制止以及发现事故隐患不及时消除而导 致人身伤亡事故，承担直接领导责任。</w:t>
      </w:r>
    </w:p>
    <w:p w14:paraId="7B2D79FA">
      <w:pPr>
        <w:bidi w:val="0"/>
        <w:ind w:firstLine="480" w:firstLineChars="200"/>
        <w:rPr>
          <w:highlight w:val="none"/>
        </w:rPr>
      </w:pPr>
      <w:r>
        <w:rPr>
          <w:highlight w:val="none"/>
        </w:rPr>
        <w:t>⑨施工作业人员安全生产责任</w:t>
      </w:r>
    </w:p>
    <w:p w14:paraId="5775196E">
      <w:pPr>
        <w:bidi w:val="0"/>
        <w:ind w:firstLine="480" w:firstLineChars="200"/>
        <w:rPr>
          <w:highlight w:val="none"/>
        </w:rPr>
      </w:pPr>
      <w:r>
        <w:rPr>
          <w:highlight w:val="none"/>
        </w:rPr>
        <w:t>1)在班组长直接领导下积极参加各项安全活动，刻苦学习安全技术知识，不断 提高安全操作技能。</w:t>
      </w:r>
    </w:p>
    <w:p w14:paraId="35FA2C1C">
      <w:pPr>
        <w:bidi w:val="0"/>
        <w:ind w:firstLine="480" w:firstLineChars="200"/>
        <w:rPr>
          <w:highlight w:val="none"/>
        </w:rPr>
      </w:pPr>
      <w:r>
        <w:rPr>
          <w:highlight w:val="none"/>
        </w:rPr>
        <w:t>2)自觉遵守安全生产规章制度和操作规程，严格按照安全技术交底施工，按规 定佩戴劳动防护用品。在施工作业中做到不伤害他人，不伤害自己，不被他人伤害， 同时有责任劝阻他人违章作业。</w:t>
      </w:r>
    </w:p>
    <w:p w14:paraId="6E35D6C7">
      <w:pPr>
        <w:bidi w:val="0"/>
        <w:ind w:firstLine="480" w:firstLineChars="200"/>
        <w:rPr>
          <w:highlight w:val="none"/>
        </w:rPr>
      </w:pPr>
      <w:r>
        <w:rPr>
          <w:highlight w:val="none"/>
        </w:rPr>
        <w:t>3)爱护和正确使用机械设备、工具及劳动保护用品、防护用具；对成品、半成 品、材料及废料等按指定地点堆放整齐，做到文明施工。</w:t>
      </w:r>
    </w:p>
    <w:p w14:paraId="67D4D470">
      <w:pPr>
        <w:bidi w:val="0"/>
        <w:ind w:firstLine="480" w:firstLineChars="200"/>
        <w:rPr>
          <w:highlight w:val="none"/>
        </w:rPr>
      </w:pPr>
      <w:r>
        <w:rPr>
          <w:highlight w:val="none"/>
        </w:rPr>
        <w:t>4)作业前对使用机具、机械、电器设备、作业环境安全情况进行认真检查，发 现问题及时处理或向领导报告。</w:t>
      </w:r>
    </w:p>
    <w:p w14:paraId="3EF93BDF">
      <w:pPr>
        <w:bidi w:val="0"/>
        <w:ind w:firstLine="480" w:firstLineChars="200"/>
        <w:rPr>
          <w:highlight w:val="none"/>
        </w:rPr>
      </w:pPr>
      <w:r>
        <w:rPr>
          <w:highlight w:val="none"/>
        </w:rPr>
        <w:t>5)从事特种作业人员和技术工种人员积极参加培训，掌握本岗位操作技能，取 得特种作业资格，做到持证上岗。</w:t>
      </w:r>
    </w:p>
    <w:p w14:paraId="6F2B0FE4">
      <w:pPr>
        <w:bidi w:val="0"/>
        <w:ind w:firstLine="480" w:firstLineChars="200"/>
        <w:rPr>
          <w:highlight w:val="none"/>
        </w:rPr>
      </w:pPr>
      <w:r>
        <w:rPr>
          <w:highlight w:val="none"/>
        </w:rPr>
        <w:t>6)对施工现场不具备安全生产条件，有权建议改进，对违章指挥，强令冒险作 业，有权拒绝执行， 对危害生命安全和身体健康的行为， 有权提出批评、检举和控告。</w:t>
      </w:r>
    </w:p>
    <w:p w14:paraId="38DE0C97">
      <w:pPr>
        <w:bidi w:val="0"/>
        <w:ind w:firstLine="480" w:firstLineChars="200"/>
        <w:rPr>
          <w:highlight w:val="none"/>
        </w:rPr>
      </w:pPr>
      <w:r>
        <w:rPr>
          <w:highlight w:val="none"/>
        </w:rPr>
        <w:t>7)对因违章操作、盲目蛮干或不听指挥而造成本人及他人人身伤害事故和经济 损失承担直接责任。</w:t>
      </w:r>
    </w:p>
    <w:p w14:paraId="2C5AAE1C">
      <w:pPr>
        <w:pStyle w:val="3"/>
        <w:bidi w:val="0"/>
        <w:ind w:left="575" w:leftChars="0" w:hanging="575" w:firstLineChars="0"/>
      </w:pPr>
      <w:bookmarkStart w:id="257" w:name="_Toc10366"/>
      <w:r>
        <w:rPr>
          <w:rFonts w:hint="eastAsia"/>
        </w:rPr>
        <w:t xml:space="preserve"> </w:t>
      </w:r>
      <w:bookmarkStart w:id="258" w:name="_Toc223"/>
      <w:r>
        <w:rPr>
          <w:rFonts w:hint="eastAsia"/>
        </w:rPr>
        <w:t>制度保障措施</w:t>
      </w:r>
      <w:bookmarkEnd w:id="254"/>
      <w:bookmarkEnd w:id="255"/>
      <w:bookmarkEnd w:id="257"/>
      <w:bookmarkEnd w:id="258"/>
    </w:p>
    <w:bookmarkEnd w:id="256"/>
    <w:p w14:paraId="5599593D">
      <w:pPr>
        <w:bidi w:val="0"/>
        <w:ind w:firstLine="480" w:firstLineChars="20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建立完善的进场验收及检查制度。对进场设备严格执行进场验收，不合格设备材料，不予进场；实行作业前检查制度，对不合格材料、零部件不得使用并及时更换。</w:t>
      </w:r>
    </w:p>
    <w:p w14:paraId="3AFEF059">
      <w:pPr>
        <w:bidi w:val="0"/>
        <w:ind w:firstLine="480" w:firstLineChars="200"/>
        <w:rPr>
          <w:rFonts w:hint="eastAsia"/>
          <w:highlight w:val="none"/>
        </w:rPr>
      </w:pPr>
      <w:r>
        <w:rPr>
          <w:rFonts w:hint="eastAsia" w:ascii="宋体" w:hAnsi="宋体" w:eastAsia="宋体" w:cs="宋体"/>
          <w:color w:val="000000"/>
          <w:kern w:val="0"/>
          <w:sz w:val="24"/>
          <w:szCs w:val="24"/>
          <w:highlight w:val="none"/>
          <w:lang w:val="en-US" w:eastAsia="zh-CN" w:bidi="ar"/>
        </w:rPr>
        <w:t>（2）实行逐级安全技术交底制，由经理部组织有关人员进行详细安全技术交底，凡参加安全技术交底的人员要履行签字手续，并保存资料。项目经理部专职监察工程师对安全技术措施的执行情况进行监督检查，并</w:t>
      </w:r>
      <w:r>
        <w:rPr>
          <w:rFonts w:hint="eastAsia" w:cs="宋体"/>
          <w:color w:val="000000"/>
          <w:kern w:val="0"/>
          <w:sz w:val="24"/>
          <w:szCs w:val="24"/>
          <w:highlight w:val="none"/>
          <w:lang w:val="en-US" w:eastAsia="zh-CN" w:bidi="ar"/>
        </w:rPr>
        <w:t>做好</w:t>
      </w:r>
      <w:r>
        <w:rPr>
          <w:rFonts w:hint="eastAsia" w:ascii="宋体" w:hAnsi="宋体" w:eastAsia="宋体" w:cs="宋体"/>
          <w:color w:val="000000"/>
          <w:kern w:val="0"/>
          <w:sz w:val="24"/>
          <w:szCs w:val="24"/>
          <w:highlight w:val="none"/>
          <w:lang w:val="en-US" w:eastAsia="zh-CN" w:bidi="ar"/>
        </w:rPr>
        <w:t>记录和反馈信息。</w:t>
      </w:r>
    </w:p>
    <w:p w14:paraId="55F659B4">
      <w:pPr>
        <w:bidi w:val="0"/>
        <w:ind w:firstLine="48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建立和贯彻执行安全教育制度。对进场人员进行岗前教育和三级教育，使用安装作业安全教育，并做好记录存档</w:t>
      </w:r>
      <w:r>
        <w:rPr>
          <w:rFonts w:hint="eastAsia"/>
          <w:highlight w:val="none"/>
          <w:lang w:eastAsia="zh-CN"/>
        </w:rPr>
        <w:t>。</w:t>
      </w:r>
    </w:p>
    <w:p w14:paraId="46FDBD58">
      <w:pPr>
        <w:bidi w:val="0"/>
        <w:ind w:firstLine="480" w:firstLineChars="20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危险性较大分部分项工程安全专项方案编制审批制度</w:t>
      </w:r>
      <w:r>
        <w:rPr>
          <w:rFonts w:hint="eastAsia"/>
          <w:highlight w:val="none"/>
          <w:lang w:eastAsia="zh-CN"/>
        </w:rPr>
        <w:t>。</w:t>
      </w:r>
      <w:r>
        <w:rPr>
          <w:highlight w:val="none"/>
        </w:rPr>
        <w:t>危险性较大的分部分项工程开工前，由项目总工程师组织工程、安</w:t>
      </w:r>
      <w:r>
        <w:rPr>
          <w:rFonts w:hint="eastAsia"/>
          <w:highlight w:val="none"/>
          <w:lang w:val="en-US" w:eastAsia="zh-CN"/>
        </w:rPr>
        <w:t>监</w:t>
      </w:r>
      <w:r>
        <w:rPr>
          <w:highlight w:val="none"/>
        </w:rPr>
        <w:t>及质检等部门的专业技术人员编制专项方案并按照归属关系及时将编制的专项方案报送公司或 分(子)公司总工办审核。超过一定规模的危险性较大分部分项工程安全专项方案编制后，项目部应组织有关专家对方案进行论证，并根据专家组提供的论证报告修改完善专项方案，并经目总监理工程师、建设单位项目负责人签字后，方可组织实施。</w:t>
      </w:r>
    </w:p>
    <w:p w14:paraId="16E2EA67">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（5）</w:t>
      </w:r>
      <w:r>
        <w:rPr>
          <w:highlight w:val="none"/>
        </w:rPr>
        <w:t>危险作业</w:t>
      </w:r>
      <w:r>
        <w:rPr>
          <w:rFonts w:hint="eastAsia"/>
          <w:highlight w:val="none"/>
          <w:lang w:val="en-US" w:eastAsia="zh-CN"/>
        </w:rPr>
        <w:t>许可</w:t>
      </w:r>
      <w:r>
        <w:rPr>
          <w:highlight w:val="none"/>
        </w:rPr>
        <w:t>制度</w:t>
      </w:r>
      <w:r>
        <w:rPr>
          <w:rFonts w:hint="eastAsia"/>
          <w:highlight w:val="none"/>
          <w:lang w:eastAsia="zh-CN"/>
        </w:rPr>
        <w:t>。</w:t>
      </w:r>
      <w:r>
        <w:rPr>
          <w:rFonts w:ascii="宋体" w:hAnsi="宋体" w:eastAsia="宋体" w:cs="Times New Roman"/>
          <w:highlight w:val="none"/>
        </w:rPr>
        <w:t>项目实施前，项目</w:t>
      </w:r>
      <w:r>
        <w:rPr>
          <w:rFonts w:hint="eastAsia" w:ascii="宋体" w:hAnsi="宋体" w:eastAsia="宋体" w:cs="Times New Roman"/>
          <w:highlight w:val="none"/>
        </w:rPr>
        <w:t>经理</w:t>
      </w:r>
      <w:r>
        <w:rPr>
          <w:rFonts w:ascii="宋体" w:hAnsi="宋体" w:eastAsia="宋体" w:cs="Times New Roman"/>
          <w:highlight w:val="none"/>
        </w:rPr>
        <w:t>部生产管理部门应根据危险源辨识情况，确定项目中存在的危险作业,并作为现场安全管控重点，做好相关的安全技术措施准备工作。危险作业计划施工时，负责该施工作业的工长</w:t>
      </w:r>
      <w:r>
        <w:rPr>
          <w:rFonts w:hint="eastAsia" w:ascii="宋体" w:hAnsi="宋体" w:eastAsia="宋体" w:cs="Times New Roman"/>
          <w:highlight w:val="none"/>
        </w:rPr>
        <w:t>（项目现场总监）</w:t>
      </w:r>
      <w:r>
        <w:rPr>
          <w:rFonts w:ascii="宋体" w:hAnsi="宋体" w:eastAsia="宋体" w:cs="Times New Roman"/>
          <w:highlight w:val="none"/>
        </w:rPr>
        <w:t>或工程管理人员应于施工前至少7日，向现场的生产</w:t>
      </w:r>
      <w:r>
        <w:rPr>
          <w:rFonts w:hint="eastAsia" w:ascii="宋体" w:hAnsi="宋体" w:eastAsia="宋体" w:cs="Times New Roman"/>
          <w:highlight w:val="none"/>
        </w:rPr>
        <w:t>副</w:t>
      </w:r>
      <w:r>
        <w:rPr>
          <w:rFonts w:ascii="宋体" w:hAnsi="宋体" w:eastAsia="宋体" w:cs="Times New Roman"/>
          <w:highlight w:val="none"/>
        </w:rPr>
        <w:t>经理提出作业申请。接到危险作业施工申请后，生产</w:t>
      </w:r>
      <w:r>
        <w:rPr>
          <w:rFonts w:hint="eastAsia" w:ascii="宋体" w:hAnsi="宋体" w:eastAsia="宋体" w:cs="Times New Roman"/>
          <w:highlight w:val="none"/>
        </w:rPr>
        <w:t>副</w:t>
      </w:r>
      <w:r>
        <w:rPr>
          <w:rFonts w:ascii="宋体" w:hAnsi="宋体" w:eastAsia="宋体" w:cs="Times New Roman"/>
          <w:highlight w:val="none"/>
        </w:rPr>
        <w:t>经理应会同技术负责人、</w:t>
      </w:r>
      <w:r>
        <w:rPr>
          <w:rFonts w:hint="eastAsia" w:ascii="宋体" w:hAnsi="宋体" w:eastAsia="宋体" w:cs="Times New Roman"/>
          <w:highlight w:val="none"/>
        </w:rPr>
        <w:t>分管设备副经理、</w:t>
      </w:r>
      <w:r>
        <w:rPr>
          <w:rFonts w:ascii="宋体" w:hAnsi="宋体" w:eastAsia="宋体" w:cs="Times New Roman"/>
          <w:highlight w:val="none"/>
        </w:rPr>
        <w:t>安全总监组织班组长、</w:t>
      </w:r>
      <w:r>
        <w:rPr>
          <w:rFonts w:hint="eastAsia" w:ascii="宋体" w:hAnsi="宋体" w:eastAsia="宋体" w:cs="Times New Roman"/>
          <w:highlight w:val="none"/>
        </w:rPr>
        <w:t>生产</w:t>
      </w:r>
      <w:r>
        <w:rPr>
          <w:rFonts w:ascii="宋体" w:hAnsi="宋体" w:eastAsia="宋体" w:cs="Times New Roman"/>
          <w:highlight w:val="none"/>
        </w:rPr>
        <w:t>、技术、质量、</w:t>
      </w:r>
      <w:r>
        <w:rPr>
          <w:rFonts w:hint="eastAsia" w:ascii="宋体" w:hAnsi="宋体" w:eastAsia="宋体" w:cs="Times New Roman"/>
          <w:highlight w:val="none"/>
        </w:rPr>
        <w:t>设备</w:t>
      </w:r>
      <w:r>
        <w:rPr>
          <w:rFonts w:ascii="宋体" w:hAnsi="宋体" w:eastAsia="宋体" w:cs="Times New Roman"/>
          <w:highlight w:val="none"/>
        </w:rPr>
        <w:t>、安全等管理部门进行现场作业条件确认。项目技术负责人、生产</w:t>
      </w:r>
      <w:r>
        <w:rPr>
          <w:rFonts w:hint="eastAsia" w:ascii="宋体" w:hAnsi="宋体" w:eastAsia="宋体" w:cs="Times New Roman"/>
          <w:highlight w:val="none"/>
        </w:rPr>
        <w:t>副</w:t>
      </w:r>
      <w:r>
        <w:rPr>
          <w:rFonts w:ascii="宋体" w:hAnsi="宋体" w:eastAsia="宋体" w:cs="Times New Roman"/>
          <w:highlight w:val="none"/>
        </w:rPr>
        <w:t>经理</w:t>
      </w:r>
      <w:r>
        <w:rPr>
          <w:rFonts w:hint="eastAsia" w:ascii="宋体" w:hAnsi="宋体" w:eastAsia="宋体" w:cs="Times New Roman"/>
          <w:highlight w:val="none"/>
        </w:rPr>
        <w:t>、分管设备副经理</w:t>
      </w:r>
      <w:r>
        <w:rPr>
          <w:rFonts w:ascii="宋体" w:hAnsi="宋体" w:eastAsia="宋体" w:cs="Times New Roman"/>
          <w:highlight w:val="none"/>
        </w:rPr>
        <w:t>和安全总监应当根据检查结果对作业条件进行复核。技术负责人负责有关工程技术质量内容的检查复核，</w:t>
      </w:r>
      <w:r>
        <w:rPr>
          <w:rFonts w:hint="eastAsia" w:ascii="宋体" w:hAnsi="宋体" w:eastAsia="宋体" w:cs="Times New Roman"/>
          <w:highlight w:val="none"/>
        </w:rPr>
        <w:t>分管设备副</w:t>
      </w:r>
      <w:r>
        <w:rPr>
          <w:rFonts w:ascii="宋体" w:hAnsi="宋体" w:eastAsia="宋体" w:cs="Times New Roman"/>
          <w:highlight w:val="none"/>
        </w:rPr>
        <w:t>经理负责设备</w:t>
      </w:r>
      <w:r>
        <w:rPr>
          <w:rFonts w:hint="eastAsia" w:ascii="宋体" w:hAnsi="宋体" w:eastAsia="宋体" w:cs="Times New Roman"/>
          <w:highlight w:val="none"/>
        </w:rPr>
        <w:t>的检查复核，生产副经理负责</w:t>
      </w:r>
      <w:r>
        <w:rPr>
          <w:rFonts w:ascii="宋体" w:hAnsi="宋体" w:eastAsia="宋体" w:cs="Times New Roman"/>
          <w:highlight w:val="none"/>
        </w:rPr>
        <w:t>安全防护设施的检查复核，安全总监负责监督现场条件确认的落实情况。</w:t>
      </w:r>
    </w:p>
    <w:p w14:paraId="7D6D5406">
      <w:pPr>
        <w:keepNext w:val="0"/>
        <w:keepLines w:val="0"/>
        <w:widowControl/>
        <w:suppressLineNumbers w:val="0"/>
        <w:ind w:firstLine="480" w:firstLineChars="200"/>
        <w:jc w:val="left"/>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cs="Times New Roman"/>
          <w:highlight w:val="none"/>
          <w:lang w:val="en-US" w:eastAsia="zh-CN"/>
        </w:rPr>
        <w:t>安全风险分级管控制度。</w:t>
      </w:r>
      <w:r>
        <w:rPr>
          <w:rFonts w:hint="eastAsia" w:ascii="宋体" w:hAnsi="宋体" w:eastAsia="宋体" w:cs="宋体"/>
          <w:color w:val="000000"/>
          <w:kern w:val="0"/>
          <w:sz w:val="24"/>
          <w:szCs w:val="24"/>
          <w:highlight w:val="none"/>
          <w:lang w:val="en-US" w:eastAsia="zh-CN" w:bidi="ar"/>
        </w:rPr>
        <w:t xml:space="preserve">安全生产风险管控遵循风险级别越高管控层级越高的原则，并符合下列要求： </w:t>
      </w:r>
    </w:p>
    <w:p w14:paraId="7B9BF1E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 xml:space="preserve">、对于较大风险和重大风险应重点进行管控； </w:t>
      </w:r>
    </w:p>
    <w:p w14:paraId="4CF1E0C9">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b</w:t>
      </w:r>
      <w:r>
        <w:rPr>
          <w:rFonts w:hint="eastAsia" w:ascii="宋体" w:hAnsi="宋体" w:eastAsia="宋体" w:cs="宋体"/>
          <w:color w:val="000000"/>
          <w:kern w:val="0"/>
          <w:sz w:val="24"/>
          <w:szCs w:val="24"/>
          <w:highlight w:val="none"/>
          <w:lang w:val="en-US" w:eastAsia="zh-CN" w:bidi="ar"/>
        </w:rPr>
        <w:t xml:space="preserve">、上一级负责管控的施工安全风险，下一级必须同时负责具体管控，并逐级落实具体措施； </w:t>
      </w:r>
    </w:p>
    <w:p w14:paraId="2733896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宋体" w:hAnsi="宋体" w:eastAsia="宋体" w:cs="宋体"/>
          <w:color w:val="000000"/>
          <w:kern w:val="0"/>
          <w:sz w:val="24"/>
          <w:szCs w:val="24"/>
          <w:highlight w:val="none"/>
          <w:lang w:val="en-US" w:eastAsia="zh-CN" w:bidi="ar"/>
        </w:rPr>
        <w:t xml:space="preserve">、管控层级可进行增加或提级； </w:t>
      </w:r>
    </w:p>
    <w:p w14:paraId="2C795EA4">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、风险管控采取公示告知、组织编制并落实专项施工方案、带班跟班作业、上级监督检查等方式予以管控。</w:t>
      </w:r>
    </w:p>
    <w:p w14:paraId="7CDD4499">
      <w:pPr>
        <w:bidi w:val="0"/>
        <w:ind w:firstLine="480" w:firstLineChars="200"/>
        <w:rPr>
          <w:highlight w:val="none"/>
        </w:rPr>
      </w:pPr>
      <w:r>
        <w:rPr>
          <w:rFonts w:hint="eastAsia"/>
          <w:highlight w:val="none"/>
          <w:lang w:val="en-US" w:eastAsia="zh-CN"/>
        </w:rPr>
        <w:t>项目部应加强安全生产风险的现场监控，明确分管领导、现场负责人，配齐生产、技术、安全、设备、班组长等相关人员，做好领导带班生产、管理人员跟班作业等，结合日常各项工作，实行网格化管理，实施监测预警，在相应方案中明确监控对象、监测指标及阈值、分级预警及处置流程等，按方案进行风险预警处置。较大风险（Ⅲ级）点、重大风险（</w:t>
      </w:r>
      <w:r>
        <w:rPr>
          <w:rFonts w:hint="default"/>
          <w:highlight w:val="none"/>
          <w:lang w:val="en-US" w:eastAsia="zh-CN"/>
        </w:rPr>
        <w:t>IV</w:t>
      </w:r>
      <w:r>
        <w:rPr>
          <w:rFonts w:hint="eastAsia"/>
          <w:highlight w:val="none"/>
          <w:lang w:val="en-US" w:eastAsia="zh-CN"/>
        </w:rPr>
        <w:t>级）点由生产管理部督促安装远程视频监控，分别接入分子公司、公司生产指挥中心。</w:t>
      </w:r>
    </w:p>
    <w:p w14:paraId="7B854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（8）事故隐患排查治理制度</w:t>
      </w:r>
    </w:p>
    <w:p w14:paraId="7FDA0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一般事故隐患由项目部安全管理部门和检查部门督促责任工区、责任部门或者责任分包作业单位整改落实，并组织验收。</w:t>
      </w:r>
    </w:p>
    <w:p w14:paraId="53CE5F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重大事故隐患由项目主要负责人组织制定、实施事故隐患 治理方案，并组织验收；安全管理部门负责督促整改落实。重 大事故隐患治理方案应当包括以下内容：</w:t>
      </w:r>
    </w:p>
    <w:p w14:paraId="71C41332">
      <w:pPr>
        <w:bidi w:val="0"/>
        <w:ind w:firstLine="480" w:firstLineChars="200"/>
        <w:rPr>
          <w:rFonts w:hint="eastAsia"/>
          <w:highlight w:val="none"/>
          <w:lang w:val="en-US" w:eastAsia="zh-CN"/>
        </w:rPr>
      </w:pPr>
      <w:bookmarkStart w:id="259" w:name="（一）治理的目标和任务；"/>
      <w:bookmarkEnd w:id="259"/>
      <w:r>
        <w:rPr>
          <w:rFonts w:hint="eastAsia"/>
          <w:highlight w:val="none"/>
          <w:lang w:val="en-US" w:eastAsia="zh-CN"/>
        </w:rPr>
        <w:t>（一）治理的目标和任务；</w:t>
      </w:r>
    </w:p>
    <w:p w14:paraId="544E3A26">
      <w:pPr>
        <w:bidi w:val="0"/>
        <w:ind w:firstLine="480" w:firstLineChars="200"/>
        <w:rPr>
          <w:rFonts w:hint="eastAsia"/>
          <w:highlight w:val="none"/>
          <w:lang w:val="en-US" w:eastAsia="zh-CN"/>
        </w:rPr>
      </w:pPr>
      <w:bookmarkStart w:id="260" w:name="（二）采取的方法和措施；"/>
      <w:bookmarkEnd w:id="260"/>
      <w:r>
        <w:rPr>
          <w:rFonts w:hint="eastAsia"/>
          <w:highlight w:val="none"/>
          <w:lang w:val="en-US" w:eastAsia="zh-CN"/>
        </w:rPr>
        <w:t>（二）采取的方法和措施；</w:t>
      </w:r>
    </w:p>
    <w:p w14:paraId="3F84DE8C">
      <w:pPr>
        <w:bidi w:val="0"/>
        <w:ind w:firstLine="480" w:firstLineChars="200"/>
        <w:rPr>
          <w:rFonts w:hint="eastAsia"/>
          <w:highlight w:val="none"/>
          <w:lang w:val="en-US" w:eastAsia="zh-CN"/>
        </w:rPr>
      </w:pPr>
      <w:bookmarkStart w:id="261" w:name="（三）经费和物资的落实；"/>
      <w:bookmarkEnd w:id="261"/>
      <w:r>
        <w:rPr>
          <w:rFonts w:hint="eastAsia"/>
          <w:highlight w:val="none"/>
          <w:lang w:val="en-US" w:eastAsia="zh-CN"/>
        </w:rPr>
        <w:t>（三）经费和物资的落实；</w:t>
      </w:r>
    </w:p>
    <w:p w14:paraId="678ABD47">
      <w:pPr>
        <w:bidi w:val="0"/>
        <w:ind w:firstLine="480" w:firstLineChars="200"/>
        <w:rPr>
          <w:rFonts w:hint="eastAsia"/>
          <w:highlight w:val="none"/>
          <w:lang w:val="en-US" w:eastAsia="zh-CN"/>
        </w:rPr>
      </w:pPr>
      <w:bookmarkStart w:id="262" w:name="（四）负责治理的机构和人员；"/>
      <w:bookmarkEnd w:id="262"/>
      <w:r>
        <w:rPr>
          <w:rFonts w:hint="eastAsia"/>
          <w:highlight w:val="none"/>
          <w:lang w:val="en-US" w:eastAsia="zh-CN"/>
        </w:rPr>
        <w:t>（四）负责治理的机构和人员；</w:t>
      </w:r>
    </w:p>
    <w:p w14:paraId="1693D4AE">
      <w:pPr>
        <w:bidi w:val="0"/>
        <w:ind w:firstLine="480" w:firstLineChars="200"/>
        <w:rPr>
          <w:rFonts w:hint="eastAsia"/>
          <w:highlight w:val="none"/>
          <w:lang w:val="en-US" w:eastAsia="zh-CN"/>
        </w:rPr>
      </w:pPr>
      <w:bookmarkStart w:id="263" w:name="（五）治理的时限和要求；"/>
      <w:bookmarkEnd w:id="263"/>
      <w:r>
        <w:rPr>
          <w:rFonts w:hint="eastAsia"/>
          <w:highlight w:val="none"/>
          <w:lang w:val="en-US" w:eastAsia="zh-CN"/>
        </w:rPr>
        <w:t>（五）治理的时限和要求；</w:t>
      </w:r>
    </w:p>
    <w:p w14:paraId="2DF9302D">
      <w:pPr>
        <w:bidi w:val="0"/>
        <w:ind w:firstLine="480" w:firstLineChars="200"/>
        <w:rPr>
          <w:rFonts w:hint="eastAsia"/>
          <w:highlight w:val="none"/>
          <w:lang w:val="en-US" w:eastAsia="zh-CN"/>
        </w:rPr>
      </w:pPr>
      <w:bookmarkStart w:id="264" w:name="（六）安全措施和应急预案。"/>
      <w:bookmarkEnd w:id="264"/>
      <w:r>
        <w:rPr>
          <w:rFonts w:hint="eastAsia"/>
          <w:highlight w:val="none"/>
          <w:lang w:val="en-US" w:eastAsia="zh-CN"/>
        </w:rPr>
        <w:t>（六）安全措施和应急预案。</w:t>
      </w:r>
      <w:bookmarkStart w:id="265" w:name="第十三条【事故隐患治理防范】"/>
      <w:bookmarkEnd w:id="265"/>
      <w:r>
        <w:rPr>
          <w:rFonts w:hint="eastAsia"/>
          <w:highlight w:val="none"/>
          <w:lang w:val="en-US" w:eastAsia="zh-CN"/>
        </w:rPr>
        <w:t xml:space="preserve"> </w:t>
      </w:r>
    </w:p>
    <w:p w14:paraId="561D06F1">
      <w:pPr>
        <w:bidi w:val="0"/>
        <w:ind w:left="480" w:leftChars="200" w:firstLine="0" w:firstLineChars="0"/>
        <w:rPr>
          <w:highlight w:val="none"/>
        </w:rPr>
      </w:pPr>
      <w:r>
        <w:rPr>
          <w:rFonts w:hint="eastAsia"/>
          <w:highlight w:val="none"/>
        </w:rPr>
        <w:t>建立和完善塔式起重机安装作业各岗位（领导、相关部门）安全生产职责。严格按照各岗位安全生产职责执行。</w:t>
      </w:r>
    </w:p>
    <w:p w14:paraId="1BD61A76">
      <w:pPr>
        <w:bidi w:val="0"/>
        <w:ind w:firstLine="480" w:firstLineChars="200"/>
        <w:rPr>
          <w:highlight w:val="none"/>
        </w:rPr>
      </w:pPr>
      <w:r>
        <w:rPr>
          <w:rFonts w:hint="eastAsia"/>
          <w:highlight w:val="none"/>
        </w:rPr>
        <w:t>项目部从项目经理至作业员应层层明确安全岗位职责，确保安全工作有章可循。各部门安全岗位职责分工参见表-1</w:t>
      </w:r>
    </w:p>
    <w:p w14:paraId="73762266">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表6-1 安全生产岗位职责分工</w:t>
      </w:r>
    </w:p>
    <w:tbl>
      <w:tblPr>
        <w:tblStyle w:val="30"/>
        <w:tblW w:w="90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71"/>
        <w:gridCol w:w="5765"/>
      </w:tblGrid>
      <w:tr w14:paraId="0946B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5781EF2F">
            <w:pPr>
              <w:pStyle w:val="105"/>
              <w:bidi w:val="0"/>
              <w:rPr>
                <w:rFonts w:hint="eastAsia"/>
                <w:highlight w:val="none"/>
              </w:rPr>
            </w:pPr>
            <w:r>
              <w:rPr>
                <w:rFonts w:hint="eastAsia"/>
                <w:highlight w:val="none"/>
              </w:rPr>
              <w:t>安全生产</w:t>
            </w:r>
          </w:p>
          <w:p w14:paraId="1279BAEF">
            <w:pPr>
              <w:pStyle w:val="105"/>
              <w:bidi w:val="0"/>
              <w:rPr>
                <w:rFonts w:hint="eastAsia"/>
                <w:highlight w:val="none"/>
              </w:rPr>
            </w:pPr>
            <w:r>
              <w:rPr>
                <w:rFonts w:hint="eastAsia"/>
                <w:highlight w:val="none"/>
              </w:rPr>
              <w:t>领导小组</w:t>
            </w:r>
          </w:p>
        </w:tc>
        <w:tc>
          <w:tcPr>
            <w:tcW w:w="1035" w:type="dxa"/>
            <w:vAlign w:val="center"/>
          </w:tcPr>
          <w:p w14:paraId="08F995A6">
            <w:pPr>
              <w:pStyle w:val="105"/>
              <w:bidi w:val="0"/>
              <w:rPr>
                <w:rFonts w:hint="eastAsia"/>
                <w:highlight w:val="none"/>
              </w:rPr>
            </w:pPr>
            <w:r>
              <w:rPr>
                <w:rFonts w:hint="eastAsia"/>
                <w:highlight w:val="none"/>
              </w:rPr>
              <w:t>责任人</w:t>
            </w:r>
          </w:p>
        </w:tc>
        <w:tc>
          <w:tcPr>
            <w:tcW w:w="1171" w:type="dxa"/>
            <w:vAlign w:val="center"/>
          </w:tcPr>
          <w:p w14:paraId="4F5641BB">
            <w:pPr>
              <w:pStyle w:val="105"/>
              <w:bidi w:val="0"/>
              <w:rPr>
                <w:rFonts w:hint="eastAsia"/>
                <w:highlight w:val="none"/>
              </w:rPr>
            </w:pPr>
            <w:r>
              <w:rPr>
                <w:rFonts w:hint="eastAsia"/>
                <w:highlight w:val="none"/>
              </w:rPr>
              <w:t>职  务</w:t>
            </w:r>
          </w:p>
        </w:tc>
        <w:tc>
          <w:tcPr>
            <w:tcW w:w="5765" w:type="dxa"/>
            <w:vAlign w:val="center"/>
          </w:tcPr>
          <w:p w14:paraId="5DE0978F">
            <w:pPr>
              <w:pStyle w:val="105"/>
              <w:bidi w:val="0"/>
              <w:rPr>
                <w:rFonts w:hint="eastAsia"/>
                <w:highlight w:val="none"/>
              </w:rPr>
            </w:pPr>
            <w:r>
              <w:rPr>
                <w:rFonts w:hint="eastAsia"/>
                <w:highlight w:val="none"/>
              </w:rPr>
              <w:t>职责分工</w:t>
            </w:r>
          </w:p>
        </w:tc>
      </w:tr>
      <w:tr w14:paraId="6B7C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64C3508C">
            <w:pPr>
              <w:pStyle w:val="105"/>
              <w:bidi w:val="0"/>
              <w:rPr>
                <w:rFonts w:hint="eastAsia"/>
                <w:highlight w:val="none"/>
              </w:rPr>
            </w:pPr>
            <w:r>
              <w:rPr>
                <w:rFonts w:hint="eastAsia"/>
                <w:highlight w:val="none"/>
              </w:rPr>
              <w:t>组  长</w:t>
            </w:r>
          </w:p>
        </w:tc>
        <w:tc>
          <w:tcPr>
            <w:tcW w:w="1035" w:type="dxa"/>
            <w:vAlign w:val="center"/>
          </w:tcPr>
          <w:p w14:paraId="2D2ED6CA">
            <w:pPr>
              <w:pStyle w:val="105"/>
              <w:bidi w:val="0"/>
              <w:rPr>
                <w:rFonts w:hint="eastAsia"/>
                <w:highlight w:val="none"/>
                <w:lang w:val="en-US" w:eastAsia="zh-CN"/>
              </w:rPr>
            </w:pPr>
            <w:r>
              <w:rPr>
                <w:rFonts w:hint="eastAsia"/>
                <w:highlight w:val="none"/>
                <w:lang w:val="en-US" w:eastAsia="zh-CN"/>
              </w:rPr>
              <w:t>程金平</w:t>
            </w:r>
          </w:p>
        </w:tc>
        <w:tc>
          <w:tcPr>
            <w:tcW w:w="1171" w:type="dxa"/>
            <w:vAlign w:val="center"/>
          </w:tcPr>
          <w:p w14:paraId="188AC164">
            <w:pPr>
              <w:pStyle w:val="105"/>
              <w:bidi w:val="0"/>
              <w:rPr>
                <w:rFonts w:hint="eastAsia"/>
                <w:highlight w:val="none"/>
              </w:rPr>
            </w:pPr>
            <w:r>
              <w:rPr>
                <w:rFonts w:hint="eastAsia"/>
                <w:highlight w:val="none"/>
              </w:rPr>
              <w:t>项目经理</w:t>
            </w:r>
          </w:p>
        </w:tc>
        <w:tc>
          <w:tcPr>
            <w:tcW w:w="5765" w:type="dxa"/>
            <w:vAlign w:val="center"/>
          </w:tcPr>
          <w:p w14:paraId="2C486402">
            <w:pPr>
              <w:pStyle w:val="105"/>
              <w:bidi w:val="0"/>
              <w:rPr>
                <w:rFonts w:hint="eastAsia"/>
                <w:highlight w:val="none"/>
              </w:rPr>
            </w:pPr>
            <w:r>
              <w:rPr>
                <w:rFonts w:hint="eastAsia"/>
                <w:highlight w:val="none"/>
              </w:rPr>
              <w:t>安全第一责任人，主要负责进行定期或不定期安全大检查，及时解决安全隐患；组织项目部各部门进行全员安全教育，开展安全生产竞赛，发布安全生产奖惩办法与奖惩决定；主持处理安全事故，提出今后事故预防措施，并督促实施。</w:t>
            </w:r>
          </w:p>
        </w:tc>
      </w:tr>
      <w:tr w14:paraId="04C1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592385A5">
            <w:pPr>
              <w:pStyle w:val="105"/>
              <w:bidi w:val="0"/>
              <w:rPr>
                <w:rFonts w:hint="eastAsia"/>
                <w:highlight w:val="none"/>
              </w:rPr>
            </w:pPr>
            <w:r>
              <w:rPr>
                <w:rFonts w:hint="eastAsia"/>
                <w:highlight w:val="none"/>
              </w:rPr>
              <w:t>副组长</w:t>
            </w:r>
          </w:p>
        </w:tc>
        <w:tc>
          <w:tcPr>
            <w:tcW w:w="1035" w:type="dxa"/>
            <w:vAlign w:val="center"/>
          </w:tcPr>
          <w:p w14:paraId="2CDCAA1D">
            <w:pPr>
              <w:pStyle w:val="105"/>
              <w:bidi w:val="0"/>
              <w:rPr>
                <w:rFonts w:hint="eastAsia"/>
                <w:highlight w:val="none"/>
                <w:lang w:val="en-US" w:eastAsia="zh-CN"/>
              </w:rPr>
            </w:pPr>
            <w:r>
              <w:rPr>
                <w:rFonts w:hint="eastAsia"/>
                <w:highlight w:val="none"/>
                <w:lang w:val="en-US" w:eastAsia="zh-CN"/>
              </w:rPr>
              <w:t>赵凯</w:t>
            </w:r>
          </w:p>
        </w:tc>
        <w:tc>
          <w:tcPr>
            <w:tcW w:w="1171" w:type="dxa"/>
            <w:vAlign w:val="center"/>
          </w:tcPr>
          <w:p w14:paraId="3DD93FB3">
            <w:pPr>
              <w:pStyle w:val="105"/>
              <w:bidi w:val="0"/>
              <w:rPr>
                <w:rFonts w:hint="eastAsia"/>
                <w:highlight w:val="none"/>
              </w:rPr>
            </w:pPr>
            <w:r>
              <w:rPr>
                <w:rFonts w:hint="eastAsia"/>
                <w:highlight w:val="none"/>
              </w:rPr>
              <w:t>项目书记</w:t>
            </w:r>
          </w:p>
        </w:tc>
        <w:tc>
          <w:tcPr>
            <w:tcW w:w="5765" w:type="dxa"/>
            <w:vAlign w:val="center"/>
          </w:tcPr>
          <w:p w14:paraId="767CF32B">
            <w:pPr>
              <w:pStyle w:val="105"/>
              <w:bidi w:val="0"/>
              <w:rPr>
                <w:rFonts w:hint="eastAsia"/>
                <w:highlight w:val="none"/>
              </w:rPr>
            </w:pPr>
            <w:r>
              <w:rPr>
                <w:rFonts w:hint="eastAsia"/>
                <w:highlight w:val="none"/>
              </w:rPr>
              <w:t>安全生产直接责任人，主要负责制定各种安全生产岗位责任制，并检查、督促、执行落实；安排日常安全工作，定期召开安全例会，分析安全情况，找出存在的问题，采取措施，并组织实施；经常深入现场检查设备、工具、生产、安全设施等情况，及时消除隐患。</w:t>
            </w:r>
          </w:p>
        </w:tc>
      </w:tr>
      <w:tr w14:paraId="50E9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761F89BA">
            <w:pPr>
              <w:pStyle w:val="105"/>
              <w:bidi w:val="0"/>
              <w:rPr>
                <w:rFonts w:hint="eastAsia"/>
                <w:highlight w:val="none"/>
              </w:rPr>
            </w:pPr>
          </w:p>
        </w:tc>
        <w:tc>
          <w:tcPr>
            <w:tcW w:w="1035" w:type="dxa"/>
            <w:vAlign w:val="center"/>
          </w:tcPr>
          <w:p w14:paraId="77F756A8">
            <w:pPr>
              <w:pStyle w:val="105"/>
              <w:bidi w:val="0"/>
              <w:rPr>
                <w:rFonts w:hint="eastAsia"/>
                <w:highlight w:val="none"/>
                <w:lang w:val="en-US" w:eastAsia="zh-CN"/>
              </w:rPr>
            </w:pPr>
            <w:r>
              <w:rPr>
                <w:rFonts w:hint="eastAsia"/>
                <w:highlight w:val="none"/>
                <w:lang w:val="en-US" w:eastAsia="zh-CN"/>
              </w:rPr>
              <w:t>刘海</w:t>
            </w:r>
          </w:p>
        </w:tc>
        <w:tc>
          <w:tcPr>
            <w:tcW w:w="1171" w:type="dxa"/>
            <w:vAlign w:val="center"/>
          </w:tcPr>
          <w:p w14:paraId="2F9600DA">
            <w:pPr>
              <w:pStyle w:val="105"/>
              <w:bidi w:val="0"/>
              <w:rPr>
                <w:rFonts w:hint="eastAsia"/>
                <w:highlight w:val="none"/>
              </w:rPr>
            </w:pPr>
            <w:r>
              <w:rPr>
                <w:rFonts w:hint="eastAsia"/>
                <w:highlight w:val="none"/>
              </w:rPr>
              <w:t>项目总工</w:t>
            </w:r>
          </w:p>
        </w:tc>
        <w:tc>
          <w:tcPr>
            <w:tcW w:w="5765" w:type="dxa"/>
            <w:vAlign w:val="center"/>
          </w:tcPr>
          <w:p w14:paraId="1A10AF82">
            <w:pPr>
              <w:pStyle w:val="105"/>
              <w:bidi w:val="0"/>
              <w:rPr>
                <w:rFonts w:hint="eastAsia"/>
                <w:highlight w:val="none"/>
              </w:rPr>
            </w:pPr>
            <w:r>
              <w:rPr>
                <w:rFonts w:hint="eastAsia"/>
                <w:highlight w:val="none"/>
              </w:rPr>
              <w:t>组织编制、审定施工方案，审核技术文件和处理技术问题时，必须贯彻安全生产的原则；指导安全技术教育，组织安全专业技术培训；参加伤亡事故的调查处理，负责作出技术性结论。</w:t>
            </w:r>
          </w:p>
        </w:tc>
      </w:tr>
      <w:tr w14:paraId="1A861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9A88EF">
            <w:pPr>
              <w:pStyle w:val="105"/>
              <w:bidi w:val="0"/>
              <w:rPr>
                <w:rFonts w:hint="eastAsia"/>
                <w:highlight w:val="none"/>
              </w:rPr>
            </w:pPr>
          </w:p>
        </w:tc>
        <w:tc>
          <w:tcPr>
            <w:tcW w:w="1035" w:type="dxa"/>
            <w:vAlign w:val="center"/>
          </w:tcPr>
          <w:p w14:paraId="4EE389BE">
            <w:pPr>
              <w:pStyle w:val="105"/>
              <w:bidi w:val="0"/>
              <w:rPr>
                <w:rFonts w:hint="default"/>
                <w:highlight w:val="none"/>
                <w:lang w:val="en-US" w:eastAsia="zh-CN"/>
              </w:rPr>
            </w:pPr>
            <w:r>
              <w:rPr>
                <w:rFonts w:hint="eastAsia"/>
                <w:highlight w:val="none"/>
                <w:lang w:val="en-US" w:eastAsia="zh-CN"/>
              </w:rPr>
              <w:t>李野</w:t>
            </w:r>
          </w:p>
        </w:tc>
        <w:tc>
          <w:tcPr>
            <w:tcW w:w="1171" w:type="dxa"/>
            <w:vAlign w:val="center"/>
          </w:tcPr>
          <w:p w14:paraId="42315458">
            <w:pPr>
              <w:pStyle w:val="105"/>
              <w:bidi w:val="0"/>
              <w:rPr>
                <w:rFonts w:hint="eastAsia"/>
                <w:highlight w:val="none"/>
              </w:rPr>
            </w:pPr>
            <w:r>
              <w:rPr>
                <w:rFonts w:hint="eastAsia"/>
                <w:highlight w:val="none"/>
              </w:rPr>
              <w:t>副经理</w:t>
            </w:r>
          </w:p>
        </w:tc>
        <w:tc>
          <w:tcPr>
            <w:tcW w:w="5765" w:type="dxa"/>
            <w:vAlign w:val="center"/>
          </w:tcPr>
          <w:p w14:paraId="22275A84">
            <w:pPr>
              <w:pStyle w:val="105"/>
              <w:bidi w:val="0"/>
              <w:rPr>
                <w:rFonts w:hint="eastAsia"/>
                <w:highlight w:val="none"/>
              </w:rPr>
            </w:pPr>
            <w:r>
              <w:rPr>
                <w:rFonts w:hint="eastAsia"/>
                <w:highlight w:val="none"/>
              </w:rPr>
              <w:t>对项目安全生产承担直接责任、执行公司各项安全生产规定，贯彻项目部的安全管理制度；审查施工方案中提出的安全技术保证措施；提出安全生产奖惩意见；事故发生后，组织事故的调查、分析、处理和上报工作；参与事故的调查、处理和整改隐患。</w:t>
            </w:r>
          </w:p>
        </w:tc>
      </w:tr>
      <w:tr w14:paraId="6A7C5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3450C983">
            <w:pPr>
              <w:pStyle w:val="105"/>
              <w:bidi w:val="0"/>
              <w:rPr>
                <w:rFonts w:hint="eastAsia"/>
                <w:highlight w:val="none"/>
              </w:rPr>
            </w:pPr>
            <w:r>
              <w:rPr>
                <w:rFonts w:hint="eastAsia"/>
                <w:highlight w:val="none"/>
              </w:rPr>
              <w:t>组  员</w:t>
            </w:r>
          </w:p>
        </w:tc>
        <w:tc>
          <w:tcPr>
            <w:tcW w:w="1035" w:type="dxa"/>
            <w:vAlign w:val="center"/>
          </w:tcPr>
          <w:p w14:paraId="6BDB42A5">
            <w:pPr>
              <w:pStyle w:val="105"/>
              <w:bidi w:val="0"/>
              <w:rPr>
                <w:rFonts w:hint="eastAsia"/>
                <w:highlight w:val="none"/>
                <w:lang w:val="en-US" w:eastAsia="zh-CN"/>
              </w:rPr>
            </w:pPr>
            <w:r>
              <w:rPr>
                <w:rFonts w:hint="eastAsia"/>
                <w:highlight w:val="none"/>
                <w:lang w:val="en-US" w:eastAsia="zh-CN"/>
              </w:rPr>
              <w:t>岳蛟</w:t>
            </w:r>
          </w:p>
        </w:tc>
        <w:tc>
          <w:tcPr>
            <w:tcW w:w="1171" w:type="dxa"/>
            <w:vAlign w:val="center"/>
          </w:tcPr>
          <w:p w14:paraId="638C7639">
            <w:pPr>
              <w:pStyle w:val="105"/>
              <w:bidi w:val="0"/>
              <w:rPr>
                <w:rFonts w:hint="eastAsia"/>
                <w:highlight w:val="none"/>
              </w:rPr>
            </w:pPr>
            <w:r>
              <w:rPr>
                <w:rFonts w:hint="eastAsia"/>
                <w:highlight w:val="none"/>
              </w:rPr>
              <w:t>质检部部长</w:t>
            </w:r>
          </w:p>
        </w:tc>
        <w:tc>
          <w:tcPr>
            <w:tcW w:w="5765" w:type="dxa"/>
            <w:vAlign w:val="center"/>
          </w:tcPr>
          <w:p w14:paraId="15CFD5DF">
            <w:pPr>
              <w:pStyle w:val="105"/>
              <w:bidi w:val="0"/>
              <w:rPr>
                <w:rFonts w:hint="eastAsia"/>
                <w:highlight w:val="none"/>
              </w:rPr>
            </w:pPr>
            <w:r>
              <w:rPr>
                <w:rFonts w:hint="eastAsia"/>
                <w:highlight w:val="none"/>
              </w:rPr>
              <w:t>经常深入现场，检查、掌握安全生产动态，提出整改意见，制止违章作业，对违反安全的操作，有权责令停工，并立即报告有关领导。参加领导组织的定期和不定期的安全检查，对查出的问题用安全通知书等形式上报下达，限期改进。</w:t>
            </w:r>
          </w:p>
        </w:tc>
      </w:tr>
      <w:tr w14:paraId="6E03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349E0A67">
            <w:pPr>
              <w:pStyle w:val="105"/>
              <w:bidi w:val="0"/>
              <w:rPr>
                <w:rFonts w:hint="eastAsia"/>
                <w:highlight w:val="none"/>
              </w:rPr>
            </w:pPr>
          </w:p>
        </w:tc>
        <w:tc>
          <w:tcPr>
            <w:tcW w:w="1035" w:type="dxa"/>
            <w:vAlign w:val="center"/>
          </w:tcPr>
          <w:p w14:paraId="2A21F3B0">
            <w:pPr>
              <w:pStyle w:val="105"/>
              <w:bidi w:val="0"/>
              <w:rPr>
                <w:rFonts w:hint="eastAsia"/>
                <w:highlight w:val="none"/>
                <w:lang w:val="en-US" w:eastAsia="zh-CN"/>
              </w:rPr>
            </w:pPr>
            <w:r>
              <w:rPr>
                <w:rFonts w:hint="eastAsia"/>
                <w:highlight w:val="none"/>
                <w:lang w:val="en-US" w:eastAsia="zh-CN"/>
              </w:rPr>
              <w:t>陈硕</w:t>
            </w:r>
          </w:p>
        </w:tc>
        <w:tc>
          <w:tcPr>
            <w:tcW w:w="1171" w:type="dxa"/>
            <w:vAlign w:val="center"/>
          </w:tcPr>
          <w:p w14:paraId="252DAD57">
            <w:pPr>
              <w:pStyle w:val="105"/>
              <w:bidi w:val="0"/>
              <w:rPr>
                <w:rFonts w:hint="eastAsia"/>
                <w:highlight w:val="none"/>
              </w:rPr>
            </w:pPr>
            <w:r>
              <w:rPr>
                <w:rFonts w:hint="eastAsia"/>
                <w:highlight w:val="none"/>
              </w:rPr>
              <w:t>安</w:t>
            </w:r>
            <w:r>
              <w:rPr>
                <w:rFonts w:hint="eastAsia"/>
                <w:highlight w:val="none"/>
                <w:lang w:val="en-US" w:eastAsia="zh-CN"/>
              </w:rPr>
              <w:t>监</w:t>
            </w:r>
            <w:r>
              <w:rPr>
                <w:rFonts w:hint="eastAsia"/>
                <w:highlight w:val="none"/>
              </w:rPr>
              <w:t>部部长</w:t>
            </w:r>
          </w:p>
        </w:tc>
        <w:tc>
          <w:tcPr>
            <w:tcW w:w="5765" w:type="dxa"/>
            <w:vAlign w:val="center"/>
          </w:tcPr>
          <w:p w14:paraId="0F106E2D">
            <w:pPr>
              <w:pStyle w:val="105"/>
              <w:bidi w:val="0"/>
              <w:rPr>
                <w:rFonts w:hint="eastAsia"/>
                <w:highlight w:val="none"/>
              </w:rPr>
            </w:pPr>
            <w:r>
              <w:rPr>
                <w:rFonts w:hint="eastAsia"/>
                <w:highlight w:val="none"/>
              </w:rPr>
              <w:t>认真贯彻执行施工组织设计和技术交底中的安全措施；在施工现场随班盯岗，随时注意检查工人操作、工作环境、生产机具等安全情况和防护用品的正确使用情况；必须坚持特殊工种工人持证操作。</w:t>
            </w:r>
          </w:p>
        </w:tc>
      </w:tr>
      <w:tr w14:paraId="23DE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085BCC6">
            <w:pPr>
              <w:pStyle w:val="105"/>
              <w:bidi w:val="0"/>
              <w:rPr>
                <w:rFonts w:hint="eastAsia"/>
                <w:highlight w:val="none"/>
              </w:rPr>
            </w:pPr>
          </w:p>
        </w:tc>
        <w:tc>
          <w:tcPr>
            <w:tcW w:w="1035" w:type="dxa"/>
            <w:vAlign w:val="center"/>
          </w:tcPr>
          <w:p w14:paraId="76AF63B8">
            <w:pPr>
              <w:pStyle w:val="105"/>
              <w:bidi w:val="0"/>
              <w:rPr>
                <w:rFonts w:hint="eastAsia"/>
                <w:highlight w:val="none"/>
                <w:lang w:val="en-US" w:eastAsia="zh-CN"/>
              </w:rPr>
            </w:pPr>
            <w:r>
              <w:rPr>
                <w:rFonts w:hint="eastAsia"/>
                <w:highlight w:val="none"/>
                <w:lang w:val="en-US" w:eastAsia="zh-CN"/>
              </w:rPr>
              <w:t>丁阳</w:t>
            </w:r>
          </w:p>
        </w:tc>
        <w:tc>
          <w:tcPr>
            <w:tcW w:w="1171" w:type="dxa"/>
            <w:vAlign w:val="center"/>
          </w:tcPr>
          <w:p w14:paraId="364B9618">
            <w:pPr>
              <w:pStyle w:val="105"/>
              <w:bidi w:val="0"/>
              <w:rPr>
                <w:rFonts w:hint="eastAsia"/>
                <w:highlight w:val="none"/>
              </w:rPr>
            </w:pPr>
            <w:r>
              <w:rPr>
                <w:rFonts w:hint="eastAsia"/>
                <w:highlight w:val="none"/>
              </w:rPr>
              <w:t>设备部部长</w:t>
            </w:r>
          </w:p>
        </w:tc>
        <w:tc>
          <w:tcPr>
            <w:tcW w:w="5765" w:type="dxa"/>
            <w:vAlign w:val="center"/>
          </w:tcPr>
          <w:p w14:paraId="3CF326B6">
            <w:pPr>
              <w:pStyle w:val="105"/>
              <w:bidi w:val="0"/>
              <w:rPr>
                <w:rFonts w:hint="eastAsia"/>
                <w:highlight w:val="none"/>
              </w:rPr>
            </w:pPr>
            <w:r>
              <w:rPr>
                <w:rFonts w:hint="eastAsia"/>
                <w:highlight w:val="none"/>
              </w:rPr>
              <w:t>认真落实公司及项目部关于设备管理的规章制度。加强设备的科学管理，确保设备使用安全，对违反设备操作规程及时提出处理意见。</w:t>
            </w:r>
          </w:p>
          <w:p w14:paraId="0779544E">
            <w:pPr>
              <w:pStyle w:val="105"/>
              <w:bidi w:val="0"/>
              <w:rPr>
                <w:rFonts w:hint="eastAsia"/>
                <w:highlight w:val="none"/>
              </w:rPr>
            </w:pPr>
            <w:r>
              <w:rPr>
                <w:rFonts w:hint="eastAsia"/>
                <w:highlight w:val="none"/>
              </w:rPr>
              <w:t>负责对设备安全事故提出分析和处理意见。</w:t>
            </w:r>
          </w:p>
        </w:tc>
      </w:tr>
      <w:tr w14:paraId="06225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7DBA245">
            <w:pPr>
              <w:pStyle w:val="105"/>
              <w:bidi w:val="0"/>
              <w:rPr>
                <w:rFonts w:hint="eastAsia"/>
                <w:highlight w:val="none"/>
              </w:rPr>
            </w:pPr>
          </w:p>
        </w:tc>
        <w:tc>
          <w:tcPr>
            <w:tcW w:w="1035" w:type="dxa"/>
            <w:vAlign w:val="center"/>
          </w:tcPr>
          <w:p w14:paraId="289F6C02">
            <w:pPr>
              <w:pStyle w:val="105"/>
              <w:bidi w:val="0"/>
              <w:rPr>
                <w:rFonts w:hint="eastAsia"/>
                <w:highlight w:val="none"/>
                <w:lang w:eastAsia="zh-CN"/>
              </w:rPr>
            </w:pPr>
            <w:r>
              <w:rPr>
                <w:rFonts w:hint="eastAsia"/>
                <w:highlight w:val="none"/>
                <w:lang w:val="en-US" w:eastAsia="zh-CN"/>
              </w:rPr>
              <w:t>桂海波</w:t>
            </w:r>
          </w:p>
        </w:tc>
        <w:tc>
          <w:tcPr>
            <w:tcW w:w="1171" w:type="dxa"/>
            <w:vAlign w:val="center"/>
          </w:tcPr>
          <w:p w14:paraId="6635E7A2">
            <w:pPr>
              <w:pStyle w:val="105"/>
              <w:bidi w:val="0"/>
              <w:rPr>
                <w:rFonts w:hint="eastAsia"/>
                <w:highlight w:val="none"/>
              </w:rPr>
            </w:pPr>
            <w:r>
              <w:rPr>
                <w:rFonts w:hint="eastAsia"/>
                <w:highlight w:val="none"/>
              </w:rPr>
              <w:t>工程部部长</w:t>
            </w:r>
          </w:p>
        </w:tc>
        <w:tc>
          <w:tcPr>
            <w:tcW w:w="5765" w:type="dxa"/>
            <w:vAlign w:val="center"/>
          </w:tcPr>
          <w:p w14:paraId="6E2257C6">
            <w:pPr>
              <w:pStyle w:val="105"/>
              <w:bidi w:val="0"/>
              <w:rPr>
                <w:rFonts w:hint="eastAsia"/>
                <w:highlight w:val="none"/>
              </w:rPr>
            </w:pPr>
            <w:r>
              <w:rPr>
                <w:rFonts w:hint="eastAsia"/>
                <w:highlight w:val="none"/>
              </w:rPr>
              <w:t>以身作则并教育职工严格遵守劳动纪律，严格执行安全技术操作规程；坚持工间检查制度和交接班制度；合理安排劳力，根据工人的身体、年龄、技术、熟练程度和其他特点分配工作，以防事故的发生；发生事故，要立即组织抢救和报告，并保护现场，参加事故调查分析</w:t>
            </w:r>
          </w:p>
        </w:tc>
      </w:tr>
    </w:tbl>
    <w:p w14:paraId="1E7E2513">
      <w:pPr>
        <w:pStyle w:val="3"/>
        <w:bidi w:val="0"/>
        <w:ind w:left="575" w:leftChars="0" w:hanging="575" w:firstLineChars="0"/>
      </w:pPr>
      <w:bookmarkStart w:id="266" w:name="_Toc42642306"/>
      <w:bookmarkStart w:id="267" w:name="_Toc24708"/>
      <w:bookmarkStart w:id="268" w:name="_Toc20981"/>
      <w:r>
        <w:rPr>
          <w:rFonts w:hint="eastAsia"/>
        </w:rPr>
        <w:t xml:space="preserve"> </w:t>
      </w:r>
      <w:bookmarkStart w:id="269" w:name="_Toc11915"/>
      <w:r>
        <w:rPr>
          <w:rFonts w:hint="eastAsia"/>
        </w:rPr>
        <w:t>监管措施</w:t>
      </w:r>
      <w:bookmarkEnd w:id="266"/>
      <w:bookmarkEnd w:id="267"/>
      <w:bookmarkEnd w:id="268"/>
      <w:bookmarkEnd w:id="269"/>
    </w:p>
    <w:p w14:paraId="05A29CDA">
      <w:pPr>
        <w:bidi w:val="0"/>
        <w:ind w:firstLine="480" w:firstLineChars="200"/>
        <w:rPr>
          <w:highlight w:val="none"/>
        </w:rPr>
      </w:pPr>
      <w:r>
        <w:rPr>
          <w:rFonts w:hint="eastAsia"/>
          <w:highlight w:val="none"/>
        </w:rPr>
        <w:t>为落实塔式起重机安装安全管理工作，项目部采取以下监控措施：</w:t>
      </w:r>
    </w:p>
    <w:p w14:paraId="2A94EE1C">
      <w:pPr>
        <w:bidi w:val="0"/>
        <w:rPr>
          <w:highlight w:val="none"/>
        </w:rPr>
      </w:pPr>
      <w:r>
        <w:rPr>
          <w:rFonts w:hint="eastAsia"/>
          <w:highlight w:val="none"/>
        </w:rPr>
        <w:t>1）现场安全、技术管理人员必须参与作业施工方案的编制，熟悉方案。</w:t>
      </w:r>
    </w:p>
    <w:p w14:paraId="564F60AD">
      <w:pPr>
        <w:bidi w:val="0"/>
        <w:rPr>
          <w:highlight w:val="none"/>
        </w:rPr>
      </w:pPr>
      <w:r>
        <w:rPr>
          <w:rFonts w:hint="eastAsia"/>
          <w:highlight w:val="none"/>
        </w:rPr>
        <w:t>2）安装作业时必须按施工组织设备要求配置相关人员。</w:t>
      </w:r>
    </w:p>
    <w:p w14:paraId="5196A7CB">
      <w:pPr>
        <w:bidi w:val="0"/>
        <w:rPr>
          <w:highlight w:val="none"/>
        </w:rPr>
      </w:pPr>
      <w:r>
        <w:rPr>
          <w:rFonts w:hint="eastAsia"/>
          <w:highlight w:val="none"/>
        </w:rPr>
        <w:t>现场安全员监督操作人员是否按施工方案几安全操作规程进行操作，并督促操作人员按规定正确使用安全防护用品。</w:t>
      </w:r>
    </w:p>
    <w:p w14:paraId="10BC1752">
      <w:pPr>
        <w:bidi w:val="0"/>
        <w:rPr>
          <w:highlight w:val="none"/>
        </w:rPr>
      </w:pPr>
      <w:r>
        <w:rPr>
          <w:rFonts w:hint="eastAsia"/>
          <w:highlight w:val="none"/>
        </w:rPr>
        <w:t>3）专职安全人员对操作人员的操作实施全程监控，发现不良行为及时制</w:t>
      </w:r>
    </w:p>
    <w:p w14:paraId="542ECC19">
      <w:pPr>
        <w:bidi w:val="0"/>
        <w:rPr>
          <w:highlight w:val="none"/>
        </w:rPr>
      </w:pPr>
      <w:r>
        <w:rPr>
          <w:rFonts w:hint="eastAsia"/>
          <w:highlight w:val="none"/>
        </w:rPr>
        <w:t>止纠正。</w:t>
      </w:r>
    </w:p>
    <w:p w14:paraId="01EE2E65">
      <w:pPr>
        <w:bidi w:val="0"/>
        <w:rPr>
          <w:highlight w:val="none"/>
        </w:rPr>
      </w:pPr>
      <w:r>
        <w:rPr>
          <w:rFonts w:hint="eastAsia"/>
          <w:highlight w:val="none"/>
        </w:rPr>
        <w:t>4）现场管理人员必须留存影像、图片、纸质资料并建立每日汇报机制。</w:t>
      </w:r>
    </w:p>
    <w:p w14:paraId="6AEB3A89">
      <w:pPr>
        <w:bidi w:val="0"/>
        <w:rPr>
          <w:highlight w:val="none"/>
        </w:rPr>
      </w:pPr>
      <w:r>
        <w:rPr>
          <w:rFonts w:hint="eastAsia"/>
          <w:highlight w:val="none"/>
        </w:rPr>
        <w:t>5）带班领导随机抽查现场落实情况。</w:t>
      </w:r>
    </w:p>
    <w:p w14:paraId="40C2177A">
      <w:pPr>
        <w:bidi w:val="0"/>
        <w:rPr>
          <w:highlight w:val="none"/>
        </w:rPr>
      </w:pPr>
      <w:r>
        <w:rPr>
          <w:rFonts w:hint="eastAsia"/>
          <w:highlight w:val="none"/>
        </w:rPr>
        <w:t>6）每项工作完成后必须进行验收后方可开展下道工序。</w:t>
      </w:r>
    </w:p>
    <w:p w14:paraId="27A3C973">
      <w:pPr>
        <w:pStyle w:val="3"/>
        <w:bidi w:val="0"/>
        <w:ind w:left="575" w:leftChars="0" w:hanging="575" w:firstLineChars="0"/>
      </w:pPr>
      <w:bookmarkStart w:id="270" w:name="_Toc17055"/>
      <w:bookmarkStart w:id="271" w:name="_Toc20307"/>
      <w:bookmarkStart w:id="272" w:name="_Toc42642307"/>
      <w:r>
        <w:rPr>
          <w:rFonts w:hint="eastAsia"/>
        </w:rPr>
        <w:t xml:space="preserve"> </w:t>
      </w:r>
      <w:bookmarkStart w:id="273" w:name="_Toc22112"/>
      <w:r>
        <w:rPr>
          <w:rFonts w:hint="eastAsia"/>
        </w:rPr>
        <w:t>施工安全技术控制措施</w:t>
      </w:r>
      <w:bookmarkEnd w:id="270"/>
      <w:bookmarkEnd w:id="271"/>
      <w:bookmarkEnd w:id="272"/>
      <w:bookmarkEnd w:id="273"/>
    </w:p>
    <w:p w14:paraId="3D492511">
      <w:pPr>
        <w:pStyle w:val="4"/>
        <w:bidi w:val="0"/>
        <w:ind w:left="720" w:leftChars="0" w:hanging="720" w:firstLineChars="0"/>
        <w:rPr>
          <w:rFonts w:hint="default"/>
          <w:lang w:val="en-US" w:eastAsia="zh-CN"/>
        </w:rPr>
      </w:pPr>
      <w:bookmarkStart w:id="274" w:name="_Toc23080"/>
      <w:bookmarkStart w:id="275" w:name="_Toc17617"/>
      <w:r>
        <w:rPr>
          <w:rFonts w:hint="default"/>
          <w:lang w:val="en-US" w:eastAsia="zh-CN"/>
        </w:rPr>
        <w:t>安装</w:t>
      </w:r>
      <w:r>
        <w:rPr>
          <w:rFonts w:hint="eastAsia"/>
          <w:lang w:val="en-US" w:eastAsia="zh-CN"/>
        </w:rPr>
        <w:t>安全</w:t>
      </w:r>
      <w:r>
        <w:rPr>
          <w:rFonts w:hint="eastAsia"/>
        </w:rPr>
        <w:t>技术</w:t>
      </w:r>
      <w:r>
        <w:rPr>
          <w:rFonts w:hint="eastAsia"/>
          <w:lang w:val="en-US" w:eastAsia="zh-CN"/>
        </w:rPr>
        <w:t>管控措施</w:t>
      </w:r>
      <w:bookmarkEnd w:id="274"/>
      <w:bookmarkEnd w:id="275"/>
    </w:p>
    <w:p w14:paraId="10F0BC99">
      <w:pPr>
        <w:bidi w:val="0"/>
        <w:rPr>
          <w:rFonts w:hint="default"/>
          <w:highlight w:val="none"/>
          <w:lang w:val="en-US" w:eastAsia="zh-CN"/>
        </w:rPr>
      </w:pPr>
      <w:r>
        <w:rPr>
          <w:rFonts w:hint="default"/>
          <w:highlight w:val="none"/>
          <w:lang w:val="en-US" w:eastAsia="zh-CN"/>
        </w:rPr>
        <w:t>（1）必须佩戴安全帽，上高人员必须穿防滑鞋，危险部位作业必须系好安全带。</w:t>
      </w:r>
    </w:p>
    <w:p w14:paraId="41A61162">
      <w:pPr>
        <w:bidi w:val="0"/>
        <w:rPr>
          <w:rFonts w:hint="default"/>
          <w:highlight w:val="none"/>
          <w:lang w:val="en-US" w:eastAsia="zh-CN"/>
        </w:rPr>
      </w:pPr>
      <w:r>
        <w:rPr>
          <w:rFonts w:hint="default"/>
          <w:highlight w:val="none"/>
          <w:lang w:val="en-US" w:eastAsia="zh-CN"/>
        </w:rPr>
        <w:t>（2）作业吊车必须严格遵守安全操作规程。</w:t>
      </w:r>
    </w:p>
    <w:p w14:paraId="72AF5483">
      <w:pPr>
        <w:bidi w:val="0"/>
        <w:rPr>
          <w:rFonts w:hint="default"/>
          <w:highlight w:val="none"/>
          <w:lang w:val="en-US" w:eastAsia="zh-CN"/>
        </w:rPr>
      </w:pPr>
      <w:r>
        <w:rPr>
          <w:rFonts w:hint="default"/>
          <w:highlight w:val="none"/>
          <w:lang w:val="en-US" w:eastAsia="zh-CN"/>
        </w:rPr>
        <w:t>（3）工作期间一律禁止饮酒。</w:t>
      </w:r>
    </w:p>
    <w:p w14:paraId="44BC8B7E">
      <w:pPr>
        <w:bidi w:val="0"/>
        <w:rPr>
          <w:rFonts w:hint="default"/>
          <w:highlight w:val="none"/>
          <w:lang w:val="en-US" w:eastAsia="zh-CN"/>
        </w:rPr>
      </w:pPr>
      <w:r>
        <w:rPr>
          <w:rFonts w:hint="default"/>
          <w:highlight w:val="none"/>
          <w:lang w:val="en-US" w:eastAsia="zh-CN"/>
        </w:rPr>
        <w:t>（4）集中精力，不得随意开玩笑和打闹。</w:t>
      </w:r>
    </w:p>
    <w:p w14:paraId="2CFB3A12">
      <w:pPr>
        <w:bidi w:val="0"/>
        <w:rPr>
          <w:rFonts w:hint="default"/>
          <w:highlight w:val="none"/>
          <w:lang w:val="en-US" w:eastAsia="zh-CN"/>
        </w:rPr>
      </w:pPr>
      <w:r>
        <w:rPr>
          <w:rFonts w:hint="default"/>
          <w:highlight w:val="none"/>
          <w:lang w:val="en-US" w:eastAsia="zh-CN"/>
        </w:rPr>
        <w:t>（5）交叉作业时，要注意工具和零部件放置位置必须安全可靠，防止坠落伤人。</w:t>
      </w:r>
    </w:p>
    <w:p w14:paraId="014C83F0">
      <w:pPr>
        <w:bidi w:val="0"/>
        <w:rPr>
          <w:rFonts w:hint="default"/>
          <w:highlight w:val="none"/>
          <w:lang w:val="en-US" w:eastAsia="zh-CN"/>
        </w:rPr>
      </w:pPr>
      <w:r>
        <w:rPr>
          <w:rFonts w:hint="default"/>
          <w:highlight w:val="none"/>
          <w:lang w:val="en-US" w:eastAsia="zh-CN"/>
        </w:rPr>
        <w:t>（6）指挥人员应熟悉吊车起重性能、吊物的起重量以及构件安装部位。</w:t>
      </w:r>
    </w:p>
    <w:p w14:paraId="6EB2A446">
      <w:pPr>
        <w:bidi w:val="0"/>
        <w:rPr>
          <w:rFonts w:hint="default"/>
          <w:highlight w:val="none"/>
          <w:lang w:val="en-US" w:eastAsia="zh-CN"/>
        </w:rPr>
      </w:pPr>
      <w:r>
        <w:rPr>
          <w:rFonts w:hint="default"/>
          <w:highlight w:val="none"/>
          <w:lang w:val="en-US" w:eastAsia="zh-CN"/>
        </w:rPr>
        <w:t>（7）规定品起重高度超过两米要系拖拉绳。</w:t>
      </w:r>
    </w:p>
    <w:p w14:paraId="294983AE">
      <w:pPr>
        <w:bidi w:val="0"/>
        <w:rPr>
          <w:rFonts w:hint="default"/>
          <w:highlight w:val="none"/>
          <w:lang w:val="en-US" w:eastAsia="zh-CN"/>
        </w:rPr>
      </w:pPr>
      <w:r>
        <w:rPr>
          <w:rFonts w:hint="default"/>
          <w:highlight w:val="none"/>
          <w:lang w:val="en-US" w:eastAsia="zh-CN"/>
        </w:rPr>
        <w:t>（8）钢丝绳必须符合安全规定，所吊构件重心必须准确，符合说明书的要求。</w:t>
      </w:r>
    </w:p>
    <w:p w14:paraId="2262592A">
      <w:pPr>
        <w:bidi w:val="0"/>
        <w:rPr>
          <w:rFonts w:hint="default"/>
          <w:highlight w:val="none"/>
          <w:lang w:val="en-US" w:eastAsia="zh-CN"/>
        </w:rPr>
      </w:pPr>
      <w:r>
        <w:rPr>
          <w:rFonts w:hint="default"/>
          <w:highlight w:val="none"/>
          <w:lang w:val="en-US" w:eastAsia="zh-CN"/>
        </w:rPr>
        <w:t>（9）总成件及附属装置必须按规定上足所有的螺栓及销，确保使用的安全性。</w:t>
      </w:r>
    </w:p>
    <w:p w14:paraId="1228DD29">
      <w:pPr>
        <w:bidi w:val="0"/>
        <w:rPr>
          <w:rFonts w:hint="default"/>
          <w:highlight w:val="none"/>
          <w:lang w:val="en-US" w:eastAsia="zh-CN"/>
        </w:rPr>
      </w:pPr>
      <w:r>
        <w:rPr>
          <w:rFonts w:hint="default"/>
          <w:highlight w:val="none"/>
          <w:lang w:val="en-US" w:eastAsia="zh-CN"/>
        </w:rPr>
        <w:t>（10）有的裸体电线必须停电，专人守护。</w:t>
      </w:r>
    </w:p>
    <w:p w14:paraId="13E9D545">
      <w:pPr>
        <w:bidi w:val="0"/>
        <w:rPr>
          <w:rFonts w:hint="default"/>
          <w:highlight w:val="none"/>
          <w:lang w:val="en-US" w:eastAsia="zh-CN"/>
        </w:rPr>
      </w:pPr>
      <w:r>
        <w:rPr>
          <w:rFonts w:hint="default"/>
          <w:highlight w:val="none"/>
          <w:lang w:val="en-US" w:eastAsia="zh-CN"/>
        </w:rPr>
        <w:t>（11）雪、大雾、大风（风速达m/s）等天气禁止拆装</w:t>
      </w:r>
      <w:r>
        <w:rPr>
          <w:rFonts w:hint="eastAsia"/>
          <w:highlight w:val="none"/>
          <w:lang w:val="en-US" w:eastAsia="zh-CN"/>
        </w:rPr>
        <w:t>塔机</w:t>
      </w:r>
      <w:r>
        <w:rPr>
          <w:rFonts w:hint="default"/>
          <w:highlight w:val="none"/>
          <w:lang w:val="en-US" w:eastAsia="zh-CN"/>
        </w:rPr>
        <w:t>。</w:t>
      </w:r>
    </w:p>
    <w:p w14:paraId="67B7533E">
      <w:pPr>
        <w:bidi w:val="0"/>
        <w:rPr>
          <w:rFonts w:hint="default"/>
          <w:highlight w:val="none"/>
          <w:lang w:val="en-US" w:eastAsia="zh-CN"/>
        </w:rPr>
      </w:pPr>
      <w:r>
        <w:rPr>
          <w:rFonts w:hint="default"/>
          <w:highlight w:val="none"/>
          <w:lang w:val="en-US" w:eastAsia="zh-CN"/>
        </w:rPr>
        <w:t>（12）必须有足够的照明灯光。</w:t>
      </w:r>
    </w:p>
    <w:p w14:paraId="2C9C4FD8">
      <w:pPr>
        <w:bidi w:val="0"/>
        <w:rPr>
          <w:rFonts w:hint="default"/>
          <w:highlight w:val="none"/>
          <w:lang w:val="en-US" w:eastAsia="zh-CN"/>
        </w:rPr>
      </w:pPr>
      <w:r>
        <w:rPr>
          <w:rFonts w:hint="default"/>
          <w:highlight w:val="none"/>
          <w:lang w:val="en-US" w:eastAsia="zh-CN"/>
        </w:rPr>
        <w:t>（13）应禁止闲杂人员的进出，临街作业时，要采取临时保护措施。</w:t>
      </w:r>
    </w:p>
    <w:p w14:paraId="2B902131">
      <w:pPr>
        <w:pStyle w:val="4"/>
        <w:bidi w:val="0"/>
        <w:ind w:left="720" w:leftChars="0" w:hanging="720" w:firstLineChars="0"/>
        <w:rPr>
          <w:rFonts w:hint="default"/>
          <w:lang w:val="en-US" w:eastAsia="zh-CN"/>
        </w:rPr>
      </w:pPr>
      <w:bookmarkStart w:id="276" w:name="_Toc3128"/>
      <w:bookmarkStart w:id="277" w:name="_Toc24437"/>
      <w:r>
        <w:rPr>
          <w:rFonts w:hint="default"/>
          <w:lang w:val="en-US" w:eastAsia="zh-CN"/>
        </w:rPr>
        <w:t>顶升</w:t>
      </w:r>
      <w:r>
        <w:rPr>
          <w:rFonts w:hint="eastAsia"/>
          <w:lang w:val="en-US" w:eastAsia="zh-CN"/>
        </w:rPr>
        <w:t>过程安全</w:t>
      </w:r>
      <w:r>
        <w:rPr>
          <w:rFonts w:hint="eastAsia"/>
        </w:rPr>
        <w:t>技术</w:t>
      </w:r>
      <w:r>
        <w:rPr>
          <w:rFonts w:hint="eastAsia"/>
          <w:lang w:val="en-US" w:eastAsia="zh-CN"/>
        </w:rPr>
        <w:t>管控措施</w:t>
      </w:r>
      <w:bookmarkEnd w:id="276"/>
      <w:bookmarkEnd w:id="277"/>
    </w:p>
    <w:p w14:paraId="26B11E2C">
      <w:pPr>
        <w:rPr>
          <w:rFonts w:hint="default"/>
          <w:highlight w:val="none"/>
          <w:lang w:val="en-US" w:eastAsia="zh-CN"/>
        </w:rPr>
      </w:pPr>
      <w:r>
        <w:rPr>
          <w:rFonts w:hint="default"/>
          <w:highlight w:val="none"/>
          <w:lang w:val="en-US" w:eastAsia="zh-CN"/>
        </w:rPr>
        <w:t>（1）</w:t>
      </w:r>
      <w:r>
        <w:rPr>
          <w:rFonts w:hint="eastAsia"/>
          <w:highlight w:val="none"/>
          <w:lang w:val="en-US" w:eastAsia="zh-CN"/>
        </w:rPr>
        <w:t>风力大于</w:t>
      </w:r>
      <w:r>
        <w:rPr>
          <w:rFonts w:hint="default"/>
          <w:highlight w:val="none"/>
          <w:lang w:val="en-US" w:eastAsia="zh-CN"/>
        </w:rPr>
        <w:t>于四级禁止顶升。</w:t>
      </w:r>
    </w:p>
    <w:p w14:paraId="7F39712A">
      <w:pPr>
        <w:rPr>
          <w:rFonts w:hint="default"/>
          <w:highlight w:val="none"/>
          <w:lang w:val="en-US" w:eastAsia="zh-CN"/>
        </w:rPr>
      </w:pPr>
      <w:r>
        <w:rPr>
          <w:rFonts w:hint="default"/>
          <w:highlight w:val="none"/>
          <w:lang w:val="en-US" w:eastAsia="zh-CN"/>
        </w:rPr>
        <w:t>（2）作业人员均要持有效证件上岗。</w:t>
      </w:r>
    </w:p>
    <w:p w14:paraId="79879815">
      <w:pPr>
        <w:rPr>
          <w:rFonts w:hint="default"/>
          <w:highlight w:val="none"/>
          <w:lang w:val="en-US" w:eastAsia="zh-CN"/>
        </w:rPr>
      </w:pPr>
      <w:r>
        <w:rPr>
          <w:rFonts w:hint="default"/>
          <w:highlight w:val="none"/>
          <w:lang w:val="en-US" w:eastAsia="zh-CN"/>
        </w:rPr>
        <w:t>（3）遵守安全操作规程及说明书规定的工艺和技术交底进行。</w:t>
      </w:r>
    </w:p>
    <w:p w14:paraId="15D9D9AC">
      <w:pPr>
        <w:rPr>
          <w:rFonts w:hint="default"/>
          <w:highlight w:val="none"/>
          <w:lang w:val="en-US" w:eastAsia="zh-CN"/>
        </w:rPr>
      </w:pPr>
      <w:r>
        <w:rPr>
          <w:rFonts w:hint="default"/>
          <w:highlight w:val="none"/>
          <w:lang w:val="en-US" w:eastAsia="zh-CN"/>
        </w:rPr>
        <w:t>（4）作业人员必须戴安全帽，着防滑鞋，必要时系安全带。</w:t>
      </w:r>
    </w:p>
    <w:p w14:paraId="11112B65">
      <w:pPr>
        <w:rPr>
          <w:rFonts w:hint="default"/>
          <w:highlight w:val="none"/>
          <w:lang w:val="en-US" w:eastAsia="zh-CN"/>
        </w:rPr>
      </w:pPr>
      <w:r>
        <w:rPr>
          <w:rFonts w:hint="default"/>
          <w:highlight w:val="none"/>
          <w:lang w:val="en-US" w:eastAsia="zh-CN"/>
        </w:rPr>
        <w:t>（5）使用的工具及螺栓应放在安全可靠的位置，防止坠落伤人。</w:t>
      </w:r>
    </w:p>
    <w:p w14:paraId="202BE2BF">
      <w:pPr>
        <w:pStyle w:val="5"/>
        <w:bidi w:val="0"/>
        <w:ind w:left="864" w:leftChars="0" w:hanging="864" w:firstLineChars="0"/>
        <w:rPr>
          <w:rFonts w:hint="default"/>
          <w:lang w:val="en-US" w:eastAsia="zh-CN"/>
        </w:rPr>
      </w:pPr>
      <w:r>
        <w:rPr>
          <w:rFonts w:hint="default"/>
          <w:lang w:val="en-US" w:eastAsia="zh-CN"/>
        </w:rPr>
        <w:t>顶升过程中</w:t>
      </w:r>
      <w:r>
        <w:rPr>
          <w:rFonts w:hint="eastAsia"/>
          <w:lang w:val="en-US" w:eastAsia="zh-CN"/>
        </w:rPr>
        <w:t>安全</w:t>
      </w:r>
      <w:r>
        <w:rPr>
          <w:rFonts w:hint="eastAsia"/>
        </w:rPr>
        <w:t>技术</w:t>
      </w:r>
      <w:r>
        <w:rPr>
          <w:rFonts w:hint="eastAsia"/>
          <w:lang w:val="en-US" w:eastAsia="zh-CN"/>
        </w:rPr>
        <w:t>管控措施</w:t>
      </w:r>
    </w:p>
    <w:p w14:paraId="6471D804">
      <w:pPr>
        <w:rPr>
          <w:rFonts w:hint="default"/>
          <w:highlight w:val="none"/>
          <w:lang w:val="en-US" w:eastAsia="zh-CN"/>
        </w:rPr>
      </w:pPr>
      <w:r>
        <w:rPr>
          <w:rFonts w:hint="eastAsia"/>
          <w:highlight w:val="none"/>
          <w:lang w:val="en-US" w:eastAsia="zh-CN"/>
        </w:rPr>
        <w:t>（1）</w:t>
      </w:r>
      <w:r>
        <w:rPr>
          <w:rFonts w:hint="default"/>
          <w:highlight w:val="none"/>
          <w:lang w:val="en-US" w:eastAsia="zh-CN"/>
        </w:rPr>
        <w:t>运动前，必须检查顶升横梁是否处在正确位置，顶升上部是否处于平衡位置，否则应加以调整，使塔身前后两边平衡。调整方法：调整小车的位置，使得</w:t>
      </w:r>
      <w:r>
        <w:rPr>
          <w:rFonts w:hint="eastAsia"/>
          <w:highlight w:val="none"/>
          <w:lang w:val="en-US" w:eastAsia="zh-CN"/>
        </w:rPr>
        <w:t>塔机</w:t>
      </w:r>
      <w:r>
        <w:rPr>
          <w:rFonts w:hint="default"/>
          <w:highlight w:val="none"/>
          <w:lang w:val="en-US" w:eastAsia="zh-CN"/>
        </w:rPr>
        <w:t>的上部重心落在顶升横梁的位置上，实际操作中，观察到爬升架上四角导向轮基本上与塔身标准节弦杆脱开时，即为理想位置）。</w:t>
      </w:r>
    </w:p>
    <w:p w14:paraId="78854261">
      <w:pPr>
        <w:rPr>
          <w:rFonts w:hint="default"/>
          <w:highlight w:val="none"/>
          <w:lang w:val="en-US" w:eastAsia="zh-CN"/>
        </w:rPr>
      </w:pPr>
      <w:r>
        <w:rPr>
          <w:rFonts w:hint="eastAsia"/>
          <w:highlight w:val="none"/>
          <w:lang w:val="en-US" w:eastAsia="zh-CN"/>
        </w:rPr>
        <w:t>（2）</w:t>
      </w:r>
      <w:r>
        <w:rPr>
          <w:rFonts w:hint="default"/>
          <w:highlight w:val="none"/>
          <w:lang w:val="en-US" w:eastAsia="zh-CN"/>
        </w:rPr>
        <w:t>操作中，吊臂不能旋转，油缸始终处于规定压力。</w:t>
      </w:r>
    </w:p>
    <w:p w14:paraId="649B1EC5">
      <w:pPr>
        <w:rPr>
          <w:rFonts w:hint="default"/>
          <w:highlight w:val="none"/>
          <w:lang w:val="en-US" w:eastAsia="zh-CN"/>
        </w:rPr>
      </w:pPr>
      <w:r>
        <w:rPr>
          <w:rFonts w:hint="eastAsia"/>
          <w:highlight w:val="none"/>
          <w:lang w:val="en-US" w:eastAsia="zh-CN"/>
        </w:rPr>
        <w:t>（3）</w:t>
      </w:r>
      <w:r>
        <w:rPr>
          <w:rFonts w:hint="default"/>
          <w:highlight w:val="none"/>
          <w:lang w:val="en-US" w:eastAsia="zh-CN"/>
        </w:rPr>
        <w:t>允许单独动作，严禁爬升与其它动作同时进行。</w:t>
      </w:r>
    </w:p>
    <w:p w14:paraId="66CD2B4E">
      <w:pPr>
        <w:rPr>
          <w:rFonts w:hint="default"/>
          <w:highlight w:val="none"/>
          <w:lang w:val="en-US" w:eastAsia="zh-CN"/>
        </w:rPr>
      </w:pPr>
      <w:r>
        <w:rPr>
          <w:rFonts w:hint="eastAsia"/>
          <w:highlight w:val="none"/>
          <w:lang w:val="en-US" w:eastAsia="zh-CN"/>
        </w:rPr>
        <w:t>（4）</w:t>
      </w:r>
      <w:r>
        <w:rPr>
          <w:rFonts w:hint="default"/>
          <w:highlight w:val="none"/>
          <w:lang w:val="en-US" w:eastAsia="zh-CN"/>
        </w:rPr>
        <w:t>升套与塔身标准节脱离后，禁止起吊重物。</w:t>
      </w:r>
    </w:p>
    <w:p w14:paraId="08AA370C">
      <w:pPr>
        <w:rPr>
          <w:rFonts w:hint="default"/>
          <w:highlight w:val="none"/>
          <w:lang w:val="en-US" w:eastAsia="zh-CN"/>
        </w:rPr>
      </w:pPr>
      <w:r>
        <w:rPr>
          <w:rFonts w:hint="eastAsia"/>
          <w:highlight w:val="none"/>
          <w:lang w:val="en-US" w:eastAsia="zh-CN"/>
        </w:rPr>
        <w:t>（5）</w:t>
      </w:r>
      <w:r>
        <w:rPr>
          <w:rFonts w:hint="default"/>
          <w:highlight w:val="none"/>
          <w:lang w:val="en-US" w:eastAsia="zh-CN"/>
        </w:rPr>
        <w:t>过程中起重臂应保持在正前方位置（引进标准节方为前方）。</w:t>
      </w:r>
    </w:p>
    <w:p w14:paraId="51955115">
      <w:pPr>
        <w:rPr>
          <w:rFonts w:hint="default"/>
          <w:highlight w:val="none"/>
          <w:lang w:val="en-US" w:eastAsia="zh-CN"/>
        </w:rPr>
      </w:pPr>
      <w:r>
        <w:rPr>
          <w:rFonts w:hint="eastAsia"/>
          <w:highlight w:val="none"/>
          <w:lang w:val="en-US" w:eastAsia="zh-CN"/>
        </w:rPr>
        <w:t>（6）</w:t>
      </w:r>
      <w:r>
        <w:rPr>
          <w:rFonts w:hint="default"/>
          <w:highlight w:val="none"/>
          <w:lang w:val="en-US" w:eastAsia="zh-CN"/>
        </w:rPr>
        <w:t>过程中，回转机构必须处于有效的制动状态。</w:t>
      </w:r>
    </w:p>
    <w:p w14:paraId="0D982EF4">
      <w:pPr>
        <w:rPr>
          <w:rFonts w:hint="default"/>
          <w:highlight w:val="none"/>
          <w:lang w:val="en-US" w:eastAsia="zh-CN"/>
        </w:rPr>
      </w:pPr>
      <w:r>
        <w:rPr>
          <w:rFonts w:hint="eastAsia"/>
          <w:highlight w:val="none"/>
          <w:lang w:val="en-US" w:eastAsia="zh-CN"/>
        </w:rPr>
        <w:t>（7）</w:t>
      </w:r>
      <w:r>
        <w:rPr>
          <w:rFonts w:hint="default"/>
          <w:highlight w:val="none"/>
          <w:lang w:val="en-US" w:eastAsia="zh-CN"/>
        </w:rPr>
        <w:t>连续加节，每加完一节后，用塔身自身起吊下一标准节前，塔身标准节和下支座之间的高强度螺栓要全部拧紧。</w:t>
      </w:r>
    </w:p>
    <w:p w14:paraId="541846E1">
      <w:pPr>
        <w:rPr>
          <w:rFonts w:hint="default"/>
          <w:highlight w:val="none"/>
          <w:lang w:val="en-US" w:eastAsia="zh-CN"/>
        </w:rPr>
      </w:pPr>
      <w:r>
        <w:rPr>
          <w:rFonts w:hint="eastAsia"/>
          <w:highlight w:val="none"/>
          <w:lang w:val="en-US" w:eastAsia="zh-CN"/>
        </w:rPr>
        <w:t>（8）</w:t>
      </w:r>
      <w:r>
        <w:rPr>
          <w:rFonts w:hint="default"/>
          <w:highlight w:val="none"/>
          <w:lang w:val="en-US" w:eastAsia="zh-CN"/>
        </w:rPr>
        <w:t>继续加的标准节必须与已有的塔身标准节对齐。</w:t>
      </w:r>
    </w:p>
    <w:p w14:paraId="453D2071">
      <w:pPr>
        <w:pStyle w:val="5"/>
        <w:bidi w:val="0"/>
        <w:ind w:left="864" w:leftChars="0" w:hanging="864" w:firstLineChars="0"/>
        <w:rPr>
          <w:rFonts w:hint="default"/>
          <w:lang w:val="en-US" w:eastAsia="zh-CN"/>
        </w:rPr>
      </w:pPr>
      <w:r>
        <w:rPr>
          <w:rFonts w:hint="default"/>
          <w:lang w:val="en-US" w:eastAsia="zh-CN"/>
        </w:rPr>
        <w:t>顶升完毕后</w:t>
      </w:r>
      <w:r>
        <w:rPr>
          <w:rFonts w:hint="eastAsia"/>
          <w:lang w:val="en-US" w:eastAsia="zh-CN"/>
        </w:rPr>
        <w:t>安全</w:t>
      </w:r>
      <w:r>
        <w:rPr>
          <w:rFonts w:hint="eastAsia"/>
        </w:rPr>
        <w:t>技术</w:t>
      </w:r>
      <w:r>
        <w:rPr>
          <w:rFonts w:hint="eastAsia"/>
          <w:lang w:val="en-US" w:eastAsia="zh-CN"/>
        </w:rPr>
        <w:t>管控措施</w:t>
      </w:r>
    </w:p>
    <w:p w14:paraId="5AEE4F8C">
      <w:pPr>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加节完毕，应旋转臂架至不同的角度，检查塔身节各接头高强度螺栓的拧紧情况，重点检查下支座与塔身连接螺栓的紧固情况。（哪一塔身主弦杆位于平衡臂正下方，就把主弦杆从下到下的螺栓拧紧）。</w:t>
      </w:r>
    </w:p>
    <w:p w14:paraId="0E880576">
      <w:pPr>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加节完毕，将爬升架下降到塔身底部并加以固定，以降低整个塔机的重心和减少迎风面积。</w:t>
      </w:r>
    </w:p>
    <w:p w14:paraId="46EA9A66">
      <w:pPr>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加节完毕，将操作手柄置于零位，并切断液压系统电源。</w:t>
      </w:r>
    </w:p>
    <w:p w14:paraId="04EEA392">
      <w:pPr>
        <w:pStyle w:val="4"/>
        <w:bidi w:val="0"/>
        <w:ind w:left="720" w:leftChars="0" w:hanging="720" w:firstLineChars="0"/>
        <w:rPr>
          <w:rFonts w:hint="default"/>
          <w:lang w:val="en-US" w:eastAsia="zh-CN"/>
        </w:rPr>
      </w:pPr>
      <w:bookmarkStart w:id="278" w:name="_Toc11806"/>
      <w:bookmarkStart w:id="279" w:name="_Toc5740"/>
      <w:r>
        <w:rPr>
          <w:rFonts w:hint="default"/>
          <w:lang w:val="en-US" w:eastAsia="zh-CN"/>
        </w:rPr>
        <w:t>群塔施工安全</w:t>
      </w:r>
      <w:r>
        <w:rPr>
          <w:rFonts w:hint="eastAsia"/>
        </w:rPr>
        <w:t>技术</w:t>
      </w:r>
      <w:r>
        <w:rPr>
          <w:rFonts w:hint="default"/>
          <w:lang w:val="en-US" w:eastAsia="zh-CN"/>
        </w:rPr>
        <w:t>保证措施</w:t>
      </w:r>
      <w:bookmarkEnd w:id="278"/>
      <w:bookmarkEnd w:id="279"/>
    </w:p>
    <w:p w14:paraId="7FC657E0">
      <w:pPr>
        <w:pStyle w:val="5"/>
        <w:bidi w:val="0"/>
        <w:ind w:left="864" w:leftChars="0" w:hanging="864" w:firstLineChars="0"/>
        <w:rPr>
          <w:rFonts w:hint="default"/>
          <w:lang w:val="en-US" w:eastAsia="zh-CN"/>
        </w:rPr>
      </w:pPr>
      <w:r>
        <w:rPr>
          <w:rFonts w:hint="default"/>
          <w:lang w:val="en-US" w:eastAsia="zh-CN"/>
        </w:rPr>
        <w:t>群塔安装顶升应遵循的原则</w:t>
      </w:r>
    </w:p>
    <w:p w14:paraId="2B96D45A">
      <w:pPr>
        <w:bidi w:val="0"/>
        <w:rPr>
          <w:rFonts w:hint="default"/>
          <w:highlight w:val="none"/>
          <w:lang w:val="en-US" w:eastAsia="zh-CN"/>
        </w:rPr>
      </w:pPr>
      <w:r>
        <w:rPr>
          <w:rFonts w:hint="default"/>
          <w:highlight w:val="none"/>
          <w:lang w:val="en-US" w:eastAsia="zh-CN"/>
        </w:rPr>
        <w:t>（1）高塔的最低部件</w:t>
      </w:r>
      <w:r>
        <w:rPr>
          <w:rFonts w:hint="eastAsia"/>
          <w:highlight w:val="none"/>
          <w:lang w:val="en-US" w:eastAsia="zh-CN"/>
        </w:rPr>
        <w:t>（</w:t>
      </w:r>
      <w:r>
        <w:rPr>
          <w:rFonts w:hint="default"/>
          <w:highlight w:val="none"/>
          <w:lang w:val="en-US" w:eastAsia="zh-CN"/>
        </w:rPr>
        <w:t>吊钩较高的位置，平衡重</w:t>
      </w:r>
      <w:r>
        <w:rPr>
          <w:rFonts w:hint="eastAsia"/>
          <w:highlight w:val="none"/>
          <w:lang w:val="en-US" w:eastAsia="zh-CN"/>
        </w:rPr>
        <w:t>）</w:t>
      </w:r>
      <w:r>
        <w:rPr>
          <w:rFonts w:hint="default"/>
          <w:highlight w:val="none"/>
          <w:lang w:val="en-US" w:eastAsia="zh-CN"/>
        </w:rPr>
        <w:t>和另一台塔机的最高部件之间的净高差必须大于2米</w:t>
      </w:r>
      <w:r>
        <w:rPr>
          <w:rFonts w:hint="eastAsia"/>
          <w:highlight w:val="none"/>
          <w:lang w:val="en-US" w:eastAsia="zh-CN"/>
        </w:rPr>
        <w:t>（</w:t>
      </w:r>
      <w:r>
        <w:rPr>
          <w:rFonts w:hint="default"/>
          <w:highlight w:val="none"/>
          <w:lang w:val="en-US" w:eastAsia="zh-CN"/>
        </w:rPr>
        <w:t>最小值</w:t>
      </w:r>
      <w:r>
        <w:rPr>
          <w:rFonts w:hint="eastAsia"/>
          <w:highlight w:val="none"/>
          <w:lang w:val="en-US" w:eastAsia="zh-CN"/>
        </w:rPr>
        <w:t>）</w:t>
      </w:r>
      <w:r>
        <w:rPr>
          <w:rFonts w:hint="default"/>
          <w:highlight w:val="none"/>
          <w:lang w:val="en-US" w:eastAsia="zh-CN"/>
        </w:rPr>
        <w:t>。</w:t>
      </w:r>
    </w:p>
    <w:p w14:paraId="47826075">
      <w:pPr>
        <w:bidi w:val="0"/>
        <w:rPr>
          <w:rFonts w:hint="default"/>
          <w:highlight w:val="none"/>
          <w:lang w:val="en-US" w:eastAsia="zh-CN"/>
        </w:rPr>
      </w:pPr>
      <w:r>
        <w:rPr>
          <w:rFonts w:hint="default"/>
          <w:highlight w:val="none"/>
          <w:lang w:val="en-US" w:eastAsia="zh-CN"/>
        </w:rPr>
        <w:t>（2）当塔机在另一台塔机的上面工作时，高塔必须装备有防止起升钢丝绳进入正在工作的低搭的平衡臂工作区域的装置，安全距离为2米。</w:t>
      </w:r>
    </w:p>
    <w:p w14:paraId="01E357EF">
      <w:pPr>
        <w:bidi w:val="0"/>
        <w:ind w:left="0" w:leftChars="0" w:firstLine="0" w:firstLineChars="0"/>
        <w:jc w:val="center"/>
        <w:rPr>
          <w:rFonts w:hint="eastAsia" w:ascii="宋体" w:hAnsi="宋体" w:cs="宋体"/>
          <w:kern w:val="0"/>
          <w:sz w:val="24"/>
          <w:highlight w:val="none"/>
        </w:rPr>
      </w:pPr>
      <w:r>
        <w:rPr>
          <w:rFonts w:hint="eastAsia" w:ascii="宋体" w:hAnsi="宋体" w:cs="宋体"/>
          <w:kern w:val="0"/>
          <w:sz w:val="24"/>
          <w:highlight w:val="none"/>
        </w:rPr>
        <w:drawing>
          <wp:inline distT="0" distB="0" distL="114300" distR="114300">
            <wp:extent cx="4912995" cy="2195830"/>
            <wp:effectExtent l="0" t="0" r="1905" b="1270"/>
            <wp:docPr id="11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0"/>
                    <pic:cNvPicPr>
                      <a:picLocks noChangeAspect="1"/>
                    </pic:cNvPicPr>
                  </pic:nvPicPr>
                  <pic:blipFill>
                    <a:blip r:embed="rId70"/>
                    <a:stretch>
                      <a:fillRect/>
                    </a:stretch>
                  </pic:blipFill>
                  <pic:spPr>
                    <a:xfrm>
                      <a:off x="0" y="0"/>
                      <a:ext cx="4912995" cy="2195830"/>
                    </a:xfrm>
                    <a:prstGeom prst="rect">
                      <a:avLst/>
                    </a:prstGeom>
                    <a:noFill/>
                    <a:ln>
                      <a:noFill/>
                    </a:ln>
                  </pic:spPr>
                </pic:pic>
              </a:graphicData>
            </a:graphic>
          </wp:inline>
        </w:drawing>
      </w:r>
    </w:p>
    <w:p w14:paraId="5556A752">
      <w:pPr>
        <w:bidi w:val="0"/>
        <w:ind w:left="0" w:leftChars="0" w:firstLine="0" w:firstLineChars="0"/>
        <w:jc w:val="center"/>
        <w:rPr>
          <w:rFonts w:hint="eastAsia"/>
          <w:highlight w:val="none"/>
        </w:rPr>
      </w:pPr>
      <w:r>
        <w:rPr>
          <w:rFonts w:ascii="宋体" w:hAnsi="宋体"/>
          <w:sz w:val="24"/>
          <w:highlight w:val="none"/>
        </w:rPr>
        <w:drawing>
          <wp:inline distT="0" distB="0" distL="114300" distR="114300">
            <wp:extent cx="3962400" cy="2195830"/>
            <wp:effectExtent l="0" t="0" r="0" b="1270"/>
            <wp:docPr id="11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1"/>
                    <pic:cNvPicPr>
                      <a:picLocks noChangeAspect="1"/>
                    </pic:cNvPicPr>
                  </pic:nvPicPr>
                  <pic:blipFill>
                    <a:blip r:embed="rId71"/>
                    <a:stretch>
                      <a:fillRect/>
                    </a:stretch>
                  </pic:blipFill>
                  <pic:spPr>
                    <a:xfrm>
                      <a:off x="0" y="0"/>
                      <a:ext cx="3962400" cy="2195830"/>
                    </a:xfrm>
                    <a:prstGeom prst="rect">
                      <a:avLst/>
                    </a:prstGeom>
                    <a:noFill/>
                    <a:ln>
                      <a:noFill/>
                    </a:ln>
                  </pic:spPr>
                </pic:pic>
              </a:graphicData>
            </a:graphic>
          </wp:inline>
        </w:drawing>
      </w:r>
    </w:p>
    <w:p w14:paraId="73C6969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图6-2 群塔安装示意图</w:t>
      </w:r>
    </w:p>
    <w:p w14:paraId="576B6832">
      <w:pPr>
        <w:pStyle w:val="5"/>
        <w:bidi w:val="0"/>
        <w:ind w:left="864" w:leftChars="0" w:hanging="864" w:firstLineChars="0"/>
        <w:rPr>
          <w:rFonts w:hint="default"/>
          <w:lang w:val="en-US" w:eastAsia="zh-CN"/>
        </w:rPr>
      </w:pPr>
      <w:r>
        <w:rPr>
          <w:rFonts w:hint="default"/>
          <w:lang w:val="en-US" w:eastAsia="zh-CN"/>
        </w:rPr>
        <w:t>群塔作业应遵循的原则</w:t>
      </w:r>
    </w:p>
    <w:p w14:paraId="35D1E8D4">
      <w:pPr>
        <w:rPr>
          <w:rFonts w:hint="default"/>
          <w:b/>
          <w:bCs/>
          <w:highlight w:val="none"/>
          <w:lang w:val="en-US" w:eastAsia="zh-CN"/>
        </w:rPr>
      </w:pPr>
      <w:r>
        <w:rPr>
          <w:rFonts w:hint="default"/>
          <w:b/>
          <w:bCs/>
          <w:highlight w:val="none"/>
          <w:lang w:val="en-US" w:eastAsia="zh-CN"/>
        </w:rPr>
        <w:t>1、低塔让高塔原则</w:t>
      </w:r>
    </w:p>
    <w:p w14:paraId="193C3049">
      <w:pPr>
        <w:ind w:firstLine="480" w:firstLineChars="200"/>
        <w:rPr>
          <w:rFonts w:hint="default"/>
          <w:highlight w:val="none"/>
          <w:lang w:val="en-US" w:eastAsia="zh-CN"/>
        </w:rPr>
      </w:pPr>
      <w:r>
        <w:rPr>
          <w:rFonts w:hint="default"/>
          <w:highlight w:val="none"/>
          <w:lang w:val="en-US" w:eastAsia="zh-CN"/>
        </w:rPr>
        <w:t>一般情况下，主要位置的</w:t>
      </w:r>
      <w:r>
        <w:rPr>
          <w:rFonts w:hint="eastAsia"/>
          <w:highlight w:val="none"/>
          <w:lang w:val="en-US" w:eastAsia="zh-CN"/>
        </w:rPr>
        <w:t>塔机</w:t>
      </w:r>
      <w:r>
        <w:rPr>
          <w:rFonts w:hint="default"/>
          <w:highlight w:val="none"/>
          <w:lang w:val="en-US" w:eastAsia="zh-CN"/>
        </w:rPr>
        <w:t>、施工繁忙的</w:t>
      </w:r>
      <w:r>
        <w:rPr>
          <w:rFonts w:hint="eastAsia"/>
          <w:highlight w:val="none"/>
          <w:lang w:val="en-US" w:eastAsia="zh-CN"/>
        </w:rPr>
        <w:t>塔机</w:t>
      </w:r>
      <w:r>
        <w:rPr>
          <w:rFonts w:hint="default"/>
          <w:highlight w:val="none"/>
          <w:lang w:val="en-US" w:eastAsia="zh-CN"/>
        </w:rPr>
        <w:t>应安装的较高，次要位置的</w:t>
      </w:r>
      <w:r>
        <w:rPr>
          <w:rFonts w:hint="eastAsia"/>
          <w:highlight w:val="none"/>
          <w:lang w:val="en-US" w:eastAsia="zh-CN"/>
        </w:rPr>
        <w:t>塔机</w:t>
      </w:r>
      <w:r>
        <w:rPr>
          <w:rFonts w:hint="default"/>
          <w:highlight w:val="none"/>
          <w:lang w:val="en-US" w:eastAsia="zh-CN"/>
        </w:rPr>
        <w:t>安装的较低，施工中，低位</w:t>
      </w:r>
      <w:r>
        <w:rPr>
          <w:rFonts w:hint="eastAsia"/>
          <w:highlight w:val="none"/>
          <w:lang w:val="en-US" w:eastAsia="zh-CN"/>
        </w:rPr>
        <w:t>塔机</w:t>
      </w:r>
      <w:r>
        <w:rPr>
          <w:rFonts w:hint="default"/>
          <w:highlight w:val="none"/>
          <w:lang w:val="en-US" w:eastAsia="zh-CN"/>
        </w:rPr>
        <w:t>应关注相关的高位</w:t>
      </w:r>
      <w:r>
        <w:rPr>
          <w:rFonts w:hint="eastAsia"/>
          <w:highlight w:val="none"/>
          <w:lang w:val="en-US" w:eastAsia="zh-CN"/>
        </w:rPr>
        <w:t>塔机</w:t>
      </w:r>
      <w:r>
        <w:rPr>
          <w:rFonts w:hint="default"/>
          <w:highlight w:val="none"/>
          <w:lang w:val="en-US" w:eastAsia="zh-CN"/>
        </w:rPr>
        <w:t>运行情况，在查明情况后再进行动作。</w:t>
      </w:r>
    </w:p>
    <w:p w14:paraId="2DEE6E10">
      <w:pPr>
        <w:rPr>
          <w:rFonts w:hint="default"/>
          <w:b/>
          <w:bCs/>
          <w:highlight w:val="none"/>
          <w:lang w:val="en-US" w:eastAsia="zh-CN"/>
        </w:rPr>
      </w:pPr>
      <w:r>
        <w:rPr>
          <w:rFonts w:hint="default"/>
          <w:b/>
          <w:bCs/>
          <w:highlight w:val="none"/>
          <w:lang w:val="en-US" w:eastAsia="zh-CN"/>
        </w:rPr>
        <w:t>2、后塔让先塔原则</w:t>
      </w:r>
    </w:p>
    <w:p w14:paraId="0ACFB34D">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同时在交叉作业区运行时，后进入该区域的</w:t>
      </w:r>
      <w:r>
        <w:rPr>
          <w:rFonts w:hint="eastAsia"/>
          <w:highlight w:val="none"/>
          <w:lang w:val="en-US" w:eastAsia="zh-CN"/>
        </w:rPr>
        <w:t>塔机</w:t>
      </w:r>
      <w:r>
        <w:rPr>
          <w:rFonts w:hint="default"/>
          <w:highlight w:val="none"/>
          <w:lang w:val="en-US" w:eastAsia="zh-CN"/>
        </w:rPr>
        <w:t>应避让先进入该区域的</w:t>
      </w:r>
      <w:r>
        <w:rPr>
          <w:rFonts w:hint="eastAsia"/>
          <w:highlight w:val="none"/>
          <w:lang w:val="en-US" w:eastAsia="zh-CN"/>
        </w:rPr>
        <w:t>塔机</w:t>
      </w:r>
      <w:r>
        <w:rPr>
          <w:rFonts w:hint="default"/>
          <w:highlight w:val="none"/>
          <w:lang w:val="en-US" w:eastAsia="zh-CN"/>
        </w:rPr>
        <w:t>。</w:t>
      </w:r>
    </w:p>
    <w:p w14:paraId="2A7900E7">
      <w:pPr>
        <w:rPr>
          <w:rFonts w:hint="default"/>
          <w:b/>
          <w:bCs/>
          <w:highlight w:val="none"/>
          <w:lang w:val="en-US" w:eastAsia="zh-CN"/>
        </w:rPr>
      </w:pPr>
      <w:r>
        <w:rPr>
          <w:rFonts w:hint="default"/>
          <w:b/>
          <w:bCs/>
          <w:highlight w:val="none"/>
          <w:lang w:val="en-US" w:eastAsia="zh-CN"/>
        </w:rPr>
        <w:t>3、动塔让静塔原则</w:t>
      </w:r>
    </w:p>
    <w:p w14:paraId="2DA33E79">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在交叉作业区施工时，有动作的</w:t>
      </w:r>
      <w:r>
        <w:rPr>
          <w:rFonts w:hint="eastAsia"/>
          <w:highlight w:val="none"/>
          <w:lang w:val="en-US" w:eastAsia="zh-CN"/>
        </w:rPr>
        <w:t>塔机</w:t>
      </w:r>
      <w:r>
        <w:rPr>
          <w:rFonts w:hint="default"/>
          <w:highlight w:val="none"/>
          <w:lang w:val="en-US" w:eastAsia="zh-CN"/>
        </w:rPr>
        <w:t>应避让正停在某位置施工的</w:t>
      </w:r>
      <w:r>
        <w:rPr>
          <w:rFonts w:hint="eastAsia"/>
          <w:highlight w:val="none"/>
          <w:lang w:val="en-US" w:eastAsia="zh-CN"/>
        </w:rPr>
        <w:t>塔机</w:t>
      </w:r>
      <w:r>
        <w:rPr>
          <w:rFonts w:hint="default"/>
          <w:highlight w:val="none"/>
          <w:lang w:val="en-US" w:eastAsia="zh-CN"/>
        </w:rPr>
        <w:t>。</w:t>
      </w:r>
    </w:p>
    <w:p w14:paraId="3CEED3FA">
      <w:pPr>
        <w:rPr>
          <w:rFonts w:hint="default"/>
          <w:b/>
          <w:bCs/>
          <w:highlight w:val="none"/>
          <w:lang w:val="en-US" w:eastAsia="zh-CN"/>
        </w:rPr>
      </w:pPr>
      <w:r>
        <w:rPr>
          <w:rFonts w:hint="default"/>
          <w:b/>
          <w:bCs/>
          <w:highlight w:val="none"/>
          <w:lang w:val="en-US" w:eastAsia="zh-CN"/>
        </w:rPr>
        <w:t>4、荷重先行原则</w:t>
      </w:r>
    </w:p>
    <w:p w14:paraId="6F543125">
      <w:pPr>
        <w:ind w:firstLine="480" w:firstLineChars="200"/>
        <w:rPr>
          <w:rFonts w:hint="default"/>
          <w:highlight w:val="none"/>
          <w:lang w:val="en-US" w:eastAsia="zh-CN"/>
        </w:rPr>
      </w:pPr>
      <w:r>
        <w:rPr>
          <w:rFonts w:hint="default"/>
          <w:highlight w:val="none"/>
          <w:lang w:val="en-US" w:eastAsia="zh-CN"/>
        </w:rPr>
        <w:t>两塔同时施工在交叉作业区时，无吊载的</w:t>
      </w:r>
      <w:r>
        <w:rPr>
          <w:rFonts w:hint="eastAsia"/>
          <w:highlight w:val="none"/>
          <w:lang w:val="en-US" w:eastAsia="zh-CN"/>
        </w:rPr>
        <w:t>塔机</w:t>
      </w:r>
      <w:r>
        <w:rPr>
          <w:rFonts w:hint="default"/>
          <w:highlight w:val="none"/>
          <w:lang w:val="en-US" w:eastAsia="zh-CN"/>
        </w:rPr>
        <w:t>应避让有吊载的</w:t>
      </w:r>
      <w:r>
        <w:rPr>
          <w:rFonts w:hint="eastAsia"/>
          <w:highlight w:val="none"/>
          <w:lang w:val="en-US" w:eastAsia="zh-CN"/>
        </w:rPr>
        <w:t>塔机</w:t>
      </w:r>
      <w:r>
        <w:rPr>
          <w:rFonts w:hint="default"/>
          <w:highlight w:val="none"/>
          <w:lang w:val="en-US" w:eastAsia="zh-CN"/>
        </w:rPr>
        <w:t>，吊载较轻或所吊构件较小的</w:t>
      </w:r>
      <w:r>
        <w:rPr>
          <w:rFonts w:hint="eastAsia"/>
          <w:highlight w:val="none"/>
          <w:lang w:val="en-US" w:eastAsia="zh-CN"/>
        </w:rPr>
        <w:t>塔机</w:t>
      </w:r>
      <w:r>
        <w:rPr>
          <w:rFonts w:hint="default"/>
          <w:highlight w:val="none"/>
          <w:lang w:val="en-US" w:eastAsia="zh-CN"/>
        </w:rPr>
        <w:t>应避让吊载较重或吊物尺寸较大的</w:t>
      </w:r>
      <w:r>
        <w:rPr>
          <w:rFonts w:hint="eastAsia"/>
          <w:highlight w:val="none"/>
          <w:lang w:val="en-US" w:eastAsia="zh-CN"/>
        </w:rPr>
        <w:t>塔机</w:t>
      </w:r>
      <w:r>
        <w:rPr>
          <w:rFonts w:hint="default"/>
          <w:highlight w:val="none"/>
          <w:lang w:val="en-US" w:eastAsia="zh-CN"/>
        </w:rPr>
        <w:t>。</w:t>
      </w:r>
    </w:p>
    <w:p w14:paraId="48C70BBC">
      <w:pPr>
        <w:rPr>
          <w:rFonts w:hint="default"/>
          <w:b/>
          <w:bCs/>
          <w:highlight w:val="none"/>
          <w:lang w:val="en-US" w:eastAsia="zh-CN"/>
        </w:rPr>
      </w:pPr>
      <w:r>
        <w:rPr>
          <w:rFonts w:hint="default"/>
          <w:b/>
          <w:bCs/>
          <w:highlight w:val="none"/>
          <w:lang w:val="en-US" w:eastAsia="zh-CN"/>
        </w:rPr>
        <w:t>5、客塔让主塔原则</w:t>
      </w:r>
    </w:p>
    <w:p w14:paraId="0D95D36C">
      <w:pPr>
        <w:ind w:firstLine="480" w:firstLineChars="200"/>
        <w:rPr>
          <w:rFonts w:hint="default"/>
          <w:highlight w:val="none"/>
          <w:lang w:val="en-US" w:eastAsia="zh-CN"/>
        </w:rPr>
      </w:pPr>
      <w:r>
        <w:rPr>
          <w:rFonts w:hint="default"/>
          <w:highlight w:val="none"/>
          <w:lang w:val="en-US" w:eastAsia="zh-CN"/>
        </w:rPr>
        <w:t>在明确划分施工区域后，闯入非本</w:t>
      </w:r>
      <w:r>
        <w:rPr>
          <w:rFonts w:hint="eastAsia"/>
          <w:highlight w:val="none"/>
          <w:lang w:val="en-US" w:eastAsia="zh-CN"/>
        </w:rPr>
        <w:t>塔机</w:t>
      </w:r>
      <w:r>
        <w:rPr>
          <w:rFonts w:hint="default"/>
          <w:highlight w:val="none"/>
          <w:lang w:val="en-US" w:eastAsia="zh-CN"/>
        </w:rPr>
        <w:t>施工区域的</w:t>
      </w:r>
      <w:r>
        <w:rPr>
          <w:rFonts w:hint="eastAsia"/>
          <w:highlight w:val="none"/>
          <w:lang w:val="en-US" w:eastAsia="zh-CN"/>
        </w:rPr>
        <w:t>塔机</w:t>
      </w:r>
      <w:r>
        <w:rPr>
          <w:rFonts w:hint="default"/>
          <w:highlight w:val="none"/>
          <w:lang w:val="en-US" w:eastAsia="zh-CN"/>
        </w:rPr>
        <w:t>应主动避让，该区域主</w:t>
      </w:r>
      <w:r>
        <w:rPr>
          <w:rFonts w:hint="eastAsia"/>
          <w:highlight w:val="none"/>
          <w:lang w:val="en-US" w:eastAsia="zh-CN"/>
        </w:rPr>
        <w:t>塔机</w:t>
      </w:r>
      <w:r>
        <w:rPr>
          <w:rFonts w:hint="default"/>
          <w:highlight w:val="none"/>
          <w:lang w:val="en-US" w:eastAsia="zh-CN"/>
        </w:rPr>
        <w:t>。</w:t>
      </w:r>
    </w:p>
    <w:p w14:paraId="03B9115C">
      <w:pPr>
        <w:pStyle w:val="4"/>
        <w:bidi w:val="0"/>
        <w:ind w:left="720" w:leftChars="0" w:hanging="720" w:firstLineChars="0"/>
        <w:rPr>
          <w:rFonts w:hint="default"/>
          <w:lang w:val="en-US" w:eastAsia="zh-CN"/>
        </w:rPr>
      </w:pPr>
      <w:bookmarkStart w:id="280" w:name="_Toc20568"/>
      <w:bookmarkStart w:id="281" w:name="_Toc13270"/>
      <w:r>
        <w:rPr>
          <w:rFonts w:hint="default"/>
          <w:lang w:val="en-US" w:eastAsia="zh-CN"/>
        </w:rPr>
        <w:t>吊装</w:t>
      </w:r>
      <w:r>
        <w:rPr>
          <w:rFonts w:hint="eastAsia"/>
          <w:lang w:val="en-US" w:eastAsia="zh-CN"/>
        </w:rPr>
        <w:t>安全技术管控措施</w:t>
      </w:r>
      <w:bookmarkEnd w:id="280"/>
      <w:bookmarkEnd w:id="281"/>
    </w:p>
    <w:p w14:paraId="08F0FEA1">
      <w:pPr>
        <w:ind w:firstLine="480" w:firstLineChars="200"/>
        <w:rPr>
          <w:rFonts w:hint="default"/>
          <w:highlight w:val="none"/>
          <w:lang w:val="en-US" w:eastAsia="zh-CN"/>
        </w:rPr>
      </w:pPr>
      <w:r>
        <w:rPr>
          <w:rFonts w:hint="default"/>
          <w:highlight w:val="none"/>
          <w:lang w:val="en-US" w:eastAsia="zh-CN"/>
        </w:rPr>
        <w:t>起重吊装前，必须对工作现场环境、经过路线、架空电线、建筑物以及构件重量和分布等情况进行全面了解，吊装操作规定如下：</w:t>
      </w:r>
    </w:p>
    <w:p w14:paraId="214363ED">
      <w:pPr>
        <w:rPr>
          <w:rFonts w:hint="default"/>
          <w:highlight w:val="none"/>
          <w:lang w:val="en-US" w:eastAsia="zh-CN"/>
        </w:rPr>
      </w:pPr>
      <w:r>
        <w:rPr>
          <w:rFonts w:hint="eastAsia"/>
          <w:highlight w:val="none"/>
          <w:lang w:val="en-US" w:eastAsia="zh-CN"/>
        </w:rPr>
        <w:t>1、</w:t>
      </w:r>
      <w:r>
        <w:rPr>
          <w:rFonts w:hint="default"/>
          <w:highlight w:val="none"/>
          <w:lang w:val="en-US" w:eastAsia="zh-CN"/>
        </w:rPr>
        <w:t>起重臂回转半径内无障碍物。</w:t>
      </w:r>
    </w:p>
    <w:p w14:paraId="374EDD92">
      <w:pPr>
        <w:rPr>
          <w:rFonts w:hint="default"/>
          <w:highlight w:val="none"/>
          <w:lang w:val="en-US" w:eastAsia="zh-CN"/>
        </w:rPr>
      </w:pPr>
      <w:r>
        <w:rPr>
          <w:rFonts w:hint="eastAsia"/>
          <w:highlight w:val="none"/>
          <w:lang w:val="en-US" w:eastAsia="zh-CN"/>
        </w:rPr>
        <w:t>2、</w:t>
      </w:r>
      <w:r>
        <w:rPr>
          <w:rFonts w:hint="default"/>
          <w:highlight w:val="none"/>
          <w:lang w:val="en-US" w:eastAsia="zh-CN"/>
        </w:rPr>
        <w:t>操作前重点检查：</w:t>
      </w:r>
    </w:p>
    <w:p w14:paraId="42DFA866">
      <w:pPr>
        <w:rPr>
          <w:rFonts w:hint="default"/>
          <w:highlight w:val="none"/>
          <w:lang w:val="en-US" w:eastAsia="zh-CN"/>
        </w:rPr>
      </w:pPr>
      <w:r>
        <w:rPr>
          <w:rFonts w:hint="eastAsia"/>
          <w:highlight w:val="none"/>
          <w:lang w:val="en-US" w:eastAsia="zh-CN"/>
        </w:rPr>
        <w:t>（1）</w:t>
      </w:r>
      <w:r>
        <w:rPr>
          <w:rFonts w:hint="default"/>
          <w:highlight w:val="none"/>
          <w:lang w:val="en-US" w:eastAsia="zh-CN"/>
        </w:rPr>
        <w:t>机械结构的外观情况，各传动机构应正常；</w:t>
      </w:r>
    </w:p>
    <w:p w14:paraId="0BD074A0">
      <w:pPr>
        <w:rPr>
          <w:rFonts w:hint="default"/>
          <w:highlight w:val="none"/>
          <w:lang w:val="en-US" w:eastAsia="zh-CN"/>
        </w:rPr>
      </w:pPr>
      <w:r>
        <w:rPr>
          <w:rFonts w:hint="eastAsia"/>
          <w:highlight w:val="none"/>
          <w:lang w:val="en-US" w:eastAsia="zh-CN"/>
        </w:rPr>
        <w:t>（2）</w:t>
      </w:r>
      <w:r>
        <w:rPr>
          <w:rFonts w:hint="default"/>
          <w:highlight w:val="none"/>
          <w:lang w:val="en-US" w:eastAsia="zh-CN"/>
        </w:rPr>
        <w:t>各齿轮箱、液压油箱的油位应符合标准；</w:t>
      </w:r>
    </w:p>
    <w:p w14:paraId="58224DD9">
      <w:pPr>
        <w:rPr>
          <w:rFonts w:hint="default"/>
          <w:highlight w:val="none"/>
          <w:lang w:val="en-US" w:eastAsia="zh-CN"/>
        </w:rPr>
      </w:pPr>
      <w:r>
        <w:rPr>
          <w:rFonts w:hint="eastAsia"/>
          <w:highlight w:val="none"/>
          <w:lang w:val="en-US" w:eastAsia="zh-CN"/>
        </w:rPr>
        <w:t>（3）</w:t>
      </w:r>
      <w:r>
        <w:rPr>
          <w:rFonts w:hint="default"/>
          <w:highlight w:val="none"/>
          <w:lang w:val="en-US" w:eastAsia="zh-CN"/>
        </w:rPr>
        <w:t>主要部位连接螺栓应无松动；</w:t>
      </w:r>
    </w:p>
    <w:p w14:paraId="1D2433B6">
      <w:pPr>
        <w:rPr>
          <w:rFonts w:hint="default"/>
          <w:highlight w:val="none"/>
          <w:lang w:val="en-US" w:eastAsia="zh-CN"/>
        </w:rPr>
      </w:pPr>
      <w:r>
        <w:rPr>
          <w:rFonts w:hint="eastAsia"/>
          <w:highlight w:val="none"/>
          <w:lang w:val="en-US" w:eastAsia="zh-CN"/>
        </w:rPr>
        <w:t>（4）</w:t>
      </w:r>
      <w:r>
        <w:rPr>
          <w:rFonts w:hint="default"/>
          <w:highlight w:val="none"/>
          <w:lang w:val="en-US" w:eastAsia="zh-CN"/>
        </w:rPr>
        <w:t>钢丝绳磨损情况及穿绕滑轮应符合规定；</w:t>
      </w:r>
    </w:p>
    <w:p w14:paraId="1D582A50">
      <w:pPr>
        <w:rPr>
          <w:rFonts w:hint="default"/>
          <w:highlight w:val="none"/>
          <w:lang w:val="en-US" w:eastAsia="zh-CN"/>
        </w:rPr>
      </w:pPr>
      <w:r>
        <w:rPr>
          <w:rFonts w:hint="eastAsia"/>
          <w:highlight w:val="none"/>
          <w:lang w:val="en-US" w:eastAsia="zh-CN"/>
        </w:rPr>
        <w:t>（5）</w:t>
      </w:r>
      <w:r>
        <w:rPr>
          <w:rFonts w:hint="default"/>
          <w:highlight w:val="none"/>
          <w:lang w:val="en-US" w:eastAsia="zh-CN"/>
        </w:rPr>
        <w:t>供电电缆应无磨损；</w:t>
      </w:r>
    </w:p>
    <w:p w14:paraId="7CB5140E">
      <w:pPr>
        <w:rPr>
          <w:rFonts w:hint="default"/>
          <w:highlight w:val="none"/>
          <w:lang w:val="en-US" w:eastAsia="zh-CN"/>
        </w:rPr>
      </w:pPr>
      <w:r>
        <w:rPr>
          <w:rFonts w:hint="eastAsia"/>
          <w:highlight w:val="none"/>
          <w:lang w:val="en-US" w:eastAsia="zh-CN"/>
        </w:rPr>
        <w:t>（6）</w:t>
      </w:r>
      <w:r>
        <w:rPr>
          <w:rFonts w:hint="default"/>
          <w:highlight w:val="none"/>
          <w:lang w:val="en-US" w:eastAsia="zh-CN"/>
        </w:rPr>
        <w:t>检查电源电压应达到380伏，其变动范围不得超过±20伏，送电前启动控制开关应在零位。接通电源，检查金属结构部分无漏电后方可上机操作；</w:t>
      </w:r>
    </w:p>
    <w:p w14:paraId="557DE64D">
      <w:pPr>
        <w:rPr>
          <w:rFonts w:hint="default"/>
          <w:highlight w:val="none"/>
          <w:lang w:val="en-US" w:eastAsia="zh-CN"/>
        </w:rPr>
      </w:pPr>
      <w:r>
        <w:rPr>
          <w:rFonts w:hint="eastAsia"/>
          <w:highlight w:val="none"/>
          <w:lang w:val="en-US" w:eastAsia="zh-CN"/>
        </w:rPr>
        <w:t>（7）</w:t>
      </w:r>
      <w:r>
        <w:rPr>
          <w:rFonts w:hint="default"/>
          <w:highlight w:val="none"/>
          <w:lang w:val="en-US" w:eastAsia="zh-CN"/>
        </w:rPr>
        <w:t>空载运转，检查回转、起重、变幅等各机构的制动器、安全限位、防护装置等确认正确后，方可作业。</w:t>
      </w:r>
    </w:p>
    <w:p w14:paraId="2910B3FB">
      <w:pPr>
        <w:rPr>
          <w:rFonts w:hint="default"/>
          <w:highlight w:val="none"/>
          <w:lang w:val="en-US" w:eastAsia="zh-CN"/>
        </w:rPr>
      </w:pPr>
      <w:r>
        <w:rPr>
          <w:rFonts w:hint="eastAsia"/>
          <w:highlight w:val="none"/>
          <w:lang w:val="en-US" w:eastAsia="zh-CN"/>
        </w:rPr>
        <w:t>3、</w:t>
      </w:r>
      <w:r>
        <w:rPr>
          <w:rFonts w:hint="default"/>
          <w:highlight w:val="none"/>
          <w:lang w:val="en-US" w:eastAsia="zh-CN"/>
        </w:rPr>
        <w:t>在作业时，操作人员在进行起重机回转、吊钩升降、变幅等动作前，应鸣声示意。</w:t>
      </w:r>
    </w:p>
    <w:p w14:paraId="6F5FFD4A">
      <w:pPr>
        <w:rPr>
          <w:rFonts w:hint="default"/>
          <w:highlight w:val="none"/>
          <w:lang w:val="en-US" w:eastAsia="zh-CN"/>
        </w:rPr>
      </w:pPr>
      <w:r>
        <w:rPr>
          <w:rFonts w:hint="eastAsia"/>
          <w:highlight w:val="none"/>
          <w:lang w:val="en-US" w:eastAsia="zh-CN"/>
        </w:rPr>
        <w:t>4、</w:t>
      </w:r>
      <w:r>
        <w:rPr>
          <w:rFonts w:hint="default"/>
          <w:highlight w:val="none"/>
          <w:lang w:val="en-US" w:eastAsia="zh-CN"/>
        </w:rPr>
        <w:t>地面指挥人员必须经过培训取得合格证后，方可担任指挥。作业时应与操作人员密切配合。操作人员应严格执行指挥人员的信号，如信号不清或错误，操作人员应拒绝执行。</w:t>
      </w:r>
    </w:p>
    <w:p w14:paraId="781476F9">
      <w:pPr>
        <w:rPr>
          <w:rFonts w:hint="default"/>
          <w:highlight w:val="none"/>
          <w:lang w:val="en-US" w:eastAsia="zh-CN"/>
        </w:rPr>
      </w:pPr>
      <w:r>
        <w:rPr>
          <w:rFonts w:hint="eastAsia"/>
          <w:highlight w:val="none"/>
          <w:lang w:val="en-US" w:eastAsia="zh-CN"/>
        </w:rPr>
        <w:t>5、</w:t>
      </w:r>
      <w:r>
        <w:rPr>
          <w:rFonts w:hint="default"/>
          <w:highlight w:val="none"/>
          <w:lang w:val="en-US" w:eastAsia="zh-CN"/>
        </w:rPr>
        <w:t>当操作室远离地面，正常指挥发生困难时，可设高空、地面两个指挥人员或采用对讲机进行指挥。</w:t>
      </w:r>
    </w:p>
    <w:p w14:paraId="509CAEDC">
      <w:pPr>
        <w:rPr>
          <w:rFonts w:hint="default"/>
          <w:highlight w:val="none"/>
          <w:lang w:val="en-US" w:eastAsia="zh-CN"/>
        </w:rPr>
      </w:pPr>
      <w:r>
        <w:rPr>
          <w:rFonts w:hint="eastAsia"/>
          <w:highlight w:val="none"/>
          <w:lang w:val="en-US" w:eastAsia="zh-CN"/>
        </w:rPr>
        <w:t>6、</w:t>
      </w:r>
      <w:r>
        <w:rPr>
          <w:rFonts w:hint="default"/>
          <w:highlight w:val="none"/>
          <w:lang w:val="en-US" w:eastAsia="zh-CN"/>
        </w:rPr>
        <w:t>遇六级以上大风或大雨、大雪、大雾等恶劣天气时应停止起重机露天作业。</w:t>
      </w:r>
    </w:p>
    <w:p w14:paraId="2D6FC361">
      <w:pPr>
        <w:rPr>
          <w:rFonts w:hint="default"/>
          <w:highlight w:val="none"/>
          <w:lang w:val="en-US" w:eastAsia="zh-CN"/>
        </w:rPr>
      </w:pPr>
      <w:r>
        <w:rPr>
          <w:rFonts w:hint="eastAsia"/>
          <w:highlight w:val="none"/>
          <w:lang w:val="en-US" w:eastAsia="zh-CN"/>
        </w:rPr>
        <w:t>7、</w:t>
      </w:r>
      <w:r>
        <w:rPr>
          <w:rFonts w:hint="default"/>
          <w:highlight w:val="none"/>
          <w:lang w:val="en-US" w:eastAsia="zh-CN"/>
        </w:rPr>
        <w:t>起重机的变幅指示器、力矩限制器以及起重机的各种行程限位开关等保护装置，必须完整齐全、灵敏可靠，不得随意调整和拆除。严禁用限位装置代替操作机构。</w:t>
      </w:r>
    </w:p>
    <w:p w14:paraId="2176A50C">
      <w:pPr>
        <w:rPr>
          <w:rFonts w:hint="default"/>
          <w:highlight w:val="none"/>
          <w:lang w:val="en-US" w:eastAsia="zh-CN"/>
        </w:rPr>
      </w:pPr>
      <w:r>
        <w:rPr>
          <w:rFonts w:hint="eastAsia"/>
          <w:highlight w:val="none"/>
          <w:lang w:val="en-US" w:eastAsia="zh-CN"/>
        </w:rPr>
        <w:t>8、</w:t>
      </w:r>
      <w:r>
        <w:rPr>
          <w:rFonts w:hint="default"/>
          <w:highlight w:val="none"/>
          <w:lang w:val="en-US" w:eastAsia="zh-CN"/>
        </w:rPr>
        <w:t>起重机作业时，重物下方不得有人停留或通过。严禁用</w:t>
      </w:r>
      <w:r>
        <w:rPr>
          <w:rFonts w:hint="eastAsia"/>
          <w:highlight w:val="none"/>
          <w:lang w:val="en-US" w:eastAsia="zh-CN"/>
        </w:rPr>
        <w:t>塔机</w:t>
      </w:r>
      <w:r>
        <w:rPr>
          <w:rFonts w:hint="default"/>
          <w:highlight w:val="none"/>
          <w:lang w:val="en-US" w:eastAsia="zh-CN"/>
        </w:rPr>
        <w:t>运载人员。</w:t>
      </w:r>
    </w:p>
    <w:p w14:paraId="60ECD6A6">
      <w:pPr>
        <w:rPr>
          <w:rFonts w:hint="default"/>
          <w:highlight w:val="none"/>
          <w:lang w:val="en-US" w:eastAsia="zh-CN"/>
        </w:rPr>
      </w:pPr>
      <w:r>
        <w:rPr>
          <w:rFonts w:hint="eastAsia"/>
          <w:highlight w:val="none"/>
          <w:lang w:val="en-US" w:eastAsia="zh-CN"/>
        </w:rPr>
        <w:t>9、</w:t>
      </w:r>
      <w:r>
        <w:rPr>
          <w:rFonts w:hint="default"/>
          <w:highlight w:val="none"/>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66BC2A9E">
      <w:pPr>
        <w:rPr>
          <w:rFonts w:hint="default"/>
          <w:highlight w:val="none"/>
          <w:lang w:val="en-US" w:eastAsia="zh-CN"/>
        </w:rPr>
      </w:pPr>
      <w:r>
        <w:rPr>
          <w:rFonts w:hint="eastAsia"/>
          <w:highlight w:val="none"/>
          <w:lang w:val="en-US" w:eastAsia="zh-CN"/>
        </w:rPr>
        <w:t>10、</w:t>
      </w:r>
      <w:r>
        <w:rPr>
          <w:rFonts w:hint="default"/>
          <w:highlight w:val="none"/>
          <w:lang w:val="en-US" w:eastAsia="zh-CN"/>
        </w:rPr>
        <w:t>严禁使用起重机进行斜拉、斜吊、和起吊地下埋设或凝结在地面上的重物。现场浇筑的砼构件或模板，必须全部松动后方可起吊。</w:t>
      </w:r>
    </w:p>
    <w:p w14:paraId="628C8FFC">
      <w:pPr>
        <w:rPr>
          <w:rFonts w:hint="default"/>
          <w:highlight w:val="none"/>
          <w:lang w:val="en-US" w:eastAsia="zh-CN"/>
        </w:rPr>
      </w:pPr>
      <w:r>
        <w:rPr>
          <w:rFonts w:hint="eastAsia"/>
          <w:highlight w:val="none"/>
          <w:lang w:val="en-US" w:eastAsia="zh-CN"/>
        </w:rPr>
        <w:t>11、</w:t>
      </w:r>
      <w:r>
        <w:rPr>
          <w:rFonts w:hint="default"/>
          <w:highlight w:val="none"/>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C5EA1EE">
      <w:pPr>
        <w:rPr>
          <w:rFonts w:hint="default"/>
          <w:highlight w:val="none"/>
          <w:lang w:val="en-US" w:eastAsia="zh-CN"/>
        </w:rPr>
      </w:pPr>
      <w:r>
        <w:rPr>
          <w:rFonts w:hint="eastAsia"/>
          <w:highlight w:val="none"/>
          <w:lang w:val="en-US" w:eastAsia="zh-CN"/>
        </w:rPr>
        <w:t>12、</w:t>
      </w:r>
      <w:r>
        <w:rPr>
          <w:rFonts w:hint="default"/>
          <w:highlight w:val="none"/>
          <w:lang w:val="en-US" w:eastAsia="zh-CN"/>
        </w:rPr>
        <w:t>起重机在雨雪天气作业时，应先经过试吊，确认制动器灵敏可靠后方可进行作业。</w:t>
      </w:r>
    </w:p>
    <w:p w14:paraId="06D88E2F">
      <w:pPr>
        <w:rPr>
          <w:rFonts w:hint="default"/>
          <w:highlight w:val="none"/>
          <w:lang w:val="en-US" w:eastAsia="zh-CN"/>
        </w:rPr>
      </w:pPr>
      <w:r>
        <w:rPr>
          <w:rFonts w:hint="eastAsia"/>
          <w:highlight w:val="none"/>
          <w:lang w:val="en-US" w:eastAsia="zh-CN"/>
        </w:rPr>
        <w:t>13、</w:t>
      </w:r>
      <w:r>
        <w:rPr>
          <w:rFonts w:hint="default"/>
          <w:highlight w:val="none"/>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2964EE9C">
      <w:pPr>
        <w:rPr>
          <w:rFonts w:hint="default"/>
          <w:highlight w:val="none"/>
          <w:lang w:val="en-US" w:eastAsia="zh-CN"/>
        </w:rPr>
      </w:pPr>
      <w:r>
        <w:rPr>
          <w:rFonts w:hint="eastAsia"/>
          <w:highlight w:val="none"/>
          <w:lang w:val="en-US" w:eastAsia="zh-CN"/>
        </w:rPr>
        <w:t>14、</w:t>
      </w:r>
      <w:r>
        <w:rPr>
          <w:rFonts w:hint="default"/>
          <w:highlight w:val="none"/>
          <w:lang w:val="en-US" w:eastAsia="zh-CN"/>
        </w:rPr>
        <w:t>重物提升和降落速度要均匀。严禁突快突慢和突然制动。左右回转动作要平稳，当回转未停稳前不得作回转运动。</w:t>
      </w:r>
    </w:p>
    <w:p w14:paraId="56303645">
      <w:pPr>
        <w:rPr>
          <w:rFonts w:hint="default"/>
          <w:highlight w:val="none"/>
          <w:lang w:val="en-US" w:eastAsia="zh-CN"/>
        </w:rPr>
      </w:pPr>
      <w:r>
        <w:rPr>
          <w:rFonts w:hint="eastAsia"/>
          <w:highlight w:val="none"/>
          <w:lang w:val="en-US" w:eastAsia="zh-CN"/>
        </w:rPr>
        <w:t>15、</w:t>
      </w:r>
      <w:r>
        <w:rPr>
          <w:rFonts w:hint="default"/>
          <w:highlight w:val="none"/>
          <w:lang w:val="en-US" w:eastAsia="zh-CN"/>
        </w:rPr>
        <w:t>起重机不得靠近架空输电线路作业，如限于现场条件，必须在线路旁作业时，应采取安全保护措施。6起重机使用的钢丝绳，应有制造厂的技术证明文件作为依据。如无证件时应经过检测试验合格后方可使用。</w:t>
      </w:r>
    </w:p>
    <w:p w14:paraId="782E79D4">
      <w:pPr>
        <w:rPr>
          <w:rFonts w:hint="default"/>
          <w:highlight w:val="none"/>
          <w:lang w:val="en-US" w:eastAsia="zh-CN"/>
        </w:rPr>
      </w:pPr>
      <w:r>
        <w:rPr>
          <w:rFonts w:hint="eastAsia"/>
          <w:highlight w:val="none"/>
          <w:lang w:val="en-US" w:eastAsia="zh-CN"/>
        </w:rPr>
        <w:t>16、</w:t>
      </w:r>
      <w:r>
        <w:rPr>
          <w:rFonts w:hint="default"/>
          <w:highlight w:val="none"/>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56047A5E">
      <w:pPr>
        <w:rPr>
          <w:rFonts w:hint="default"/>
          <w:highlight w:val="none"/>
          <w:lang w:val="en-US" w:eastAsia="zh-CN"/>
        </w:rPr>
      </w:pPr>
      <w:r>
        <w:rPr>
          <w:rFonts w:hint="eastAsia"/>
          <w:highlight w:val="none"/>
          <w:lang w:val="en-US" w:eastAsia="zh-CN"/>
        </w:rPr>
        <w:t>17、</w:t>
      </w:r>
      <w:r>
        <w:rPr>
          <w:rFonts w:hint="default"/>
          <w:highlight w:val="none"/>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271CC781">
      <w:pPr>
        <w:rPr>
          <w:rFonts w:hint="default"/>
          <w:highlight w:val="none"/>
          <w:lang w:val="en-US" w:eastAsia="zh-CN"/>
        </w:rPr>
      </w:pPr>
      <w:r>
        <w:rPr>
          <w:rFonts w:hint="eastAsia"/>
          <w:highlight w:val="none"/>
          <w:lang w:val="en-US" w:eastAsia="zh-CN"/>
        </w:rPr>
        <w:t>18、</w:t>
      </w:r>
      <w:r>
        <w:rPr>
          <w:rFonts w:hint="default"/>
          <w:highlight w:val="none"/>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572984A2">
      <w:pPr>
        <w:rPr>
          <w:rFonts w:hint="default"/>
          <w:highlight w:val="none"/>
          <w:lang w:val="en-US" w:eastAsia="zh-CN"/>
        </w:rPr>
      </w:pPr>
      <w:r>
        <w:rPr>
          <w:rFonts w:hint="eastAsia"/>
          <w:highlight w:val="none"/>
          <w:lang w:val="en-US" w:eastAsia="zh-CN"/>
        </w:rPr>
        <w:t>19、</w:t>
      </w:r>
      <w:r>
        <w:rPr>
          <w:rFonts w:hint="default"/>
          <w:highlight w:val="none"/>
          <w:lang w:val="en-US" w:eastAsia="zh-CN"/>
        </w:rPr>
        <w:t>起重机的吊钩和吊环严禁补焊，有下列情况之一的即应更换：</w:t>
      </w:r>
    </w:p>
    <w:p w14:paraId="4C4ED6CC">
      <w:pPr>
        <w:rPr>
          <w:rFonts w:hint="default"/>
          <w:highlight w:val="none"/>
          <w:lang w:val="en-US" w:eastAsia="zh-CN"/>
        </w:rPr>
      </w:pPr>
      <w:r>
        <w:rPr>
          <w:rFonts w:hint="eastAsia"/>
          <w:highlight w:val="none"/>
          <w:lang w:val="en-US" w:eastAsia="zh-CN"/>
        </w:rPr>
        <w:t>（1）</w:t>
      </w:r>
      <w:r>
        <w:rPr>
          <w:rFonts w:hint="default"/>
          <w:highlight w:val="none"/>
          <w:lang w:val="en-US" w:eastAsia="zh-CN"/>
        </w:rPr>
        <w:t>表面有裂纹。</w:t>
      </w:r>
    </w:p>
    <w:p w14:paraId="2ECDBC7F">
      <w:pPr>
        <w:rPr>
          <w:rFonts w:hint="default"/>
          <w:highlight w:val="none"/>
          <w:lang w:val="en-US" w:eastAsia="zh-CN"/>
        </w:rPr>
      </w:pPr>
      <w:r>
        <w:rPr>
          <w:rFonts w:hint="eastAsia"/>
          <w:highlight w:val="none"/>
          <w:lang w:val="en-US" w:eastAsia="zh-CN"/>
        </w:rPr>
        <w:t>（2）</w:t>
      </w:r>
      <w:r>
        <w:rPr>
          <w:rFonts w:hint="default"/>
          <w:highlight w:val="none"/>
          <w:lang w:val="en-US" w:eastAsia="zh-CN"/>
        </w:rPr>
        <w:t>危险断面及钩颈有永久变形。</w:t>
      </w:r>
    </w:p>
    <w:p w14:paraId="324C4CDA">
      <w:pPr>
        <w:rPr>
          <w:rFonts w:hint="default"/>
          <w:highlight w:val="none"/>
          <w:lang w:val="en-US" w:eastAsia="zh-CN"/>
        </w:rPr>
      </w:pPr>
      <w:r>
        <w:rPr>
          <w:rFonts w:hint="eastAsia"/>
          <w:highlight w:val="none"/>
          <w:lang w:val="en-US" w:eastAsia="zh-CN"/>
        </w:rPr>
        <w:t>（3）</w:t>
      </w:r>
      <w:r>
        <w:rPr>
          <w:rFonts w:hint="default"/>
          <w:highlight w:val="none"/>
          <w:lang w:val="en-US" w:eastAsia="zh-CN"/>
        </w:rPr>
        <w:t>挂绳处断面磨损超过高度10％。</w:t>
      </w:r>
    </w:p>
    <w:p w14:paraId="18179B4C">
      <w:pPr>
        <w:rPr>
          <w:rFonts w:hint="default"/>
          <w:highlight w:val="none"/>
          <w:lang w:val="en-US" w:eastAsia="zh-CN"/>
        </w:rPr>
      </w:pPr>
      <w:r>
        <w:rPr>
          <w:rFonts w:hint="eastAsia"/>
          <w:highlight w:val="none"/>
          <w:lang w:val="en-US" w:eastAsia="zh-CN"/>
        </w:rPr>
        <w:t>（4）</w:t>
      </w:r>
      <w:r>
        <w:rPr>
          <w:rFonts w:hint="default"/>
          <w:highlight w:val="none"/>
          <w:lang w:val="en-US" w:eastAsia="zh-CN"/>
        </w:rPr>
        <w:t>吊钩衬套磨损超过原厚度50％，心轴（销子）磨损超过其直径的百分之三。</w:t>
      </w:r>
    </w:p>
    <w:p w14:paraId="22AEC297">
      <w:pPr>
        <w:rPr>
          <w:rFonts w:hint="default"/>
          <w:highlight w:val="none"/>
          <w:lang w:val="en-US" w:eastAsia="zh-CN"/>
        </w:rPr>
      </w:pPr>
      <w:r>
        <w:rPr>
          <w:rFonts w:hint="eastAsia"/>
          <w:highlight w:val="none"/>
          <w:lang w:val="en-US" w:eastAsia="zh-CN"/>
        </w:rPr>
        <w:t>（5）</w:t>
      </w:r>
      <w:r>
        <w:rPr>
          <w:rFonts w:hint="default"/>
          <w:highlight w:val="none"/>
          <w:lang w:val="en-US" w:eastAsia="zh-CN"/>
        </w:rPr>
        <w:t>起重机制动器的制动鼓面磨损达—mm时（大径取大值，小径取小值）或制动带磨损超过原厚度50％时均应更换。</w:t>
      </w:r>
    </w:p>
    <w:p w14:paraId="650DA767">
      <w:pPr>
        <w:rPr>
          <w:rFonts w:hint="default"/>
          <w:highlight w:val="none"/>
          <w:lang w:val="en-US" w:eastAsia="zh-CN"/>
        </w:rPr>
      </w:pPr>
      <w:r>
        <w:rPr>
          <w:rFonts w:hint="eastAsia"/>
          <w:highlight w:val="none"/>
          <w:lang w:val="en-US" w:eastAsia="zh-CN"/>
        </w:rPr>
        <w:t>20、</w:t>
      </w:r>
      <w:r>
        <w:rPr>
          <w:rFonts w:hint="default"/>
          <w:highlight w:val="none"/>
          <w:lang w:val="en-US" w:eastAsia="zh-CN"/>
        </w:rPr>
        <w:t>吊装作业步骤</w:t>
      </w:r>
    </w:p>
    <w:p w14:paraId="6142F52E">
      <w:pPr>
        <w:rPr>
          <w:rFonts w:hint="default"/>
          <w:highlight w:val="none"/>
          <w:lang w:val="en-US" w:eastAsia="zh-CN"/>
        </w:rPr>
      </w:pPr>
      <w:r>
        <w:rPr>
          <w:rFonts w:hint="default"/>
          <w:highlight w:val="none"/>
          <w:lang w:val="en-US" w:eastAsia="zh-CN"/>
        </w:rPr>
        <w:t>（1）作业前，应进行空载运转，试验各工作机构是否运转正常，有无噪音及异响，各机构的制动器及安全防护装置是否有效，确认正常后方可作业。</w:t>
      </w:r>
    </w:p>
    <w:p w14:paraId="34063D75">
      <w:pPr>
        <w:rPr>
          <w:rFonts w:hint="default"/>
          <w:highlight w:val="none"/>
          <w:lang w:val="en-US" w:eastAsia="zh-CN"/>
        </w:rPr>
      </w:pPr>
      <w:r>
        <w:rPr>
          <w:rFonts w:hint="default"/>
          <w:highlight w:val="none"/>
          <w:lang w:val="en-US" w:eastAsia="zh-CN"/>
        </w:rPr>
        <w:t>（2）由地面指挥告知</w:t>
      </w:r>
      <w:r>
        <w:rPr>
          <w:rFonts w:hint="eastAsia"/>
          <w:highlight w:val="none"/>
          <w:lang w:val="en-US" w:eastAsia="zh-CN"/>
        </w:rPr>
        <w:t>塔机</w:t>
      </w:r>
      <w:r>
        <w:rPr>
          <w:rFonts w:hint="default"/>
          <w:highlight w:val="none"/>
          <w:lang w:val="en-US" w:eastAsia="zh-CN"/>
        </w:rPr>
        <w:t>司机吊装内容，通知司索工就位，并将吊装路线及时告知地面工作人员做好避让工作。</w:t>
      </w:r>
    </w:p>
    <w:p w14:paraId="5C712513">
      <w:pPr>
        <w:rPr>
          <w:rFonts w:hint="default"/>
          <w:highlight w:val="none"/>
          <w:lang w:val="en-US" w:eastAsia="zh-CN"/>
        </w:rPr>
      </w:pPr>
      <w:r>
        <w:rPr>
          <w:rFonts w:hint="default"/>
          <w:highlight w:val="none"/>
          <w:lang w:val="en-US" w:eastAsia="zh-CN"/>
        </w:rPr>
        <w:t>（3）司索工绑扎吊物吊点。</w:t>
      </w:r>
    </w:p>
    <w:p w14:paraId="7894B77C">
      <w:pPr>
        <w:rPr>
          <w:rFonts w:hint="default"/>
          <w:highlight w:val="none"/>
          <w:lang w:val="en-US" w:eastAsia="zh-CN"/>
        </w:rPr>
      </w:pPr>
      <w:r>
        <w:rPr>
          <w:rFonts w:hint="default"/>
          <w:highlight w:val="none"/>
          <w:lang w:val="en-US" w:eastAsia="zh-CN"/>
        </w:rPr>
        <w:t>（4）信号工通知</w:t>
      </w:r>
      <w:r>
        <w:rPr>
          <w:rFonts w:hint="eastAsia"/>
          <w:highlight w:val="none"/>
          <w:lang w:val="en-US" w:eastAsia="zh-CN"/>
        </w:rPr>
        <w:t>塔机</w:t>
      </w:r>
      <w:r>
        <w:rPr>
          <w:rFonts w:hint="default"/>
          <w:highlight w:val="none"/>
          <w:lang w:val="en-US" w:eastAsia="zh-CN"/>
        </w:rPr>
        <w:t>司机试吊。</w:t>
      </w:r>
    </w:p>
    <w:p w14:paraId="153FB9A6">
      <w:pPr>
        <w:rPr>
          <w:rFonts w:hint="default"/>
          <w:highlight w:val="none"/>
          <w:lang w:val="en-US" w:eastAsia="zh-CN"/>
        </w:rPr>
      </w:pPr>
      <w:r>
        <w:rPr>
          <w:rFonts w:hint="default"/>
          <w:highlight w:val="none"/>
          <w:lang w:val="en-US" w:eastAsia="zh-CN"/>
        </w:rPr>
        <w:t>（5）信号工通知</w:t>
      </w:r>
      <w:r>
        <w:rPr>
          <w:rFonts w:hint="eastAsia"/>
          <w:highlight w:val="none"/>
          <w:lang w:val="en-US" w:eastAsia="zh-CN"/>
        </w:rPr>
        <w:t>塔机</w:t>
      </w:r>
      <w:r>
        <w:rPr>
          <w:rFonts w:hint="default"/>
          <w:highlight w:val="none"/>
          <w:lang w:val="en-US" w:eastAsia="zh-CN"/>
        </w:rPr>
        <w:t>司机正式起吊。</w:t>
      </w:r>
    </w:p>
    <w:p w14:paraId="26CEF2E9">
      <w:pPr>
        <w:rPr>
          <w:rFonts w:hint="default"/>
          <w:highlight w:val="none"/>
          <w:lang w:val="en-US" w:eastAsia="zh-CN"/>
        </w:rPr>
      </w:pPr>
      <w:r>
        <w:rPr>
          <w:rFonts w:hint="default"/>
          <w:highlight w:val="none"/>
          <w:lang w:val="en-US" w:eastAsia="zh-CN"/>
        </w:rPr>
        <w:t>（6）信号工通知</w:t>
      </w:r>
      <w:r>
        <w:rPr>
          <w:rFonts w:hint="eastAsia"/>
          <w:highlight w:val="none"/>
          <w:lang w:val="en-US" w:eastAsia="zh-CN"/>
        </w:rPr>
        <w:t>塔机</w:t>
      </w:r>
      <w:r>
        <w:rPr>
          <w:rFonts w:hint="default"/>
          <w:highlight w:val="none"/>
          <w:lang w:val="en-US" w:eastAsia="zh-CN"/>
        </w:rPr>
        <w:t>司机将起吊物平稳就位。</w:t>
      </w:r>
    </w:p>
    <w:p w14:paraId="6803AD94">
      <w:pPr>
        <w:pStyle w:val="4"/>
        <w:bidi w:val="0"/>
        <w:ind w:left="720" w:leftChars="0" w:hanging="720" w:firstLineChars="0"/>
        <w:rPr>
          <w:rFonts w:hint="default"/>
          <w:lang w:val="en-US" w:eastAsia="zh-CN"/>
        </w:rPr>
      </w:pPr>
      <w:bookmarkStart w:id="282" w:name="_Toc9542"/>
      <w:bookmarkStart w:id="283" w:name="_Toc11245"/>
      <w:r>
        <w:rPr>
          <w:rFonts w:hint="eastAsia"/>
          <w:lang w:val="en-US" w:eastAsia="zh-CN"/>
        </w:rPr>
        <w:t>塔机</w:t>
      </w:r>
      <w:r>
        <w:rPr>
          <w:rFonts w:hint="default"/>
          <w:lang w:val="en-US" w:eastAsia="zh-CN"/>
        </w:rPr>
        <w:t>操作中安全注意事项</w:t>
      </w:r>
      <w:bookmarkEnd w:id="282"/>
      <w:bookmarkEnd w:id="283"/>
    </w:p>
    <w:p w14:paraId="095139F9">
      <w:pPr>
        <w:rPr>
          <w:rFonts w:hint="default"/>
          <w:highlight w:val="none"/>
          <w:lang w:val="en-US" w:eastAsia="zh-CN"/>
        </w:rPr>
      </w:pPr>
      <w:r>
        <w:rPr>
          <w:rFonts w:hint="default"/>
          <w:highlight w:val="none"/>
          <w:lang w:val="en-US" w:eastAsia="zh-CN"/>
        </w:rPr>
        <w:t>（1）操作各控制器时应依次逐级操作，严禁越档操作。在变换运转方向时，应将控制器转到零位，待电动机停止转动后，在转向另一方向。操作时力求平稳。严禁急开急停。</w:t>
      </w:r>
    </w:p>
    <w:p w14:paraId="55B01C63">
      <w:pPr>
        <w:rPr>
          <w:rFonts w:hint="default"/>
          <w:highlight w:val="none"/>
          <w:lang w:val="en-US" w:eastAsia="zh-CN"/>
        </w:rPr>
      </w:pPr>
      <w:r>
        <w:rPr>
          <w:rFonts w:hint="default"/>
          <w:highlight w:val="none"/>
          <w:lang w:val="en-US" w:eastAsia="zh-CN"/>
        </w:rPr>
        <w:t>（2）吊钩提升接近臂杆顶部、小车行至端点时，应减速缓行至停止位置。吊钩距臂杆顶部不得小于一米。</w:t>
      </w:r>
    </w:p>
    <w:p w14:paraId="301762F1">
      <w:pPr>
        <w:rPr>
          <w:rFonts w:hint="default"/>
          <w:highlight w:val="none"/>
          <w:lang w:val="en-US" w:eastAsia="zh-CN"/>
        </w:rPr>
      </w:pPr>
      <w:r>
        <w:rPr>
          <w:rFonts w:hint="default"/>
          <w:highlight w:val="none"/>
          <w:lang w:val="en-US" w:eastAsia="zh-CN"/>
        </w:rPr>
        <w:t>（3）每次变幅后应对变幅部位进行检查。允许带载变幅的在满荷载或接近满荷载时，不得变幅。</w:t>
      </w:r>
    </w:p>
    <w:p w14:paraId="596582DD">
      <w:pPr>
        <w:rPr>
          <w:rFonts w:hint="default"/>
          <w:highlight w:val="none"/>
          <w:lang w:val="en-US" w:eastAsia="zh-CN"/>
        </w:rPr>
      </w:pPr>
      <w:r>
        <w:rPr>
          <w:rFonts w:hint="default"/>
          <w:highlight w:val="none"/>
          <w:lang w:val="en-US" w:eastAsia="zh-CN"/>
        </w:rPr>
        <w:t>（4）提升重物后严禁自由下落。重物就位时，可用微动机构或使用制动器使之缓慢下降。</w:t>
      </w:r>
    </w:p>
    <w:p w14:paraId="569C76CE">
      <w:pPr>
        <w:rPr>
          <w:rFonts w:hint="default"/>
          <w:highlight w:val="none"/>
          <w:lang w:val="en-US" w:eastAsia="zh-CN"/>
        </w:rPr>
      </w:pPr>
      <w:r>
        <w:rPr>
          <w:rFonts w:hint="default"/>
          <w:highlight w:val="none"/>
          <w:lang w:val="en-US" w:eastAsia="zh-CN"/>
        </w:rPr>
        <w:t>（5）提升的重物平移时，应高出其跨越的障碍物m以上。</w:t>
      </w:r>
    </w:p>
    <w:p w14:paraId="728C61FF">
      <w:pPr>
        <w:rPr>
          <w:rFonts w:hint="default"/>
          <w:highlight w:val="none"/>
          <w:lang w:val="en-US" w:eastAsia="zh-CN"/>
        </w:rPr>
      </w:pPr>
      <w:r>
        <w:rPr>
          <w:rFonts w:hint="default"/>
          <w:highlight w:val="none"/>
          <w:lang w:val="en-US" w:eastAsia="zh-CN"/>
        </w:rPr>
        <w:t>（6）钢筋、型钢、管材等细长和多根物件必须捆扎牢靠，多点起吊。单头“千斤”或捆扎不牢靠不准吊。</w:t>
      </w:r>
    </w:p>
    <w:p w14:paraId="5EE892D1">
      <w:pPr>
        <w:rPr>
          <w:rFonts w:hint="default"/>
          <w:highlight w:val="none"/>
          <w:lang w:val="en-US" w:eastAsia="zh-CN"/>
        </w:rPr>
      </w:pPr>
      <w:r>
        <w:rPr>
          <w:rFonts w:hint="default"/>
          <w:highlight w:val="none"/>
          <w:lang w:val="en-US" w:eastAsia="zh-CN"/>
        </w:rPr>
        <w:t>（7）多孔板、积灰斗、手推翻斗车不用四点吊或大模板外挂板不用卸甲不准吊。</w:t>
      </w:r>
    </w:p>
    <w:p w14:paraId="6A9B4F97">
      <w:pPr>
        <w:rPr>
          <w:rFonts w:hint="default"/>
          <w:highlight w:val="none"/>
          <w:lang w:val="en-US" w:eastAsia="zh-CN"/>
        </w:rPr>
      </w:pPr>
      <w:r>
        <w:rPr>
          <w:rFonts w:hint="default"/>
          <w:highlight w:val="none"/>
          <w:lang w:val="en-US" w:eastAsia="zh-CN"/>
        </w:rPr>
        <w:t>（8）吊砌块必须使用安全可靠的砌块夹具，吊砖必须使用砖笼，并堆放整齐。木砖、预埋件等零星物件要用盛器堆放稳妥，叠放不齐不准吊。</w:t>
      </w:r>
    </w:p>
    <w:p w14:paraId="63040859">
      <w:pPr>
        <w:pStyle w:val="4"/>
        <w:bidi w:val="0"/>
        <w:ind w:left="720" w:leftChars="0" w:hanging="720" w:firstLineChars="0"/>
        <w:rPr>
          <w:rFonts w:hint="default"/>
          <w:lang w:val="en-US" w:eastAsia="zh-CN"/>
        </w:rPr>
      </w:pPr>
      <w:bookmarkStart w:id="284" w:name="_Toc1108"/>
      <w:bookmarkStart w:id="285" w:name="_Toc538"/>
      <w:r>
        <w:rPr>
          <w:rFonts w:hint="eastAsia"/>
          <w:lang w:val="en-US" w:eastAsia="zh-CN"/>
        </w:rPr>
        <w:t>塔机</w:t>
      </w:r>
      <w:r>
        <w:rPr>
          <w:rFonts w:hint="default"/>
          <w:lang w:val="en-US" w:eastAsia="zh-CN"/>
        </w:rPr>
        <w:t>作业后安全注意事项</w:t>
      </w:r>
      <w:bookmarkEnd w:id="284"/>
      <w:bookmarkEnd w:id="285"/>
    </w:p>
    <w:p w14:paraId="2BF4AB31">
      <w:pPr>
        <w:rPr>
          <w:rFonts w:hint="default"/>
          <w:highlight w:val="none"/>
          <w:lang w:val="en-US" w:eastAsia="zh-CN"/>
        </w:rPr>
      </w:pPr>
      <w:r>
        <w:rPr>
          <w:rFonts w:hint="default"/>
          <w:highlight w:val="none"/>
          <w:lang w:val="en-US" w:eastAsia="zh-CN"/>
        </w:rPr>
        <w:t>（1）作业后，臂杆应转到顺风方向，并放松回转制动器。小车及平衡重应移到非工作状态位置。吊钩提升到离臂杆顶端2—3m处。</w:t>
      </w:r>
    </w:p>
    <w:p w14:paraId="3F8DB6DA">
      <w:pPr>
        <w:rPr>
          <w:rFonts w:hint="default"/>
          <w:highlight w:val="none"/>
          <w:lang w:val="en-US" w:eastAsia="zh-CN"/>
        </w:rPr>
      </w:pPr>
      <w:r>
        <w:rPr>
          <w:rFonts w:hint="default"/>
          <w:highlight w:val="none"/>
          <w:lang w:val="en-US" w:eastAsia="zh-CN"/>
        </w:rPr>
        <w:t>（2）将每个控制开关拨至零位，依次断开各路开关，关闭操作室门窗，下机后关闭电源总开关。打开高空指示灯。</w:t>
      </w:r>
    </w:p>
    <w:p w14:paraId="6E2CB721">
      <w:pPr>
        <w:rPr>
          <w:rFonts w:hint="default"/>
          <w:highlight w:val="none"/>
          <w:lang w:val="en-US" w:eastAsia="zh-CN"/>
        </w:rPr>
      </w:pPr>
      <w:r>
        <w:rPr>
          <w:rFonts w:hint="default"/>
          <w:highlight w:val="none"/>
          <w:lang w:val="en-US" w:eastAsia="zh-CN"/>
        </w:rPr>
        <w:t>（3）应用经纬仪经常检查塔身垂直度并及时调整。</w:t>
      </w:r>
    </w:p>
    <w:p w14:paraId="7E8F234F">
      <w:pPr>
        <w:rPr>
          <w:rFonts w:hint="default"/>
          <w:highlight w:val="none"/>
          <w:lang w:val="en-US" w:eastAsia="zh-CN"/>
        </w:rPr>
      </w:pPr>
    </w:p>
    <w:p w14:paraId="73973224">
      <w:pPr>
        <w:pStyle w:val="4"/>
        <w:bidi w:val="0"/>
        <w:ind w:left="720" w:leftChars="0" w:hanging="720" w:firstLineChars="0"/>
      </w:pPr>
      <w:bookmarkStart w:id="286" w:name="_Toc24745_WPSOffice_Level2"/>
      <w:bookmarkStart w:id="287" w:name="_Toc530055697"/>
      <w:r>
        <w:rPr>
          <w:rFonts w:hint="eastAsia"/>
        </w:rPr>
        <w:t>电气设备</w:t>
      </w:r>
      <w:r>
        <w:rPr>
          <w:rFonts w:hint="eastAsia"/>
          <w:lang w:val="en-US" w:eastAsia="zh-CN"/>
        </w:rPr>
        <w:t>技术管控措施</w:t>
      </w:r>
    </w:p>
    <w:bookmarkEnd w:id="286"/>
    <w:bookmarkEnd w:id="287"/>
    <w:p w14:paraId="212C7ECB">
      <w:pPr>
        <w:bidi w:val="0"/>
        <w:rPr>
          <w:highlight w:val="none"/>
        </w:rPr>
      </w:pPr>
      <w:bookmarkStart w:id="288" w:name="_Toc530055698"/>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电气部分</w:t>
      </w:r>
      <w:bookmarkEnd w:id="288"/>
    </w:p>
    <w:p w14:paraId="74FC9021">
      <w:pPr>
        <w:bidi w:val="0"/>
        <w:ind w:firstLine="480" w:firstLineChars="20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D4C9387">
      <w:pPr>
        <w:bidi w:val="0"/>
        <w:rPr>
          <w:highlight w:val="none"/>
        </w:rPr>
      </w:pPr>
      <w:bookmarkStart w:id="289" w:name="_Toc530055699"/>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供电</w:t>
      </w:r>
      <w:bookmarkEnd w:id="289"/>
    </w:p>
    <w:p w14:paraId="59BE2BC6">
      <w:pPr>
        <w:bidi w:val="0"/>
        <w:ind w:firstLine="480" w:firstLineChars="200"/>
        <w:rPr>
          <w:highlight w:val="none"/>
        </w:rPr>
      </w:pPr>
      <w:r>
        <w:rPr>
          <w:rFonts w:hint="eastAsia"/>
          <w:highlight w:val="none"/>
        </w:rPr>
        <w:t>起重机供电电源为三相交流电源,电压380V±10%,频率50HZ。</w:t>
      </w:r>
    </w:p>
    <w:p w14:paraId="27377D02">
      <w:pPr>
        <w:bidi w:val="0"/>
        <w:rPr>
          <w:highlight w:val="none"/>
        </w:rPr>
      </w:pPr>
      <w:bookmarkStart w:id="290" w:name="_Toc530055700"/>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电气保护</w:t>
      </w:r>
      <w:bookmarkEnd w:id="290"/>
    </w:p>
    <w:p w14:paraId="7A2867AA">
      <w:pPr>
        <w:bidi w:val="0"/>
        <w:rPr>
          <w:highlight w:val="none"/>
        </w:rPr>
      </w:pPr>
      <w:r>
        <w:rPr>
          <w:rFonts w:hint="eastAsia"/>
          <w:highlight w:val="none"/>
        </w:rPr>
        <w:t>1）短路及过载保护</w:t>
      </w:r>
    </w:p>
    <w:p w14:paraId="4BA21377">
      <w:pPr>
        <w:bidi w:val="0"/>
        <w:ind w:firstLine="480" w:firstLineChars="200"/>
        <w:rPr>
          <w:highlight w:val="none"/>
        </w:rPr>
      </w:pPr>
      <w:r>
        <w:rPr>
          <w:rFonts w:hint="eastAsia"/>
          <w:highlight w:val="none"/>
        </w:rPr>
        <w:t>起重机总受电屏、控制屏进出电源设置断路器、控制回路设置小容量断路器，使各机构在短路，过载等事故状态下，迅速与电源脱离,以达到保护设备及</w:t>
      </w:r>
      <w:bookmarkStart w:id="291" w:name="_Toc20258_WPSOffice_Level2"/>
      <w:r>
        <w:rPr>
          <w:rFonts w:hint="eastAsia"/>
          <w:highlight w:val="none"/>
        </w:rPr>
        <w:t>人机安全的目的。</w:t>
      </w:r>
      <w:bookmarkEnd w:id="291"/>
    </w:p>
    <w:p w14:paraId="7FC3883D">
      <w:pPr>
        <w:bidi w:val="0"/>
        <w:rPr>
          <w:highlight w:val="none"/>
        </w:rPr>
      </w:pPr>
      <w:r>
        <w:rPr>
          <w:rFonts w:hint="eastAsia"/>
          <w:highlight w:val="none"/>
        </w:rPr>
        <w:t>2）失压保护</w:t>
      </w:r>
    </w:p>
    <w:p w14:paraId="2187EC71">
      <w:pPr>
        <w:bidi w:val="0"/>
        <w:ind w:firstLine="480" w:firstLineChars="200"/>
        <w:rPr>
          <w:highlight w:val="none"/>
        </w:rPr>
      </w:pPr>
      <w:r>
        <w:rPr>
          <w:rFonts w:hint="eastAsia"/>
          <w:highlight w:val="none"/>
        </w:rPr>
        <w:t>在总受电屏及机构控制屏中，用线路接触器</w:t>
      </w:r>
      <w:bookmarkStart w:id="292" w:name="_Toc12226_WPSOffice_Level2"/>
      <w:r>
        <w:rPr>
          <w:rFonts w:hint="eastAsia"/>
          <w:highlight w:val="none"/>
        </w:rPr>
        <w:t>作为失压保护</w:t>
      </w:r>
      <w:bookmarkEnd w:id="292"/>
      <w:r>
        <w:rPr>
          <w:rFonts w:hint="eastAsia"/>
          <w:highlight w:val="none"/>
        </w:rPr>
        <w:t>装置，当供电电源中断时,能够自动断开电源。</w:t>
      </w:r>
    </w:p>
    <w:p w14:paraId="58B2AC2D">
      <w:pPr>
        <w:bidi w:val="0"/>
        <w:rPr>
          <w:highlight w:val="none"/>
        </w:rPr>
      </w:pPr>
      <w:r>
        <w:rPr>
          <w:rFonts w:hint="eastAsia"/>
          <w:highlight w:val="none"/>
        </w:rPr>
        <w:t>3）零位保护</w:t>
      </w:r>
    </w:p>
    <w:p w14:paraId="1165CFCF">
      <w:pPr>
        <w:bidi w:val="0"/>
        <w:ind w:firstLine="480" w:firstLineChars="20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w:t>
      </w:r>
      <w:bookmarkStart w:id="293" w:name="_Toc29864_WPSOffice_Level1"/>
      <w:r>
        <w:rPr>
          <w:rFonts w:hint="eastAsia"/>
          <w:highlight w:val="none"/>
        </w:rPr>
        <w:t>的电动机才能启动工作。</w:t>
      </w:r>
      <w:bookmarkEnd w:id="293"/>
    </w:p>
    <w:p w14:paraId="055EC179">
      <w:pPr>
        <w:bidi w:val="0"/>
        <w:rPr>
          <w:highlight w:val="none"/>
        </w:rPr>
      </w:pPr>
      <w:r>
        <w:rPr>
          <w:rFonts w:hint="eastAsia"/>
          <w:highlight w:val="none"/>
        </w:rPr>
        <w:t>4）紧急断电保护</w:t>
      </w:r>
    </w:p>
    <w:p w14:paraId="53110ECC">
      <w:pPr>
        <w:bidi w:val="0"/>
        <w:ind w:firstLine="480" w:firstLineChars="200"/>
        <w:rPr>
          <w:highlight w:val="none"/>
        </w:rPr>
      </w:pPr>
      <w:r>
        <w:rPr>
          <w:rFonts w:hint="eastAsia"/>
          <w:highlight w:val="none"/>
        </w:rPr>
        <w:t>司机室内设有紧急断电按钮，当起重机发生紧急情况时，随时方便地切断控制回路电源，从而使主回路断电，确保起重机的安全运行。</w:t>
      </w:r>
    </w:p>
    <w:p w14:paraId="1D66F3C3">
      <w:pPr>
        <w:bidi w:val="0"/>
        <w:rPr>
          <w:highlight w:val="none"/>
        </w:rPr>
      </w:pPr>
      <w:r>
        <w:rPr>
          <w:rFonts w:hint="eastAsia"/>
          <w:highlight w:val="none"/>
        </w:rPr>
        <w:t>5）起升,行程限位保护</w:t>
      </w:r>
    </w:p>
    <w:p w14:paraId="66A668B7">
      <w:pPr>
        <w:bidi w:val="0"/>
        <w:ind w:firstLine="480" w:firstLineChars="20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w:t>
      </w:r>
      <w:bookmarkStart w:id="294" w:name="_Toc27220_WPSOffice_Level2"/>
      <w:r>
        <w:rPr>
          <w:rFonts w:hint="eastAsia"/>
          <w:highlight w:val="none"/>
        </w:rPr>
        <w:t>车的目的，确保起重机的</w:t>
      </w:r>
      <w:bookmarkEnd w:id="294"/>
      <w:r>
        <w:rPr>
          <w:rFonts w:hint="eastAsia"/>
          <w:highlight w:val="none"/>
        </w:rPr>
        <w:t>安全运行。</w:t>
      </w:r>
    </w:p>
    <w:p w14:paraId="60BD1612">
      <w:pPr>
        <w:bidi w:val="0"/>
        <w:rPr>
          <w:highlight w:val="none"/>
        </w:rPr>
      </w:pPr>
      <w:r>
        <w:rPr>
          <w:rFonts w:hint="eastAsia"/>
          <w:highlight w:val="none"/>
          <w:lang w:val="en-US" w:eastAsia="zh-CN"/>
        </w:rPr>
        <w:t>6</w:t>
      </w:r>
      <w:r>
        <w:rPr>
          <w:rFonts w:hint="eastAsia"/>
          <w:highlight w:val="none"/>
        </w:rPr>
        <w:t>）超载保护</w:t>
      </w:r>
    </w:p>
    <w:p w14:paraId="6F54A060">
      <w:pPr>
        <w:bidi w:val="0"/>
        <w:ind w:firstLine="480" w:firstLineChars="20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297EB24B">
      <w:pPr>
        <w:bidi w:val="0"/>
        <w:rPr>
          <w:highlight w:val="none"/>
        </w:rPr>
      </w:pPr>
      <w:r>
        <w:rPr>
          <w:rFonts w:hint="eastAsia"/>
          <w:highlight w:val="none"/>
          <w:lang w:val="en-US" w:eastAsia="zh-CN"/>
        </w:rPr>
        <w:t>7</w:t>
      </w:r>
      <w:r>
        <w:rPr>
          <w:rFonts w:hint="eastAsia"/>
          <w:highlight w:val="none"/>
        </w:rPr>
        <w:t>）控制柜,端子箱防护等级IP55，端子箱采用下部或侧部进线上部做防雨，槽盖加防脱落装置。</w:t>
      </w:r>
    </w:p>
    <w:p w14:paraId="1B212E70">
      <w:pPr>
        <w:bidi w:val="0"/>
        <w:rPr>
          <w:highlight w:val="none"/>
        </w:rPr>
      </w:pPr>
      <w:bookmarkStart w:id="295" w:name="_Toc530055703"/>
      <w:bookmarkStart w:id="296" w:name="_Toc530055701"/>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起重机的接地</w:t>
      </w:r>
      <w:bookmarkEnd w:id="295"/>
    </w:p>
    <w:p w14:paraId="12F5321F">
      <w:pPr>
        <w:bidi w:val="0"/>
        <w:rPr>
          <w:highlight w:val="none"/>
        </w:rPr>
      </w:pPr>
      <w:r>
        <w:rPr>
          <w:rFonts w:hint="eastAsia"/>
          <w:highlight w:val="none"/>
        </w:rPr>
        <w:t>1）起重机的金属结构及所有电气设备的金属外壳，电缆金属外皮和变压器的低压侧均有可靠的接地。</w:t>
      </w:r>
    </w:p>
    <w:p w14:paraId="3AF6199D">
      <w:pPr>
        <w:bidi w:val="0"/>
        <w:rPr>
          <w:highlight w:val="none"/>
        </w:rPr>
      </w:pPr>
      <w:r>
        <w:rPr>
          <w:rFonts w:hint="eastAsia"/>
          <w:highlight w:val="none"/>
        </w:rPr>
        <w:t>3）起重机上任何一点的接地电阻均不大于4Ω。</w:t>
      </w:r>
    </w:p>
    <w:p w14:paraId="596E8B17">
      <w:pPr>
        <w:bidi w:val="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操纵方式</w:t>
      </w:r>
      <w:bookmarkEnd w:id="296"/>
    </w:p>
    <w:p w14:paraId="1900238B">
      <w:pPr>
        <w:bidi w:val="0"/>
        <w:rPr>
          <w:highlight w:val="none"/>
        </w:rPr>
      </w:pPr>
      <w:r>
        <w:rPr>
          <w:rFonts w:hint="eastAsia"/>
          <w:highlight w:val="none"/>
        </w:rPr>
        <w:t>1）司机室设有总电源和控制电源开关状态信号指示灯。</w:t>
      </w:r>
    </w:p>
    <w:p w14:paraId="075EC4ED">
      <w:pPr>
        <w:bidi w:val="0"/>
        <w:rPr>
          <w:highlight w:val="none"/>
        </w:rPr>
      </w:pPr>
      <w:r>
        <w:rPr>
          <w:rFonts w:hint="eastAsia"/>
          <w:highlight w:val="none"/>
        </w:rPr>
        <w:t>2）司机室设置交流220V电源插座及三相380V电源，备接其它电气设备。</w:t>
      </w:r>
    </w:p>
    <w:p w14:paraId="5F936AA7">
      <w:pPr>
        <w:bidi w:val="0"/>
        <w:rPr>
          <w:highlight w:val="none"/>
        </w:rPr>
      </w:pPr>
      <w:r>
        <w:rPr>
          <w:rFonts w:hint="eastAsia"/>
          <w:highlight w:val="none"/>
        </w:rPr>
        <w:t>3）司机室设有36V插座，以便于检修作业。</w:t>
      </w:r>
    </w:p>
    <w:p w14:paraId="0D12F839">
      <w:pPr>
        <w:bidi w:val="0"/>
        <w:rPr>
          <w:highlight w:val="none"/>
        </w:rPr>
      </w:pPr>
      <w:r>
        <w:rPr>
          <w:rFonts w:hint="eastAsia"/>
          <w:highlight w:val="none"/>
        </w:rPr>
        <w:t>4）司机室用交流220V/40W荧光灯具照明，以满足照度不低于200LX的要求。</w:t>
      </w:r>
    </w:p>
    <w:p w14:paraId="4D44D57A">
      <w:pPr>
        <w:bidi w:val="0"/>
        <w:rPr>
          <w:highlight w:val="none"/>
        </w:rPr>
      </w:pPr>
      <w:bookmarkStart w:id="297" w:name="_Toc530055702"/>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照明信号</w:t>
      </w:r>
      <w:bookmarkEnd w:id="297"/>
    </w:p>
    <w:p w14:paraId="34D86656">
      <w:pPr>
        <w:bidi w:val="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4B7FFE47">
      <w:pPr>
        <w:bidi w:val="0"/>
        <w:rPr>
          <w:highlight w:val="none"/>
        </w:rPr>
      </w:pPr>
      <w:r>
        <w:rPr>
          <w:rFonts w:hint="eastAsia"/>
          <w:highlight w:val="none"/>
        </w:rPr>
        <w:t>2）设有报警装置,操作时起提示作用，在司机室通过按钮开关控制。</w:t>
      </w:r>
    </w:p>
    <w:p w14:paraId="6B581DC7">
      <w:pPr>
        <w:bidi w:val="0"/>
        <w:rPr>
          <w:highlight w:val="none"/>
        </w:rPr>
      </w:pPr>
      <w:bookmarkStart w:id="298" w:name="_Toc530055704"/>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其它</w:t>
      </w:r>
      <w:bookmarkEnd w:id="298"/>
    </w:p>
    <w:p w14:paraId="51BC3D44">
      <w:pPr>
        <w:bidi w:val="0"/>
        <w:rPr>
          <w:highlight w:val="none"/>
        </w:rPr>
      </w:pPr>
      <w:r>
        <w:rPr>
          <w:rFonts w:hint="eastAsia"/>
          <w:highlight w:val="none"/>
        </w:rPr>
        <w:t>1）起重机上布线采用截面积不小于mm²的铜导线。</w:t>
      </w:r>
    </w:p>
    <w:p w14:paraId="3825E0F6">
      <w:pPr>
        <w:bidi w:val="0"/>
        <w:rPr>
          <w:color w:val="808080" w:themeColor="background1" w:themeShade="80"/>
          <w:highlight w:val="none"/>
        </w:rPr>
      </w:pPr>
      <w:r>
        <w:rPr>
          <w:rFonts w:hint="eastAsia"/>
          <w:highlight w:val="none"/>
        </w:rPr>
        <w:t>2）总受电屏和各机构控制屏中的布线采用铜导线和铜排。</w:t>
      </w:r>
    </w:p>
    <w:p w14:paraId="361865C9">
      <w:pPr>
        <w:pStyle w:val="4"/>
        <w:bidi w:val="0"/>
        <w:ind w:left="720" w:leftChars="0" w:hanging="720" w:firstLineChars="0"/>
        <w:rPr>
          <w:rFonts w:hint="default"/>
          <w:lang w:val="en-US" w:eastAsia="zh-CN"/>
        </w:rPr>
      </w:pPr>
      <w:bookmarkStart w:id="299" w:name="_Toc19093"/>
      <w:bookmarkStart w:id="300" w:name="_Toc9893"/>
      <w:r>
        <w:rPr>
          <w:rFonts w:hint="default"/>
          <w:lang w:val="en-US" w:eastAsia="zh-CN"/>
        </w:rPr>
        <w:t>维护与保养</w:t>
      </w:r>
      <w:bookmarkEnd w:id="299"/>
      <w:bookmarkEnd w:id="300"/>
    </w:p>
    <w:p w14:paraId="5B595DD9">
      <w:pPr>
        <w:rPr>
          <w:rFonts w:hint="default"/>
          <w:highlight w:val="none"/>
          <w:lang w:val="en-US" w:eastAsia="zh-CN"/>
        </w:rPr>
      </w:pPr>
      <w:r>
        <w:rPr>
          <w:rFonts w:hint="eastAsia"/>
          <w:highlight w:val="none"/>
          <w:lang w:val="en-US" w:eastAsia="zh-CN"/>
        </w:rPr>
        <w:t>（1）</w:t>
      </w:r>
      <w:r>
        <w:rPr>
          <w:rFonts w:hint="default"/>
          <w:highlight w:val="none"/>
          <w:lang w:val="en-US" w:eastAsia="zh-CN"/>
        </w:rPr>
        <w:t>机械的制动器应经常进行检查和调整制动瓦和制动轮的间隙，以保证制动的灵活可靠，其间隙在～mm之间，在摩擦面上不应有污物存在，遇有异物即用汽油洗净。</w:t>
      </w:r>
    </w:p>
    <w:p w14:paraId="11CE9896">
      <w:pPr>
        <w:rPr>
          <w:rFonts w:hint="default"/>
          <w:highlight w:val="none"/>
          <w:lang w:val="en-US" w:eastAsia="zh-CN"/>
        </w:rPr>
      </w:pPr>
      <w:r>
        <w:rPr>
          <w:rFonts w:hint="eastAsia"/>
          <w:highlight w:val="none"/>
          <w:lang w:val="en-US" w:eastAsia="zh-CN"/>
        </w:rPr>
        <w:t>（2）</w:t>
      </w:r>
      <w:r>
        <w:rPr>
          <w:rFonts w:hint="default"/>
          <w:highlight w:val="none"/>
          <w:lang w:val="en-US" w:eastAsia="zh-CN"/>
        </w:rPr>
        <w:t>减速箱、变速箱、外啮合齿轮等部分的润滑按照润滑指标进行添加或更换。要注意检查各部位的钢丝绳有无断股现象和松股现象，如超过有关规定，必须立即更换。</w:t>
      </w:r>
    </w:p>
    <w:p w14:paraId="4CD38123">
      <w:pPr>
        <w:rPr>
          <w:rFonts w:hint="default"/>
          <w:highlight w:val="none"/>
          <w:lang w:val="en-US" w:eastAsia="zh-CN"/>
        </w:rPr>
      </w:pPr>
      <w:r>
        <w:rPr>
          <w:rFonts w:hint="eastAsia"/>
          <w:highlight w:val="none"/>
          <w:lang w:val="en-US" w:eastAsia="zh-CN"/>
        </w:rPr>
        <w:t>（3）</w:t>
      </w:r>
      <w:r>
        <w:rPr>
          <w:rFonts w:hint="default"/>
          <w:highlight w:val="none"/>
          <w:lang w:val="en-US" w:eastAsia="zh-CN"/>
        </w:rPr>
        <w:t>经常检查各部位的联结情况，如有松动应予以拧紧，塔身连结螺栓应在塔身受压时检查松紧度，所有连接销轴必须带有开口销，并需张开。</w:t>
      </w:r>
    </w:p>
    <w:p w14:paraId="6BA691EB">
      <w:pPr>
        <w:rPr>
          <w:rFonts w:hint="default"/>
          <w:highlight w:val="none"/>
          <w:lang w:val="en-US" w:eastAsia="zh-CN"/>
        </w:rPr>
      </w:pPr>
      <w:r>
        <w:rPr>
          <w:rFonts w:hint="eastAsia"/>
          <w:highlight w:val="none"/>
          <w:lang w:val="en-US" w:eastAsia="zh-CN"/>
        </w:rPr>
        <w:t>（4）</w:t>
      </w:r>
      <w:r>
        <w:rPr>
          <w:rFonts w:hint="default"/>
          <w:highlight w:val="none"/>
          <w:lang w:val="en-US" w:eastAsia="zh-CN"/>
        </w:rPr>
        <w:t>安装、拆卸和调整回转机械时，要注意保证回转机械与减速器的中心线与回转大齿圈的中心线平行，回转小齿轮与大齿圈的啮合面不小于70％，啮合间隙要合适。</w:t>
      </w:r>
    </w:p>
    <w:p w14:paraId="0FA2835A">
      <w:pPr>
        <w:rPr>
          <w:rFonts w:hint="default"/>
          <w:highlight w:val="none"/>
          <w:lang w:val="en-US" w:eastAsia="zh-CN"/>
        </w:rPr>
      </w:pPr>
      <w:r>
        <w:rPr>
          <w:rFonts w:hint="eastAsia"/>
          <w:highlight w:val="none"/>
          <w:lang w:val="en-US" w:eastAsia="zh-CN"/>
        </w:rPr>
        <w:t>（5）</w:t>
      </w:r>
      <w:r>
        <w:rPr>
          <w:rFonts w:hint="default"/>
          <w:highlight w:val="none"/>
          <w:lang w:val="en-US" w:eastAsia="zh-CN"/>
        </w:rPr>
        <w:t>在运输中尽量设法防止构件变形及碰撞损坏，必须定期检修和保养，经常检查结构联结螺栓、焊缝以及构件是否损坏、变形和松动。</w:t>
      </w:r>
    </w:p>
    <w:p w14:paraId="36416BB6">
      <w:pPr>
        <w:rPr>
          <w:rFonts w:hint="default"/>
          <w:highlight w:val="none"/>
          <w:lang w:val="en-US" w:eastAsia="zh-CN"/>
        </w:rPr>
      </w:pPr>
      <w:r>
        <w:rPr>
          <w:rFonts w:hint="eastAsia"/>
          <w:highlight w:val="none"/>
          <w:lang w:val="en-US" w:eastAsia="zh-CN"/>
        </w:rPr>
        <w:t>（6）塔机</w:t>
      </w:r>
      <w:r>
        <w:rPr>
          <w:rFonts w:hint="default"/>
          <w:highlight w:val="none"/>
          <w:lang w:val="en-US" w:eastAsia="zh-CN"/>
        </w:rPr>
        <w:t>基础沉降观测半月一次。垂直度在</w:t>
      </w:r>
      <w:r>
        <w:rPr>
          <w:rFonts w:hint="eastAsia"/>
          <w:highlight w:val="none"/>
          <w:lang w:val="en-US" w:eastAsia="zh-CN"/>
        </w:rPr>
        <w:t>塔机</w:t>
      </w:r>
      <w:r>
        <w:rPr>
          <w:rFonts w:hint="default"/>
          <w:highlight w:val="none"/>
          <w:lang w:val="en-US" w:eastAsia="zh-CN"/>
        </w:rPr>
        <w:t>自由高度时半月一次测定。 在塔机出现沉降，垂直度偏差超过规定范围时，必须进行偏差校正。在最低节与</w:t>
      </w:r>
      <w:r>
        <w:rPr>
          <w:rFonts w:hint="eastAsia"/>
          <w:highlight w:val="none"/>
          <w:lang w:val="en-US" w:eastAsia="zh-CN"/>
        </w:rPr>
        <w:t>塔机</w:t>
      </w:r>
      <w:r>
        <w:rPr>
          <w:rFonts w:hint="default"/>
          <w:highlight w:val="none"/>
          <w:lang w:val="en-US" w:eastAsia="zh-CN"/>
        </w:rPr>
        <w:t>基脚螺栓加垫钢片校正。校正过程中用高吨位千斤顶顶起塔身，顶塔身之前，塔身用大缆绳四面揽紧，在确保安全的前提下才能起顶塔身。</w:t>
      </w:r>
    </w:p>
    <w:p w14:paraId="55173C25">
      <w:pPr>
        <w:rPr>
          <w:rFonts w:ascii="宋体" w:hAnsi="宋体" w:eastAsia="宋体" w:cs="宋体"/>
          <w:color w:val="808080" w:themeColor="background1" w:themeShade="80"/>
          <w:sz w:val="24"/>
          <w:szCs w:val="24"/>
          <w:highlight w:val="none"/>
        </w:rPr>
      </w:pPr>
      <w:r>
        <w:rPr>
          <w:rFonts w:hint="eastAsia"/>
          <w:highlight w:val="none"/>
          <w:lang w:val="en-US" w:eastAsia="zh-CN"/>
        </w:rPr>
        <w:t>（7）</w:t>
      </w:r>
      <w:r>
        <w:rPr>
          <w:rFonts w:hint="default"/>
          <w:highlight w:val="none"/>
          <w:lang w:val="en-US" w:eastAsia="zh-CN"/>
        </w:rPr>
        <w:t>塔机必须定机定人，专人负责，非机组人员不得进入司机室擅自进行操作。处理电气故障时，须有维修人员。</w:t>
      </w:r>
    </w:p>
    <w:p w14:paraId="45A6AF37">
      <w:pPr>
        <w:pStyle w:val="4"/>
        <w:bidi w:val="0"/>
        <w:ind w:left="720" w:leftChars="0" w:hanging="720" w:firstLineChars="0"/>
        <w:rPr>
          <w:rFonts w:hint="eastAsia"/>
        </w:rPr>
      </w:pPr>
      <w:r>
        <w:rPr>
          <w:rFonts w:hint="eastAsia"/>
        </w:rPr>
        <w:t>强制性条文和具体措施</w:t>
      </w:r>
    </w:p>
    <w:p w14:paraId="12E7A684">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应执行的强制性条文</w:t>
      </w:r>
    </w:p>
    <w:p w14:paraId="7E06D737">
      <w:pPr>
        <w:bidi w:val="0"/>
        <w:ind w:firstLine="480" w:firstLineChars="20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3644ED83">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具体措施</w:t>
      </w:r>
    </w:p>
    <w:p w14:paraId="541C9491">
      <w:pPr>
        <w:bidi w:val="0"/>
        <w:ind w:firstLine="480" w:firstLineChars="200"/>
        <w:rPr>
          <w:rFonts w:hint="eastAsia" w:ascii="宋体" w:hAnsi="宋体" w:eastAsia="宋体" w:cs="宋体"/>
          <w:color w:val="808080" w:themeColor="background1" w:themeShade="80"/>
          <w:szCs w:val="24"/>
          <w:highlight w:val="none"/>
        </w:rPr>
      </w:pPr>
      <w:r>
        <w:rPr>
          <w:rFonts w:hint="eastAsia"/>
          <w:highlight w:val="none"/>
        </w:rPr>
        <w:t>电气系统的验收作为整机验收的一部分，调试不合格不得投入使用。</w:t>
      </w:r>
    </w:p>
    <w:p w14:paraId="46F70687">
      <w:pPr>
        <w:pStyle w:val="4"/>
        <w:bidi w:val="0"/>
        <w:ind w:left="720" w:leftChars="0" w:hanging="720" w:firstLineChars="0"/>
        <w:rPr>
          <w:rFonts w:hint="default"/>
          <w:lang w:val="en-US" w:eastAsia="zh-CN"/>
        </w:rPr>
      </w:pPr>
      <w:bookmarkStart w:id="301" w:name="_Toc5129"/>
      <w:bookmarkStart w:id="302" w:name="_Toc18484"/>
      <w:bookmarkStart w:id="303" w:name="_Toc951"/>
      <w:r>
        <w:rPr>
          <w:rFonts w:hint="eastAsia"/>
          <w:lang w:val="en-US" w:eastAsia="zh-CN"/>
        </w:rPr>
        <w:t>0监控监测措施</w:t>
      </w:r>
      <w:bookmarkEnd w:id="301"/>
      <w:bookmarkEnd w:id="302"/>
      <w:bookmarkEnd w:id="303"/>
    </w:p>
    <w:p w14:paraId="6874E436">
      <w:pPr>
        <w:pStyle w:val="5"/>
        <w:bidi w:val="0"/>
        <w:ind w:left="864" w:leftChars="0" w:hanging="864" w:firstLineChars="0"/>
        <w:rPr>
          <w:rFonts w:hint="default"/>
          <w:lang w:val="en-US" w:eastAsia="zh-CN"/>
        </w:rPr>
      </w:pPr>
      <w:bookmarkStart w:id="304" w:name="_Toc32645"/>
      <w:bookmarkStart w:id="305" w:name="_Toc22702"/>
      <w:r>
        <w:rPr>
          <w:rFonts w:hint="eastAsia"/>
          <w:lang w:val="en-US" w:eastAsia="zh-CN"/>
        </w:rPr>
        <w:t>监测项目</w:t>
      </w:r>
      <w:bookmarkEnd w:id="304"/>
      <w:bookmarkEnd w:id="305"/>
    </w:p>
    <w:p w14:paraId="5EFCFD8E">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监测的主要内容为塔身垂直度监测、基础沉降监测、基础位移监测。</w:t>
      </w:r>
    </w:p>
    <w:p w14:paraId="6001870B">
      <w:pPr>
        <w:pStyle w:val="5"/>
        <w:bidi w:val="0"/>
        <w:ind w:left="864" w:leftChars="0" w:hanging="864" w:firstLineChars="0"/>
        <w:rPr>
          <w:rFonts w:hint="default"/>
          <w:lang w:val="en-US" w:eastAsia="zh-CN"/>
        </w:rPr>
      </w:pPr>
      <w:bookmarkStart w:id="306" w:name="_Toc17955"/>
      <w:bookmarkStart w:id="307" w:name="_Toc14789"/>
      <w:r>
        <w:rPr>
          <w:rFonts w:hint="eastAsia"/>
          <w:lang w:val="en-US" w:eastAsia="zh-CN"/>
        </w:rPr>
        <w:t>监测方法</w:t>
      </w:r>
      <w:bookmarkEnd w:id="306"/>
      <w:bookmarkEnd w:id="307"/>
    </w:p>
    <w:p w14:paraId="0923FBF8">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安装好由技术监督部门进行设备检测</w:t>
      </w:r>
      <w:r>
        <w:rPr>
          <w:rFonts w:hint="eastAsia"/>
          <w:highlight w:val="none"/>
          <w:lang w:val="en-US" w:eastAsia="zh-CN"/>
        </w:rPr>
        <w:t>，</w:t>
      </w:r>
      <w:r>
        <w:rPr>
          <w:rFonts w:hint="default"/>
          <w:highlight w:val="none"/>
          <w:lang w:val="en-US" w:eastAsia="zh-CN"/>
        </w:rPr>
        <w:t>检测合格再组织检查验收，验收合格后方可交付使用。</w:t>
      </w:r>
    </w:p>
    <w:p w14:paraId="0C4E7CB3">
      <w:pPr>
        <w:bidi w:val="0"/>
        <w:ind w:firstLine="480" w:firstLineChars="200"/>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塔机</w:t>
      </w:r>
      <w:r>
        <w:rPr>
          <w:rFonts w:hint="default"/>
          <w:highlight w:val="none"/>
          <w:lang w:val="en-US" w:eastAsia="zh-CN"/>
        </w:rPr>
        <w:t>塔身垂直度监测</w:t>
      </w:r>
    </w:p>
    <w:p w14:paraId="37B954B2">
      <w:pPr>
        <w:bidi w:val="0"/>
        <w:ind w:firstLine="480" w:firstLineChars="200"/>
        <w:rPr>
          <w:rFonts w:hint="eastAsia"/>
          <w:highlight w:val="none"/>
          <w:lang w:val="en-US" w:eastAsia="zh-CN"/>
        </w:rPr>
      </w:pPr>
      <w:r>
        <w:rPr>
          <w:rFonts w:hint="default"/>
          <w:highlight w:val="none"/>
          <w:lang w:val="en-US" w:eastAsia="zh-CN"/>
        </w:rPr>
        <w:t>用</w:t>
      </w:r>
      <w:r>
        <w:rPr>
          <w:rFonts w:hint="eastAsia"/>
          <w:highlight w:val="none"/>
          <w:lang w:val="en-US" w:eastAsia="zh-CN"/>
        </w:rPr>
        <w:t>全站仪</w:t>
      </w:r>
      <w:r>
        <w:rPr>
          <w:rFonts w:hint="default"/>
          <w:highlight w:val="none"/>
          <w:lang w:val="en-US" w:eastAsia="zh-CN"/>
        </w:rPr>
        <w:t>定期测量</w:t>
      </w:r>
      <w:r>
        <w:rPr>
          <w:rFonts w:hint="eastAsia"/>
          <w:highlight w:val="none"/>
          <w:lang w:val="en-US" w:eastAsia="zh-CN"/>
        </w:rPr>
        <w:t>塔机</w:t>
      </w:r>
      <w:r>
        <w:rPr>
          <w:rFonts w:hint="default"/>
          <w:highlight w:val="none"/>
          <w:lang w:val="en-US" w:eastAsia="zh-CN"/>
        </w:rPr>
        <w:t>垂直度确保</w:t>
      </w:r>
      <w:r>
        <w:rPr>
          <w:rFonts w:hint="eastAsia"/>
          <w:highlight w:val="none"/>
          <w:lang w:val="en-US" w:eastAsia="zh-CN"/>
        </w:rPr>
        <w:t>塔机</w:t>
      </w:r>
      <w:r>
        <w:rPr>
          <w:rFonts w:hint="default"/>
          <w:highlight w:val="none"/>
          <w:lang w:val="en-US" w:eastAsia="zh-CN"/>
        </w:rPr>
        <w:t>使用过程的安全稳定，测量方法</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01A31A32">
      <w:pPr>
        <w:bidi w:val="0"/>
        <w:ind w:left="0" w:leftChars="0" w:firstLine="0" w:firstLineChars="0"/>
        <w:jc w:val="center"/>
        <w:rPr>
          <w:highlight w:val="none"/>
        </w:rPr>
      </w:pPr>
      <w:r>
        <w:rPr>
          <w:highlight w:val="none"/>
        </w:rPr>
        <w:drawing>
          <wp:inline distT="0" distB="0" distL="114300" distR="114300">
            <wp:extent cx="4229100" cy="1573530"/>
            <wp:effectExtent l="0" t="0" r="0" b="1270"/>
            <wp:docPr id="3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
                    <pic:cNvPicPr>
                      <a:picLocks noChangeAspect="1"/>
                    </pic:cNvPicPr>
                  </pic:nvPicPr>
                  <pic:blipFill>
                    <a:blip r:embed="rId72"/>
                    <a:stretch>
                      <a:fillRect/>
                    </a:stretch>
                  </pic:blipFill>
                  <pic:spPr>
                    <a:xfrm>
                      <a:off x="0" y="0"/>
                      <a:ext cx="4229100" cy="1573530"/>
                    </a:xfrm>
                    <a:prstGeom prst="rect">
                      <a:avLst/>
                    </a:prstGeom>
                    <a:noFill/>
                    <a:ln>
                      <a:noFill/>
                    </a:ln>
                  </pic:spPr>
                </pic:pic>
              </a:graphicData>
            </a:graphic>
          </wp:inline>
        </w:drawing>
      </w:r>
    </w:p>
    <w:p w14:paraId="6439C6B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图6-3塔机</w:t>
      </w:r>
      <w:r>
        <w:rPr>
          <w:rFonts w:hint="default"/>
          <w:highlight w:val="none"/>
          <w:lang w:val="en-US" w:eastAsia="zh-CN"/>
        </w:rPr>
        <w:t>垂直度观测示意图</w:t>
      </w:r>
    </w:p>
    <w:p w14:paraId="7C761D9A">
      <w:pPr>
        <w:bidi w:val="0"/>
        <w:ind w:firstLine="480" w:firstLineChars="200"/>
        <w:rPr>
          <w:rFonts w:hint="default"/>
          <w:highlight w:val="none"/>
          <w:lang w:val="en-US" w:eastAsia="zh-CN"/>
        </w:rPr>
      </w:pPr>
      <w:r>
        <w:rPr>
          <w:rFonts w:hint="default"/>
          <w:highlight w:val="none"/>
          <w:lang w:val="en-US" w:eastAsia="zh-CN"/>
        </w:rPr>
        <w:t>独立状态或附着状态下最高附着点以上塔身轴线对支承面垂直度不得大于4/1000</w:t>
      </w:r>
      <w:r>
        <w:rPr>
          <w:rFonts w:hint="eastAsia"/>
          <w:highlight w:val="none"/>
          <w:lang w:val="en-US" w:eastAsia="zh-CN"/>
        </w:rPr>
        <w:t>，</w:t>
      </w:r>
      <w:r>
        <w:rPr>
          <w:rFonts w:hint="default"/>
          <w:highlight w:val="none"/>
          <w:lang w:val="en-US" w:eastAsia="zh-CN"/>
        </w:rPr>
        <w:t>最高附着点下塔身轴线对支承面垂直度不得大于相应高度的2/1000。即塔机垂直度&lt;4/1000，安装附着装置后，附着以下&lt;2/1000，附着以上&lt;4/1000。</w:t>
      </w:r>
    </w:p>
    <w:p w14:paraId="41A5305B">
      <w:pPr>
        <w:bidi w:val="0"/>
        <w:ind w:firstLine="480" w:firstLineChars="200"/>
        <w:rPr>
          <w:rFonts w:hint="eastAsia"/>
          <w:highlight w:val="none"/>
          <w:lang w:val="en-US" w:eastAsia="zh-CN"/>
        </w:rPr>
      </w:pPr>
      <w:r>
        <w:rPr>
          <w:rFonts w:hint="eastAsia"/>
          <w:highlight w:val="none"/>
          <w:lang w:val="en-US" w:eastAsia="zh-CN"/>
        </w:rPr>
        <w:t>（2）塔机基础沉降、位移监测</w:t>
      </w:r>
    </w:p>
    <w:p w14:paraId="537365EC">
      <w:pPr>
        <w:bidi w:val="0"/>
        <w:ind w:firstLine="480" w:firstLineChars="200"/>
        <w:rPr>
          <w:rFonts w:hint="default"/>
          <w:highlight w:val="none"/>
          <w:lang w:val="en-US" w:eastAsia="zh-CN"/>
        </w:rPr>
      </w:pPr>
      <w:r>
        <w:rPr>
          <w:rFonts w:hint="default"/>
          <w:highlight w:val="none"/>
          <w:lang w:val="en-US" w:eastAsia="zh-CN"/>
        </w:rPr>
        <w:t>在</w:t>
      </w:r>
      <w:r>
        <w:rPr>
          <w:rFonts w:hint="eastAsia"/>
          <w:highlight w:val="none"/>
          <w:lang w:val="en-US" w:eastAsia="zh-CN"/>
        </w:rPr>
        <w:t>塔机</w:t>
      </w:r>
      <w:r>
        <w:rPr>
          <w:rFonts w:hint="default"/>
          <w:highlight w:val="none"/>
          <w:lang w:val="en-US" w:eastAsia="zh-CN"/>
        </w:rPr>
        <w:t>基础承台上设置四个水平定位点，作为沉降观测点。布置情况</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3D4F6965">
      <w:pPr>
        <w:bidi w:val="0"/>
        <w:ind w:left="0" w:leftChars="0" w:firstLine="0" w:firstLineChars="0"/>
        <w:jc w:val="center"/>
        <w:rPr>
          <w:rFonts w:hint="default"/>
          <w:highlight w:val="none"/>
          <w:lang w:val="en-US" w:eastAsia="zh-CN"/>
        </w:rPr>
      </w:pPr>
      <w:r>
        <w:rPr>
          <w:highlight w:val="none"/>
        </w:rPr>
        <w:drawing>
          <wp:inline distT="0" distB="0" distL="114300" distR="114300">
            <wp:extent cx="4632960" cy="2103755"/>
            <wp:effectExtent l="0" t="0" r="2540" b="444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73">
                      <a:clrChange>
                        <a:clrFrom>
                          <a:srgbClr val="FCFEFC">
                            <a:alpha val="100000"/>
                          </a:srgbClr>
                        </a:clrFrom>
                        <a:clrTo>
                          <a:srgbClr val="FCFEFC">
                            <a:alpha val="100000"/>
                            <a:alpha val="0"/>
                          </a:srgbClr>
                        </a:clrTo>
                      </a:clrChange>
                    </a:blip>
                    <a:stretch>
                      <a:fillRect/>
                    </a:stretch>
                  </pic:blipFill>
                  <pic:spPr>
                    <a:xfrm>
                      <a:off x="0" y="0"/>
                      <a:ext cx="4632960" cy="2103755"/>
                    </a:xfrm>
                    <a:prstGeom prst="rect">
                      <a:avLst/>
                    </a:prstGeom>
                    <a:noFill/>
                    <a:ln>
                      <a:noFill/>
                    </a:ln>
                  </pic:spPr>
                </pic:pic>
              </a:graphicData>
            </a:graphic>
          </wp:inline>
        </w:drawing>
      </w:r>
    </w:p>
    <w:p w14:paraId="6F8D86A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图6-4塔机沉降观测示意图</w:t>
      </w:r>
    </w:p>
    <w:p w14:paraId="759A4706">
      <w:pPr>
        <w:pStyle w:val="5"/>
        <w:bidi w:val="0"/>
        <w:ind w:left="864" w:leftChars="0" w:hanging="864" w:firstLineChars="0"/>
        <w:rPr>
          <w:rFonts w:hint="default"/>
          <w:lang w:val="en-US" w:eastAsia="zh-CN"/>
        </w:rPr>
      </w:pPr>
      <w:bookmarkStart w:id="308" w:name="_Toc12390"/>
      <w:bookmarkStart w:id="309" w:name="_Toc3551"/>
      <w:r>
        <w:rPr>
          <w:rFonts w:hint="eastAsia"/>
          <w:lang w:val="en-US" w:eastAsia="zh-CN"/>
        </w:rPr>
        <w:t>监测频率</w:t>
      </w:r>
      <w:bookmarkEnd w:id="308"/>
      <w:bookmarkEnd w:id="309"/>
    </w:p>
    <w:p w14:paraId="4D654238">
      <w:pPr>
        <w:ind w:firstLine="480" w:firstLineChars="200"/>
        <w:rPr>
          <w:rFonts w:hint="default"/>
          <w:highlight w:val="none"/>
          <w:lang w:val="en-US" w:eastAsia="zh-CN"/>
        </w:rPr>
      </w:pPr>
      <w:r>
        <w:rPr>
          <w:rFonts w:hint="eastAsia"/>
          <w:highlight w:val="none"/>
          <w:lang w:val="en-US" w:eastAsia="zh-CN"/>
        </w:rPr>
        <w:t>正常使用情况下，</w:t>
      </w:r>
      <w:r>
        <w:rPr>
          <w:rFonts w:hint="default"/>
          <w:highlight w:val="none"/>
          <w:lang w:val="en-US" w:eastAsia="zh-CN"/>
        </w:rPr>
        <w:t>主体施工阶段每月不得少于二次</w:t>
      </w:r>
      <w:r>
        <w:rPr>
          <w:rFonts w:hint="eastAsia"/>
          <w:highlight w:val="none"/>
          <w:lang w:val="en-US" w:eastAsia="zh-CN"/>
        </w:rPr>
        <w:t>，</w:t>
      </w:r>
      <w:r>
        <w:rPr>
          <w:rFonts w:hint="default"/>
          <w:highlight w:val="none"/>
          <w:lang w:val="en-US" w:eastAsia="zh-CN"/>
        </w:rPr>
        <w:t>其它阶段每月一次</w:t>
      </w:r>
      <w:r>
        <w:rPr>
          <w:rFonts w:hint="eastAsia"/>
          <w:highlight w:val="none"/>
          <w:lang w:val="en-US" w:eastAsia="zh-CN"/>
        </w:rPr>
        <w:t>。遇特殊天气或其他特殊情况，根据实际需要增加监控监测频率，如三天一次、每周一次等。</w:t>
      </w:r>
    </w:p>
    <w:p w14:paraId="4252DAA5">
      <w:pPr>
        <w:pStyle w:val="5"/>
        <w:bidi w:val="0"/>
        <w:ind w:left="864" w:leftChars="0" w:hanging="864" w:firstLineChars="0"/>
        <w:rPr>
          <w:rFonts w:hint="default"/>
          <w:lang w:val="en-US" w:eastAsia="zh-CN"/>
        </w:rPr>
      </w:pPr>
      <w:bookmarkStart w:id="310" w:name="_Toc12969"/>
      <w:bookmarkStart w:id="311" w:name="_Toc24242"/>
      <w:r>
        <w:rPr>
          <w:rFonts w:hint="eastAsia"/>
          <w:lang w:val="en-US" w:eastAsia="zh-CN"/>
        </w:rPr>
        <w:t>监测记录表</w:t>
      </w:r>
      <w:bookmarkEnd w:id="310"/>
      <w:bookmarkEnd w:id="311"/>
    </w:p>
    <w:p w14:paraId="30176616">
      <w:pPr>
        <w:pStyle w:val="15"/>
        <w:bidi w:val="0"/>
        <w:rPr>
          <w:rFonts w:hint="eastAsia"/>
          <w:highlight w:val="none"/>
          <w:lang w:val="en-US" w:eastAsia="zh-CN"/>
        </w:rPr>
      </w:pPr>
      <w:r>
        <w:rPr>
          <w:rFonts w:hint="eastAsia"/>
          <w:highlight w:val="none"/>
          <w:lang w:val="en-US" w:eastAsia="zh-CN"/>
        </w:rPr>
        <w:t>表6-2塔式起重机垂直度观测记录表</w:t>
      </w:r>
    </w:p>
    <w:tbl>
      <w:tblPr>
        <w:tblStyle w:val="30"/>
        <w:tblW w:w="499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1121"/>
        <w:gridCol w:w="927"/>
        <w:gridCol w:w="929"/>
        <w:gridCol w:w="813"/>
        <w:gridCol w:w="813"/>
        <w:gridCol w:w="813"/>
        <w:gridCol w:w="813"/>
        <w:gridCol w:w="818"/>
        <w:gridCol w:w="830"/>
      </w:tblGrid>
      <w:tr w14:paraId="3C32F9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73" w:type="pct"/>
            <w:tcBorders>
              <w:tl2br w:val="nil"/>
              <w:tr2bl w:val="nil"/>
            </w:tcBorders>
            <w:shd w:val="clear" w:color="auto" w:fill="DAE3F3" w:themeFill="accent5" w:themeFillTint="32"/>
            <w:noWrap w:val="0"/>
            <w:vAlign w:val="center"/>
          </w:tcPr>
          <w:p w14:paraId="6062E3B2">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658" w:type="pct"/>
            <w:tcBorders>
              <w:tl2br w:val="nil"/>
              <w:tr2bl w:val="nil"/>
            </w:tcBorders>
            <w:shd w:val="clear" w:color="auto" w:fill="DAE3F3" w:themeFill="accent5" w:themeFillTint="32"/>
            <w:noWrap w:val="0"/>
            <w:vAlign w:val="center"/>
          </w:tcPr>
          <w:p w14:paraId="3F69449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塔机布置位置及编号</w:t>
            </w:r>
          </w:p>
        </w:tc>
        <w:tc>
          <w:tcPr>
            <w:tcW w:w="544" w:type="pct"/>
            <w:tcBorders>
              <w:tl2br w:val="nil"/>
              <w:tr2bl w:val="nil"/>
            </w:tcBorders>
            <w:shd w:val="clear" w:color="auto" w:fill="DAE3F3" w:themeFill="accent5" w:themeFillTint="32"/>
            <w:noWrap w:val="0"/>
            <w:vAlign w:val="center"/>
          </w:tcPr>
          <w:p w14:paraId="7B69464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545" w:type="pct"/>
            <w:tcBorders>
              <w:tl2br w:val="nil"/>
              <w:tr2bl w:val="nil"/>
            </w:tcBorders>
            <w:shd w:val="clear" w:color="auto" w:fill="DAE3F3" w:themeFill="accent5" w:themeFillTint="32"/>
            <w:noWrap w:val="0"/>
            <w:vAlign w:val="center"/>
          </w:tcPr>
          <w:p w14:paraId="6C30A88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测量高度</w:t>
            </w:r>
          </w:p>
        </w:tc>
        <w:tc>
          <w:tcPr>
            <w:tcW w:w="477" w:type="pct"/>
            <w:tcBorders>
              <w:tl2br w:val="nil"/>
              <w:tr2bl w:val="nil"/>
            </w:tcBorders>
            <w:shd w:val="clear" w:color="auto" w:fill="DAE3F3" w:themeFill="accent5" w:themeFillTint="32"/>
            <w:noWrap w:val="0"/>
            <w:vAlign w:val="center"/>
          </w:tcPr>
          <w:p w14:paraId="6E20F10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X方向偏差</w:t>
            </w:r>
          </w:p>
        </w:tc>
        <w:tc>
          <w:tcPr>
            <w:tcW w:w="477" w:type="pct"/>
            <w:tcBorders>
              <w:tl2br w:val="nil"/>
              <w:tr2bl w:val="nil"/>
            </w:tcBorders>
            <w:shd w:val="clear" w:color="auto" w:fill="DAE3F3" w:themeFill="accent5" w:themeFillTint="32"/>
            <w:noWrap w:val="0"/>
            <w:vAlign w:val="center"/>
          </w:tcPr>
          <w:p w14:paraId="29414AE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Y方向偏差</w:t>
            </w:r>
          </w:p>
        </w:tc>
        <w:tc>
          <w:tcPr>
            <w:tcW w:w="477" w:type="pct"/>
            <w:tcBorders>
              <w:tl2br w:val="nil"/>
              <w:tr2bl w:val="nil"/>
            </w:tcBorders>
            <w:shd w:val="clear" w:color="auto" w:fill="DAE3F3" w:themeFill="accent5" w:themeFillTint="32"/>
            <w:noWrap w:val="0"/>
            <w:vAlign w:val="center"/>
          </w:tcPr>
          <w:p w14:paraId="648292C7">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垂直度偏差</w:t>
            </w:r>
          </w:p>
        </w:tc>
        <w:tc>
          <w:tcPr>
            <w:tcW w:w="477" w:type="pct"/>
            <w:tcBorders>
              <w:tl2br w:val="nil"/>
              <w:tr2bl w:val="nil"/>
            </w:tcBorders>
            <w:shd w:val="clear" w:color="auto" w:fill="DAE3F3" w:themeFill="accent5" w:themeFillTint="32"/>
            <w:noWrap w:val="0"/>
            <w:vAlign w:val="center"/>
          </w:tcPr>
          <w:p w14:paraId="34DE9AEB">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480" w:type="pct"/>
            <w:tcBorders>
              <w:tl2br w:val="nil"/>
              <w:tr2bl w:val="nil"/>
            </w:tcBorders>
            <w:shd w:val="clear" w:color="auto" w:fill="DAE3F3" w:themeFill="accent5" w:themeFillTint="32"/>
            <w:noWrap w:val="0"/>
            <w:vAlign w:val="center"/>
          </w:tcPr>
          <w:p w14:paraId="3515DB8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487" w:type="pct"/>
            <w:tcBorders>
              <w:tl2br w:val="nil"/>
              <w:tr2bl w:val="nil"/>
            </w:tcBorders>
            <w:shd w:val="clear" w:color="auto" w:fill="DAE3F3" w:themeFill="accent5" w:themeFillTint="32"/>
            <w:noWrap w:val="0"/>
            <w:vAlign w:val="center"/>
          </w:tcPr>
          <w:p w14:paraId="4829626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7842D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6B99DD9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658" w:type="pct"/>
            <w:tcBorders>
              <w:tl2br w:val="nil"/>
              <w:tr2bl w:val="nil"/>
            </w:tcBorders>
            <w:noWrap w:val="0"/>
            <w:vAlign w:val="center"/>
          </w:tcPr>
          <w:p w14:paraId="087E00C9">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7F9F1E63">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3957A43B">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2DAFBD1">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3917C1F8">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76D85C9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1F29FF87">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6DA6B557">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73BD7B3D">
            <w:pPr>
              <w:spacing w:line="240" w:lineRule="auto"/>
              <w:ind w:firstLine="0" w:firstLineChars="0"/>
              <w:jc w:val="center"/>
              <w:rPr>
                <w:rFonts w:hint="eastAsia" w:ascii="仿宋" w:hAnsi="仿宋" w:eastAsia="仿宋" w:cs="仿宋"/>
                <w:sz w:val="21"/>
                <w:szCs w:val="21"/>
                <w:highlight w:val="none"/>
              </w:rPr>
            </w:pPr>
          </w:p>
        </w:tc>
      </w:tr>
      <w:tr w14:paraId="1F125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12AA22C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58" w:type="pct"/>
            <w:tcBorders>
              <w:tl2br w:val="nil"/>
              <w:tr2bl w:val="nil"/>
            </w:tcBorders>
            <w:noWrap w:val="0"/>
            <w:vAlign w:val="center"/>
          </w:tcPr>
          <w:p w14:paraId="747EABCC">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1F54A54B">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5B913B0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E8E1AA7">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6006DAD">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0938D410">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B44B555">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769149BE">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181829D7">
            <w:pPr>
              <w:spacing w:line="240" w:lineRule="auto"/>
              <w:ind w:firstLine="0" w:firstLineChars="0"/>
              <w:jc w:val="center"/>
              <w:rPr>
                <w:rFonts w:hint="eastAsia" w:ascii="仿宋" w:hAnsi="仿宋" w:eastAsia="仿宋" w:cs="仿宋"/>
                <w:sz w:val="21"/>
                <w:szCs w:val="21"/>
                <w:highlight w:val="none"/>
              </w:rPr>
            </w:pPr>
          </w:p>
        </w:tc>
      </w:tr>
    </w:tbl>
    <w:p w14:paraId="310ED20F">
      <w:pPr>
        <w:pStyle w:val="15"/>
        <w:bidi w:val="0"/>
        <w:rPr>
          <w:rFonts w:hint="eastAsia"/>
          <w:highlight w:val="none"/>
          <w:lang w:val="en-US" w:eastAsia="zh-CN"/>
        </w:rPr>
      </w:pPr>
      <w:r>
        <w:rPr>
          <w:rFonts w:hint="eastAsia"/>
          <w:highlight w:val="none"/>
          <w:lang w:val="en-US" w:eastAsia="zh-CN"/>
        </w:rPr>
        <w:t>表6-3塔式起重机基础沉降、位移观测记录表</w:t>
      </w:r>
    </w:p>
    <w:tbl>
      <w:tblPr>
        <w:tblStyle w:val="30"/>
        <w:tblW w:w="499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704"/>
        <w:gridCol w:w="619"/>
        <w:gridCol w:w="803"/>
        <w:gridCol w:w="812"/>
        <w:gridCol w:w="534"/>
        <w:gridCol w:w="655"/>
        <w:gridCol w:w="694"/>
        <w:gridCol w:w="536"/>
        <w:gridCol w:w="544"/>
        <w:gridCol w:w="635"/>
        <w:gridCol w:w="670"/>
        <w:gridCol w:w="675"/>
      </w:tblGrid>
      <w:tr w14:paraId="5F48FF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restart"/>
            <w:tcBorders>
              <w:tl2br w:val="nil"/>
              <w:tr2bl w:val="nil"/>
            </w:tcBorders>
            <w:shd w:val="clear" w:color="auto" w:fill="DAE3F3" w:themeFill="accent5" w:themeFillTint="32"/>
            <w:noWrap w:val="0"/>
            <w:vAlign w:val="center"/>
          </w:tcPr>
          <w:p w14:paraId="0EC8E439">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413" w:type="pct"/>
            <w:vMerge w:val="restart"/>
            <w:tcBorders>
              <w:tl2br w:val="nil"/>
              <w:tr2bl w:val="nil"/>
            </w:tcBorders>
            <w:shd w:val="clear" w:color="auto" w:fill="DAE3F3" w:themeFill="accent5" w:themeFillTint="32"/>
            <w:noWrap w:val="0"/>
            <w:vAlign w:val="center"/>
          </w:tcPr>
          <w:p w14:paraId="2023215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塔机布置位置及编号</w:t>
            </w:r>
          </w:p>
        </w:tc>
        <w:tc>
          <w:tcPr>
            <w:tcW w:w="363" w:type="pct"/>
            <w:vMerge w:val="restart"/>
            <w:tcBorders>
              <w:tl2br w:val="nil"/>
              <w:tr2bl w:val="nil"/>
            </w:tcBorders>
            <w:shd w:val="clear" w:color="auto" w:fill="DAE3F3" w:themeFill="accent5" w:themeFillTint="32"/>
            <w:noWrap w:val="0"/>
            <w:vAlign w:val="center"/>
          </w:tcPr>
          <w:p w14:paraId="3D61DD5D">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471" w:type="pct"/>
            <w:vMerge w:val="restart"/>
            <w:tcBorders>
              <w:tl2br w:val="nil"/>
              <w:tr2bl w:val="nil"/>
            </w:tcBorders>
            <w:shd w:val="clear" w:color="auto" w:fill="DAE3F3" w:themeFill="accent5" w:themeFillTint="32"/>
            <w:noWrap w:val="0"/>
            <w:vAlign w:val="center"/>
          </w:tcPr>
          <w:p w14:paraId="4A9674FA">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X坐标值</w:t>
            </w:r>
          </w:p>
        </w:tc>
        <w:tc>
          <w:tcPr>
            <w:tcW w:w="476" w:type="pct"/>
            <w:vMerge w:val="restart"/>
            <w:tcBorders>
              <w:tl2br w:val="nil"/>
              <w:tr2bl w:val="nil"/>
            </w:tcBorders>
            <w:shd w:val="clear" w:color="auto" w:fill="DAE3F3" w:themeFill="accent5" w:themeFillTint="32"/>
            <w:noWrap w:val="0"/>
            <w:vAlign w:val="center"/>
          </w:tcPr>
          <w:p w14:paraId="61C563B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Y坐标值</w:t>
            </w:r>
          </w:p>
        </w:tc>
        <w:tc>
          <w:tcPr>
            <w:tcW w:w="313" w:type="pct"/>
            <w:vMerge w:val="restart"/>
            <w:tcBorders>
              <w:tl2br w:val="nil"/>
              <w:tr2bl w:val="nil"/>
            </w:tcBorders>
            <w:shd w:val="clear" w:color="auto" w:fill="DAE3F3" w:themeFill="accent5" w:themeFillTint="32"/>
            <w:noWrap w:val="0"/>
            <w:vAlign w:val="center"/>
          </w:tcPr>
          <w:p w14:paraId="2633D97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高程值(m)</w:t>
            </w:r>
          </w:p>
        </w:tc>
        <w:tc>
          <w:tcPr>
            <w:tcW w:w="791" w:type="pct"/>
            <w:gridSpan w:val="2"/>
            <w:tcBorders>
              <w:tl2br w:val="nil"/>
              <w:tr2bl w:val="nil"/>
            </w:tcBorders>
            <w:shd w:val="clear" w:color="auto" w:fill="DAE3F3" w:themeFill="accent5" w:themeFillTint="32"/>
            <w:noWrap w:val="0"/>
            <w:vAlign w:val="center"/>
          </w:tcPr>
          <w:p w14:paraId="1D704B1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沉降差（mm）</w:t>
            </w:r>
          </w:p>
        </w:tc>
        <w:tc>
          <w:tcPr>
            <w:tcW w:w="633" w:type="pct"/>
            <w:gridSpan w:val="2"/>
            <w:tcBorders>
              <w:tl2br w:val="nil"/>
              <w:tr2bl w:val="nil"/>
            </w:tcBorders>
            <w:shd w:val="clear" w:color="auto" w:fill="DAE3F3" w:themeFill="accent5" w:themeFillTint="32"/>
            <w:noWrap w:val="0"/>
            <w:vAlign w:val="center"/>
          </w:tcPr>
          <w:p w14:paraId="66AFD6F4">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位移差（mm）</w:t>
            </w:r>
          </w:p>
        </w:tc>
        <w:tc>
          <w:tcPr>
            <w:tcW w:w="372" w:type="pct"/>
            <w:vMerge w:val="restart"/>
            <w:tcBorders>
              <w:tl2br w:val="nil"/>
              <w:tr2bl w:val="nil"/>
            </w:tcBorders>
            <w:shd w:val="clear" w:color="auto" w:fill="DAE3F3" w:themeFill="accent5" w:themeFillTint="32"/>
            <w:noWrap w:val="0"/>
            <w:vAlign w:val="center"/>
          </w:tcPr>
          <w:p w14:paraId="42C48822">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393" w:type="pct"/>
            <w:vMerge w:val="restart"/>
            <w:tcBorders>
              <w:tl2br w:val="nil"/>
              <w:tr2bl w:val="nil"/>
            </w:tcBorders>
            <w:shd w:val="clear" w:color="auto" w:fill="DAE3F3" w:themeFill="accent5" w:themeFillTint="32"/>
            <w:noWrap w:val="0"/>
            <w:vAlign w:val="center"/>
          </w:tcPr>
          <w:p w14:paraId="6845FC0F">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395" w:type="pct"/>
            <w:vMerge w:val="restart"/>
            <w:tcBorders>
              <w:tl2br w:val="nil"/>
              <w:tr2bl w:val="nil"/>
            </w:tcBorders>
            <w:shd w:val="clear" w:color="auto" w:fill="DAE3F3" w:themeFill="accent5" w:themeFillTint="32"/>
            <w:noWrap w:val="0"/>
            <w:vAlign w:val="center"/>
          </w:tcPr>
          <w:p w14:paraId="1ED050F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47771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continue"/>
            <w:tcBorders>
              <w:tl2br w:val="nil"/>
              <w:tr2bl w:val="nil"/>
            </w:tcBorders>
            <w:shd w:val="clear" w:color="auto" w:fill="DAE3F3" w:themeFill="accent5" w:themeFillTint="32"/>
            <w:noWrap w:val="0"/>
            <w:vAlign w:val="center"/>
          </w:tcPr>
          <w:p w14:paraId="4E8A9218">
            <w:pPr>
              <w:spacing w:line="240" w:lineRule="auto"/>
              <w:ind w:firstLine="0" w:firstLineChars="0"/>
              <w:jc w:val="center"/>
              <w:rPr>
                <w:highlight w:val="none"/>
              </w:rPr>
            </w:pPr>
          </w:p>
        </w:tc>
        <w:tc>
          <w:tcPr>
            <w:tcW w:w="413" w:type="pct"/>
            <w:vMerge w:val="continue"/>
            <w:tcBorders>
              <w:tl2br w:val="nil"/>
              <w:tr2bl w:val="nil"/>
            </w:tcBorders>
            <w:shd w:val="clear" w:color="auto" w:fill="DAE3F3" w:themeFill="accent5" w:themeFillTint="32"/>
            <w:noWrap w:val="0"/>
            <w:vAlign w:val="center"/>
          </w:tcPr>
          <w:p w14:paraId="7584E79E">
            <w:pPr>
              <w:spacing w:line="240" w:lineRule="auto"/>
              <w:ind w:firstLine="0" w:firstLineChars="0"/>
              <w:jc w:val="center"/>
              <w:rPr>
                <w:highlight w:val="none"/>
              </w:rPr>
            </w:pPr>
          </w:p>
        </w:tc>
        <w:tc>
          <w:tcPr>
            <w:tcW w:w="363" w:type="pct"/>
            <w:vMerge w:val="continue"/>
            <w:tcBorders>
              <w:tl2br w:val="nil"/>
              <w:tr2bl w:val="nil"/>
            </w:tcBorders>
            <w:shd w:val="clear" w:color="auto" w:fill="DAE3F3" w:themeFill="accent5" w:themeFillTint="32"/>
            <w:noWrap w:val="0"/>
            <w:vAlign w:val="center"/>
          </w:tcPr>
          <w:p w14:paraId="1AC2B482">
            <w:pPr>
              <w:spacing w:line="240" w:lineRule="auto"/>
              <w:ind w:firstLine="0" w:firstLineChars="0"/>
              <w:jc w:val="center"/>
              <w:rPr>
                <w:highlight w:val="none"/>
              </w:rPr>
            </w:pPr>
          </w:p>
        </w:tc>
        <w:tc>
          <w:tcPr>
            <w:tcW w:w="471" w:type="pct"/>
            <w:vMerge w:val="continue"/>
            <w:tcBorders>
              <w:tl2br w:val="nil"/>
              <w:tr2bl w:val="nil"/>
            </w:tcBorders>
            <w:shd w:val="clear" w:color="auto" w:fill="DAE3F3" w:themeFill="accent5" w:themeFillTint="32"/>
            <w:noWrap w:val="0"/>
            <w:vAlign w:val="center"/>
          </w:tcPr>
          <w:p w14:paraId="41015434">
            <w:pPr>
              <w:spacing w:line="240" w:lineRule="auto"/>
              <w:ind w:firstLine="0" w:firstLineChars="0"/>
              <w:jc w:val="center"/>
              <w:rPr>
                <w:highlight w:val="none"/>
              </w:rPr>
            </w:pPr>
          </w:p>
        </w:tc>
        <w:tc>
          <w:tcPr>
            <w:tcW w:w="476" w:type="pct"/>
            <w:vMerge w:val="continue"/>
            <w:tcBorders>
              <w:tl2br w:val="nil"/>
              <w:tr2bl w:val="nil"/>
            </w:tcBorders>
            <w:shd w:val="clear" w:color="auto" w:fill="DAE3F3" w:themeFill="accent5" w:themeFillTint="32"/>
            <w:noWrap w:val="0"/>
            <w:vAlign w:val="center"/>
          </w:tcPr>
          <w:p w14:paraId="0F69C141">
            <w:pPr>
              <w:spacing w:line="240" w:lineRule="auto"/>
              <w:ind w:firstLine="0" w:firstLineChars="0"/>
              <w:jc w:val="center"/>
              <w:rPr>
                <w:highlight w:val="none"/>
              </w:rPr>
            </w:pPr>
          </w:p>
        </w:tc>
        <w:tc>
          <w:tcPr>
            <w:tcW w:w="313" w:type="pct"/>
            <w:vMerge w:val="continue"/>
            <w:tcBorders>
              <w:tl2br w:val="nil"/>
              <w:tr2bl w:val="nil"/>
            </w:tcBorders>
            <w:shd w:val="clear" w:color="auto" w:fill="DAE3F3" w:themeFill="accent5" w:themeFillTint="32"/>
            <w:noWrap w:val="0"/>
            <w:vAlign w:val="center"/>
          </w:tcPr>
          <w:p w14:paraId="0A1AE50B">
            <w:pPr>
              <w:spacing w:line="240" w:lineRule="auto"/>
              <w:ind w:firstLine="0" w:firstLineChars="0"/>
              <w:jc w:val="center"/>
              <w:rPr>
                <w:highlight w:val="none"/>
              </w:rPr>
            </w:pPr>
          </w:p>
        </w:tc>
        <w:tc>
          <w:tcPr>
            <w:tcW w:w="384" w:type="pct"/>
            <w:tcBorders>
              <w:tl2br w:val="nil"/>
              <w:tr2bl w:val="nil"/>
            </w:tcBorders>
            <w:shd w:val="clear" w:color="auto" w:fill="DAE3F3" w:themeFill="accent5" w:themeFillTint="32"/>
            <w:noWrap w:val="0"/>
            <w:vAlign w:val="center"/>
          </w:tcPr>
          <w:p w14:paraId="6743EC5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406" w:type="pct"/>
            <w:tcBorders>
              <w:tl2br w:val="nil"/>
              <w:tr2bl w:val="nil"/>
            </w:tcBorders>
            <w:shd w:val="clear" w:color="auto" w:fill="DAE3F3" w:themeFill="accent5" w:themeFillTint="32"/>
            <w:noWrap w:val="0"/>
            <w:vAlign w:val="center"/>
          </w:tcPr>
          <w:p w14:paraId="5F4E9CB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累计</w:t>
            </w:r>
          </w:p>
        </w:tc>
        <w:tc>
          <w:tcPr>
            <w:tcW w:w="314" w:type="pct"/>
            <w:tcBorders>
              <w:tl2br w:val="nil"/>
              <w:tr2bl w:val="nil"/>
            </w:tcBorders>
            <w:shd w:val="clear" w:color="auto" w:fill="DAE3F3" w:themeFill="accent5" w:themeFillTint="32"/>
            <w:noWrap w:val="0"/>
            <w:vAlign w:val="center"/>
          </w:tcPr>
          <w:p w14:paraId="4361630A">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318" w:type="pct"/>
            <w:tcBorders>
              <w:tl2br w:val="nil"/>
              <w:tr2bl w:val="nil"/>
            </w:tcBorders>
            <w:shd w:val="clear" w:color="auto" w:fill="DAE3F3" w:themeFill="accent5" w:themeFillTint="32"/>
            <w:noWrap w:val="0"/>
            <w:vAlign w:val="center"/>
          </w:tcPr>
          <w:p w14:paraId="30C60249">
            <w:pPr>
              <w:spacing w:line="240" w:lineRule="auto"/>
              <w:ind w:firstLine="0" w:firstLineChars="0"/>
              <w:jc w:val="center"/>
              <w:rPr>
                <w:highlight w:val="none"/>
              </w:rPr>
            </w:pPr>
            <w:r>
              <w:rPr>
                <w:rFonts w:hint="eastAsia" w:ascii="仿宋" w:hAnsi="仿宋" w:eastAsia="仿宋" w:cs="仿宋"/>
                <w:b/>
                <w:bCs/>
                <w:sz w:val="21"/>
                <w:szCs w:val="21"/>
                <w:highlight w:val="none"/>
                <w:lang w:val="en-US" w:eastAsia="zh-CN"/>
              </w:rPr>
              <w:t>累计</w:t>
            </w:r>
          </w:p>
        </w:tc>
        <w:tc>
          <w:tcPr>
            <w:tcW w:w="372" w:type="pct"/>
            <w:vMerge w:val="continue"/>
            <w:tcBorders>
              <w:tl2br w:val="nil"/>
              <w:tr2bl w:val="nil"/>
            </w:tcBorders>
            <w:shd w:val="clear" w:color="auto" w:fill="DAE3F3" w:themeFill="accent5" w:themeFillTint="32"/>
            <w:noWrap w:val="0"/>
            <w:vAlign w:val="center"/>
          </w:tcPr>
          <w:p w14:paraId="0527C13E">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3" w:type="pct"/>
            <w:vMerge w:val="continue"/>
            <w:tcBorders>
              <w:tl2br w:val="nil"/>
              <w:tr2bl w:val="nil"/>
            </w:tcBorders>
            <w:shd w:val="clear" w:color="auto" w:fill="DAE3F3" w:themeFill="accent5" w:themeFillTint="32"/>
            <w:noWrap w:val="0"/>
            <w:vAlign w:val="center"/>
          </w:tcPr>
          <w:p w14:paraId="65641A9D">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5" w:type="pct"/>
            <w:vMerge w:val="continue"/>
            <w:tcBorders>
              <w:tl2br w:val="nil"/>
              <w:tr2bl w:val="nil"/>
            </w:tcBorders>
            <w:shd w:val="clear" w:color="auto" w:fill="DAE3F3" w:themeFill="accent5" w:themeFillTint="32"/>
            <w:noWrap w:val="0"/>
            <w:vAlign w:val="center"/>
          </w:tcPr>
          <w:p w14:paraId="5D1AFA43">
            <w:pPr>
              <w:spacing w:line="240" w:lineRule="auto"/>
              <w:ind w:firstLine="0" w:firstLineChars="0"/>
              <w:jc w:val="center"/>
              <w:rPr>
                <w:rFonts w:hint="eastAsia" w:ascii="仿宋" w:hAnsi="仿宋" w:eastAsia="仿宋" w:cs="仿宋"/>
                <w:b/>
                <w:bCs/>
                <w:sz w:val="21"/>
                <w:szCs w:val="21"/>
                <w:highlight w:val="none"/>
                <w:lang w:val="en-US" w:eastAsia="zh-CN"/>
              </w:rPr>
            </w:pPr>
          </w:p>
        </w:tc>
      </w:tr>
      <w:tr w14:paraId="1F87BE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57E6CA4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413" w:type="pct"/>
            <w:tcBorders>
              <w:tl2br w:val="nil"/>
              <w:tr2bl w:val="nil"/>
            </w:tcBorders>
            <w:noWrap w:val="0"/>
            <w:vAlign w:val="center"/>
          </w:tcPr>
          <w:p w14:paraId="4B2C8B30">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7619C66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ED84AFC">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3C27422D">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579CE12C">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5A925338">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FA20D28">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8221A6A">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4839EDDB">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6CA03E37">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30D6BCE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1FB57DC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初始值</w:t>
            </w:r>
          </w:p>
        </w:tc>
      </w:tr>
      <w:tr w14:paraId="2F9983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B0B320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413" w:type="pct"/>
            <w:tcBorders>
              <w:tl2br w:val="nil"/>
              <w:tr2bl w:val="nil"/>
            </w:tcBorders>
            <w:noWrap w:val="0"/>
            <w:vAlign w:val="center"/>
          </w:tcPr>
          <w:p w14:paraId="20F899D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04E8628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0883C15">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703760B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76CFD4C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1DBF52E6">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4A67814">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A0A4D26">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21EFAF85">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11A58A75">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69023DA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E3981AB">
            <w:pPr>
              <w:spacing w:line="240" w:lineRule="auto"/>
              <w:ind w:firstLine="0" w:firstLineChars="0"/>
              <w:jc w:val="center"/>
              <w:rPr>
                <w:rFonts w:hint="eastAsia" w:ascii="仿宋" w:hAnsi="仿宋" w:eastAsia="仿宋" w:cs="仿宋"/>
                <w:sz w:val="21"/>
                <w:szCs w:val="21"/>
                <w:highlight w:val="none"/>
              </w:rPr>
            </w:pPr>
          </w:p>
        </w:tc>
      </w:tr>
      <w:tr w14:paraId="1C7F72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F246E2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413" w:type="pct"/>
            <w:tcBorders>
              <w:tl2br w:val="nil"/>
              <w:tr2bl w:val="nil"/>
            </w:tcBorders>
            <w:noWrap w:val="0"/>
            <w:vAlign w:val="center"/>
          </w:tcPr>
          <w:p w14:paraId="390F4D5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4E1BA232">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458E8D3D">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1001183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2E778F6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49D960BF">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3ED01AFA">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5464505B">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3F66D4EC">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0FAC0EB2">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49A97F0B">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44320C1">
            <w:pPr>
              <w:spacing w:line="240" w:lineRule="auto"/>
              <w:ind w:firstLine="0" w:firstLineChars="0"/>
              <w:jc w:val="center"/>
              <w:rPr>
                <w:rFonts w:hint="eastAsia" w:ascii="仿宋" w:hAnsi="仿宋" w:eastAsia="仿宋" w:cs="仿宋"/>
                <w:sz w:val="21"/>
                <w:szCs w:val="21"/>
                <w:highlight w:val="none"/>
              </w:rPr>
            </w:pPr>
          </w:p>
        </w:tc>
      </w:tr>
    </w:tbl>
    <w:p w14:paraId="4434CAA0">
      <w:pPr>
        <w:rPr>
          <w:rFonts w:hint="default"/>
          <w:highlight w:val="none"/>
          <w:lang w:val="en-US" w:eastAsia="zh-CN"/>
        </w:rPr>
      </w:pPr>
    </w:p>
    <w:p w14:paraId="7C3FC8D7">
      <w:pPr>
        <w:pStyle w:val="12"/>
        <w:jc w:val="both"/>
        <w:rPr>
          <w:highlight w:val="none"/>
        </w:rPr>
      </w:pPr>
    </w:p>
    <w:p w14:paraId="7240E4B1">
      <w:pPr>
        <w:rPr>
          <w:rFonts w:ascii="黑体" w:hAnsi="黑体" w:eastAsia="黑体" w:cs="黑体"/>
          <w:color w:val="808080" w:themeColor="background1" w:themeShade="80"/>
          <w:highlight w:val="none"/>
        </w:rPr>
      </w:pPr>
      <w:r>
        <w:rPr>
          <w:rFonts w:hint="eastAsia" w:ascii="黑体" w:hAnsi="黑体" w:eastAsia="黑体" w:cs="黑体"/>
          <w:color w:val="808080" w:themeColor="background1" w:themeShade="80"/>
          <w:highlight w:val="none"/>
        </w:rPr>
        <w:br w:type="page"/>
      </w:r>
    </w:p>
    <w:p w14:paraId="4CA4D711">
      <w:pPr>
        <w:pStyle w:val="2"/>
        <w:bidi w:val="0"/>
        <w:ind w:left="432" w:leftChars="0" w:hanging="432" w:firstLineChars="0"/>
      </w:pPr>
      <w:bookmarkStart w:id="312" w:name="_Toc7366"/>
      <w:bookmarkStart w:id="313" w:name="_Toc26404"/>
      <w:bookmarkStart w:id="314" w:name="_Toc7034"/>
      <w:bookmarkStart w:id="315" w:name="_Toc9163"/>
      <w:bookmarkStart w:id="316" w:name="_Toc10409836"/>
      <w:r>
        <w:t>施工管理及作业人员配备和分工</w:t>
      </w:r>
      <w:bookmarkEnd w:id="312"/>
      <w:bookmarkEnd w:id="313"/>
      <w:bookmarkEnd w:id="314"/>
      <w:bookmarkEnd w:id="315"/>
    </w:p>
    <w:p w14:paraId="28827606">
      <w:pPr>
        <w:pStyle w:val="3"/>
        <w:bidi w:val="0"/>
        <w:ind w:left="575" w:leftChars="0" w:hanging="575" w:firstLineChars="0"/>
        <w:rPr>
          <w:highlight w:val="none"/>
        </w:rPr>
      </w:pPr>
      <w:bookmarkStart w:id="317" w:name="_Toc28100"/>
      <w:bookmarkStart w:id="318" w:name="_Toc10409814"/>
      <w:bookmarkStart w:id="319" w:name="_Toc24215"/>
      <w:bookmarkStart w:id="320" w:name="_Toc31316"/>
      <w:bookmarkStart w:id="321" w:name="_Toc24986"/>
      <w:r>
        <w:rPr>
          <w:rFonts w:hint="eastAsia"/>
          <w:highlight w:val="none"/>
        </w:rPr>
        <w:t>施工</w:t>
      </w:r>
      <w:r>
        <w:rPr>
          <w:rFonts w:hint="eastAsia" w:ascii="宋体" w:hAnsi="宋体" w:eastAsia="宋体" w:cs="Times New Roman"/>
        </w:rPr>
        <w:t>组织</w:t>
      </w:r>
      <w:r>
        <w:rPr>
          <w:rFonts w:hint="eastAsia"/>
          <w:highlight w:val="none"/>
        </w:rPr>
        <w:t>机构</w:t>
      </w:r>
      <w:bookmarkEnd w:id="317"/>
      <w:bookmarkEnd w:id="318"/>
      <w:bookmarkEnd w:id="319"/>
      <w:bookmarkEnd w:id="320"/>
      <w:bookmarkEnd w:id="321"/>
    </w:p>
    <w:p w14:paraId="21BB1141">
      <w:pPr>
        <w:pStyle w:val="66"/>
        <w:spacing w:before="156"/>
        <w:ind w:left="0" w:leftChars="0" w:firstLine="0" w:firstLineChars="0"/>
        <w:jc w:val="both"/>
        <w:rPr>
          <w:highlight w:val="none"/>
        </w:rPr>
      </w:pPr>
      <w:r>
        <w:rPr>
          <w:highlight w:val="none"/>
        </w:rPr>
        <w:drawing>
          <wp:inline distT="0" distB="0" distL="0" distR="0">
            <wp:extent cx="5168900" cy="2413635"/>
            <wp:effectExtent l="0" t="0" r="0" b="12065"/>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图7-1 施工组织机构图</w:t>
      </w:r>
    </w:p>
    <w:p w14:paraId="6BB81D77">
      <w:pPr>
        <w:pStyle w:val="3"/>
        <w:bidi w:val="0"/>
        <w:ind w:left="575" w:leftChars="0" w:hanging="575" w:firstLineChars="0"/>
        <w:rPr>
          <w:highlight w:val="none"/>
        </w:rPr>
      </w:pPr>
      <w:bookmarkStart w:id="322" w:name="_Toc21435"/>
      <w:bookmarkStart w:id="323" w:name="_Toc11785"/>
      <w:bookmarkStart w:id="324" w:name="_Toc11450"/>
      <w:bookmarkStart w:id="325" w:name="_Toc521"/>
      <w:bookmarkStart w:id="326" w:name="_Toc10409815"/>
      <w:r>
        <w:rPr>
          <w:rFonts w:hint="eastAsia"/>
          <w:highlight w:val="none"/>
        </w:rPr>
        <w:t>人员</w:t>
      </w:r>
      <w:r>
        <w:rPr>
          <w:rFonts w:hint="eastAsia" w:ascii="宋体" w:hAnsi="宋体" w:eastAsia="宋体" w:cs="Times New Roman"/>
        </w:rPr>
        <w:t>配置</w:t>
      </w:r>
      <w:bookmarkEnd w:id="322"/>
      <w:bookmarkEnd w:id="323"/>
      <w:bookmarkEnd w:id="324"/>
    </w:p>
    <w:bookmarkEnd w:id="325"/>
    <w:bookmarkEnd w:id="326"/>
    <w:p w14:paraId="259AC385">
      <w:pPr>
        <w:bidi w:val="0"/>
        <w:ind w:firstLine="480" w:firstLineChars="200"/>
        <w:rPr>
          <w:rFonts w:hint="default"/>
          <w:highlight w:val="none"/>
          <w:lang w:val="en-US"/>
        </w:rPr>
      </w:pPr>
      <w:r>
        <w:rPr>
          <w:rFonts w:hint="eastAsia"/>
          <w:highlight w:val="none"/>
          <w:lang w:val="en-US" w:eastAsia="zh-CN"/>
        </w:rPr>
        <w:t>1、塔机安拆现场施工管理人员配置如下表所示。</w:t>
      </w:r>
    </w:p>
    <w:p w14:paraId="260B51B8">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表7-</w:t>
      </w:r>
      <w:r>
        <w:rPr>
          <w:rFonts w:hint="eastAsia"/>
          <w:highlight w:val="none"/>
          <w:lang w:val="en-US" w:eastAsia="zh-CN"/>
        </w:rPr>
        <w:fldChar w:fldCharType="begin"/>
      </w:r>
      <w:r>
        <w:rPr>
          <w:rFonts w:hint="eastAsia"/>
          <w:highlight w:val="none"/>
          <w:lang w:val="en-US" w:eastAsia="zh-CN"/>
        </w:rPr>
        <w:instrText xml:space="preserve"> SEQ 表5-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塔机安拆施工管理人员配置计划表</w:t>
      </w:r>
    </w:p>
    <w:tbl>
      <w:tblPr>
        <w:tblStyle w:val="30"/>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361C80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151F9607">
            <w:pPr>
              <w:pStyle w:val="105"/>
              <w:bidi w:val="0"/>
              <w:rPr>
                <w:rFonts w:hint="eastAsia"/>
                <w:highlight w:val="none"/>
              </w:rPr>
            </w:pPr>
            <w:r>
              <w:rPr>
                <w:rFonts w:hint="eastAsia"/>
                <w:highlight w:val="none"/>
              </w:rPr>
              <w:t>序号</w:t>
            </w:r>
          </w:p>
        </w:tc>
        <w:tc>
          <w:tcPr>
            <w:tcW w:w="1365" w:type="dxa"/>
            <w:tcBorders>
              <w:tl2br w:val="nil"/>
              <w:tr2bl w:val="nil"/>
            </w:tcBorders>
            <w:shd w:val="clear" w:color="auto" w:fill="DAE3F3" w:themeFill="accent5" w:themeFillTint="32"/>
            <w:vAlign w:val="center"/>
          </w:tcPr>
          <w:p w14:paraId="768CAB0A">
            <w:pPr>
              <w:pStyle w:val="105"/>
              <w:bidi w:val="0"/>
              <w:rPr>
                <w:rFonts w:hint="eastAsia"/>
                <w:highlight w:val="none"/>
                <w:lang w:val="en-US" w:eastAsia="zh-CN"/>
              </w:rPr>
            </w:pPr>
            <w:r>
              <w:rPr>
                <w:rFonts w:hint="eastAsia"/>
                <w:highlight w:val="none"/>
                <w:lang w:val="en-US" w:eastAsia="zh-CN"/>
              </w:rPr>
              <w:t>岗位名称</w:t>
            </w:r>
          </w:p>
        </w:tc>
        <w:tc>
          <w:tcPr>
            <w:tcW w:w="2268" w:type="dxa"/>
            <w:tcBorders>
              <w:tl2br w:val="nil"/>
              <w:tr2bl w:val="nil"/>
            </w:tcBorders>
            <w:shd w:val="clear" w:color="auto" w:fill="DAE3F3" w:themeFill="accent5" w:themeFillTint="32"/>
            <w:vAlign w:val="center"/>
          </w:tcPr>
          <w:p w14:paraId="67256022">
            <w:pPr>
              <w:pStyle w:val="105"/>
              <w:bidi w:val="0"/>
              <w:rPr>
                <w:rFonts w:hint="eastAsia"/>
                <w:highlight w:val="none"/>
                <w:lang w:eastAsia="zh-CN"/>
              </w:rPr>
            </w:pPr>
            <w:r>
              <w:rPr>
                <w:rFonts w:hint="eastAsia"/>
                <w:highlight w:val="none"/>
              </w:rPr>
              <w:t>数量</w:t>
            </w:r>
          </w:p>
        </w:tc>
        <w:tc>
          <w:tcPr>
            <w:tcW w:w="3912" w:type="dxa"/>
            <w:tcBorders>
              <w:tl2br w:val="nil"/>
              <w:tr2bl w:val="nil"/>
            </w:tcBorders>
            <w:shd w:val="clear" w:color="auto" w:fill="DAE3F3" w:themeFill="accent5" w:themeFillTint="32"/>
            <w:vAlign w:val="center"/>
          </w:tcPr>
          <w:p w14:paraId="529EF4C4">
            <w:pPr>
              <w:pStyle w:val="105"/>
              <w:bidi w:val="0"/>
              <w:rPr>
                <w:rFonts w:hint="eastAsia"/>
                <w:highlight w:val="none"/>
              </w:rPr>
            </w:pPr>
            <w:r>
              <w:rPr>
                <w:rFonts w:hint="eastAsia"/>
                <w:highlight w:val="none"/>
              </w:rPr>
              <w:t>职责</w:t>
            </w:r>
          </w:p>
        </w:tc>
      </w:tr>
      <w:tr w14:paraId="28610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B5D4998">
            <w:pPr>
              <w:pStyle w:val="105"/>
              <w:bidi w:val="0"/>
              <w:rPr>
                <w:rFonts w:hint="eastAsia"/>
                <w:highlight w:val="none"/>
              </w:rPr>
            </w:pPr>
            <w:r>
              <w:rPr>
                <w:rFonts w:hint="eastAsia"/>
                <w:highlight w:val="none"/>
              </w:rPr>
              <w:t>1</w:t>
            </w:r>
          </w:p>
        </w:tc>
        <w:tc>
          <w:tcPr>
            <w:tcW w:w="1365" w:type="dxa"/>
            <w:tcBorders>
              <w:tl2br w:val="nil"/>
              <w:tr2bl w:val="nil"/>
            </w:tcBorders>
            <w:vAlign w:val="center"/>
          </w:tcPr>
          <w:p w14:paraId="684DBB7B">
            <w:pPr>
              <w:pStyle w:val="105"/>
              <w:bidi w:val="0"/>
              <w:rPr>
                <w:rFonts w:hint="default"/>
                <w:highlight w:val="none"/>
                <w:lang w:val="en-US"/>
              </w:rPr>
            </w:pPr>
            <w:r>
              <w:rPr>
                <w:rFonts w:hint="eastAsia"/>
                <w:highlight w:val="none"/>
                <w:lang w:val="en-US" w:eastAsia="zh-CN"/>
              </w:rPr>
              <w:t>项目经理</w:t>
            </w:r>
          </w:p>
        </w:tc>
        <w:tc>
          <w:tcPr>
            <w:tcW w:w="2268" w:type="dxa"/>
            <w:tcBorders>
              <w:tl2br w:val="nil"/>
              <w:tr2bl w:val="nil"/>
            </w:tcBorders>
            <w:vAlign w:val="center"/>
          </w:tcPr>
          <w:p w14:paraId="77F0C975">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4FDC41BE">
            <w:pPr>
              <w:pStyle w:val="105"/>
              <w:bidi w:val="0"/>
              <w:rPr>
                <w:rFonts w:hint="eastAsia"/>
                <w:highlight w:val="none"/>
              </w:rPr>
            </w:pPr>
            <w:r>
              <w:rPr>
                <w:rFonts w:hint="eastAsia"/>
                <w:highlight w:val="none"/>
              </w:rPr>
              <w:t>负责现场全面管理</w:t>
            </w:r>
          </w:p>
        </w:tc>
      </w:tr>
      <w:tr w14:paraId="21D49F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4520621">
            <w:pPr>
              <w:pStyle w:val="105"/>
              <w:bidi w:val="0"/>
              <w:rPr>
                <w:rFonts w:hint="eastAsia"/>
                <w:highlight w:val="none"/>
              </w:rPr>
            </w:pPr>
            <w:r>
              <w:rPr>
                <w:rFonts w:hint="eastAsia"/>
                <w:highlight w:val="none"/>
              </w:rPr>
              <w:t>2</w:t>
            </w:r>
          </w:p>
        </w:tc>
        <w:tc>
          <w:tcPr>
            <w:tcW w:w="1365" w:type="dxa"/>
            <w:tcBorders>
              <w:tl2br w:val="nil"/>
              <w:tr2bl w:val="nil"/>
            </w:tcBorders>
            <w:vAlign w:val="center"/>
          </w:tcPr>
          <w:p w14:paraId="41B60EE3">
            <w:pPr>
              <w:pStyle w:val="105"/>
              <w:bidi w:val="0"/>
              <w:rPr>
                <w:rFonts w:hint="eastAsia"/>
                <w:highlight w:val="none"/>
                <w:lang w:eastAsia="zh-CN"/>
              </w:rPr>
            </w:pPr>
            <w:r>
              <w:rPr>
                <w:rFonts w:hint="eastAsia"/>
                <w:highlight w:val="none"/>
                <w:lang w:val="en-US" w:eastAsia="zh-CN"/>
              </w:rPr>
              <w:t>项目总工</w:t>
            </w:r>
          </w:p>
        </w:tc>
        <w:tc>
          <w:tcPr>
            <w:tcW w:w="2268" w:type="dxa"/>
            <w:tcBorders>
              <w:tl2br w:val="nil"/>
              <w:tr2bl w:val="nil"/>
            </w:tcBorders>
            <w:vAlign w:val="center"/>
          </w:tcPr>
          <w:p w14:paraId="5AB6A9C0">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5AD851B8">
            <w:pPr>
              <w:pStyle w:val="105"/>
              <w:bidi w:val="0"/>
              <w:rPr>
                <w:rFonts w:hint="eastAsia"/>
                <w:highlight w:val="none"/>
              </w:rPr>
            </w:pPr>
            <w:r>
              <w:rPr>
                <w:rFonts w:hint="eastAsia"/>
                <w:highlight w:val="none"/>
              </w:rPr>
              <w:t>负责现场全面技术管理</w:t>
            </w:r>
          </w:p>
        </w:tc>
      </w:tr>
      <w:tr w14:paraId="5B8BC53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D4BDA99">
            <w:pPr>
              <w:pStyle w:val="105"/>
              <w:bidi w:val="0"/>
              <w:rPr>
                <w:rFonts w:hint="eastAsia"/>
                <w:highlight w:val="none"/>
              </w:rPr>
            </w:pPr>
            <w:r>
              <w:rPr>
                <w:rFonts w:hint="eastAsia"/>
                <w:highlight w:val="none"/>
              </w:rPr>
              <w:t>3</w:t>
            </w:r>
          </w:p>
        </w:tc>
        <w:tc>
          <w:tcPr>
            <w:tcW w:w="1365" w:type="dxa"/>
            <w:tcBorders>
              <w:tl2br w:val="nil"/>
              <w:tr2bl w:val="nil"/>
            </w:tcBorders>
            <w:vAlign w:val="center"/>
          </w:tcPr>
          <w:p w14:paraId="7E7F8FD5">
            <w:pPr>
              <w:pStyle w:val="105"/>
              <w:bidi w:val="0"/>
              <w:rPr>
                <w:rFonts w:hint="eastAsia"/>
                <w:highlight w:val="none"/>
                <w:lang w:val="en-US" w:eastAsia="zh-CN"/>
              </w:rPr>
            </w:pPr>
            <w:r>
              <w:rPr>
                <w:rFonts w:hint="eastAsia"/>
                <w:highlight w:val="none"/>
                <w:lang w:val="en-US" w:eastAsia="zh-CN"/>
              </w:rPr>
              <w:t>项目副经理</w:t>
            </w:r>
          </w:p>
        </w:tc>
        <w:tc>
          <w:tcPr>
            <w:tcW w:w="2268" w:type="dxa"/>
            <w:tcBorders>
              <w:tl2br w:val="nil"/>
              <w:tr2bl w:val="nil"/>
            </w:tcBorders>
            <w:vAlign w:val="center"/>
          </w:tcPr>
          <w:p w14:paraId="62BEA79B">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0609084B">
            <w:pPr>
              <w:pStyle w:val="105"/>
              <w:bidi w:val="0"/>
              <w:rPr>
                <w:rFonts w:hint="eastAsia"/>
                <w:highlight w:val="none"/>
                <w:lang w:val="en-US" w:eastAsia="zh-CN"/>
              </w:rPr>
            </w:pPr>
            <w:r>
              <w:rPr>
                <w:rFonts w:hint="eastAsia"/>
                <w:highlight w:val="none"/>
                <w:lang w:val="en-US" w:eastAsia="zh-CN"/>
              </w:rPr>
              <w:t>负责现场进度、质量、安全及资源组织</w:t>
            </w:r>
          </w:p>
        </w:tc>
      </w:tr>
      <w:tr w14:paraId="4CA8A4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4F39A6B">
            <w:pPr>
              <w:pStyle w:val="105"/>
              <w:bidi w:val="0"/>
              <w:rPr>
                <w:rFonts w:hint="eastAsia"/>
                <w:highlight w:val="none"/>
                <w:lang w:val="en-US" w:eastAsia="zh-CN"/>
              </w:rPr>
            </w:pPr>
            <w:r>
              <w:rPr>
                <w:rFonts w:hint="eastAsia"/>
                <w:highlight w:val="none"/>
              </w:rPr>
              <w:t>4</w:t>
            </w:r>
          </w:p>
        </w:tc>
        <w:tc>
          <w:tcPr>
            <w:tcW w:w="1365" w:type="dxa"/>
            <w:tcBorders>
              <w:tl2br w:val="nil"/>
              <w:tr2bl w:val="nil"/>
            </w:tcBorders>
            <w:vAlign w:val="center"/>
          </w:tcPr>
          <w:p w14:paraId="09BCCE93">
            <w:pPr>
              <w:pStyle w:val="105"/>
              <w:bidi w:val="0"/>
              <w:rPr>
                <w:rFonts w:hint="eastAsia"/>
                <w:highlight w:val="none"/>
                <w:lang w:val="en-US" w:eastAsia="zh-CN"/>
              </w:rPr>
            </w:pPr>
            <w:r>
              <w:rPr>
                <w:rFonts w:hint="eastAsia"/>
                <w:highlight w:val="none"/>
                <w:lang w:val="en-US" w:eastAsia="zh-CN"/>
              </w:rPr>
              <w:t>技术主管</w:t>
            </w:r>
          </w:p>
        </w:tc>
        <w:tc>
          <w:tcPr>
            <w:tcW w:w="2268" w:type="dxa"/>
            <w:tcBorders>
              <w:tl2br w:val="nil"/>
              <w:tr2bl w:val="nil"/>
            </w:tcBorders>
            <w:vAlign w:val="center"/>
          </w:tcPr>
          <w:p w14:paraId="5690C992">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7356C318">
            <w:pPr>
              <w:pStyle w:val="105"/>
              <w:bidi w:val="0"/>
              <w:rPr>
                <w:rFonts w:hint="eastAsia"/>
                <w:highlight w:val="none"/>
                <w:lang w:val="en-US" w:eastAsia="zh-CN"/>
              </w:rPr>
            </w:pPr>
            <w:r>
              <w:rPr>
                <w:rFonts w:hint="eastAsia"/>
                <w:highlight w:val="none"/>
                <w:lang w:val="en-US" w:eastAsia="zh-CN"/>
              </w:rPr>
              <w:t>协助项目总工开展现场技术管理工作</w:t>
            </w:r>
          </w:p>
        </w:tc>
      </w:tr>
      <w:tr w14:paraId="7DB54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ED408BA">
            <w:pPr>
              <w:pStyle w:val="105"/>
              <w:bidi w:val="0"/>
              <w:rPr>
                <w:rFonts w:hint="eastAsia"/>
                <w:highlight w:val="none"/>
                <w:lang w:val="en-US" w:eastAsia="zh-CN"/>
              </w:rPr>
            </w:pPr>
            <w:r>
              <w:rPr>
                <w:rFonts w:hint="eastAsia"/>
                <w:highlight w:val="none"/>
              </w:rPr>
              <w:t>5</w:t>
            </w:r>
          </w:p>
        </w:tc>
        <w:tc>
          <w:tcPr>
            <w:tcW w:w="1365" w:type="dxa"/>
            <w:tcBorders>
              <w:tl2br w:val="nil"/>
              <w:tr2bl w:val="nil"/>
            </w:tcBorders>
            <w:vAlign w:val="center"/>
          </w:tcPr>
          <w:p w14:paraId="5744812F">
            <w:pPr>
              <w:pStyle w:val="105"/>
              <w:bidi w:val="0"/>
              <w:rPr>
                <w:rFonts w:hint="eastAsia"/>
                <w:highlight w:val="none"/>
              </w:rPr>
            </w:pPr>
            <w:r>
              <w:rPr>
                <w:rFonts w:hint="eastAsia"/>
                <w:highlight w:val="none"/>
              </w:rPr>
              <w:t>技术员</w:t>
            </w:r>
          </w:p>
        </w:tc>
        <w:tc>
          <w:tcPr>
            <w:tcW w:w="2268" w:type="dxa"/>
            <w:tcBorders>
              <w:tl2br w:val="nil"/>
              <w:tr2bl w:val="nil"/>
            </w:tcBorders>
            <w:vAlign w:val="center"/>
          </w:tcPr>
          <w:p w14:paraId="034DCE41">
            <w:pPr>
              <w:pStyle w:val="105"/>
              <w:bidi w:val="0"/>
              <w:rPr>
                <w:rFonts w:hint="default"/>
                <w:highlight w:val="none"/>
                <w:lang w:val="en-US" w:eastAsia="zh-CN"/>
              </w:rPr>
            </w:pPr>
            <w:r>
              <w:rPr>
                <w:rFonts w:hint="eastAsia"/>
                <w:highlight w:val="none"/>
                <w:lang w:val="en-US" w:eastAsia="zh-CN"/>
              </w:rPr>
              <w:t>每工点至少1人</w:t>
            </w:r>
          </w:p>
        </w:tc>
        <w:tc>
          <w:tcPr>
            <w:tcW w:w="3912" w:type="dxa"/>
            <w:tcBorders>
              <w:tl2br w:val="nil"/>
              <w:tr2bl w:val="nil"/>
            </w:tcBorders>
            <w:vAlign w:val="center"/>
          </w:tcPr>
          <w:p w14:paraId="6C783031">
            <w:pPr>
              <w:pStyle w:val="105"/>
              <w:bidi w:val="0"/>
              <w:rPr>
                <w:rFonts w:hint="eastAsia"/>
                <w:highlight w:val="none"/>
              </w:rPr>
            </w:pPr>
            <w:r>
              <w:rPr>
                <w:rFonts w:hint="eastAsia"/>
                <w:highlight w:val="none"/>
              </w:rPr>
              <w:t>负责各工点现场</w:t>
            </w:r>
            <w:r>
              <w:rPr>
                <w:rFonts w:hint="eastAsia"/>
                <w:highlight w:val="none"/>
                <w:lang w:val="en-US" w:eastAsia="zh-CN"/>
              </w:rPr>
              <w:t>进度、</w:t>
            </w:r>
            <w:r>
              <w:rPr>
                <w:rFonts w:hint="eastAsia"/>
                <w:highlight w:val="none"/>
              </w:rPr>
              <w:t>技术管理</w:t>
            </w:r>
          </w:p>
        </w:tc>
      </w:tr>
      <w:tr w14:paraId="7D78C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DF7B74">
            <w:pPr>
              <w:pStyle w:val="105"/>
              <w:bidi w:val="0"/>
              <w:rPr>
                <w:rFonts w:hint="eastAsia"/>
                <w:highlight w:val="none"/>
                <w:lang w:val="en-US" w:eastAsia="zh-CN"/>
              </w:rPr>
            </w:pPr>
            <w:r>
              <w:rPr>
                <w:rFonts w:hint="eastAsia"/>
                <w:highlight w:val="none"/>
                <w:lang w:val="en-US" w:eastAsia="zh-CN"/>
              </w:rPr>
              <w:t>6</w:t>
            </w:r>
          </w:p>
        </w:tc>
        <w:tc>
          <w:tcPr>
            <w:tcW w:w="1365" w:type="dxa"/>
            <w:tcBorders>
              <w:tl2br w:val="nil"/>
              <w:tr2bl w:val="nil"/>
            </w:tcBorders>
            <w:vAlign w:val="center"/>
          </w:tcPr>
          <w:p w14:paraId="126AF122">
            <w:pPr>
              <w:pStyle w:val="105"/>
              <w:bidi w:val="0"/>
              <w:rPr>
                <w:rFonts w:hint="default"/>
                <w:highlight w:val="none"/>
                <w:lang w:val="en-US" w:eastAsia="zh-CN"/>
              </w:rPr>
            </w:pPr>
            <w:r>
              <w:rPr>
                <w:rFonts w:hint="eastAsia"/>
                <w:highlight w:val="none"/>
                <w:lang w:val="en-US" w:eastAsia="zh-CN"/>
              </w:rPr>
              <w:t>质检员</w:t>
            </w:r>
          </w:p>
        </w:tc>
        <w:tc>
          <w:tcPr>
            <w:tcW w:w="2268" w:type="dxa"/>
            <w:tcBorders>
              <w:tl2br w:val="nil"/>
              <w:tr2bl w:val="nil"/>
            </w:tcBorders>
            <w:vAlign w:val="center"/>
          </w:tcPr>
          <w:p w14:paraId="22A25A9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61809738">
            <w:pPr>
              <w:pStyle w:val="105"/>
              <w:bidi w:val="0"/>
              <w:rPr>
                <w:rFonts w:hint="default"/>
                <w:highlight w:val="none"/>
                <w:lang w:val="en-US" w:eastAsia="zh-CN"/>
              </w:rPr>
            </w:pPr>
            <w:r>
              <w:rPr>
                <w:rFonts w:hint="eastAsia"/>
                <w:highlight w:val="none"/>
                <w:lang w:val="en-US" w:eastAsia="zh-CN"/>
              </w:rPr>
              <w:t>负责现场质量专检</w:t>
            </w:r>
          </w:p>
        </w:tc>
      </w:tr>
      <w:tr w14:paraId="54F93D3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194B574">
            <w:pPr>
              <w:pStyle w:val="105"/>
              <w:bidi w:val="0"/>
              <w:rPr>
                <w:rFonts w:hint="eastAsia"/>
                <w:highlight w:val="none"/>
                <w:lang w:val="en-US" w:eastAsia="zh-CN"/>
              </w:rPr>
            </w:pPr>
            <w:r>
              <w:rPr>
                <w:rFonts w:hint="eastAsia"/>
                <w:highlight w:val="none"/>
                <w:lang w:val="en-US" w:eastAsia="zh-CN"/>
              </w:rPr>
              <w:t>7</w:t>
            </w:r>
          </w:p>
        </w:tc>
        <w:tc>
          <w:tcPr>
            <w:tcW w:w="1365" w:type="dxa"/>
            <w:tcBorders>
              <w:tl2br w:val="nil"/>
              <w:tr2bl w:val="nil"/>
            </w:tcBorders>
            <w:vAlign w:val="center"/>
          </w:tcPr>
          <w:p w14:paraId="5B12EFB1">
            <w:pPr>
              <w:pStyle w:val="105"/>
              <w:bidi w:val="0"/>
              <w:rPr>
                <w:rFonts w:hint="default"/>
                <w:highlight w:val="none"/>
                <w:lang w:val="en-US" w:eastAsia="zh-CN"/>
              </w:rPr>
            </w:pPr>
            <w:r>
              <w:rPr>
                <w:rFonts w:hint="eastAsia"/>
                <w:highlight w:val="none"/>
                <w:lang w:val="en-US" w:eastAsia="zh-CN"/>
              </w:rPr>
              <w:t>测量员</w:t>
            </w:r>
          </w:p>
        </w:tc>
        <w:tc>
          <w:tcPr>
            <w:tcW w:w="2268" w:type="dxa"/>
            <w:tcBorders>
              <w:tl2br w:val="nil"/>
              <w:tr2bl w:val="nil"/>
            </w:tcBorders>
            <w:vAlign w:val="center"/>
          </w:tcPr>
          <w:p w14:paraId="0D892B6A">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329EB224">
            <w:pPr>
              <w:pStyle w:val="105"/>
              <w:bidi w:val="0"/>
              <w:rPr>
                <w:rFonts w:hint="eastAsia"/>
                <w:highlight w:val="none"/>
                <w:lang w:val="en-US" w:eastAsia="zh-CN"/>
              </w:rPr>
            </w:pPr>
            <w:r>
              <w:rPr>
                <w:rFonts w:hint="eastAsia"/>
                <w:highlight w:val="none"/>
                <w:lang w:val="en-US" w:eastAsia="zh-CN"/>
              </w:rPr>
              <w:t>负责现场测量复核</w:t>
            </w:r>
          </w:p>
        </w:tc>
      </w:tr>
      <w:tr w14:paraId="378B98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D7C67E6">
            <w:pPr>
              <w:pStyle w:val="105"/>
              <w:bidi w:val="0"/>
              <w:rPr>
                <w:rFonts w:hint="eastAsia"/>
                <w:highlight w:val="none"/>
                <w:lang w:val="en-US" w:eastAsia="zh-CN"/>
              </w:rPr>
            </w:pPr>
            <w:r>
              <w:rPr>
                <w:rFonts w:hint="eastAsia"/>
                <w:highlight w:val="none"/>
                <w:lang w:val="en-US" w:eastAsia="zh-CN"/>
              </w:rPr>
              <w:t>8</w:t>
            </w:r>
          </w:p>
        </w:tc>
        <w:tc>
          <w:tcPr>
            <w:tcW w:w="1365" w:type="dxa"/>
            <w:tcBorders>
              <w:tl2br w:val="nil"/>
              <w:tr2bl w:val="nil"/>
            </w:tcBorders>
            <w:vAlign w:val="center"/>
          </w:tcPr>
          <w:p w14:paraId="65453AE3">
            <w:pPr>
              <w:pStyle w:val="105"/>
              <w:bidi w:val="0"/>
              <w:rPr>
                <w:rFonts w:hint="eastAsia"/>
                <w:highlight w:val="none"/>
                <w:lang w:val="en-US" w:eastAsia="zh-CN"/>
              </w:rPr>
            </w:pPr>
            <w:r>
              <w:rPr>
                <w:rFonts w:hint="eastAsia"/>
                <w:highlight w:val="none"/>
                <w:lang w:val="en-US" w:eastAsia="zh-CN"/>
              </w:rPr>
              <w:t>试验员</w:t>
            </w:r>
          </w:p>
        </w:tc>
        <w:tc>
          <w:tcPr>
            <w:tcW w:w="2268" w:type="dxa"/>
            <w:tcBorders>
              <w:tl2br w:val="nil"/>
              <w:tr2bl w:val="nil"/>
            </w:tcBorders>
            <w:vAlign w:val="center"/>
          </w:tcPr>
          <w:p w14:paraId="4D74DBB0">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0655F0C3">
            <w:pPr>
              <w:pStyle w:val="105"/>
              <w:bidi w:val="0"/>
              <w:rPr>
                <w:rFonts w:hint="eastAsia"/>
                <w:highlight w:val="none"/>
                <w:lang w:val="en-US" w:eastAsia="zh-CN"/>
              </w:rPr>
            </w:pPr>
            <w:r>
              <w:rPr>
                <w:rFonts w:hint="eastAsia"/>
                <w:highlight w:val="none"/>
                <w:lang w:val="en-US" w:eastAsia="zh-CN"/>
              </w:rPr>
              <w:t>负责现场试验检测工作</w:t>
            </w:r>
          </w:p>
        </w:tc>
      </w:tr>
      <w:tr w14:paraId="2D5E7E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9DCF65">
            <w:pPr>
              <w:pStyle w:val="105"/>
              <w:bidi w:val="0"/>
              <w:rPr>
                <w:rFonts w:hint="eastAsia"/>
                <w:highlight w:val="none"/>
                <w:lang w:val="en-US" w:eastAsia="zh-CN"/>
              </w:rPr>
            </w:pPr>
            <w:r>
              <w:rPr>
                <w:rFonts w:hint="eastAsia"/>
                <w:highlight w:val="none"/>
                <w:lang w:val="en-US" w:eastAsia="zh-CN"/>
              </w:rPr>
              <w:t>9</w:t>
            </w:r>
          </w:p>
        </w:tc>
        <w:tc>
          <w:tcPr>
            <w:tcW w:w="1365" w:type="dxa"/>
            <w:tcBorders>
              <w:tl2br w:val="nil"/>
              <w:tr2bl w:val="nil"/>
            </w:tcBorders>
            <w:vAlign w:val="center"/>
          </w:tcPr>
          <w:p w14:paraId="778B77EA">
            <w:pPr>
              <w:pStyle w:val="105"/>
              <w:bidi w:val="0"/>
              <w:rPr>
                <w:rFonts w:hint="eastAsia"/>
                <w:highlight w:val="none"/>
                <w:lang w:val="en-US" w:eastAsia="zh-CN"/>
              </w:rPr>
            </w:pPr>
            <w:r>
              <w:rPr>
                <w:rFonts w:hint="eastAsia"/>
                <w:highlight w:val="none"/>
                <w:lang w:val="en-US" w:eastAsia="zh-CN"/>
              </w:rPr>
              <w:t>安全员</w:t>
            </w:r>
          </w:p>
        </w:tc>
        <w:tc>
          <w:tcPr>
            <w:tcW w:w="2268" w:type="dxa"/>
            <w:tcBorders>
              <w:tl2br w:val="nil"/>
              <w:tr2bl w:val="nil"/>
            </w:tcBorders>
            <w:vAlign w:val="center"/>
          </w:tcPr>
          <w:p w14:paraId="2E3ECA0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7CA47759">
            <w:pPr>
              <w:pStyle w:val="105"/>
              <w:bidi w:val="0"/>
              <w:rPr>
                <w:rFonts w:hint="eastAsia"/>
                <w:highlight w:val="none"/>
                <w:lang w:val="en-US" w:eastAsia="zh-CN"/>
              </w:rPr>
            </w:pPr>
            <w:r>
              <w:rPr>
                <w:rFonts w:hint="eastAsia"/>
                <w:highlight w:val="none"/>
                <w:lang w:val="en-US" w:eastAsia="zh-CN"/>
              </w:rPr>
              <w:t>负责现场安全管理</w:t>
            </w:r>
          </w:p>
        </w:tc>
      </w:tr>
      <w:tr w14:paraId="663826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5FF774">
            <w:pPr>
              <w:pStyle w:val="105"/>
              <w:bidi w:val="0"/>
              <w:rPr>
                <w:rFonts w:hint="default"/>
                <w:highlight w:val="none"/>
                <w:lang w:val="en-US" w:eastAsia="zh-CN"/>
              </w:rPr>
            </w:pPr>
            <w:r>
              <w:rPr>
                <w:rFonts w:hint="eastAsia"/>
                <w:highlight w:val="none"/>
                <w:lang w:val="en-US" w:eastAsia="zh-CN"/>
              </w:rPr>
              <w:t>10</w:t>
            </w:r>
          </w:p>
        </w:tc>
        <w:tc>
          <w:tcPr>
            <w:tcW w:w="1365" w:type="dxa"/>
            <w:tcBorders>
              <w:tl2br w:val="nil"/>
              <w:tr2bl w:val="nil"/>
            </w:tcBorders>
            <w:vAlign w:val="center"/>
          </w:tcPr>
          <w:p w14:paraId="650BD53B">
            <w:pPr>
              <w:pStyle w:val="105"/>
              <w:bidi w:val="0"/>
              <w:rPr>
                <w:rFonts w:hint="eastAsia"/>
                <w:highlight w:val="none"/>
                <w:lang w:val="en-US" w:eastAsia="zh-CN"/>
              </w:rPr>
            </w:pPr>
            <w:r>
              <w:rPr>
                <w:rFonts w:hint="eastAsia"/>
                <w:highlight w:val="none"/>
                <w:lang w:val="en-US" w:eastAsia="zh-CN"/>
              </w:rPr>
              <w:t>分包单位现场负责人</w:t>
            </w:r>
          </w:p>
        </w:tc>
        <w:tc>
          <w:tcPr>
            <w:tcW w:w="2268" w:type="dxa"/>
            <w:tcBorders>
              <w:tl2br w:val="nil"/>
              <w:tr2bl w:val="nil"/>
            </w:tcBorders>
            <w:vAlign w:val="center"/>
          </w:tcPr>
          <w:p w14:paraId="589D8F53">
            <w:pPr>
              <w:pStyle w:val="105"/>
              <w:bidi w:val="0"/>
              <w:rPr>
                <w:rFonts w:hint="eastAsia"/>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2B067AA4">
            <w:pPr>
              <w:pStyle w:val="105"/>
              <w:bidi w:val="0"/>
              <w:rPr>
                <w:rFonts w:hint="eastAsia"/>
                <w:highlight w:val="none"/>
                <w:lang w:val="en-US" w:eastAsia="zh-CN"/>
              </w:rPr>
            </w:pPr>
            <w:r>
              <w:rPr>
                <w:rFonts w:hint="eastAsia"/>
                <w:highlight w:val="none"/>
                <w:lang w:val="en-US" w:eastAsia="zh-CN"/>
              </w:rPr>
              <w:t>负责现场施工调配管理</w:t>
            </w:r>
          </w:p>
        </w:tc>
      </w:tr>
    </w:tbl>
    <w:p w14:paraId="3C2E5F35">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highlight w:val="none"/>
        </w:rPr>
      </w:pPr>
      <w:r>
        <w:rPr>
          <w:rFonts w:hint="eastAsia" w:ascii="宋体" w:hAnsi="宋体" w:cs="宋体"/>
          <w:b/>
          <w:bCs/>
          <w:kern w:val="2"/>
          <w:sz w:val="24"/>
          <w:szCs w:val="24"/>
          <w:highlight w:val="none"/>
          <w:lang w:val="en-US" w:eastAsia="zh-CN" w:bidi="ar"/>
        </w:rPr>
        <w:t>2</w:t>
      </w:r>
      <w:r>
        <w:rPr>
          <w:rFonts w:hint="eastAsia"/>
          <w:highlight w:val="none"/>
          <w:lang w:val="en-US" w:eastAsia="zh-CN"/>
        </w:rPr>
        <w:t>、</w:t>
      </w:r>
      <w:r>
        <w:rPr>
          <w:rFonts w:hint="eastAsia" w:cs="宋体"/>
          <w:b/>
          <w:bCs/>
          <w:kern w:val="2"/>
          <w:sz w:val="24"/>
          <w:szCs w:val="24"/>
          <w:highlight w:val="none"/>
          <w:lang w:val="en-US" w:eastAsia="zh-CN" w:bidi="ar"/>
        </w:rPr>
        <w:t>塔机</w:t>
      </w:r>
      <w:r>
        <w:rPr>
          <w:rFonts w:hint="eastAsia" w:ascii="宋体" w:hAnsi="宋体" w:cs="宋体"/>
          <w:b/>
          <w:bCs/>
          <w:kern w:val="2"/>
          <w:sz w:val="24"/>
          <w:szCs w:val="24"/>
          <w:highlight w:val="none"/>
          <w:lang w:val="en-US" w:eastAsia="zh-CN" w:bidi="ar"/>
        </w:rPr>
        <w:t>安拆</w:t>
      </w:r>
      <w:r>
        <w:rPr>
          <w:rFonts w:hint="eastAsia" w:ascii="宋体" w:hAnsi="宋体" w:eastAsia="宋体" w:cs="宋体"/>
          <w:b/>
          <w:bCs/>
          <w:kern w:val="2"/>
          <w:sz w:val="24"/>
          <w:szCs w:val="24"/>
          <w:highlight w:val="none"/>
          <w:lang w:val="en-US" w:eastAsia="zh-CN" w:bidi="ar"/>
        </w:rPr>
        <w:t>施工专职安全生产管理人员配置</w:t>
      </w:r>
    </w:p>
    <w:p w14:paraId="145DD02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）安全总监</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名。建立健全安全生产保障提体系，组织成立安全生产组织机构，保证安全生产管理体系的有效运转，监督现场各岗位人员安全主体责任的落实。</w:t>
      </w:r>
    </w:p>
    <w:p w14:paraId="36002F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）专职安全员</w:t>
      </w:r>
      <w:r>
        <w:rPr>
          <w:rFonts w:hint="eastAsia"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名。负责现场日常各项安全检查工作，排查各项安全隐患，监督现场技术员及班组落实整改要求，有权制止各种不安全行为。</w:t>
      </w:r>
    </w:p>
    <w:p w14:paraId="080C3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）此外，</w:t>
      </w:r>
      <w:r>
        <w:rPr>
          <w:rFonts w:hint="eastAsia" w:cs="宋体"/>
          <w:kern w:val="2"/>
          <w:sz w:val="24"/>
          <w:szCs w:val="24"/>
          <w:highlight w:val="none"/>
          <w:lang w:val="en-US" w:eastAsia="zh-CN" w:bidi="ar"/>
        </w:rPr>
        <w:t>塔机</w:t>
      </w:r>
      <w:r>
        <w:rPr>
          <w:rFonts w:hint="eastAsia" w:ascii="宋体" w:hAnsi="宋体" w:cs="宋体"/>
          <w:kern w:val="2"/>
          <w:sz w:val="24"/>
          <w:szCs w:val="24"/>
          <w:highlight w:val="none"/>
          <w:lang w:val="en-US" w:eastAsia="zh-CN" w:bidi="ar"/>
        </w:rPr>
        <w:t>安拆专业承包单位专职安全员1名，</w:t>
      </w:r>
      <w:r>
        <w:rPr>
          <w:rFonts w:hint="eastAsia" w:ascii="宋体" w:hAnsi="宋体" w:eastAsia="宋体" w:cs="宋体"/>
          <w:kern w:val="2"/>
          <w:sz w:val="24"/>
          <w:szCs w:val="24"/>
          <w:highlight w:val="none"/>
          <w:lang w:val="en-US" w:eastAsia="zh-CN" w:bidi="ar"/>
        </w:rPr>
        <w:t>负责现场日常各项安全检查工作，排查各项安全隐患。</w:t>
      </w:r>
    </w:p>
    <w:p w14:paraId="6DCDD61F">
      <w:pPr>
        <w:bidi w:val="0"/>
        <w:rPr>
          <w:highlight w:val="none"/>
        </w:rPr>
      </w:pPr>
      <w:r>
        <w:rPr>
          <w:rFonts w:hint="eastAsia" w:ascii="宋体" w:hAnsi="宋体" w:cs="宋体"/>
          <w:b/>
          <w:bCs/>
          <w:kern w:val="2"/>
          <w:sz w:val="24"/>
          <w:szCs w:val="24"/>
          <w:highlight w:val="none"/>
          <w:lang w:val="en-US" w:eastAsia="zh-CN" w:bidi="ar"/>
        </w:rPr>
        <w:t>3</w:t>
      </w:r>
      <w:r>
        <w:rPr>
          <w:rFonts w:hint="eastAsia"/>
          <w:highlight w:val="none"/>
          <w:lang w:val="en-US" w:eastAsia="zh-CN"/>
        </w:rPr>
        <w:t>、</w:t>
      </w:r>
      <w:bookmarkStart w:id="327" w:name="_Toc12625"/>
      <w:bookmarkStart w:id="328" w:name="_Toc29362"/>
      <w:bookmarkStart w:id="329" w:name="_Toc31491"/>
      <w:r>
        <w:rPr>
          <w:rFonts w:hint="eastAsia" w:cs="宋体"/>
          <w:b w:val="0"/>
          <w:bCs w:val="0"/>
          <w:kern w:val="2"/>
          <w:sz w:val="24"/>
          <w:szCs w:val="24"/>
          <w:highlight w:val="none"/>
          <w:lang w:val="en-US" w:eastAsia="zh-CN" w:bidi="ar"/>
        </w:rPr>
        <w:t>塔机</w:t>
      </w:r>
      <w:r>
        <w:rPr>
          <w:rFonts w:hint="eastAsia" w:ascii="宋体" w:hAnsi="宋体" w:cs="宋体"/>
          <w:b w:val="0"/>
          <w:bCs w:val="0"/>
          <w:kern w:val="2"/>
          <w:sz w:val="24"/>
          <w:szCs w:val="24"/>
          <w:highlight w:val="none"/>
          <w:lang w:val="en-US" w:eastAsia="zh-CN" w:bidi="ar"/>
        </w:rPr>
        <w:t>安拆</w:t>
      </w:r>
      <w:r>
        <w:rPr>
          <w:rFonts w:hint="eastAsia" w:ascii="宋体" w:hAnsi="宋体" w:eastAsia="宋体" w:cs="宋体"/>
          <w:b w:val="0"/>
          <w:bCs w:val="0"/>
          <w:kern w:val="2"/>
          <w:sz w:val="24"/>
          <w:szCs w:val="24"/>
          <w:highlight w:val="none"/>
          <w:lang w:val="en-US" w:eastAsia="zh-CN" w:bidi="ar"/>
        </w:rPr>
        <w:t>施工</w:t>
      </w:r>
      <w:r>
        <w:rPr>
          <w:rFonts w:hint="eastAsia"/>
          <w:b w:val="0"/>
          <w:bCs w:val="0"/>
          <w:highlight w:val="none"/>
          <w:lang w:val="en-US" w:eastAsia="zh-CN"/>
        </w:rPr>
        <w:t>特种作业人员</w:t>
      </w:r>
      <w:bookmarkEnd w:id="327"/>
      <w:bookmarkEnd w:id="328"/>
      <w:bookmarkEnd w:id="329"/>
      <w:r>
        <w:rPr>
          <w:rFonts w:hint="eastAsia" w:ascii="宋体" w:hAnsi="宋体" w:eastAsia="宋体" w:cs="宋体"/>
          <w:b w:val="0"/>
          <w:bCs w:val="0"/>
          <w:kern w:val="2"/>
          <w:sz w:val="24"/>
          <w:szCs w:val="24"/>
          <w:highlight w:val="none"/>
          <w:lang w:val="en-US" w:eastAsia="zh-CN" w:bidi="ar"/>
        </w:rPr>
        <w:t>配置</w:t>
      </w:r>
    </w:p>
    <w:p w14:paraId="78F83F76">
      <w:pPr>
        <w:pStyle w:val="15"/>
        <w:bidi w:val="0"/>
        <w:rPr>
          <w:rFonts w:hint="eastAsia"/>
          <w:highlight w:val="none"/>
          <w:lang w:val="en-US" w:eastAsia="zh-CN"/>
        </w:rPr>
      </w:pPr>
      <w:r>
        <w:rPr>
          <w:rFonts w:hint="eastAsia"/>
          <w:highlight w:val="none"/>
          <w:lang w:val="en-US" w:eastAsia="zh-CN"/>
        </w:rPr>
        <w:t>表7-2每班组特种作业人员配置计划表</w:t>
      </w:r>
    </w:p>
    <w:tbl>
      <w:tblPr>
        <w:tblStyle w:val="30"/>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7902F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4E095D8E">
            <w:pPr>
              <w:pStyle w:val="105"/>
              <w:bidi w:val="0"/>
              <w:rPr>
                <w:rFonts w:hint="eastAsia"/>
                <w:highlight w:val="none"/>
              </w:rPr>
            </w:pPr>
            <w:r>
              <w:rPr>
                <w:rFonts w:hint="eastAsia"/>
                <w:highlight w:val="none"/>
              </w:rPr>
              <w:t>序号</w:t>
            </w:r>
          </w:p>
        </w:tc>
        <w:tc>
          <w:tcPr>
            <w:tcW w:w="2115" w:type="dxa"/>
            <w:tcBorders>
              <w:tl2br w:val="nil"/>
              <w:tr2bl w:val="nil"/>
            </w:tcBorders>
            <w:shd w:val="clear" w:color="auto" w:fill="DAE3F3" w:themeFill="accent5" w:themeFillTint="32"/>
            <w:vAlign w:val="center"/>
          </w:tcPr>
          <w:p w14:paraId="7FDB7854">
            <w:pPr>
              <w:pStyle w:val="105"/>
              <w:bidi w:val="0"/>
              <w:rPr>
                <w:rFonts w:hint="default"/>
                <w:highlight w:val="none"/>
                <w:lang w:val="en-US" w:eastAsia="zh-CN"/>
              </w:rPr>
            </w:pPr>
            <w:r>
              <w:rPr>
                <w:rFonts w:hint="eastAsia"/>
                <w:highlight w:val="none"/>
                <w:lang w:val="en-US" w:eastAsia="zh-CN"/>
              </w:rPr>
              <w:t>特种作业工名称</w:t>
            </w:r>
          </w:p>
        </w:tc>
        <w:tc>
          <w:tcPr>
            <w:tcW w:w="1221" w:type="dxa"/>
            <w:tcBorders>
              <w:tl2br w:val="nil"/>
              <w:tr2bl w:val="nil"/>
            </w:tcBorders>
            <w:shd w:val="clear" w:color="auto" w:fill="DAE3F3" w:themeFill="accent5" w:themeFillTint="32"/>
            <w:vAlign w:val="center"/>
          </w:tcPr>
          <w:p w14:paraId="1F4A05D6">
            <w:pPr>
              <w:pStyle w:val="105"/>
              <w:bidi w:val="0"/>
              <w:rPr>
                <w:rFonts w:hint="eastAsia"/>
                <w:highlight w:val="none"/>
                <w:lang w:eastAsia="zh-CN"/>
              </w:rPr>
            </w:pPr>
            <w:r>
              <w:rPr>
                <w:rFonts w:hint="eastAsia"/>
                <w:highlight w:val="none"/>
              </w:rPr>
              <w:t>数量</w:t>
            </w:r>
            <w:r>
              <w:rPr>
                <w:rFonts w:hint="eastAsia"/>
                <w:highlight w:val="none"/>
                <w:lang w:eastAsia="zh-CN"/>
              </w:rPr>
              <w:t>（</w:t>
            </w:r>
            <w:r>
              <w:rPr>
                <w:rFonts w:hint="eastAsia"/>
                <w:highlight w:val="none"/>
              </w:rPr>
              <w:t>人</w:t>
            </w:r>
            <w:r>
              <w:rPr>
                <w:rFonts w:hint="eastAsia"/>
                <w:highlight w:val="none"/>
                <w:lang w:eastAsia="zh-CN"/>
              </w:rPr>
              <w:t>）</w:t>
            </w:r>
          </w:p>
        </w:tc>
        <w:tc>
          <w:tcPr>
            <w:tcW w:w="3864" w:type="dxa"/>
            <w:tcBorders>
              <w:tl2br w:val="nil"/>
              <w:tr2bl w:val="nil"/>
            </w:tcBorders>
            <w:shd w:val="clear" w:color="auto" w:fill="DAE3F3" w:themeFill="accent5" w:themeFillTint="32"/>
            <w:vAlign w:val="center"/>
          </w:tcPr>
          <w:p w14:paraId="25B16DCA">
            <w:pPr>
              <w:pStyle w:val="105"/>
              <w:bidi w:val="0"/>
              <w:rPr>
                <w:rFonts w:hint="eastAsia"/>
                <w:highlight w:val="none"/>
              </w:rPr>
            </w:pPr>
            <w:r>
              <w:rPr>
                <w:rFonts w:hint="eastAsia"/>
                <w:highlight w:val="none"/>
              </w:rPr>
              <w:t>职责</w:t>
            </w:r>
          </w:p>
        </w:tc>
      </w:tr>
      <w:tr w14:paraId="6631F2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77FCE8C2">
            <w:pPr>
              <w:pStyle w:val="105"/>
              <w:bidi w:val="0"/>
              <w:rPr>
                <w:rFonts w:hint="eastAsia"/>
                <w:highlight w:val="none"/>
              </w:rPr>
            </w:pPr>
            <w:r>
              <w:rPr>
                <w:rFonts w:hint="eastAsia"/>
                <w:highlight w:val="none"/>
              </w:rPr>
              <w:t>1</w:t>
            </w:r>
          </w:p>
        </w:tc>
        <w:tc>
          <w:tcPr>
            <w:tcW w:w="2115" w:type="dxa"/>
            <w:tcBorders>
              <w:tl2br w:val="nil"/>
              <w:tr2bl w:val="nil"/>
            </w:tcBorders>
            <w:vAlign w:val="center"/>
          </w:tcPr>
          <w:p w14:paraId="357268D3">
            <w:pPr>
              <w:pStyle w:val="105"/>
              <w:bidi w:val="0"/>
              <w:rPr>
                <w:rFonts w:hint="eastAsia"/>
                <w:highlight w:val="none"/>
                <w:lang w:val="en-US" w:eastAsia="zh-CN"/>
              </w:rPr>
            </w:pPr>
            <w:r>
              <w:rPr>
                <w:rFonts w:hint="eastAsia"/>
                <w:highlight w:val="none"/>
                <w:lang w:val="en-US" w:eastAsia="zh-CN"/>
              </w:rPr>
              <w:t>电工</w:t>
            </w:r>
          </w:p>
        </w:tc>
        <w:tc>
          <w:tcPr>
            <w:tcW w:w="1221" w:type="dxa"/>
            <w:tcBorders>
              <w:tl2br w:val="nil"/>
              <w:tr2bl w:val="nil"/>
            </w:tcBorders>
            <w:vAlign w:val="center"/>
          </w:tcPr>
          <w:p w14:paraId="142BFEE1">
            <w:pPr>
              <w:pStyle w:val="105"/>
              <w:bidi w:val="0"/>
              <w:rPr>
                <w:rFonts w:hint="eastAsia"/>
                <w:highlight w:val="none"/>
              </w:rPr>
            </w:pPr>
            <w:r>
              <w:rPr>
                <w:rFonts w:hint="eastAsia"/>
                <w:highlight w:val="none"/>
              </w:rPr>
              <w:t>1</w:t>
            </w:r>
          </w:p>
        </w:tc>
        <w:tc>
          <w:tcPr>
            <w:tcW w:w="3864" w:type="dxa"/>
            <w:tcBorders>
              <w:tl2br w:val="nil"/>
              <w:tr2bl w:val="nil"/>
            </w:tcBorders>
            <w:vAlign w:val="center"/>
          </w:tcPr>
          <w:p w14:paraId="39660865">
            <w:pPr>
              <w:pStyle w:val="105"/>
              <w:bidi w:val="0"/>
              <w:rPr>
                <w:rFonts w:hint="default"/>
                <w:highlight w:val="none"/>
                <w:lang w:val="en-US" w:eastAsia="zh-CN"/>
              </w:rPr>
            </w:pPr>
            <w:r>
              <w:rPr>
                <w:rFonts w:hint="eastAsia"/>
                <w:highlight w:val="none"/>
              </w:rPr>
              <w:t>负责现场</w:t>
            </w:r>
            <w:r>
              <w:rPr>
                <w:rFonts w:hint="eastAsia"/>
                <w:highlight w:val="none"/>
                <w:lang w:val="en-US" w:eastAsia="zh-CN"/>
              </w:rPr>
              <w:t>临时用电安装、检查、维修</w:t>
            </w:r>
          </w:p>
        </w:tc>
      </w:tr>
      <w:tr w14:paraId="3DDB5B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BE50826">
            <w:pPr>
              <w:pStyle w:val="105"/>
              <w:bidi w:val="0"/>
              <w:rPr>
                <w:rFonts w:hint="eastAsia" w:eastAsia="宋体"/>
                <w:highlight w:val="none"/>
                <w:lang w:val="en-US" w:eastAsia="zh-CN"/>
              </w:rPr>
            </w:pPr>
            <w:r>
              <w:rPr>
                <w:rFonts w:hint="eastAsia"/>
                <w:highlight w:val="none"/>
                <w:lang w:val="en-US" w:eastAsia="zh-CN"/>
              </w:rPr>
              <w:t>2</w:t>
            </w:r>
          </w:p>
        </w:tc>
        <w:tc>
          <w:tcPr>
            <w:tcW w:w="2115" w:type="dxa"/>
            <w:tcBorders>
              <w:tl2br w:val="nil"/>
              <w:tr2bl w:val="nil"/>
            </w:tcBorders>
            <w:vAlign w:val="center"/>
          </w:tcPr>
          <w:p w14:paraId="2091EB26">
            <w:pPr>
              <w:pStyle w:val="105"/>
              <w:bidi w:val="0"/>
              <w:rPr>
                <w:rFonts w:hint="eastAsia"/>
                <w:highlight w:val="none"/>
                <w:lang w:val="en-US" w:eastAsia="zh-CN"/>
              </w:rPr>
            </w:pPr>
            <w:r>
              <w:rPr>
                <w:rFonts w:hint="eastAsia"/>
                <w:highlight w:val="none"/>
                <w:lang w:val="en-US" w:eastAsia="zh-CN"/>
              </w:rPr>
              <w:t>安拆维保人员</w:t>
            </w:r>
          </w:p>
        </w:tc>
        <w:tc>
          <w:tcPr>
            <w:tcW w:w="1221" w:type="dxa"/>
            <w:tcBorders>
              <w:tl2br w:val="nil"/>
              <w:tr2bl w:val="nil"/>
            </w:tcBorders>
            <w:vAlign w:val="center"/>
          </w:tcPr>
          <w:p w14:paraId="6190185A">
            <w:pPr>
              <w:pStyle w:val="105"/>
              <w:bidi w:val="0"/>
              <w:rPr>
                <w:rFonts w:hint="eastAsia"/>
                <w:highlight w:val="none"/>
                <w:lang w:val="en-US" w:eastAsia="zh-CN"/>
              </w:rPr>
            </w:pPr>
            <w:r>
              <w:rPr>
                <w:rFonts w:hint="eastAsia"/>
                <w:highlight w:val="none"/>
                <w:lang w:val="en-US" w:eastAsia="zh-CN"/>
              </w:rPr>
              <w:t>4</w:t>
            </w:r>
          </w:p>
        </w:tc>
        <w:tc>
          <w:tcPr>
            <w:tcW w:w="3864" w:type="dxa"/>
            <w:tcBorders>
              <w:tl2br w:val="nil"/>
              <w:tr2bl w:val="nil"/>
            </w:tcBorders>
            <w:vAlign w:val="center"/>
          </w:tcPr>
          <w:p w14:paraId="1D10A0C7">
            <w:pPr>
              <w:pStyle w:val="105"/>
              <w:bidi w:val="0"/>
              <w:rPr>
                <w:rFonts w:hint="eastAsia"/>
                <w:highlight w:val="none"/>
                <w:lang w:val="en-US" w:eastAsia="zh-CN"/>
              </w:rPr>
            </w:pPr>
            <w:r>
              <w:rPr>
                <w:rFonts w:hint="eastAsia"/>
                <w:highlight w:val="none"/>
                <w:lang w:val="en-US" w:eastAsia="zh-CN"/>
              </w:rPr>
              <w:t>按规章安拆维保起重机械</w:t>
            </w:r>
          </w:p>
        </w:tc>
      </w:tr>
      <w:tr w14:paraId="14EB08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676B1">
            <w:pPr>
              <w:pStyle w:val="105"/>
              <w:bidi w:val="0"/>
              <w:rPr>
                <w:rFonts w:hint="eastAsia"/>
                <w:highlight w:val="none"/>
                <w:lang w:val="en-US" w:eastAsia="zh-CN"/>
              </w:rPr>
            </w:pPr>
            <w:r>
              <w:rPr>
                <w:rFonts w:hint="eastAsia"/>
                <w:highlight w:val="none"/>
              </w:rPr>
              <w:t>3</w:t>
            </w:r>
          </w:p>
        </w:tc>
        <w:tc>
          <w:tcPr>
            <w:tcW w:w="2115" w:type="dxa"/>
            <w:tcBorders>
              <w:tl2br w:val="nil"/>
              <w:tr2bl w:val="nil"/>
            </w:tcBorders>
            <w:vAlign w:val="center"/>
          </w:tcPr>
          <w:p w14:paraId="677FC220">
            <w:pPr>
              <w:pStyle w:val="105"/>
              <w:bidi w:val="0"/>
              <w:rPr>
                <w:rFonts w:hint="default"/>
                <w:highlight w:val="none"/>
                <w:lang w:val="en-US" w:eastAsia="zh-CN"/>
              </w:rPr>
            </w:pPr>
            <w:r>
              <w:rPr>
                <w:rFonts w:hint="eastAsia"/>
                <w:highlight w:val="none"/>
                <w:lang w:val="en-US" w:eastAsia="zh-CN"/>
              </w:rPr>
              <w:t>起重机械司机</w:t>
            </w:r>
          </w:p>
        </w:tc>
        <w:tc>
          <w:tcPr>
            <w:tcW w:w="1221" w:type="dxa"/>
            <w:tcBorders>
              <w:tl2br w:val="nil"/>
              <w:tr2bl w:val="nil"/>
            </w:tcBorders>
            <w:vAlign w:val="center"/>
          </w:tcPr>
          <w:p w14:paraId="66AE5981">
            <w:pPr>
              <w:pStyle w:val="105"/>
              <w:bidi w:val="0"/>
              <w:rPr>
                <w:rFonts w:hint="default"/>
                <w:highlight w:val="none"/>
                <w:lang w:val="en-US" w:eastAsia="zh-CN"/>
              </w:rPr>
            </w:pPr>
            <w:r>
              <w:rPr>
                <w:rFonts w:hint="eastAsia"/>
                <w:highlight w:val="none"/>
                <w:lang w:val="en-US" w:eastAsia="zh-CN"/>
              </w:rPr>
              <w:t>1</w:t>
            </w:r>
          </w:p>
        </w:tc>
        <w:tc>
          <w:tcPr>
            <w:tcW w:w="3864" w:type="dxa"/>
            <w:tcBorders>
              <w:tl2br w:val="nil"/>
              <w:tr2bl w:val="nil"/>
            </w:tcBorders>
            <w:vAlign w:val="center"/>
          </w:tcPr>
          <w:p w14:paraId="376A555D">
            <w:pPr>
              <w:pStyle w:val="105"/>
              <w:bidi w:val="0"/>
              <w:rPr>
                <w:rFonts w:hint="default"/>
                <w:highlight w:val="none"/>
                <w:lang w:val="en-US" w:eastAsia="zh-CN"/>
              </w:rPr>
            </w:pPr>
            <w:r>
              <w:rPr>
                <w:rFonts w:hint="eastAsia"/>
                <w:highlight w:val="none"/>
                <w:lang w:val="en-US" w:eastAsia="zh-CN"/>
              </w:rPr>
              <w:t>按规章、规程要求进行起重吊装作业，检查、维护起重机械（租赁）</w:t>
            </w:r>
          </w:p>
        </w:tc>
      </w:tr>
      <w:tr w14:paraId="042CF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2FC4C9FF">
            <w:pPr>
              <w:pStyle w:val="105"/>
              <w:bidi w:val="0"/>
              <w:rPr>
                <w:rFonts w:hint="default"/>
                <w:highlight w:val="none"/>
                <w:lang w:val="en-US" w:eastAsia="zh-CN"/>
              </w:rPr>
            </w:pPr>
            <w:r>
              <w:rPr>
                <w:rFonts w:hint="eastAsia"/>
                <w:highlight w:val="none"/>
              </w:rPr>
              <w:t>4</w:t>
            </w:r>
          </w:p>
        </w:tc>
        <w:tc>
          <w:tcPr>
            <w:tcW w:w="2115" w:type="dxa"/>
            <w:tcBorders>
              <w:tl2br w:val="nil"/>
              <w:tr2bl w:val="nil"/>
            </w:tcBorders>
            <w:vAlign w:val="center"/>
          </w:tcPr>
          <w:p w14:paraId="0171A2C7">
            <w:pPr>
              <w:pStyle w:val="105"/>
              <w:bidi w:val="0"/>
              <w:rPr>
                <w:rFonts w:hint="default"/>
                <w:highlight w:val="none"/>
                <w:lang w:val="en-US" w:eastAsia="zh-CN"/>
              </w:rPr>
            </w:pPr>
            <w:r>
              <w:rPr>
                <w:rFonts w:hint="eastAsia"/>
                <w:highlight w:val="none"/>
                <w:lang w:val="en-US" w:eastAsia="zh-CN"/>
              </w:rPr>
              <w:t>司索工</w:t>
            </w:r>
          </w:p>
        </w:tc>
        <w:tc>
          <w:tcPr>
            <w:tcW w:w="1221" w:type="dxa"/>
            <w:tcBorders>
              <w:tl2br w:val="nil"/>
              <w:tr2bl w:val="nil"/>
            </w:tcBorders>
            <w:vAlign w:val="center"/>
          </w:tcPr>
          <w:p w14:paraId="6BB865F0">
            <w:pPr>
              <w:pStyle w:val="105"/>
              <w:bidi w:val="0"/>
              <w:rPr>
                <w:rFonts w:hint="default"/>
                <w:highlight w:val="none"/>
                <w:lang w:val="en-US" w:eastAsia="zh-CN"/>
              </w:rPr>
            </w:pPr>
            <w:r>
              <w:rPr>
                <w:rFonts w:hint="eastAsia"/>
                <w:highlight w:val="none"/>
                <w:lang w:val="en-US" w:eastAsia="zh-CN"/>
              </w:rPr>
              <w:t>1</w:t>
            </w:r>
          </w:p>
        </w:tc>
        <w:tc>
          <w:tcPr>
            <w:tcW w:w="3864" w:type="dxa"/>
            <w:tcBorders>
              <w:tl2br w:val="nil"/>
              <w:tr2bl w:val="nil"/>
            </w:tcBorders>
            <w:vAlign w:val="center"/>
          </w:tcPr>
          <w:p w14:paraId="7B83973B">
            <w:pPr>
              <w:pStyle w:val="105"/>
              <w:bidi w:val="0"/>
              <w:rPr>
                <w:rFonts w:hint="default"/>
                <w:highlight w:val="none"/>
                <w:lang w:val="en-US" w:eastAsia="zh-CN"/>
              </w:rPr>
            </w:pPr>
            <w:r>
              <w:rPr>
                <w:rFonts w:hint="eastAsia"/>
                <w:highlight w:val="none"/>
                <w:lang w:val="en-US" w:eastAsia="zh-CN"/>
              </w:rPr>
              <w:t>规范指挥起重吊装作业（租赁）</w:t>
            </w:r>
          </w:p>
        </w:tc>
      </w:tr>
      <w:tr w14:paraId="71C29C5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2B05A">
            <w:pPr>
              <w:pStyle w:val="105"/>
              <w:bidi w:val="0"/>
              <w:rPr>
                <w:rFonts w:hint="default"/>
                <w:highlight w:val="none"/>
                <w:lang w:val="en-US" w:eastAsia="zh-CN"/>
              </w:rPr>
            </w:pPr>
            <w:r>
              <w:rPr>
                <w:rFonts w:hint="eastAsia"/>
                <w:highlight w:val="none"/>
                <w:lang w:val="en-US" w:eastAsia="zh-CN"/>
              </w:rPr>
              <w:t>5</w:t>
            </w:r>
          </w:p>
        </w:tc>
        <w:tc>
          <w:tcPr>
            <w:tcW w:w="2115" w:type="dxa"/>
            <w:tcBorders>
              <w:tl2br w:val="nil"/>
              <w:tr2bl w:val="nil"/>
            </w:tcBorders>
            <w:vAlign w:val="center"/>
          </w:tcPr>
          <w:p w14:paraId="2FBC2CD8">
            <w:pPr>
              <w:pStyle w:val="105"/>
              <w:bidi w:val="0"/>
              <w:rPr>
                <w:rFonts w:hint="default"/>
                <w:highlight w:val="none"/>
                <w:lang w:val="en-US" w:eastAsia="zh-CN"/>
              </w:rPr>
            </w:pPr>
            <w:r>
              <w:rPr>
                <w:rFonts w:hint="eastAsia"/>
                <w:highlight w:val="none"/>
                <w:lang w:val="en-US" w:eastAsia="zh-CN"/>
              </w:rPr>
              <w:t>合计</w:t>
            </w:r>
          </w:p>
        </w:tc>
        <w:tc>
          <w:tcPr>
            <w:tcW w:w="1221" w:type="dxa"/>
            <w:tcBorders>
              <w:tl2br w:val="nil"/>
              <w:tr2bl w:val="nil"/>
            </w:tcBorders>
            <w:vAlign w:val="center"/>
          </w:tcPr>
          <w:p w14:paraId="580D63A1">
            <w:pPr>
              <w:pStyle w:val="105"/>
              <w:bidi w:val="0"/>
              <w:rPr>
                <w:rFonts w:hint="default"/>
                <w:highlight w:val="none"/>
                <w:lang w:val="en-US" w:eastAsia="zh-CN"/>
              </w:rPr>
            </w:pPr>
            <w:r>
              <w:rPr>
                <w:rFonts w:hint="eastAsia"/>
                <w:highlight w:val="none"/>
                <w:lang w:val="en-US" w:eastAsia="zh-CN"/>
              </w:rPr>
              <w:t>7</w:t>
            </w:r>
          </w:p>
        </w:tc>
        <w:tc>
          <w:tcPr>
            <w:tcW w:w="3864" w:type="dxa"/>
            <w:tcBorders>
              <w:tl2br w:val="nil"/>
              <w:tr2bl w:val="nil"/>
            </w:tcBorders>
            <w:vAlign w:val="center"/>
          </w:tcPr>
          <w:p w14:paraId="5341ADB4">
            <w:pPr>
              <w:pStyle w:val="105"/>
              <w:bidi w:val="0"/>
              <w:rPr>
                <w:rFonts w:hint="default"/>
                <w:highlight w:val="none"/>
                <w:lang w:val="en-US" w:eastAsia="zh-CN"/>
              </w:rPr>
            </w:pPr>
          </w:p>
        </w:tc>
      </w:tr>
    </w:tbl>
    <w:p w14:paraId="74A5D7DA">
      <w:pPr>
        <w:bidi w:val="0"/>
        <w:ind w:firstLine="480" w:firstLineChars="200"/>
        <w:rPr>
          <w:rFonts w:hint="eastAsia"/>
          <w:highlight w:val="none"/>
          <w:lang w:val="en-US" w:eastAsia="zh-CN"/>
        </w:rPr>
      </w:pPr>
      <w:r>
        <w:rPr>
          <w:rFonts w:hint="eastAsia"/>
          <w:highlight w:val="none"/>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61FDDBA3">
      <w:pPr>
        <w:bidi w:val="0"/>
        <w:rPr>
          <w:rFonts w:hint="eastAsia"/>
          <w:highlight w:val="none"/>
          <w:lang w:val="en-US" w:eastAsia="zh-CN"/>
        </w:rPr>
      </w:pPr>
      <w:r>
        <w:rPr>
          <w:rFonts w:hint="eastAsia"/>
          <w:highlight w:val="none"/>
          <w:lang w:val="en-US" w:eastAsia="zh-CN"/>
        </w:rPr>
        <w:t>4、</w:t>
      </w:r>
      <w:bookmarkStart w:id="330" w:name="_Toc6570"/>
      <w:bookmarkStart w:id="331" w:name="_Toc26620"/>
      <w:r>
        <w:rPr>
          <w:rFonts w:hint="default"/>
          <w:highlight w:val="none"/>
          <w:lang w:val="en-US" w:eastAsia="zh-CN"/>
        </w:rPr>
        <w:t>安拆专业分包单位管理人员及安拆人员名单</w:t>
      </w:r>
      <w:bookmarkEnd w:id="330"/>
      <w:bookmarkEnd w:id="331"/>
    </w:p>
    <w:p w14:paraId="51EFBE97">
      <w:pPr>
        <w:jc w:val="center"/>
        <w:rPr>
          <w:rFonts w:hint="eastAsia"/>
          <w:highlight w:val="none"/>
          <w:lang w:val="en-US" w:eastAsia="zh-CN"/>
        </w:rPr>
      </w:pPr>
      <w:r>
        <w:rPr>
          <w:rFonts w:hint="eastAsia"/>
          <w:highlight w:val="none"/>
          <w:lang w:val="en-US" w:eastAsia="zh-CN"/>
        </w:rPr>
        <w:t>表7-3安拆专业分包单位管理人员及安拆人员名单汇总表</w:t>
      </w:r>
      <w:bookmarkStart w:id="332" w:name="_Toc2662"/>
    </w:p>
    <w:tbl>
      <w:tblPr>
        <w:tblStyle w:val="30"/>
        <w:tblW w:w="5000"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115"/>
        <w:gridCol w:w="1631"/>
        <w:gridCol w:w="2106"/>
        <w:gridCol w:w="2107"/>
        <w:gridCol w:w="1563"/>
      </w:tblGrid>
      <w:tr w14:paraId="793A27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5"/>
            <w:tcBorders>
              <w:tl2br w:val="nil"/>
              <w:tr2bl w:val="nil"/>
            </w:tcBorders>
            <w:shd w:val="clear" w:color="auto" w:fill="DAE3F3"/>
            <w:vAlign w:val="center"/>
          </w:tcPr>
          <w:p w14:paraId="22EB20E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拟投入安全管理人员及技术人员名单</w:t>
            </w:r>
          </w:p>
        </w:tc>
      </w:tr>
      <w:tr w14:paraId="02CDA3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55" w:type="pct"/>
            <w:tcBorders>
              <w:tl2br w:val="nil"/>
              <w:tr2bl w:val="nil"/>
            </w:tcBorders>
            <w:shd w:val="clear" w:color="auto" w:fill="DAE3F3"/>
            <w:vAlign w:val="center"/>
          </w:tcPr>
          <w:p w14:paraId="1F4257F9">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姓名</w:t>
            </w:r>
          </w:p>
        </w:tc>
        <w:tc>
          <w:tcPr>
            <w:tcW w:w="957" w:type="pct"/>
            <w:tcBorders>
              <w:tl2br w:val="nil"/>
              <w:tr2bl w:val="nil"/>
            </w:tcBorders>
            <w:shd w:val="clear" w:color="auto" w:fill="DAE3F3"/>
            <w:vAlign w:val="center"/>
          </w:tcPr>
          <w:p w14:paraId="7E39B86C">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职务/工种</w:t>
            </w:r>
          </w:p>
        </w:tc>
        <w:tc>
          <w:tcPr>
            <w:tcW w:w="1235" w:type="pct"/>
            <w:tcBorders>
              <w:tl2br w:val="nil"/>
              <w:tr2bl w:val="nil"/>
            </w:tcBorders>
            <w:shd w:val="clear" w:color="auto" w:fill="DAE3F3"/>
            <w:vAlign w:val="center"/>
          </w:tcPr>
          <w:p w14:paraId="5BF0883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身份证号码</w:t>
            </w:r>
          </w:p>
        </w:tc>
        <w:tc>
          <w:tcPr>
            <w:tcW w:w="1236" w:type="pct"/>
            <w:tcBorders>
              <w:tl2br w:val="nil"/>
              <w:tr2bl w:val="nil"/>
            </w:tcBorders>
            <w:shd w:val="clear" w:color="auto" w:fill="DAE3F3"/>
            <w:vAlign w:val="center"/>
          </w:tcPr>
          <w:p w14:paraId="69675A3D">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作业证号</w:t>
            </w:r>
          </w:p>
        </w:tc>
        <w:tc>
          <w:tcPr>
            <w:tcW w:w="915" w:type="pct"/>
            <w:tcBorders>
              <w:tl2br w:val="nil"/>
              <w:tr2bl w:val="nil"/>
            </w:tcBorders>
            <w:shd w:val="clear" w:color="auto" w:fill="DAE3F3"/>
            <w:vAlign w:val="center"/>
          </w:tcPr>
          <w:p w14:paraId="7F584855">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工作内容</w:t>
            </w:r>
          </w:p>
        </w:tc>
      </w:tr>
      <w:tr w14:paraId="01A028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07826AB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彭善忠</w:t>
            </w:r>
          </w:p>
        </w:tc>
        <w:tc>
          <w:tcPr>
            <w:tcW w:w="957" w:type="pct"/>
            <w:tcBorders>
              <w:tl2br w:val="nil"/>
              <w:tr2bl w:val="nil"/>
            </w:tcBorders>
            <w:shd w:val="clear" w:color="auto" w:fill="auto"/>
            <w:vAlign w:val="center"/>
          </w:tcPr>
          <w:p w14:paraId="09C7B0E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项目负责人</w:t>
            </w:r>
          </w:p>
        </w:tc>
        <w:tc>
          <w:tcPr>
            <w:tcW w:w="2106" w:type="dxa"/>
            <w:tcBorders>
              <w:tl2br w:val="nil"/>
              <w:tr2bl w:val="nil"/>
            </w:tcBorders>
            <w:shd w:val="clear" w:color="auto" w:fill="auto"/>
            <w:vAlign w:val="center"/>
          </w:tcPr>
          <w:p w14:paraId="3A205C2E">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512223197508214798</w:t>
            </w:r>
          </w:p>
        </w:tc>
        <w:tc>
          <w:tcPr>
            <w:tcW w:w="2107" w:type="dxa"/>
            <w:tcBorders>
              <w:tl2br w:val="nil"/>
              <w:tr2bl w:val="nil"/>
            </w:tcBorders>
            <w:shd w:val="clear" w:color="auto" w:fill="auto"/>
            <w:vAlign w:val="center"/>
          </w:tcPr>
          <w:p w14:paraId="7329BDB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鲁230001133100304</w:t>
            </w:r>
          </w:p>
        </w:tc>
        <w:tc>
          <w:tcPr>
            <w:tcW w:w="915" w:type="pct"/>
            <w:tcBorders>
              <w:tl2br w:val="nil"/>
              <w:tr2bl w:val="nil"/>
            </w:tcBorders>
            <w:shd w:val="clear" w:color="auto" w:fill="auto"/>
            <w:vAlign w:val="center"/>
          </w:tcPr>
          <w:p w14:paraId="028076A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主持现场工作</w:t>
            </w:r>
          </w:p>
        </w:tc>
      </w:tr>
      <w:tr w14:paraId="4783C2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1266EF0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温涛</w:t>
            </w:r>
          </w:p>
        </w:tc>
        <w:tc>
          <w:tcPr>
            <w:tcW w:w="957" w:type="pct"/>
            <w:tcBorders>
              <w:tl2br w:val="nil"/>
              <w:tr2bl w:val="nil"/>
            </w:tcBorders>
            <w:shd w:val="clear" w:color="auto" w:fill="auto"/>
            <w:vAlign w:val="center"/>
          </w:tcPr>
          <w:p w14:paraId="064071C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技术负责人</w:t>
            </w:r>
          </w:p>
        </w:tc>
        <w:tc>
          <w:tcPr>
            <w:tcW w:w="1235" w:type="pct"/>
            <w:tcBorders>
              <w:tl2br w:val="nil"/>
              <w:tr2bl w:val="nil"/>
            </w:tcBorders>
            <w:shd w:val="clear" w:color="auto" w:fill="auto"/>
            <w:vAlign w:val="center"/>
          </w:tcPr>
          <w:p w14:paraId="552C69F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412801198705060316</w:t>
            </w:r>
          </w:p>
        </w:tc>
        <w:tc>
          <w:tcPr>
            <w:tcW w:w="1236" w:type="pct"/>
            <w:tcBorders>
              <w:tl2br w:val="nil"/>
              <w:tr2bl w:val="nil"/>
            </w:tcBorders>
            <w:shd w:val="clear" w:color="auto" w:fill="auto"/>
            <w:vAlign w:val="center"/>
          </w:tcPr>
          <w:p w14:paraId="51E2EA57">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鲁200100033201097</w:t>
            </w:r>
          </w:p>
        </w:tc>
        <w:tc>
          <w:tcPr>
            <w:tcW w:w="915" w:type="pct"/>
            <w:tcBorders>
              <w:tl2br w:val="nil"/>
              <w:tr2bl w:val="nil"/>
            </w:tcBorders>
            <w:shd w:val="clear" w:color="auto" w:fill="auto"/>
            <w:vAlign w:val="center"/>
          </w:tcPr>
          <w:p w14:paraId="60C4904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公司技术负责人</w:t>
            </w:r>
          </w:p>
        </w:tc>
      </w:tr>
      <w:tr w14:paraId="125AE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61F187E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白美富</w:t>
            </w:r>
          </w:p>
        </w:tc>
        <w:tc>
          <w:tcPr>
            <w:tcW w:w="957" w:type="pct"/>
            <w:tcBorders>
              <w:tl2br w:val="nil"/>
              <w:tr2bl w:val="nil"/>
            </w:tcBorders>
            <w:shd w:val="clear" w:color="auto" w:fill="auto"/>
            <w:vAlign w:val="center"/>
          </w:tcPr>
          <w:p w14:paraId="7343CD6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专职安全管理人员</w:t>
            </w:r>
          </w:p>
        </w:tc>
        <w:tc>
          <w:tcPr>
            <w:tcW w:w="2106" w:type="dxa"/>
            <w:tcBorders>
              <w:tl2br w:val="nil"/>
              <w:tr2bl w:val="nil"/>
            </w:tcBorders>
            <w:shd w:val="clear" w:color="auto" w:fill="auto"/>
            <w:vAlign w:val="center"/>
          </w:tcPr>
          <w:p w14:paraId="1F1A6748">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510113198801248019</w:t>
            </w:r>
          </w:p>
        </w:tc>
        <w:tc>
          <w:tcPr>
            <w:tcW w:w="2107" w:type="dxa"/>
            <w:tcBorders>
              <w:tl2br w:val="nil"/>
              <w:tr2bl w:val="nil"/>
            </w:tcBorders>
            <w:shd w:val="clear" w:color="auto" w:fill="auto"/>
            <w:vAlign w:val="center"/>
          </w:tcPr>
          <w:p w14:paraId="65E9C7A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川建安C3(2023)0080797</w:t>
            </w:r>
          </w:p>
        </w:tc>
        <w:tc>
          <w:tcPr>
            <w:tcW w:w="915" w:type="pct"/>
            <w:tcBorders>
              <w:tl2br w:val="nil"/>
              <w:tr2bl w:val="nil"/>
            </w:tcBorders>
            <w:shd w:val="clear" w:color="auto" w:fill="auto"/>
            <w:vAlign w:val="center"/>
          </w:tcPr>
          <w:p w14:paraId="65E7986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负责现场安拆指导及安全管理</w:t>
            </w:r>
          </w:p>
        </w:tc>
      </w:tr>
      <w:tr w14:paraId="2E2EC0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DAE3F3"/>
            <w:vAlign w:val="center"/>
          </w:tcPr>
          <w:p w14:paraId="0123C2C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安拆施工特种设备作业人员</w:t>
            </w:r>
          </w:p>
        </w:tc>
      </w:tr>
      <w:tr w14:paraId="30FFBB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72C1573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黄科</w:t>
            </w:r>
          </w:p>
        </w:tc>
        <w:tc>
          <w:tcPr>
            <w:tcW w:w="957" w:type="pct"/>
            <w:tcBorders>
              <w:tl2br w:val="nil"/>
              <w:tr2bl w:val="nil"/>
            </w:tcBorders>
            <w:shd w:val="clear" w:color="auto" w:fill="auto"/>
            <w:vAlign w:val="center"/>
          </w:tcPr>
          <w:p w14:paraId="2F2B209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00BB5093">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510113198609247470</w:t>
            </w:r>
          </w:p>
        </w:tc>
        <w:tc>
          <w:tcPr>
            <w:tcW w:w="2107" w:type="dxa"/>
            <w:tcBorders>
              <w:tl2br w:val="nil"/>
              <w:tr2bl w:val="nil"/>
            </w:tcBorders>
            <w:shd w:val="clear" w:color="auto" w:fill="auto"/>
            <w:vAlign w:val="center"/>
          </w:tcPr>
          <w:p w14:paraId="42861C4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A082023006932</w:t>
            </w:r>
          </w:p>
        </w:tc>
        <w:tc>
          <w:tcPr>
            <w:tcW w:w="915" w:type="pct"/>
            <w:tcBorders>
              <w:tl2br w:val="nil"/>
              <w:tr2bl w:val="nil"/>
            </w:tcBorders>
            <w:shd w:val="clear" w:color="auto" w:fill="auto"/>
            <w:vAlign w:val="center"/>
          </w:tcPr>
          <w:p w14:paraId="16F1DFB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3969B6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0CC62D3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徐刚</w:t>
            </w:r>
          </w:p>
        </w:tc>
        <w:tc>
          <w:tcPr>
            <w:tcW w:w="957" w:type="pct"/>
            <w:tcBorders>
              <w:tl2br w:val="nil"/>
              <w:tr2bl w:val="nil"/>
            </w:tcBorders>
            <w:shd w:val="clear" w:color="auto" w:fill="auto"/>
            <w:vAlign w:val="center"/>
          </w:tcPr>
          <w:p w14:paraId="7D1591D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4483E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500226198809275711</w:t>
            </w:r>
          </w:p>
        </w:tc>
        <w:tc>
          <w:tcPr>
            <w:tcW w:w="2107" w:type="dxa"/>
            <w:tcBorders>
              <w:tl2br w:val="nil"/>
              <w:tr2bl w:val="nil"/>
            </w:tcBorders>
            <w:shd w:val="clear" w:color="auto" w:fill="auto"/>
            <w:vAlign w:val="center"/>
          </w:tcPr>
          <w:p w14:paraId="2B45CC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082023007219</w:t>
            </w:r>
          </w:p>
        </w:tc>
        <w:tc>
          <w:tcPr>
            <w:tcW w:w="915" w:type="pct"/>
            <w:tcBorders>
              <w:tl2br w:val="nil"/>
              <w:tr2bl w:val="nil"/>
            </w:tcBorders>
            <w:shd w:val="clear" w:color="auto" w:fill="auto"/>
            <w:vAlign w:val="center"/>
          </w:tcPr>
          <w:p w14:paraId="7E8D8B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58AC3B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DAB013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陈刚</w:t>
            </w:r>
          </w:p>
        </w:tc>
        <w:tc>
          <w:tcPr>
            <w:tcW w:w="957" w:type="pct"/>
            <w:tcBorders>
              <w:tl2br w:val="nil"/>
              <w:tr2bl w:val="nil"/>
            </w:tcBorders>
            <w:shd w:val="clear" w:color="auto" w:fill="auto"/>
            <w:vAlign w:val="center"/>
          </w:tcPr>
          <w:p w14:paraId="4675A80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DC906F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510922198601193519</w:t>
            </w:r>
          </w:p>
        </w:tc>
        <w:tc>
          <w:tcPr>
            <w:tcW w:w="2107" w:type="dxa"/>
            <w:tcBorders>
              <w:tl2br w:val="nil"/>
              <w:tr2bl w:val="nil"/>
            </w:tcBorders>
            <w:shd w:val="clear" w:color="auto" w:fill="auto"/>
            <w:vAlign w:val="center"/>
          </w:tcPr>
          <w:p w14:paraId="7F8D227B">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川A082023006907</w:t>
            </w:r>
          </w:p>
        </w:tc>
        <w:tc>
          <w:tcPr>
            <w:tcW w:w="915" w:type="pct"/>
            <w:tcBorders>
              <w:tl2br w:val="nil"/>
              <w:tr2bl w:val="nil"/>
            </w:tcBorders>
            <w:shd w:val="clear" w:color="auto" w:fill="auto"/>
            <w:vAlign w:val="center"/>
          </w:tcPr>
          <w:p w14:paraId="7B7588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430120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94C148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黄仁训</w:t>
            </w:r>
          </w:p>
        </w:tc>
        <w:tc>
          <w:tcPr>
            <w:tcW w:w="957" w:type="pct"/>
            <w:tcBorders>
              <w:tl2br w:val="nil"/>
              <w:tr2bl w:val="nil"/>
            </w:tcBorders>
            <w:shd w:val="clear" w:color="auto" w:fill="auto"/>
            <w:vAlign w:val="center"/>
          </w:tcPr>
          <w:p w14:paraId="178F32E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033807">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510113198608137413</w:t>
            </w:r>
          </w:p>
        </w:tc>
        <w:tc>
          <w:tcPr>
            <w:tcW w:w="2107" w:type="dxa"/>
            <w:tcBorders>
              <w:tl2br w:val="nil"/>
              <w:tr2bl w:val="nil"/>
            </w:tcBorders>
            <w:shd w:val="clear" w:color="auto" w:fill="auto"/>
            <w:vAlign w:val="center"/>
          </w:tcPr>
          <w:p w14:paraId="55651E2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K 082019700001</w:t>
            </w:r>
          </w:p>
        </w:tc>
        <w:tc>
          <w:tcPr>
            <w:tcW w:w="915" w:type="pct"/>
            <w:tcBorders>
              <w:tl2br w:val="nil"/>
              <w:tr2bl w:val="nil"/>
            </w:tcBorders>
            <w:shd w:val="clear" w:color="auto" w:fill="auto"/>
            <w:vAlign w:val="center"/>
          </w:tcPr>
          <w:p w14:paraId="2AD5400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0751C9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25F0082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明兴富</w:t>
            </w:r>
          </w:p>
        </w:tc>
        <w:tc>
          <w:tcPr>
            <w:tcW w:w="957" w:type="pct"/>
            <w:tcBorders>
              <w:tl2br w:val="nil"/>
              <w:tr2bl w:val="nil"/>
            </w:tcBorders>
            <w:shd w:val="clear" w:color="auto" w:fill="auto"/>
            <w:vAlign w:val="center"/>
          </w:tcPr>
          <w:p w14:paraId="0B78BCE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106" w:type="dxa"/>
            <w:tcBorders>
              <w:tl2br w:val="nil"/>
              <w:tr2bl w:val="nil"/>
            </w:tcBorders>
            <w:shd w:val="clear" w:color="auto" w:fill="auto"/>
            <w:vAlign w:val="center"/>
          </w:tcPr>
          <w:p w14:paraId="35FF2316">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510322197807274712</w:t>
            </w:r>
          </w:p>
        </w:tc>
        <w:tc>
          <w:tcPr>
            <w:tcW w:w="2107" w:type="dxa"/>
            <w:tcBorders>
              <w:tl2br w:val="nil"/>
              <w:tr2bl w:val="nil"/>
            </w:tcBorders>
            <w:shd w:val="clear" w:color="auto" w:fill="auto"/>
            <w:vAlign w:val="center"/>
          </w:tcPr>
          <w:p w14:paraId="50AD7D9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川A012023012238</w:t>
            </w:r>
          </w:p>
        </w:tc>
        <w:tc>
          <w:tcPr>
            <w:tcW w:w="915" w:type="pct"/>
            <w:tcBorders>
              <w:tl2br w:val="nil"/>
              <w:tr2bl w:val="nil"/>
            </w:tcBorders>
            <w:shd w:val="clear" w:color="auto" w:fill="auto"/>
            <w:vAlign w:val="center"/>
          </w:tcPr>
          <w:p w14:paraId="4B7E6A48">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4EAC002B">
      <w:pPr>
        <w:rPr>
          <w:highlight w:val="none"/>
        </w:rPr>
      </w:pPr>
      <w:r>
        <w:rPr>
          <w:rFonts w:hint="eastAsia"/>
          <w:highlight w:val="none"/>
          <w:lang w:val="en-US" w:eastAsia="zh-CN"/>
        </w:rPr>
        <w:br w:type="page"/>
      </w:r>
    </w:p>
    <w:p w14:paraId="77E8928B">
      <w:pPr>
        <w:pStyle w:val="2"/>
        <w:bidi w:val="0"/>
        <w:ind w:left="432" w:leftChars="0" w:hanging="432" w:firstLineChars="0"/>
      </w:pPr>
      <w:bookmarkStart w:id="333" w:name="_Toc18200"/>
      <w:bookmarkStart w:id="334" w:name="_Toc17721"/>
      <w:r>
        <w:rPr>
          <w:rFonts w:hint="eastAsia"/>
          <w:lang w:val="en-US" w:eastAsia="zh-CN"/>
        </w:rPr>
        <w:t>验收要求</w:t>
      </w:r>
      <w:bookmarkEnd w:id="332"/>
      <w:bookmarkEnd w:id="333"/>
      <w:bookmarkEnd w:id="334"/>
    </w:p>
    <w:p w14:paraId="4977938E">
      <w:pPr>
        <w:pStyle w:val="3"/>
        <w:bidi w:val="0"/>
        <w:ind w:left="575" w:leftChars="0" w:hanging="575" w:firstLineChars="0"/>
        <w:rPr>
          <w:rFonts w:hint="eastAsia"/>
          <w:highlight w:val="none"/>
          <w:lang w:val="en-US" w:eastAsia="zh-CN"/>
        </w:rPr>
      </w:pPr>
      <w:bookmarkStart w:id="335" w:name="_Toc42642327"/>
      <w:bookmarkEnd w:id="335"/>
      <w:bookmarkStart w:id="336" w:name="_Toc42641097"/>
      <w:bookmarkEnd w:id="336"/>
      <w:bookmarkStart w:id="337" w:name="_Toc42641868"/>
      <w:bookmarkEnd w:id="337"/>
      <w:bookmarkStart w:id="338" w:name="_Toc16436"/>
      <w:bookmarkEnd w:id="338"/>
      <w:bookmarkStart w:id="339" w:name="_Toc42641787"/>
      <w:bookmarkEnd w:id="339"/>
      <w:bookmarkStart w:id="340" w:name="_Toc31446"/>
      <w:bookmarkEnd w:id="340"/>
      <w:bookmarkStart w:id="341" w:name="_Toc42642040"/>
      <w:bookmarkEnd w:id="341"/>
      <w:bookmarkStart w:id="342" w:name="_Toc5971"/>
      <w:bookmarkEnd w:id="342"/>
      <w:bookmarkStart w:id="343" w:name="_Toc4699"/>
      <w:bookmarkEnd w:id="343"/>
      <w:bookmarkStart w:id="344" w:name="_Toc19045"/>
      <w:bookmarkStart w:id="345" w:name="_Toc18426"/>
      <w:bookmarkStart w:id="346" w:name="_Toc3752"/>
      <w:bookmarkStart w:id="347" w:name="_Toc10409829"/>
      <w:bookmarkStart w:id="348" w:name="_Toc1659"/>
      <w:bookmarkStart w:id="349" w:name="_Toc42642337"/>
      <w:bookmarkStart w:id="350" w:name="_Toc27701"/>
      <w:bookmarkStart w:id="351" w:name="_Toc533345518"/>
      <w:bookmarkStart w:id="352" w:name="_Toc13670"/>
      <w:r>
        <w:rPr>
          <w:rFonts w:hint="eastAsia"/>
          <w:highlight w:val="none"/>
          <w:lang w:val="en-US" w:eastAsia="zh-CN"/>
        </w:rPr>
        <w:t xml:space="preserve"> </w:t>
      </w:r>
      <w:bookmarkStart w:id="353" w:name="_Toc25223"/>
      <w:r>
        <w:rPr>
          <w:rFonts w:hint="eastAsia"/>
          <w:highlight w:val="none"/>
          <w:lang w:val="en-US" w:eastAsia="zh-CN"/>
        </w:rPr>
        <w:t>验收标准</w:t>
      </w:r>
      <w:bookmarkEnd w:id="344"/>
      <w:bookmarkEnd w:id="345"/>
      <w:bookmarkEnd w:id="353"/>
    </w:p>
    <w:p w14:paraId="577D33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《特种设备安全监察条例》（国务院令第549号）</w:t>
      </w:r>
    </w:p>
    <w:p w14:paraId="1D57DD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《起重机械安全监察规定》（质监总局令第92号）</w:t>
      </w:r>
    </w:p>
    <w:p w14:paraId="3903CA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《特种设备作业人员监督管理办法》（质监总局令第140号）</w:t>
      </w:r>
    </w:p>
    <w:p w14:paraId="449604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《塔式起重机安全规程》（GB 5144-2012）</w:t>
      </w:r>
    </w:p>
    <w:p w14:paraId="38053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《起重设备安装工程施工及验收规范》（GB 50278-2010）</w:t>
      </w:r>
    </w:p>
    <w:p w14:paraId="113ECA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 安全使用 第3部分：塔式起重机》（GB/T 2372-2010）</w:t>
      </w:r>
    </w:p>
    <w:p w14:paraId="1EDF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《塔式起重机》（GB/T 5031-2008）</w:t>
      </w:r>
    </w:p>
    <w:p w14:paraId="296FE9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《塔式起重机安装与拆卸规则》（GB/T 26471-2011）</w:t>
      </w:r>
    </w:p>
    <w:p w14:paraId="6F613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rPr>
      </w:pPr>
      <w:r>
        <w:rPr>
          <w:rFonts w:hint="eastAsia"/>
          <w:highlight w:val="none"/>
        </w:rPr>
        <w:t>《危险性较大的分部分项工程安全管理规定》住房城乡建设部令第37号</w:t>
      </w:r>
    </w:p>
    <w:p w14:paraId="72A2E334">
      <w:pPr>
        <w:pStyle w:val="4"/>
        <w:bidi w:val="0"/>
        <w:ind w:left="720" w:leftChars="0" w:hanging="720" w:firstLineChars="0"/>
        <w:rPr>
          <w:rFonts w:hint="eastAsia"/>
          <w:lang w:val="en-US" w:eastAsia="zh-CN"/>
        </w:rPr>
      </w:pPr>
      <w:r>
        <w:rPr>
          <w:rFonts w:hint="eastAsia"/>
          <w:lang w:val="en-US" w:eastAsia="zh-CN"/>
        </w:rPr>
        <w:t xml:space="preserve"> 塔</w:t>
      </w:r>
      <w:r>
        <w:rPr>
          <w:rFonts w:hint="eastAsia"/>
        </w:rPr>
        <w:t>式起重机结构</w:t>
      </w:r>
      <w:r>
        <w:rPr>
          <w:rFonts w:hint="eastAsia"/>
          <w:lang w:eastAsia="zh-CN"/>
        </w:rPr>
        <w:t>安全</w:t>
      </w:r>
      <w:bookmarkEnd w:id="346"/>
      <w:bookmarkEnd w:id="347"/>
      <w:bookmarkEnd w:id="348"/>
    </w:p>
    <w:p w14:paraId="584E8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highlight w:val="none"/>
          <w:lang w:eastAsia="zh-CN"/>
        </w:rPr>
        <w:t>塔机</w:t>
      </w:r>
      <w:r>
        <w:rPr>
          <w:rFonts w:hint="eastAsia" w:ascii="宋体" w:hAnsi="宋体" w:eastAsia="宋体"/>
          <w:highlight w:val="none"/>
        </w:rPr>
        <w:t>垂直度允许偏差范围</w:t>
      </w:r>
    </w:p>
    <w:p w14:paraId="4C94A3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JGJ196-2010《建筑施工塔式起重机安装、使用、拆卸安全技术规程》第 30 页对</w:t>
      </w:r>
      <w:r>
        <w:rPr>
          <w:rFonts w:hint="eastAsia"/>
          <w:highlight w:val="none"/>
          <w:lang w:eastAsia="zh-CN"/>
        </w:rPr>
        <w:t>塔机</w:t>
      </w:r>
      <w:r>
        <w:rPr>
          <w:rFonts w:hint="eastAsia" w:ascii="宋体" w:hAnsi="宋体" w:eastAsia="宋体"/>
          <w:highlight w:val="none"/>
        </w:rPr>
        <w:t>垂直度要求规定如下：独立状态或</w:t>
      </w:r>
      <w:r>
        <w:rPr>
          <w:rFonts w:hint="eastAsia" w:ascii="宋体" w:hAnsi="宋体" w:eastAsia="宋体"/>
          <w:highlight w:val="none"/>
          <w:lang w:eastAsia="zh-CN"/>
        </w:rPr>
        <w:t>附墙</w:t>
      </w:r>
      <w:r>
        <w:rPr>
          <w:rFonts w:hint="eastAsia" w:ascii="宋体" w:hAnsi="宋体" w:eastAsia="宋体"/>
          <w:highlight w:val="none"/>
        </w:rPr>
        <w:t>状态下最高</w:t>
      </w:r>
      <w:r>
        <w:rPr>
          <w:rFonts w:hint="eastAsia" w:ascii="宋体" w:hAnsi="宋体" w:eastAsia="宋体"/>
          <w:highlight w:val="none"/>
          <w:lang w:eastAsia="zh-CN"/>
        </w:rPr>
        <w:t>附墙</w:t>
      </w:r>
      <w:r>
        <w:rPr>
          <w:rFonts w:hint="eastAsia" w:ascii="宋体" w:hAnsi="宋体" w:eastAsia="宋体"/>
          <w:highlight w:val="none"/>
        </w:rPr>
        <w:t>点以上塔身轴线对支承面垂直度不得大于4/1000，最高</w:t>
      </w:r>
      <w:r>
        <w:rPr>
          <w:rFonts w:hint="eastAsia" w:ascii="宋体" w:hAnsi="宋体" w:eastAsia="宋体"/>
          <w:highlight w:val="none"/>
          <w:lang w:eastAsia="zh-CN"/>
        </w:rPr>
        <w:t>附墙</w:t>
      </w:r>
      <w:r>
        <w:rPr>
          <w:rFonts w:hint="eastAsia" w:ascii="宋体" w:hAnsi="宋体" w:eastAsia="宋体"/>
          <w:highlight w:val="none"/>
        </w:rPr>
        <w:t>点下塔身轴线对支承面垂直度不得大于相应高度的2/1000。</w:t>
      </w:r>
    </w:p>
    <w:p w14:paraId="3F26F5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highlight w:val="none"/>
          <w:lang w:eastAsia="zh-CN"/>
        </w:rPr>
        <w:t>塔机</w:t>
      </w:r>
      <w:r>
        <w:rPr>
          <w:rFonts w:hint="eastAsia" w:ascii="宋体" w:hAnsi="宋体" w:eastAsia="宋体"/>
          <w:highlight w:val="none"/>
        </w:rPr>
        <w:t>垂直度计算</w:t>
      </w:r>
    </w:p>
    <w:p w14:paraId="7A6D91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highlight w:val="none"/>
          <w:lang w:eastAsia="zh-CN"/>
        </w:rPr>
        <w:t>塔机</w:t>
      </w:r>
      <w:r>
        <w:rPr>
          <w:rFonts w:hint="eastAsia" w:ascii="宋体" w:hAnsi="宋体" w:eastAsia="宋体"/>
          <w:highlight w:val="none"/>
        </w:rPr>
        <w:t>垂直度&lt;4/1000，安装</w:t>
      </w:r>
      <w:r>
        <w:rPr>
          <w:rFonts w:hint="eastAsia" w:ascii="宋体" w:hAnsi="宋体" w:eastAsia="宋体"/>
          <w:highlight w:val="none"/>
          <w:lang w:eastAsia="zh-CN"/>
        </w:rPr>
        <w:t>附墙</w:t>
      </w:r>
      <w:r>
        <w:rPr>
          <w:rFonts w:hint="eastAsia" w:ascii="宋体" w:hAnsi="宋体" w:eastAsia="宋体"/>
          <w:highlight w:val="none"/>
        </w:rPr>
        <w:t>装置后，</w:t>
      </w:r>
      <w:r>
        <w:rPr>
          <w:rFonts w:hint="eastAsia" w:ascii="宋体" w:hAnsi="宋体" w:eastAsia="宋体"/>
          <w:highlight w:val="none"/>
          <w:lang w:eastAsia="zh-CN"/>
        </w:rPr>
        <w:t>附墙</w:t>
      </w:r>
      <w:r>
        <w:rPr>
          <w:rFonts w:hint="eastAsia" w:ascii="宋体" w:hAnsi="宋体" w:eastAsia="宋体"/>
          <w:highlight w:val="none"/>
        </w:rPr>
        <w:t>以下&lt;2/1000，</w:t>
      </w:r>
      <w:r>
        <w:rPr>
          <w:rFonts w:hint="eastAsia" w:ascii="宋体" w:hAnsi="宋体" w:eastAsia="宋体"/>
          <w:highlight w:val="none"/>
          <w:lang w:eastAsia="zh-CN"/>
        </w:rPr>
        <w:t>附墙</w:t>
      </w:r>
      <w:r>
        <w:rPr>
          <w:rFonts w:hint="eastAsia" w:ascii="宋体" w:hAnsi="宋体" w:eastAsia="宋体"/>
          <w:highlight w:val="none"/>
        </w:rPr>
        <w:t>以上&lt;4/1000。</w:t>
      </w:r>
    </w:p>
    <w:p w14:paraId="1C792B2C">
      <w:pPr>
        <w:pStyle w:val="4"/>
        <w:bidi w:val="0"/>
        <w:ind w:left="720" w:leftChars="0" w:hanging="720" w:firstLineChars="0"/>
        <w:rPr>
          <w:rFonts w:hint="eastAsia"/>
        </w:rPr>
      </w:pPr>
      <w:bookmarkStart w:id="354" w:name="_Toc3430"/>
      <w:bookmarkStart w:id="355" w:name="_Toc18388"/>
      <w:bookmarkStart w:id="356" w:name="_Toc10409830"/>
      <w:r>
        <w:rPr>
          <w:rFonts w:hint="eastAsia"/>
          <w:lang w:val="en-US" w:eastAsia="zh-CN"/>
        </w:rPr>
        <w:t xml:space="preserve"> </w:t>
      </w:r>
      <w:r>
        <w:rPr>
          <w:rFonts w:hint="eastAsia"/>
        </w:rPr>
        <w:t>电气要求</w:t>
      </w:r>
      <w:bookmarkEnd w:id="354"/>
      <w:bookmarkEnd w:id="355"/>
      <w:bookmarkEnd w:id="356"/>
    </w:p>
    <w:p w14:paraId="4FC937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电气部分</w:t>
      </w:r>
    </w:p>
    <w:p w14:paraId="506DC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77332B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供电</w:t>
      </w:r>
    </w:p>
    <w:p w14:paraId="235AA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起重机供电电源为三相交流电源,电压380V±10%,频率50HZ。</w:t>
      </w:r>
    </w:p>
    <w:p w14:paraId="19C60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）电气保护</w:t>
      </w:r>
    </w:p>
    <w:p w14:paraId="3F4F48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短路及过载保护:</w:t>
      </w:r>
    </w:p>
    <w:p w14:paraId="378081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起重机总受电屏、控制屏进出电源设置断路器、控制回路设置小容量断路器，使各机构在短路，过载等事故状态下，迅速与电源脱离,以达到保护设备及人机安全的目的。</w:t>
      </w:r>
    </w:p>
    <w:p w14:paraId="012836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失压保护:</w:t>
      </w:r>
    </w:p>
    <w:p w14:paraId="36EDF0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在总受电屏及机构控制屏中，用线路接触器作为失压保护装置，当供电电源中断时,能够自动断开电源。</w:t>
      </w:r>
    </w:p>
    <w:p w14:paraId="4178B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零位保护:</w:t>
      </w:r>
    </w:p>
    <w:p w14:paraId="6BAD08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司机室的联动台凸轮控制器手柄上设有零位连锁，达到零位的目的。即当起重机开始运转前和失压恢复供电时，必须将控制器的手柄置于零位，各机构的电动机才能启动工作。</w:t>
      </w:r>
    </w:p>
    <w:p w14:paraId="4628A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紧急断电保护:</w:t>
      </w:r>
    </w:p>
    <w:p w14:paraId="6E63A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司机室内设有紧急断电按钮，当起重机发生紧急情况时，随时方便地切</w:t>
      </w:r>
    </w:p>
    <w:p w14:paraId="7217D9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断控制回路电源，从而使主回路断电，确保起重机的安全运行。</w:t>
      </w:r>
    </w:p>
    <w:p w14:paraId="0845A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上升高度</w:t>
      </w:r>
      <w:r>
        <w:rPr>
          <w:rFonts w:hint="eastAsia" w:ascii="宋体" w:hAnsi="宋体" w:eastAsia="宋体"/>
          <w:highlight w:val="none"/>
          <w:lang w:val="en-US" w:eastAsia="zh-CN"/>
        </w:rPr>
        <w:t>及下降深度</w:t>
      </w:r>
      <w:r>
        <w:rPr>
          <w:rFonts w:hint="eastAsia" w:ascii="宋体" w:hAnsi="宋体" w:eastAsia="宋体"/>
          <w:highlight w:val="none"/>
        </w:rPr>
        <w:t>限位</w:t>
      </w:r>
      <w:r>
        <w:rPr>
          <w:rFonts w:hint="eastAsia" w:ascii="宋体" w:hAnsi="宋体" w:eastAsia="宋体"/>
          <w:highlight w:val="none"/>
          <w:lang w:val="en-US" w:eastAsia="zh-CN"/>
        </w:rPr>
        <w:t>保护</w:t>
      </w:r>
      <w:r>
        <w:rPr>
          <w:rFonts w:hint="eastAsia" w:ascii="宋体" w:hAnsi="宋体" w:eastAsia="宋体"/>
          <w:highlight w:val="none"/>
        </w:rPr>
        <w:t>:</w:t>
      </w:r>
    </w:p>
    <w:p w14:paraId="1B1233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起升启动加软启动，起升机构设有双限位开关，可保证吊钩上升到极限位置时切断电源，从而达到减速和停车的目的，确保起重机的安全运行。</w:t>
      </w:r>
    </w:p>
    <w:p w14:paraId="6E5DC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lang w:val="en-US" w:eastAsia="zh-CN"/>
        </w:rPr>
        <w:t>运行形成限位保护</w:t>
      </w:r>
    </w:p>
    <w:p w14:paraId="30F3A8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起重臂</w:t>
      </w:r>
      <w:r>
        <w:rPr>
          <w:rFonts w:hint="eastAsia" w:ascii="宋体" w:hAnsi="宋体" w:eastAsia="宋体"/>
          <w:highlight w:val="none"/>
        </w:rPr>
        <w:t>设有</w:t>
      </w:r>
      <w:r>
        <w:rPr>
          <w:rFonts w:hint="eastAsia" w:ascii="宋体" w:hAnsi="宋体" w:eastAsia="宋体"/>
          <w:highlight w:val="none"/>
          <w:lang w:val="en-US" w:eastAsia="zh-CN"/>
        </w:rPr>
        <w:t>小车形成限位器</w:t>
      </w:r>
      <w:r>
        <w:rPr>
          <w:rFonts w:hint="eastAsia" w:ascii="宋体" w:hAnsi="宋体" w:eastAsia="宋体"/>
          <w:highlight w:val="none"/>
        </w:rPr>
        <w:t>，可保证</w:t>
      </w:r>
      <w:r>
        <w:rPr>
          <w:rFonts w:hint="eastAsia" w:ascii="宋体" w:hAnsi="宋体" w:eastAsia="宋体"/>
          <w:highlight w:val="none"/>
          <w:lang w:val="en-US" w:eastAsia="zh-CN"/>
        </w:rPr>
        <w:t>小车行走到</w:t>
      </w:r>
      <w:r>
        <w:rPr>
          <w:rFonts w:hint="eastAsia" w:ascii="宋体" w:hAnsi="宋体" w:eastAsia="宋体"/>
          <w:highlight w:val="none"/>
        </w:rPr>
        <w:t>到极限位置时切断电源，使主回路断电，从而达到减速和停车的目的，确保起重机的安全运行。</w:t>
      </w:r>
    </w:p>
    <w:p w14:paraId="136A4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lang w:val="en-US" w:eastAsia="zh-CN"/>
        </w:rPr>
        <w:t>起重力矩限制保护</w:t>
      </w:r>
    </w:p>
    <w:p w14:paraId="391EA5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起升机构配置起重力矩限制器，具有报警功能，当载荷达到额定起重</w:t>
      </w:r>
      <w:r>
        <w:rPr>
          <w:rFonts w:hint="eastAsia" w:ascii="宋体" w:hAnsi="宋体" w:eastAsia="宋体"/>
          <w:highlight w:val="none"/>
          <w:lang w:val="en-US" w:eastAsia="zh-CN"/>
        </w:rPr>
        <w:t>力矩</w:t>
      </w:r>
      <w:r>
        <w:rPr>
          <w:rFonts w:hint="eastAsia" w:ascii="宋体" w:hAnsi="宋体" w:eastAsia="宋体"/>
          <w:highlight w:val="none"/>
        </w:rPr>
        <w:t>的90％时，能发出提示性报警信号，当起重量超过额定起重</w:t>
      </w:r>
      <w:r>
        <w:rPr>
          <w:rFonts w:hint="eastAsia" w:ascii="宋体" w:hAnsi="宋体" w:eastAsia="宋体"/>
          <w:highlight w:val="none"/>
          <w:lang w:val="en-US" w:eastAsia="zh-CN"/>
        </w:rPr>
        <w:t>力矩</w:t>
      </w:r>
      <w:r>
        <w:rPr>
          <w:rFonts w:hint="eastAsia" w:ascii="宋体" w:hAnsi="宋体" w:eastAsia="宋体"/>
          <w:highlight w:val="none"/>
        </w:rPr>
        <w:t>时，能自动切断起升动力源，并发出禁止性报警信号。</w:t>
      </w:r>
    </w:p>
    <w:p w14:paraId="46827F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8</w:t>
      </w:r>
      <w:r>
        <w:rPr>
          <w:rFonts w:hint="eastAsia" w:ascii="宋体" w:hAnsi="宋体" w:eastAsia="宋体"/>
          <w:highlight w:val="none"/>
          <w:lang w:eastAsia="zh-CN"/>
        </w:rPr>
        <w:t>）</w:t>
      </w:r>
      <w:r>
        <w:rPr>
          <w:rFonts w:hint="eastAsia" w:ascii="宋体" w:hAnsi="宋体" w:eastAsia="宋体"/>
          <w:highlight w:val="none"/>
          <w:lang w:val="en-US" w:eastAsia="zh-CN"/>
        </w:rPr>
        <w:t>回转限位保护</w:t>
      </w:r>
    </w:p>
    <w:p w14:paraId="2134CB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回转齿轮处设有回转限位保护器，当回转机构旋转到极限角度时</w:t>
      </w:r>
      <w:r>
        <w:rPr>
          <w:rFonts w:hint="eastAsia" w:ascii="宋体" w:hAnsi="宋体" w:eastAsia="宋体"/>
          <w:highlight w:val="none"/>
        </w:rPr>
        <w:t>切断电源，使主回路断电，从而达到减速和停车的目的，确保起重机的安全运行。</w:t>
      </w:r>
    </w:p>
    <w:p w14:paraId="125079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9</w:t>
      </w:r>
      <w:r>
        <w:rPr>
          <w:rFonts w:hint="eastAsia" w:ascii="宋体" w:hAnsi="宋体" w:eastAsia="宋体"/>
          <w:highlight w:val="none"/>
          <w:lang w:eastAsia="zh-CN"/>
        </w:rPr>
        <w:t>）</w:t>
      </w:r>
      <w:r>
        <w:rPr>
          <w:rFonts w:hint="eastAsia" w:ascii="宋体" w:hAnsi="宋体" w:eastAsia="宋体"/>
          <w:highlight w:val="none"/>
        </w:rPr>
        <w:t>门开关保护:</w:t>
      </w:r>
    </w:p>
    <w:p w14:paraId="40031F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进入起重机的门和桥架斜梯门上均设有安全开关。当其中任意一个安全开关断开时，总接触器即自动断开，可避免误入大车走台造成事故。大车上车门设联系按钮。</w:t>
      </w:r>
    </w:p>
    <w:p w14:paraId="652937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10</w:t>
      </w:r>
      <w:r>
        <w:rPr>
          <w:rFonts w:hint="eastAsia" w:ascii="宋体" w:hAnsi="宋体" w:eastAsia="宋体"/>
          <w:highlight w:val="none"/>
          <w:lang w:eastAsia="zh-CN"/>
        </w:rPr>
        <w:t>）</w:t>
      </w:r>
      <w:r>
        <w:rPr>
          <w:rFonts w:hint="eastAsia" w:ascii="宋体" w:hAnsi="宋体" w:eastAsia="宋体"/>
          <w:highlight w:val="none"/>
        </w:rPr>
        <w:t>控制柜,端子箱防护等级IP55，端子箱采用下部或侧部进线上部做防雨，</w:t>
      </w:r>
    </w:p>
    <w:p w14:paraId="534867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槽盖加防脱落装置。</w:t>
      </w:r>
    </w:p>
    <w:p w14:paraId="75B9CC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）操纵方式:</w:t>
      </w:r>
    </w:p>
    <w:p w14:paraId="2D862B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司机室设有总电源和控制电源开关状态信号指示灯。</w:t>
      </w:r>
    </w:p>
    <w:p w14:paraId="5B868E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司机室设置交流220V电源插座及三相380V电源，备接其它电气设备。</w:t>
      </w:r>
    </w:p>
    <w:p w14:paraId="34B919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司机室设有36V插座，以便于检修作业。</w:t>
      </w:r>
    </w:p>
    <w:p w14:paraId="71FDD0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司机室用交流220V/40W荧光灯具照明，以满足照度不低于200LX的要求。</w:t>
      </w:r>
    </w:p>
    <w:p w14:paraId="2565DC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4</w:t>
      </w:r>
      <w:r>
        <w:rPr>
          <w:rFonts w:hint="eastAsia" w:ascii="宋体" w:hAnsi="宋体" w:eastAsia="宋体"/>
          <w:highlight w:val="none"/>
          <w:lang w:eastAsia="zh-CN"/>
        </w:rPr>
        <w:t>）照明信号:</w:t>
      </w:r>
    </w:p>
    <w:p w14:paraId="5462CB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照明及信号部分设有专用的隔离变压器。原边进线电压为交流380V，副</w:t>
      </w:r>
    </w:p>
    <w:p w14:paraId="5B1229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边出线电压为交流220V，交流36V。交流220V为起重机照明电源；交流36V为起重机安全信号和检修电源。照明变压器从主接触器上端引线，以保证主接触器断电时，照明回路不断电。</w:t>
      </w:r>
    </w:p>
    <w:p w14:paraId="7E3729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设有报警装置,开车时起提示作用，在司机室通过脚踏开关控制。</w:t>
      </w:r>
    </w:p>
    <w:p w14:paraId="6308422E">
      <w:pPr>
        <w:pStyle w:val="4"/>
        <w:bidi w:val="0"/>
        <w:ind w:left="720" w:leftChars="0" w:hanging="720" w:firstLineChars="0"/>
        <w:rPr>
          <w:rFonts w:hint="eastAsia"/>
          <w:lang w:val="en-US" w:eastAsia="zh-CN"/>
        </w:rPr>
      </w:pPr>
      <w:bookmarkStart w:id="357" w:name="_Toc10409831"/>
      <w:bookmarkStart w:id="358" w:name="_Toc14483"/>
      <w:bookmarkStart w:id="359" w:name="_Toc18301"/>
      <w:r>
        <w:rPr>
          <w:rFonts w:hint="eastAsia"/>
          <w:lang w:val="en-US" w:eastAsia="zh-CN"/>
        </w:rPr>
        <w:t xml:space="preserve"> 焊接要求</w:t>
      </w:r>
      <w:bookmarkEnd w:id="357"/>
      <w:bookmarkEnd w:id="358"/>
      <w:bookmarkEnd w:id="359"/>
    </w:p>
    <w:p w14:paraId="51DE11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焊缝外部检查不得有目测可见的裂纹、气孔、固体夹杂、未熔合、未焊透等明显缺陷。</w:t>
      </w:r>
    </w:p>
    <w:p w14:paraId="5CF4DB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69033E5D">
      <w:pPr>
        <w:pStyle w:val="4"/>
        <w:bidi w:val="0"/>
        <w:ind w:left="720" w:leftChars="0" w:hanging="720" w:firstLineChars="0"/>
        <w:rPr>
          <w:rFonts w:hint="eastAsia"/>
          <w:lang w:val="en-US" w:eastAsia="zh-CN"/>
        </w:rPr>
      </w:pPr>
      <w:bookmarkStart w:id="360" w:name="_Toc2591"/>
      <w:bookmarkStart w:id="361" w:name="_Toc10409832"/>
      <w:bookmarkStart w:id="362" w:name="_Toc2556"/>
      <w:r>
        <w:rPr>
          <w:rFonts w:hint="eastAsia"/>
          <w:lang w:val="en-US" w:eastAsia="zh-CN"/>
        </w:rPr>
        <w:t xml:space="preserve"> 螺栓连接要求</w:t>
      </w:r>
      <w:bookmarkEnd w:id="360"/>
      <w:bookmarkEnd w:id="361"/>
      <w:bookmarkEnd w:id="362"/>
    </w:p>
    <w:p w14:paraId="3C77A7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钢结构采用高强度螺栓完成构件的连接时，其连接接头应符合JGJ82的规定。</w:t>
      </w:r>
    </w:p>
    <w:p w14:paraId="32DB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大六角头高强度螺栓接头所用螺栓、螺母、垫圈及其技术要求应分别符合GB/T1228-2006、GB/T1229-2006、GB/T1230-2006、GB/T1231-2006的规定。</w:t>
      </w:r>
    </w:p>
    <w:p w14:paraId="4BB87C60">
      <w:pPr>
        <w:pStyle w:val="4"/>
        <w:bidi w:val="0"/>
        <w:ind w:left="720" w:leftChars="0" w:hanging="720" w:firstLineChars="0"/>
        <w:rPr>
          <w:rFonts w:hint="eastAsia"/>
          <w:lang w:val="en-US" w:eastAsia="zh-CN"/>
        </w:rPr>
      </w:pPr>
      <w:bookmarkStart w:id="363" w:name="_Toc10409833"/>
      <w:bookmarkStart w:id="364" w:name="_Toc384"/>
      <w:bookmarkStart w:id="365" w:name="_Toc5943"/>
      <w:r>
        <w:rPr>
          <w:rFonts w:hint="eastAsia"/>
          <w:lang w:val="en-US" w:eastAsia="zh-CN"/>
        </w:rPr>
        <w:t xml:space="preserve"> 防雷接地要求</w:t>
      </w:r>
      <w:bookmarkEnd w:id="363"/>
      <w:bookmarkEnd w:id="364"/>
      <w:bookmarkEnd w:id="365"/>
    </w:p>
    <w:p w14:paraId="327C73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）起重机的接地：</w:t>
      </w:r>
    </w:p>
    <w:p w14:paraId="45EBAD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起重机的金属结构及所有电气设备的金属外壳，电缆金属外皮和变压器</w:t>
      </w:r>
    </w:p>
    <w:p w14:paraId="6D4AFF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的低压侧均有可靠的接地。</w:t>
      </w:r>
    </w:p>
    <w:p w14:paraId="1BC586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接地线连接用不小于150mm2扁钢或10 mm2的铜线，用焊接法连接。</w:t>
      </w:r>
    </w:p>
    <w:p w14:paraId="705F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）接地方式</w:t>
      </w:r>
    </w:p>
    <w:p w14:paraId="1A598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采用长米截面积为150mm2的钢管埋入地下米处，再用50×5mm2镀锌扁钢充分焊接引出地表作接地母线，最后采用10mm2多股铜导线连接</w:t>
      </w:r>
      <w:r>
        <w:rPr>
          <w:rFonts w:hint="eastAsia" w:ascii="宋体" w:hAnsi="宋体" w:eastAsia="宋体"/>
          <w:highlight w:val="none"/>
          <w:lang w:val="en-US" w:eastAsia="zh-CN"/>
        </w:rPr>
        <w:t>加强标准节底部</w:t>
      </w:r>
      <w:r>
        <w:rPr>
          <w:rFonts w:hint="eastAsia" w:ascii="宋体" w:hAnsi="宋体" w:eastAsia="宋体"/>
          <w:highlight w:val="none"/>
        </w:rPr>
        <w:t>与接地母线。</w:t>
      </w:r>
    </w:p>
    <w:p w14:paraId="3BA4BE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）防雷接地具体内容：</w:t>
      </w:r>
    </w:p>
    <w:p w14:paraId="61C2E0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防雷接地装置由接闪器、引下线、接地装置组成。</w:t>
      </w:r>
    </w:p>
    <w:p w14:paraId="01BA6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建筑物内的设备、管道构架等主要金属物和防侧击雷的门窗、栏杆以及</w:t>
      </w:r>
    </w:p>
    <w:p w14:paraId="0A6F1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屋面的金属物体必须接地焊接。</w:t>
      </w:r>
    </w:p>
    <w:p w14:paraId="43F60E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防雷接地体应采取焊接方法：</w:t>
      </w:r>
    </w:p>
    <w:p w14:paraId="4BD8F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使用金属管作接地体时应在其串接部位焊接角形金属跨接线；</w:t>
      </w:r>
    </w:p>
    <w:p w14:paraId="4B2724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钢筋与钢筋交叉要用一条短圆钢进行跨接焊接，焊接长度不小于圆钢直</w:t>
      </w:r>
    </w:p>
    <w:p w14:paraId="63FD43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径的6倍，圆钢同扁钢的焊接必须进行三面焊接；</w:t>
      </w:r>
    </w:p>
    <w:p w14:paraId="48FB12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rPr>
        <w:t>焊接处焊缝应饱满，要有足够的机械强度，不得有灰渣，咬肉裂纹虚焊</w:t>
      </w:r>
    </w:p>
    <w:p w14:paraId="31AFFD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气孔等缺陷，焊接处的药皮应敲净。 接地体采取搭焊接时。其搭接长度必须符合以下要求：①扁钢为其宽的2倍以上；（三个棱边焊接）②圆钢为其直径的6倍以上；（双面焊接）③圆钢和扁钢连接，其长度为圆钢直径的6倍。（三面焊接）。</w:t>
      </w:r>
    </w:p>
    <w:p w14:paraId="626E6C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rPr>
        <w:t>人工接地体应采用圆钢、扁钢、角钢、钢管等金属材料，必须符合以下</w:t>
      </w:r>
    </w:p>
    <w:p w14:paraId="0EDB80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要求：①圆钢直径不小于10mm；②扁钢截面不小于100平方毫米，厚度不小于4毫米；③角钢厚度不小于4毫米；④钢管壁厚不小于毫米。</w:t>
      </w:r>
    </w:p>
    <w:p w14:paraId="3EDD91C0">
      <w:pPr>
        <w:pStyle w:val="3"/>
        <w:bidi w:val="0"/>
        <w:ind w:left="575" w:leftChars="0" w:hanging="575" w:firstLineChars="0"/>
        <w:rPr>
          <w:rFonts w:hint="default"/>
          <w:lang w:val="en-US" w:eastAsia="zh-CN"/>
        </w:rPr>
      </w:pPr>
      <w:bookmarkStart w:id="366" w:name="_Toc10753"/>
      <w:bookmarkStart w:id="367" w:name="_Toc26449"/>
      <w:r>
        <w:rPr>
          <w:rFonts w:hint="eastAsia"/>
          <w:lang w:val="en-US" w:eastAsia="zh-CN"/>
        </w:rPr>
        <w:t xml:space="preserve"> </w:t>
      </w:r>
      <w:bookmarkEnd w:id="349"/>
      <w:bookmarkEnd w:id="350"/>
      <w:bookmarkEnd w:id="351"/>
      <w:bookmarkEnd w:id="352"/>
      <w:bookmarkStart w:id="368" w:name="_Toc18355"/>
      <w:r>
        <w:rPr>
          <w:rFonts w:hint="eastAsia"/>
          <w:lang w:val="en-US" w:eastAsia="zh-CN"/>
        </w:rPr>
        <w:t>验收程序和验收人员</w:t>
      </w:r>
      <w:bookmarkEnd w:id="366"/>
      <w:bookmarkEnd w:id="367"/>
      <w:bookmarkEnd w:id="368"/>
    </w:p>
    <w:p w14:paraId="37F5B003">
      <w:pPr>
        <w:pStyle w:val="4"/>
        <w:bidi w:val="0"/>
        <w:ind w:left="720" w:leftChars="0" w:hanging="720" w:firstLineChars="0"/>
        <w:rPr>
          <w:rFonts w:hint="eastAsia"/>
          <w:lang w:val="en-US" w:eastAsia="zh-CN"/>
        </w:rPr>
      </w:pPr>
      <w:bookmarkStart w:id="369" w:name="_Toc7558"/>
      <w:bookmarkStart w:id="370" w:name="_Toc1331"/>
      <w:r>
        <w:rPr>
          <w:rFonts w:hint="eastAsia"/>
          <w:lang w:val="en-US" w:eastAsia="zh-CN"/>
        </w:rPr>
        <w:t>材料、机械设备进场验收</w:t>
      </w:r>
      <w:bookmarkEnd w:id="369"/>
      <w:bookmarkEnd w:id="370"/>
    </w:p>
    <w:p w14:paraId="39A93149">
      <w:pPr>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材料进场后，由</w:t>
      </w:r>
      <w:r>
        <w:rPr>
          <w:rFonts w:hint="eastAsia"/>
          <w:highlight w:val="none"/>
          <w:lang w:val="en-US" w:eastAsia="zh-CN"/>
        </w:rPr>
        <w:t>项目经理部试验室</w:t>
      </w:r>
      <w:r>
        <w:rPr>
          <w:rFonts w:hint="default"/>
          <w:highlight w:val="none"/>
          <w:lang w:val="en-US" w:eastAsia="zh-CN"/>
        </w:rPr>
        <w:t>通知</w:t>
      </w:r>
      <w:r>
        <w:rPr>
          <w:rFonts w:hint="eastAsia"/>
          <w:highlight w:val="none"/>
          <w:lang w:val="en-US" w:eastAsia="zh-CN"/>
        </w:rPr>
        <w:t>总监办</w:t>
      </w:r>
      <w:r>
        <w:rPr>
          <w:rFonts w:hint="default"/>
          <w:highlight w:val="none"/>
          <w:lang w:val="en-US" w:eastAsia="zh-CN"/>
        </w:rPr>
        <w:t>现场见证取样，联合送检至有资质的检测单位，检测合格后方可使用。</w:t>
      </w:r>
    </w:p>
    <w:p w14:paraId="7279CE9B">
      <w:pPr>
        <w:ind w:firstLine="480" w:firstLineChars="200"/>
        <w:rPr>
          <w:rFonts w:hint="eastAsia"/>
          <w:highlight w:val="none"/>
          <w:lang w:val="en-US" w:eastAsia="zh-CN"/>
        </w:rPr>
      </w:pPr>
      <w:r>
        <w:rPr>
          <w:rFonts w:hint="eastAsia"/>
          <w:highlight w:val="none"/>
          <w:lang w:val="en-US" w:eastAsia="zh-CN"/>
        </w:rPr>
        <w:t>（2）机械设备进场后，由项目经理部物设部通知总监办进行现场验收，根据施工合同及方案要求，结合以往施工经验与现场实际情况，对设备型号、产品合格证、新旧程度、出厂合格证等进行查验，验收合格后方可使用。</w:t>
      </w:r>
    </w:p>
    <w:p w14:paraId="19FA3CA9">
      <w:pPr>
        <w:pStyle w:val="4"/>
        <w:bidi w:val="0"/>
        <w:ind w:left="720" w:leftChars="0" w:hanging="720" w:firstLineChars="0"/>
        <w:rPr>
          <w:rFonts w:hint="eastAsia"/>
          <w:lang w:val="en-US" w:eastAsia="zh-CN"/>
        </w:rPr>
      </w:pPr>
      <w:bookmarkStart w:id="371" w:name="_Toc13463"/>
      <w:bookmarkStart w:id="372" w:name="_Toc27574"/>
      <w:r>
        <w:rPr>
          <w:rFonts w:hint="eastAsia"/>
          <w:lang w:val="en-US" w:eastAsia="zh-CN"/>
        </w:rPr>
        <w:t>施工过程验收程序</w:t>
      </w:r>
      <w:bookmarkEnd w:id="371"/>
      <w:bookmarkEnd w:id="372"/>
    </w:p>
    <w:p w14:paraId="1458D760">
      <w:pPr>
        <w:ind w:left="0" w:leftChars="0" w:firstLine="0" w:firstLineChars="0"/>
        <w:jc w:val="center"/>
        <w:rPr>
          <w:highlight w:val="none"/>
        </w:rPr>
      </w:pPr>
      <w:r>
        <w:rPr>
          <w:highlight w:val="none"/>
        </w:rPr>
        <w:drawing>
          <wp:inline distT="0" distB="0" distL="114300" distR="114300">
            <wp:extent cx="3460115" cy="2945765"/>
            <wp:effectExtent l="0" t="0" r="6985"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75"/>
                    <a:stretch>
                      <a:fillRect/>
                    </a:stretch>
                  </pic:blipFill>
                  <pic:spPr>
                    <a:xfrm>
                      <a:off x="0" y="0"/>
                      <a:ext cx="3460115" cy="2945765"/>
                    </a:xfrm>
                    <a:prstGeom prst="rect">
                      <a:avLst/>
                    </a:prstGeom>
                    <a:noFill/>
                    <a:ln>
                      <a:noFill/>
                    </a:ln>
                  </pic:spPr>
                </pic:pic>
              </a:graphicData>
            </a:graphic>
          </wp:inline>
        </w:drawing>
      </w:r>
    </w:p>
    <w:p w14:paraId="58F3B5E8">
      <w:pPr>
        <w:pStyle w:val="15"/>
        <w:bidi w:val="0"/>
        <w:rPr>
          <w:rFonts w:hint="default"/>
          <w:highlight w:val="none"/>
          <w:lang w:val="en-US" w:eastAsia="zh-CN"/>
        </w:rPr>
      </w:pPr>
      <w:r>
        <w:rPr>
          <w:rFonts w:hint="eastAsia"/>
          <w:highlight w:val="none"/>
          <w:lang w:val="en-US" w:eastAsia="zh-CN"/>
        </w:rPr>
        <w:t>图8-</w:t>
      </w:r>
      <w:r>
        <w:rPr>
          <w:rFonts w:hint="eastAsia"/>
          <w:highlight w:val="none"/>
          <w:lang w:val="en-US" w:eastAsia="zh-CN"/>
        </w:rPr>
        <w:fldChar w:fldCharType="begin"/>
      </w:r>
      <w:r>
        <w:rPr>
          <w:rFonts w:hint="eastAsia"/>
          <w:highlight w:val="none"/>
          <w:lang w:val="en-US" w:eastAsia="zh-CN"/>
        </w:rPr>
        <w:instrText xml:space="preserve"> SEQ 图10-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施工过程验收程序</w:t>
      </w:r>
    </w:p>
    <w:p w14:paraId="42BEA5BC">
      <w:pPr>
        <w:pStyle w:val="4"/>
        <w:bidi w:val="0"/>
        <w:ind w:left="720" w:leftChars="0" w:hanging="720" w:firstLineChars="0"/>
        <w:rPr>
          <w:rFonts w:hint="default"/>
          <w:lang w:val="en-US" w:eastAsia="zh-CN"/>
        </w:rPr>
      </w:pPr>
      <w:bookmarkStart w:id="373" w:name="_Toc8373"/>
      <w:bookmarkStart w:id="374" w:name="_Toc20006"/>
      <w:r>
        <w:rPr>
          <w:rFonts w:hint="default"/>
          <w:lang w:val="en-US" w:eastAsia="zh-CN"/>
        </w:rPr>
        <w:t>作业中起吊、运行、安装的设备与被吊物前期验收</w:t>
      </w:r>
      <w:bookmarkEnd w:id="373"/>
      <w:bookmarkEnd w:id="374"/>
    </w:p>
    <w:p w14:paraId="1DFEE12C">
      <w:pPr>
        <w:pStyle w:val="41"/>
        <w:bidi w:val="0"/>
        <w:rPr>
          <w:rFonts w:hint="default"/>
          <w:highlight w:val="none"/>
          <w:lang w:val="en-US" w:eastAsia="zh-CN"/>
        </w:rPr>
      </w:pPr>
      <w:r>
        <w:rPr>
          <w:highlight w:val="none"/>
        </w:rPr>
        <w:t>表</w:t>
      </w:r>
      <w:r>
        <w:rPr>
          <w:rFonts w:hint="eastAsia"/>
          <w:highlight w:val="none"/>
          <w:lang w:val="en-US" w:eastAsia="zh-CN"/>
        </w:rPr>
        <w:t>8-1</w:t>
      </w:r>
      <w:r>
        <w:rPr>
          <w:rFonts w:hint="eastAsia"/>
          <w:highlight w:val="none"/>
        </w:rPr>
        <w:t>作业中起吊、运行、安装的设备与被吊物前期验收</w:t>
      </w:r>
    </w:p>
    <w:tbl>
      <w:tblPr>
        <w:tblStyle w:val="30"/>
        <w:tblW w:w="506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79"/>
        <w:gridCol w:w="1792"/>
        <w:gridCol w:w="6165"/>
      </w:tblGrid>
      <w:tr w14:paraId="2FBA4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93" w:type="pct"/>
            <w:tcBorders>
              <w:tl2br w:val="nil"/>
              <w:tr2bl w:val="nil"/>
            </w:tcBorders>
            <w:shd w:val="clear" w:color="auto" w:fill="DAE3F3" w:themeFill="accent5" w:themeFillTint="32"/>
            <w:noWrap w:val="0"/>
            <w:vAlign w:val="center"/>
          </w:tcPr>
          <w:p w14:paraId="6419488B">
            <w:pPr>
              <w:pStyle w:val="107"/>
              <w:bidi w:val="0"/>
              <w:spacing w:line="240" w:lineRule="auto"/>
              <w:jc w:val="center"/>
              <w:rPr>
                <w:rFonts w:hint="eastAsia"/>
                <w:highlight w:val="none"/>
                <w:lang w:val="en-US" w:eastAsia="zh-CN"/>
              </w:rPr>
            </w:pPr>
            <w:r>
              <w:rPr>
                <w:rFonts w:hint="eastAsia"/>
                <w:highlight w:val="none"/>
                <w:lang w:val="en-US" w:eastAsia="zh-CN"/>
              </w:rPr>
              <w:t>序号</w:t>
            </w:r>
          </w:p>
        </w:tc>
        <w:tc>
          <w:tcPr>
            <w:tcW w:w="1037" w:type="pct"/>
            <w:tcBorders>
              <w:tl2br w:val="nil"/>
              <w:tr2bl w:val="nil"/>
            </w:tcBorders>
            <w:shd w:val="clear" w:color="auto" w:fill="DAE3F3" w:themeFill="accent5" w:themeFillTint="32"/>
            <w:noWrap w:val="0"/>
            <w:vAlign w:val="center"/>
          </w:tcPr>
          <w:p w14:paraId="3FC48D53">
            <w:pPr>
              <w:pStyle w:val="107"/>
              <w:bidi w:val="0"/>
              <w:spacing w:line="240" w:lineRule="auto"/>
              <w:jc w:val="center"/>
              <w:rPr>
                <w:rFonts w:hint="eastAsia"/>
                <w:highlight w:val="none"/>
                <w:lang w:val="en-US" w:eastAsia="zh-CN"/>
              </w:rPr>
            </w:pPr>
            <w:r>
              <w:rPr>
                <w:rFonts w:hint="eastAsia"/>
                <w:highlight w:val="none"/>
                <w:lang w:val="en-US" w:eastAsia="zh-CN"/>
              </w:rPr>
              <w:t>验收项目</w:t>
            </w:r>
          </w:p>
        </w:tc>
        <w:tc>
          <w:tcPr>
            <w:tcW w:w="3568" w:type="pct"/>
            <w:tcBorders>
              <w:tl2br w:val="nil"/>
              <w:tr2bl w:val="nil"/>
            </w:tcBorders>
            <w:shd w:val="clear" w:color="auto" w:fill="DAE3F3" w:themeFill="accent5" w:themeFillTint="32"/>
            <w:noWrap w:val="0"/>
            <w:vAlign w:val="center"/>
          </w:tcPr>
          <w:p w14:paraId="3E60FC26">
            <w:pPr>
              <w:pStyle w:val="107"/>
              <w:bidi w:val="0"/>
              <w:spacing w:line="240" w:lineRule="auto"/>
              <w:jc w:val="center"/>
              <w:rPr>
                <w:rFonts w:hint="eastAsia"/>
                <w:highlight w:val="none"/>
                <w:lang w:val="en-US" w:eastAsia="zh-CN"/>
              </w:rPr>
            </w:pPr>
            <w:r>
              <w:rPr>
                <w:rFonts w:hint="eastAsia"/>
                <w:highlight w:val="none"/>
                <w:lang w:val="en-US" w:eastAsia="zh-CN"/>
              </w:rPr>
              <w:t>技   术   要   求</w:t>
            </w:r>
          </w:p>
        </w:tc>
      </w:tr>
      <w:tr w14:paraId="5C7C8A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8E3329A">
            <w:pPr>
              <w:pStyle w:val="107"/>
              <w:bidi w:val="0"/>
              <w:spacing w:line="240" w:lineRule="auto"/>
              <w:jc w:val="center"/>
              <w:rPr>
                <w:rFonts w:hint="eastAsia"/>
                <w:highlight w:val="none"/>
                <w:lang w:val="en-US" w:eastAsia="zh-CN"/>
              </w:rPr>
            </w:pPr>
            <w:r>
              <w:rPr>
                <w:rFonts w:hint="eastAsia"/>
                <w:highlight w:val="none"/>
                <w:lang w:val="en-US" w:eastAsia="zh-CN"/>
              </w:rPr>
              <w:t>1</w:t>
            </w:r>
          </w:p>
        </w:tc>
        <w:tc>
          <w:tcPr>
            <w:tcW w:w="1037" w:type="pct"/>
            <w:tcBorders>
              <w:tl2br w:val="nil"/>
              <w:tr2bl w:val="nil"/>
            </w:tcBorders>
            <w:noWrap w:val="0"/>
            <w:vAlign w:val="center"/>
          </w:tcPr>
          <w:p w14:paraId="2408EEFC">
            <w:pPr>
              <w:pStyle w:val="107"/>
              <w:bidi w:val="0"/>
              <w:spacing w:line="240" w:lineRule="auto"/>
              <w:jc w:val="center"/>
              <w:rPr>
                <w:rFonts w:hint="default"/>
                <w:highlight w:val="none"/>
                <w:lang w:val="en-US" w:eastAsia="zh-CN"/>
              </w:rPr>
            </w:pPr>
            <w:r>
              <w:rPr>
                <w:rFonts w:hint="eastAsia"/>
                <w:highlight w:val="none"/>
                <w:lang w:val="en-US" w:eastAsia="zh-CN"/>
              </w:rPr>
              <w:t>基础验收</w:t>
            </w:r>
          </w:p>
        </w:tc>
        <w:tc>
          <w:tcPr>
            <w:tcW w:w="3568" w:type="pct"/>
            <w:tcBorders>
              <w:tl2br w:val="nil"/>
              <w:tr2bl w:val="nil"/>
            </w:tcBorders>
            <w:noWrap w:val="0"/>
            <w:vAlign w:val="center"/>
          </w:tcPr>
          <w:p w14:paraId="123A6EF3">
            <w:pPr>
              <w:pStyle w:val="107"/>
              <w:bidi w:val="0"/>
              <w:spacing w:line="240" w:lineRule="auto"/>
              <w:jc w:val="center"/>
              <w:rPr>
                <w:rFonts w:hint="default"/>
                <w:highlight w:val="none"/>
                <w:lang w:val="en-US" w:eastAsia="zh-CN"/>
              </w:rPr>
            </w:pPr>
            <w:r>
              <w:rPr>
                <w:rFonts w:hint="eastAsia"/>
                <w:highlight w:val="none"/>
                <w:lang w:val="en-US" w:eastAsia="zh-CN"/>
              </w:rPr>
              <w:t>基础验收根据基础验收表执行</w:t>
            </w:r>
          </w:p>
        </w:tc>
      </w:tr>
      <w:tr w14:paraId="199AD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800209C">
            <w:pPr>
              <w:pStyle w:val="107"/>
              <w:bidi w:val="0"/>
              <w:spacing w:line="240" w:lineRule="auto"/>
              <w:jc w:val="center"/>
              <w:rPr>
                <w:rFonts w:hint="eastAsia"/>
                <w:highlight w:val="none"/>
                <w:lang w:val="en-US" w:eastAsia="zh-CN"/>
              </w:rPr>
            </w:pPr>
            <w:r>
              <w:rPr>
                <w:rFonts w:hint="eastAsia"/>
                <w:highlight w:val="none"/>
                <w:lang w:val="en-US" w:eastAsia="zh-CN"/>
              </w:rPr>
              <w:t>2</w:t>
            </w:r>
          </w:p>
        </w:tc>
        <w:tc>
          <w:tcPr>
            <w:tcW w:w="1037" w:type="pct"/>
            <w:tcBorders>
              <w:tl2br w:val="nil"/>
              <w:tr2bl w:val="nil"/>
            </w:tcBorders>
            <w:noWrap w:val="0"/>
            <w:vAlign w:val="center"/>
          </w:tcPr>
          <w:p w14:paraId="4955E367">
            <w:pPr>
              <w:pStyle w:val="107"/>
              <w:bidi w:val="0"/>
              <w:spacing w:line="240" w:lineRule="auto"/>
              <w:jc w:val="center"/>
              <w:rPr>
                <w:rFonts w:hint="eastAsia"/>
                <w:highlight w:val="none"/>
                <w:lang w:val="en-US" w:eastAsia="zh-CN"/>
              </w:rPr>
            </w:pPr>
            <w:r>
              <w:rPr>
                <w:rFonts w:hint="eastAsia"/>
                <w:highlight w:val="none"/>
                <w:lang w:val="en-US" w:eastAsia="zh-CN"/>
              </w:rPr>
              <w:t>起重机械</w:t>
            </w:r>
          </w:p>
        </w:tc>
        <w:tc>
          <w:tcPr>
            <w:tcW w:w="3568" w:type="pct"/>
            <w:tcBorders>
              <w:tl2br w:val="nil"/>
              <w:tr2bl w:val="nil"/>
            </w:tcBorders>
            <w:noWrap w:val="0"/>
            <w:vAlign w:val="center"/>
          </w:tcPr>
          <w:p w14:paraId="216FCB5B">
            <w:pPr>
              <w:pStyle w:val="107"/>
              <w:bidi w:val="0"/>
              <w:spacing w:line="240" w:lineRule="auto"/>
              <w:jc w:val="center"/>
              <w:rPr>
                <w:rFonts w:hint="eastAsia"/>
                <w:highlight w:val="none"/>
                <w:lang w:val="en-US" w:eastAsia="zh-CN"/>
              </w:rPr>
            </w:pPr>
            <w:r>
              <w:rPr>
                <w:rFonts w:hint="eastAsia"/>
                <w:highlight w:val="none"/>
                <w:lang w:val="en-US" w:eastAsia="zh-CN"/>
              </w:rPr>
              <w:t>起重机有可靠有效的超高限位器和力矩限制器，吊钩有保险装置，起重机和起重扒杆作业前应进行试吊。</w:t>
            </w:r>
          </w:p>
        </w:tc>
      </w:tr>
      <w:tr w14:paraId="6FF583F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3F12080">
            <w:pPr>
              <w:pStyle w:val="107"/>
              <w:bidi w:val="0"/>
              <w:spacing w:line="240" w:lineRule="auto"/>
              <w:jc w:val="center"/>
              <w:rPr>
                <w:rFonts w:hint="eastAsia"/>
                <w:highlight w:val="none"/>
                <w:lang w:val="en-US" w:eastAsia="zh-CN"/>
              </w:rPr>
            </w:pPr>
            <w:r>
              <w:rPr>
                <w:rFonts w:hint="eastAsia"/>
                <w:highlight w:val="none"/>
                <w:lang w:val="en-US" w:eastAsia="zh-CN"/>
              </w:rPr>
              <w:t>3</w:t>
            </w:r>
          </w:p>
        </w:tc>
        <w:tc>
          <w:tcPr>
            <w:tcW w:w="1037" w:type="pct"/>
            <w:tcBorders>
              <w:tl2br w:val="nil"/>
              <w:tr2bl w:val="nil"/>
            </w:tcBorders>
            <w:noWrap w:val="0"/>
            <w:vAlign w:val="center"/>
          </w:tcPr>
          <w:p w14:paraId="00A201D3">
            <w:pPr>
              <w:pStyle w:val="107"/>
              <w:bidi w:val="0"/>
              <w:spacing w:line="240" w:lineRule="auto"/>
              <w:jc w:val="center"/>
              <w:rPr>
                <w:rFonts w:hint="eastAsia"/>
                <w:highlight w:val="none"/>
                <w:lang w:val="en-US" w:eastAsia="zh-CN"/>
              </w:rPr>
            </w:pPr>
            <w:r>
              <w:rPr>
                <w:rFonts w:hint="eastAsia"/>
                <w:highlight w:val="none"/>
                <w:lang w:val="en-US" w:eastAsia="zh-CN"/>
              </w:rPr>
              <w:t>钢丝器与地锚</w:t>
            </w:r>
          </w:p>
        </w:tc>
        <w:tc>
          <w:tcPr>
            <w:tcW w:w="3568" w:type="pct"/>
            <w:tcBorders>
              <w:tl2br w:val="nil"/>
              <w:tr2bl w:val="nil"/>
            </w:tcBorders>
            <w:noWrap w:val="0"/>
            <w:vAlign w:val="center"/>
          </w:tcPr>
          <w:p w14:paraId="2D8CEB9A">
            <w:pPr>
              <w:pStyle w:val="107"/>
              <w:bidi w:val="0"/>
              <w:spacing w:line="240" w:lineRule="auto"/>
              <w:jc w:val="center"/>
              <w:rPr>
                <w:rFonts w:hint="eastAsia"/>
                <w:highlight w:val="none"/>
                <w:lang w:val="en-US" w:eastAsia="zh-CN"/>
              </w:rPr>
            </w:pPr>
            <w:r>
              <w:rPr>
                <w:rFonts w:hint="eastAsia"/>
                <w:highlight w:val="none"/>
                <w:lang w:val="en-US" w:eastAsia="zh-CN"/>
              </w:rPr>
              <w:t>钢丝绳必须符合有关要求，磨损、断线不得超标。缆风绳安全系数必须大于，滑轮、地锚的设置符合方案要求。</w:t>
            </w:r>
          </w:p>
        </w:tc>
      </w:tr>
      <w:tr w14:paraId="5BAA25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98934B9">
            <w:pPr>
              <w:pStyle w:val="107"/>
              <w:bidi w:val="0"/>
              <w:spacing w:line="240" w:lineRule="auto"/>
              <w:jc w:val="center"/>
              <w:rPr>
                <w:rFonts w:hint="eastAsia"/>
                <w:highlight w:val="none"/>
                <w:lang w:val="en-US" w:eastAsia="zh-CN"/>
              </w:rPr>
            </w:pPr>
            <w:r>
              <w:rPr>
                <w:rFonts w:hint="eastAsia"/>
                <w:highlight w:val="none"/>
                <w:lang w:val="en-US" w:eastAsia="zh-CN"/>
              </w:rPr>
              <w:t>4</w:t>
            </w:r>
          </w:p>
        </w:tc>
        <w:tc>
          <w:tcPr>
            <w:tcW w:w="1037" w:type="pct"/>
            <w:tcBorders>
              <w:tl2br w:val="nil"/>
              <w:tr2bl w:val="nil"/>
            </w:tcBorders>
            <w:noWrap w:val="0"/>
            <w:vAlign w:val="center"/>
          </w:tcPr>
          <w:p w14:paraId="1F57FF8A">
            <w:pPr>
              <w:pStyle w:val="107"/>
              <w:bidi w:val="0"/>
              <w:spacing w:line="240" w:lineRule="auto"/>
              <w:jc w:val="center"/>
              <w:rPr>
                <w:rFonts w:hint="eastAsia"/>
                <w:highlight w:val="none"/>
                <w:lang w:val="en-US" w:eastAsia="zh-CN"/>
              </w:rPr>
            </w:pPr>
            <w:r>
              <w:rPr>
                <w:rFonts w:hint="eastAsia"/>
                <w:highlight w:val="none"/>
                <w:lang w:val="en-US" w:eastAsia="zh-CN"/>
              </w:rPr>
              <w:t>吊   装</w:t>
            </w:r>
          </w:p>
        </w:tc>
        <w:tc>
          <w:tcPr>
            <w:tcW w:w="3568" w:type="pct"/>
            <w:tcBorders>
              <w:tl2br w:val="nil"/>
              <w:tr2bl w:val="nil"/>
            </w:tcBorders>
            <w:noWrap w:val="0"/>
            <w:vAlign w:val="center"/>
          </w:tcPr>
          <w:p w14:paraId="34E46870">
            <w:pPr>
              <w:pStyle w:val="107"/>
              <w:bidi w:val="0"/>
              <w:spacing w:line="240" w:lineRule="auto"/>
              <w:jc w:val="center"/>
              <w:rPr>
                <w:rFonts w:hint="eastAsia"/>
                <w:highlight w:val="none"/>
                <w:lang w:val="en-US" w:eastAsia="zh-CN"/>
              </w:rPr>
            </w:pPr>
            <w:r>
              <w:rPr>
                <w:rFonts w:hint="eastAsia"/>
                <w:highlight w:val="none"/>
                <w:lang w:val="en-US" w:eastAsia="zh-CN"/>
              </w:rPr>
              <w:t>起重吊点符合设计规定，所用的索具、钢丝绳规格、型号、绳径倍数须符合规范要求。</w:t>
            </w:r>
          </w:p>
        </w:tc>
      </w:tr>
      <w:tr w14:paraId="61646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36AE53D4">
            <w:pPr>
              <w:pStyle w:val="107"/>
              <w:bidi w:val="0"/>
              <w:spacing w:line="240" w:lineRule="auto"/>
              <w:jc w:val="center"/>
              <w:rPr>
                <w:rFonts w:hint="eastAsia"/>
                <w:highlight w:val="none"/>
                <w:lang w:val="en-US" w:eastAsia="zh-CN"/>
              </w:rPr>
            </w:pPr>
            <w:r>
              <w:rPr>
                <w:rFonts w:hint="eastAsia"/>
                <w:highlight w:val="none"/>
                <w:lang w:val="en-US" w:eastAsia="zh-CN"/>
              </w:rPr>
              <w:t>5</w:t>
            </w:r>
          </w:p>
        </w:tc>
        <w:tc>
          <w:tcPr>
            <w:tcW w:w="1037" w:type="pct"/>
            <w:tcBorders>
              <w:tl2br w:val="nil"/>
              <w:tr2bl w:val="nil"/>
            </w:tcBorders>
            <w:noWrap w:val="0"/>
            <w:vAlign w:val="center"/>
          </w:tcPr>
          <w:p w14:paraId="46015AF0">
            <w:pPr>
              <w:pStyle w:val="107"/>
              <w:bidi w:val="0"/>
              <w:spacing w:line="240" w:lineRule="auto"/>
              <w:jc w:val="center"/>
              <w:rPr>
                <w:rFonts w:hint="eastAsia"/>
                <w:highlight w:val="none"/>
                <w:lang w:val="en-US" w:eastAsia="zh-CN"/>
              </w:rPr>
            </w:pPr>
            <w:r>
              <w:rPr>
                <w:rFonts w:hint="eastAsia"/>
                <w:highlight w:val="none"/>
                <w:lang w:val="en-US" w:eastAsia="zh-CN"/>
              </w:rPr>
              <w:t>吊装指挥</w:t>
            </w:r>
          </w:p>
        </w:tc>
        <w:tc>
          <w:tcPr>
            <w:tcW w:w="3568" w:type="pct"/>
            <w:tcBorders>
              <w:tl2br w:val="nil"/>
              <w:tr2bl w:val="nil"/>
            </w:tcBorders>
            <w:noWrap w:val="0"/>
            <w:vAlign w:val="center"/>
          </w:tcPr>
          <w:p w14:paraId="330D1F05">
            <w:pPr>
              <w:pStyle w:val="107"/>
              <w:bidi w:val="0"/>
              <w:spacing w:line="240" w:lineRule="auto"/>
              <w:jc w:val="center"/>
              <w:rPr>
                <w:rFonts w:hint="eastAsia"/>
                <w:highlight w:val="none"/>
                <w:lang w:val="en-US" w:eastAsia="zh-CN"/>
              </w:rPr>
            </w:pPr>
            <w:r>
              <w:rPr>
                <w:rFonts w:hint="eastAsia"/>
                <w:highlight w:val="none"/>
                <w:lang w:val="en-US" w:eastAsia="zh-CN"/>
              </w:rPr>
              <w:t>高处作业应有可靠的信号传递。</w:t>
            </w:r>
          </w:p>
        </w:tc>
      </w:tr>
      <w:tr w14:paraId="420D76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DBCAC87">
            <w:pPr>
              <w:pStyle w:val="107"/>
              <w:bidi w:val="0"/>
              <w:spacing w:line="240" w:lineRule="auto"/>
              <w:jc w:val="center"/>
              <w:rPr>
                <w:rFonts w:hint="eastAsia"/>
                <w:highlight w:val="none"/>
                <w:lang w:val="en-US" w:eastAsia="zh-CN"/>
              </w:rPr>
            </w:pPr>
            <w:r>
              <w:rPr>
                <w:rFonts w:hint="eastAsia"/>
                <w:highlight w:val="none"/>
                <w:lang w:val="en-US" w:eastAsia="zh-CN"/>
              </w:rPr>
              <w:t>6</w:t>
            </w:r>
          </w:p>
        </w:tc>
        <w:tc>
          <w:tcPr>
            <w:tcW w:w="1037" w:type="pct"/>
            <w:tcBorders>
              <w:tl2br w:val="nil"/>
              <w:tr2bl w:val="nil"/>
            </w:tcBorders>
            <w:noWrap w:val="0"/>
            <w:vAlign w:val="center"/>
          </w:tcPr>
          <w:p w14:paraId="1866F552">
            <w:pPr>
              <w:pStyle w:val="107"/>
              <w:bidi w:val="0"/>
              <w:spacing w:line="240" w:lineRule="auto"/>
              <w:jc w:val="center"/>
              <w:rPr>
                <w:rFonts w:hint="eastAsia"/>
                <w:highlight w:val="none"/>
                <w:lang w:val="en-US" w:eastAsia="zh-CN"/>
              </w:rPr>
            </w:pPr>
            <w:r>
              <w:rPr>
                <w:rFonts w:hint="eastAsia"/>
                <w:highlight w:val="none"/>
                <w:lang w:val="en-US" w:eastAsia="zh-CN"/>
              </w:rPr>
              <w:t>地耐力</w:t>
            </w:r>
          </w:p>
        </w:tc>
        <w:tc>
          <w:tcPr>
            <w:tcW w:w="3568" w:type="pct"/>
            <w:tcBorders>
              <w:tl2br w:val="nil"/>
              <w:tr2bl w:val="nil"/>
            </w:tcBorders>
            <w:noWrap w:val="0"/>
            <w:vAlign w:val="center"/>
          </w:tcPr>
          <w:p w14:paraId="5266EE26">
            <w:pPr>
              <w:pStyle w:val="107"/>
              <w:bidi w:val="0"/>
              <w:spacing w:line="240" w:lineRule="auto"/>
              <w:jc w:val="center"/>
              <w:rPr>
                <w:rFonts w:hint="eastAsia"/>
                <w:highlight w:val="none"/>
                <w:lang w:val="en-US" w:eastAsia="zh-CN"/>
              </w:rPr>
            </w:pPr>
            <w:r>
              <w:rPr>
                <w:rFonts w:hint="eastAsia"/>
                <w:highlight w:val="none"/>
                <w:lang w:val="en-US" w:eastAsia="zh-CN"/>
              </w:rPr>
              <w:t>起重机作业路面的地耐力必须符合说明书要求，如达不到要求应采取相应的铺垫加强措施。</w:t>
            </w:r>
          </w:p>
        </w:tc>
      </w:tr>
      <w:tr w14:paraId="1539979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6866AF58">
            <w:pPr>
              <w:pStyle w:val="107"/>
              <w:bidi w:val="0"/>
              <w:spacing w:line="240" w:lineRule="auto"/>
              <w:jc w:val="center"/>
              <w:rPr>
                <w:rFonts w:hint="eastAsia"/>
                <w:highlight w:val="none"/>
                <w:lang w:val="en-US" w:eastAsia="zh-CN"/>
              </w:rPr>
            </w:pPr>
            <w:r>
              <w:rPr>
                <w:rFonts w:hint="eastAsia"/>
                <w:highlight w:val="none"/>
                <w:lang w:val="en-US" w:eastAsia="zh-CN"/>
              </w:rPr>
              <w:t>7</w:t>
            </w:r>
          </w:p>
        </w:tc>
        <w:tc>
          <w:tcPr>
            <w:tcW w:w="1037" w:type="pct"/>
            <w:tcBorders>
              <w:tl2br w:val="nil"/>
              <w:tr2bl w:val="nil"/>
            </w:tcBorders>
            <w:noWrap w:val="0"/>
            <w:vAlign w:val="center"/>
          </w:tcPr>
          <w:p w14:paraId="63D8F144">
            <w:pPr>
              <w:pStyle w:val="107"/>
              <w:bidi w:val="0"/>
              <w:spacing w:line="240" w:lineRule="auto"/>
              <w:jc w:val="center"/>
              <w:rPr>
                <w:rFonts w:hint="eastAsia"/>
                <w:highlight w:val="none"/>
                <w:lang w:val="en-US" w:eastAsia="zh-CN"/>
              </w:rPr>
            </w:pPr>
            <w:r>
              <w:rPr>
                <w:rFonts w:hint="eastAsia"/>
                <w:highlight w:val="none"/>
                <w:lang w:val="en-US" w:eastAsia="zh-CN"/>
              </w:rPr>
              <w:t>起重作业</w:t>
            </w:r>
          </w:p>
        </w:tc>
        <w:tc>
          <w:tcPr>
            <w:tcW w:w="3568" w:type="pct"/>
            <w:tcBorders>
              <w:tl2br w:val="nil"/>
              <w:tr2bl w:val="nil"/>
            </w:tcBorders>
            <w:noWrap w:val="0"/>
            <w:vAlign w:val="center"/>
          </w:tcPr>
          <w:p w14:paraId="53A2EB7E">
            <w:pPr>
              <w:pStyle w:val="107"/>
              <w:bidi w:val="0"/>
              <w:spacing w:line="240" w:lineRule="auto"/>
              <w:jc w:val="center"/>
              <w:rPr>
                <w:rFonts w:hint="eastAsia"/>
                <w:highlight w:val="none"/>
                <w:lang w:val="en-US" w:eastAsia="zh-CN"/>
              </w:rPr>
            </w:pPr>
            <w:r>
              <w:rPr>
                <w:rFonts w:hint="eastAsia"/>
                <w:highlight w:val="none"/>
                <w:lang w:val="en-US" w:eastAsia="zh-CN"/>
              </w:rPr>
              <w:t>被吊物件应明确重量，不得不明吊重或超载作业。</w:t>
            </w:r>
          </w:p>
        </w:tc>
      </w:tr>
      <w:tr w14:paraId="1F0361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7F13E7E">
            <w:pPr>
              <w:pStyle w:val="107"/>
              <w:bidi w:val="0"/>
              <w:spacing w:line="240" w:lineRule="auto"/>
              <w:jc w:val="center"/>
              <w:rPr>
                <w:rFonts w:hint="eastAsia"/>
                <w:highlight w:val="none"/>
                <w:lang w:val="en-US" w:eastAsia="zh-CN"/>
              </w:rPr>
            </w:pPr>
            <w:r>
              <w:rPr>
                <w:rFonts w:hint="eastAsia"/>
                <w:highlight w:val="none"/>
                <w:lang w:val="en-US" w:eastAsia="zh-CN"/>
              </w:rPr>
              <w:t>8</w:t>
            </w:r>
          </w:p>
        </w:tc>
        <w:tc>
          <w:tcPr>
            <w:tcW w:w="1037" w:type="pct"/>
            <w:tcBorders>
              <w:tl2br w:val="nil"/>
              <w:tr2bl w:val="nil"/>
            </w:tcBorders>
            <w:noWrap w:val="0"/>
            <w:vAlign w:val="center"/>
          </w:tcPr>
          <w:p w14:paraId="75F8C9ED">
            <w:pPr>
              <w:pStyle w:val="107"/>
              <w:bidi w:val="0"/>
              <w:spacing w:line="240" w:lineRule="auto"/>
              <w:jc w:val="center"/>
              <w:rPr>
                <w:rFonts w:hint="eastAsia"/>
                <w:highlight w:val="none"/>
                <w:lang w:val="en-US" w:eastAsia="zh-CN"/>
              </w:rPr>
            </w:pPr>
            <w:r>
              <w:rPr>
                <w:rFonts w:hint="eastAsia"/>
                <w:highlight w:val="none"/>
                <w:lang w:val="en-US" w:eastAsia="zh-CN"/>
              </w:rPr>
              <w:t>高处作业</w:t>
            </w:r>
          </w:p>
        </w:tc>
        <w:tc>
          <w:tcPr>
            <w:tcW w:w="3568" w:type="pct"/>
            <w:tcBorders>
              <w:tl2br w:val="nil"/>
              <w:tr2bl w:val="nil"/>
            </w:tcBorders>
            <w:noWrap w:val="0"/>
            <w:vAlign w:val="center"/>
          </w:tcPr>
          <w:p w14:paraId="74372FB4">
            <w:pPr>
              <w:pStyle w:val="107"/>
              <w:bidi w:val="0"/>
              <w:spacing w:line="240" w:lineRule="auto"/>
              <w:jc w:val="center"/>
              <w:rPr>
                <w:rFonts w:hint="eastAsia"/>
                <w:highlight w:val="none"/>
                <w:lang w:val="en-US" w:eastAsia="zh-CN"/>
              </w:rPr>
            </w:pPr>
            <w:r>
              <w:rPr>
                <w:rFonts w:hint="eastAsia"/>
                <w:highlight w:val="none"/>
                <w:lang w:val="en-US" w:eastAsia="zh-CN"/>
              </w:rPr>
              <w:t>吊装作业必须设置防坠落措施，作业人员应系安全事实工悬挂牢固、可靠，人员上下应设置人员专用爬梯、斜道。</w:t>
            </w:r>
          </w:p>
        </w:tc>
      </w:tr>
      <w:tr w14:paraId="41105C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58698020">
            <w:pPr>
              <w:pStyle w:val="107"/>
              <w:bidi w:val="0"/>
              <w:spacing w:line="240" w:lineRule="auto"/>
              <w:jc w:val="center"/>
              <w:rPr>
                <w:rFonts w:hint="eastAsia"/>
                <w:highlight w:val="none"/>
                <w:lang w:val="en-US" w:eastAsia="zh-CN"/>
              </w:rPr>
            </w:pPr>
            <w:r>
              <w:rPr>
                <w:rFonts w:hint="eastAsia"/>
                <w:highlight w:val="none"/>
                <w:lang w:val="en-US" w:eastAsia="zh-CN"/>
              </w:rPr>
              <w:t>9</w:t>
            </w:r>
          </w:p>
        </w:tc>
        <w:tc>
          <w:tcPr>
            <w:tcW w:w="1037" w:type="pct"/>
            <w:tcBorders>
              <w:tl2br w:val="nil"/>
              <w:tr2bl w:val="nil"/>
            </w:tcBorders>
            <w:noWrap w:val="0"/>
            <w:vAlign w:val="center"/>
          </w:tcPr>
          <w:p w14:paraId="19B0F54D">
            <w:pPr>
              <w:pStyle w:val="107"/>
              <w:bidi w:val="0"/>
              <w:spacing w:line="240" w:lineRule="auto"/>
              <w:jc w:val="center"/>
              <w:rPr>
                <w:rFonts w:hint="eastAsia"/>
                <w:highlight w:val="none"/>
                <w:lang w:val="en-US" w:eastAsia="zh-CN"/>
              </w:rPr>
            </w:pPr>
            <w:r>
              <w:rPr>
                <w:rFonts w:hint="eastAsia"/>
                <w:highlight w:val="none"/>
                <w:lang w:val="en-US" w:eastAsia="zh-CN"/>
              </w:rPr>
              <w:t>作业平台</w:t>
            </w:r>
          </w:p>
        </w:tc>
        <w:tc>
          <w:tcPr>
            <w:tcW w:w="3568" w:type="pct"/>
            <w:tcBorders>
              <w:tl2br w:val="nil"/>
              <w:tr2bl w:val="nil"/>
            </w:tcBorders>
            <w:noWrap w:val="0"/>
            <w:vAlign w:val="center"/>
          </w:tcPr>
          <w:p w14:paraId="05D488D4">
            <w:pPr>
              <w:pStyle w:val="107"/>
              <w:bidi w:val="0"/>
              <w:spacing w:line="240" w:lineRule="auto"/>
              <w:jc w:val="center"/>
              <w:rPr>
                <w:rFonts w:hint="eastAsia"/>
                <w:highlight w:val="none"/>
                <w:lang w:val="en-US" w:eastAsia="zh-CN"/>
              </w:rPr>
            </w:pPr>
            <w:r>
              <w:rPr>
                <w:rFonts w:hint="eastAsia"/>
                <w:highlight w:val="none"/>
                <w:lang w:val="en-US" w:eastAsia="zh-CN"/>
              </w:rPr>
              <w:t>起重吊装作业人员须有可行的立足点，作业平台应坚实，牢固、单独支撑，底板应用4厘米厚以上木板或防滑钢板铺设，临边防护应符合要求。</w:t>
            </w:r>
          </w:p>
        </w:tc>
      </w:tr>
      <w:tr w14:paraId="2EA928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3BE6513">
            <w:pPr>
              <w:pStyle w:val="107"/>
              <w:bidi w:val="0"/>
              <w:spacing w:line="240" w:lineRule="auto"/>
              <w:jc w:val="center"/>
              <w:rPr>
                <w:rFonts w:hint="eastAsia"/>
                <w:highlight w:val="none"/>
                <w:lang w:val="en-US" w:eastAsia="zh-CN"/>
              </w:rPr>
            </w:pPr>
            <w:r>
              <w:rPr>
                <w:rFonts w:hint="eastAsia"/>
                <w:highlight w:val="none"/>
                <w:lang w:val="en-US" w:eastAsia="zh-CN"/>
              </w:rPr>
              <w:t>10</w:t>
            </w:r>
          </w:p>
        </w:tc>
        <w:tc>
          <w:tcPr>
            <w:tcW w:w="1037" w:type="pct"/>
            <w:tcBorders>
              <w:tl2br w:val="nil"/>
              <w:tr2bl w:val="nil"/>
            </w:tcBorders>
            <w:noWrap w:val="0"/>
            <w:vAlign w:val="center"/>
          </w:tcPr>
          <w:p w14:paraId="2A5D0418">
            <w:pPr>
              <w:pStyle w:val="107"/>
              <w:bidi w:val="0"/>
              <w:spacing w:line="240" w:lineRule="auto"/>
              <w:jc w:val="center"/>
              <w:rPr>
                <w:rFonts w:hint="eastAsia"/>
                <w:highlight w:val="none"/>
                <w:lang w:val="en-US" w:eastAsia="zh-CN"/>
              </w:rPr>
            </w:pPr>
            <w:r>
              <w:rPr>
                <w:rFonts w:hint="eastAsia"/>
                <w:highlight w:val="none"/>
                <w:lang w:val="en-US" w:eastAsia="zh-CN"/>
              </w:rPr>
              <w:t>构件堆放</w:t>
            </w:r>
          </w:p>
        </w:tc>
        <w:tc>
          <w:tcPr>
            <w:tcW w:w="3568" w:type="pct"/>
            <w:tcBorders>
              <w:tl2br w:val="nil"/>
              <w:tr2bl w:val="nil"/>
            </w:tcBorders>
            <w:noWrap w:val="0"/>
            <w:vAlign w:val="center"/>
          </w:tcPr>
          <w:p w14:paraId="3F5E5F71">
            <w:pPr>
              <w:pStyle w:val="107"/>
              <w:bidi w:val="0"/>
              <w:spacing w:line="240" w:lineRule="auto"/>
              <w:jc w:val="center"/>
              <w:rPr>
                <w:rFonts w:hint="eastAsia"/>
                <w:highlight w:val="none"/>
                <w:lang w:val="en-US" w:eastAsia="zh-CN"/>
              </w:rPr>
            </w:pPr>
            <w:r>
              <w:rPr>
                <w:rFonts w:hint="eastAsia"/>
                <w:highlight w:val="none"/>
                <w:lang w:val="en-US" w:eastAsia="zh-CN"/>
              </w:rPr>
              <w:t>构件堆放应整齐，楼板堆放不得超过米，其它构件堆放不得超过有关规定，大型构件堆放应有稳固措施。</w:t>
            </w:r>
          </w:p>
        </w:tc>
      </w:tr>
      <w:tr w14:paraId="0032E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EA13F65">
            <w:pPr>
              <w:pStyle w:val="107"/>
              <w:bidi w:val="0"/>
              <w:spacing w:line="240" w:lineRule="auto"/>
              <w:jc w:val="center"/>
              <w:rPr>
                <w:rFonts w:hint="eastAsia"/>
                <w:highlight w:val="none"/>
                <w:lang w:val="en-US" w:eastAsia="zh-CN"/>
              </w:rPr>
            </w:pPr>
            <w:r>
              <w:rPr>
                <w:rFonts w:hint="eastAsia"/>
                <w:highlight w:val="none"/>
                <w:lang w:val="en-US" w:eastAsia="zh-CN"/>
              </w:rPr>
              <w:t>11</w:t>
            </w:r>
          </w:p>
        </w:tc>
        <w:tc>
          <w:tcPr>
            <w:tcW w:w="1037" w:type="pct"/>
            <w:tcBorders>
              <w:tl2br w:val="nil"/>
              <w:tr2bl w:val="nil"/>
            </w:tcBorders>
            <w:noWrap w:val="0"/>
            <w:vAlign w:val="center"/>
          </w:tcPr>
          <w:p w14:paraId="08587E13">
            <w:pPr>
              <w:pStyle w:val="107"/>
              <w:bidi w:val="0"/>
              <w:spacing w:line="240" w:lineRule="auto"/>
              <w:jc w:val="center"/>
              <w:rPr>
                <w:rFonts w:hint="eastAsia"/>
                <w:highlight w:val="none"/>
                <w:lang w:val="en-US" w:eastAsia="zh-CN"/>
              </w:rPr>
            </w:pPr>
            <w:r>
              <w:rPr>
                <w:rFonts w:hint="eastAsia"/>
                <w:highlight w:val="none"/>
                <w:lang w:val="en-US" w:eastAsia="zh-CN"/>
              </w:rPr>
              <w:t>警   戒</w:t>
            </w:r>
          </w:p>
        </w:tc>
        <w:tc>
          <w:tcPr>
            <w:tcW w:w="3568" w:type="pct"/>
            <w:tcBorders>
              <w:tl2br w:val="nil"/>
              <w:tr2bl w:val="nil"/>
            </w:tcBorders>
            <w:noWrap w:val="0"/>
            <w:vAlign w:val="center"/>
          </w:tcPr>
          <w:p w14:paraId="4443EFF5">
            <w:pPr>
              <w:pStyle w:val="107"/>
              <w:bidi w:val="0"/>
              <w:spacing w:line="240" w:lineRule="auto"/>
              <w:jc w:val="center"/>
              <w:rPr>
                <w:rFonts w:hint="eastAsia"/>
                <w:highlight w:val="none"/>
                <w:lang w:val="en-US" w:eastAsia="zh-CN"/>
              </w:rPr>
            </w:pPr>
            <w:r>
              <w:rPr>
                <w:rFonts w:hint="eastAsia"/>
                <w:highlight w:val="none"/>
                <w:lang w:val="en-US" w:eastAsia="zh-CN"/>
              </w:rPr>
              <w:t>吊装作业场所。</w:t>
            </w:r>
          </w:p>
        </w:tc>
      </w:tr>
    </w:tbl>
    <w:p w14:paraId="298F35C4">
      <w:pPr>
        <w:pStyle w:val="4"/>
        <w:bidi w:val="0"/>
        <w:ind w:left="720" w:leftChars="0" w:hanging="720" w:firstLineChars="0"/>
        <w:rPr>
          <w:rFonts w:hint="eastAsia"/>
          <w:lang w:val="en-US" w:eastAsia="zh-CN"/>
        </w:rPr>
      </w:pPr>
      <w:bookmarkStart w:id="375" w:name="_Toc10160"/>
      <w:bookmarkStart w:id="376" w:name="_Toc11656"/>
      <w:r>
        <w:rPr>
          <w:rFonts w:hint="eastAsia"/>
          <w:lang w:val="en-US" w:eastAsia="zh-CN"/>
        </w:rPr>
        <w:t>塔机安装完毕验收</w:t>
      </w:r>
      <w:bookmarkEnd w:id="375"/>
      <w:bookmarkEnd w:id="376"/>
    </w:p>
    <w:p w14:paraId="6D4DA1BF">
      <w:pPr>
        <w:ind w:firstLine="480" w:firstLineChars="200"/>
        <w:rPr>
          <w:rFonts w:hint="eastAsia"/>
          <w:highlight w:val="none"/>
          <w:lang w:val="en-US" w:eastAsia="zh-CN"/>
        </w:rPr>
      </w:pPr>
      <w:r>
        <w:rPr>
          <w:rFonts w:hint="eastAsia"/>
          <w:highlight w:val="none"/>
          <w:lang w:val="en-US" w:eastAsia="zh-CN"/>
        </w:rPr>
        <w:t>塔机安装完成后应先由安装单位自检，自检合格后，报请有资质的检测单位检测，检测合格后再由使用单位组织租赁单位、安装单位和监理单位共同对塔机进行最后验收。</w:t>
      </w:r>
    </w:p>
    <w:p w14:paraId="3D5799B9">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1、安装单位自检。</w:t>
      </w:r>
      <w:r>
        <w:rPr>
          <w:rFonts w:hint="eastAsia"/>
          <w:highlight w:val="none"/>
          <w:lang w:val="en-US" w:eastAsia="zh-CN"/>
        </w:rPr>
        <w:t>塔机</w:t>
      </w:r>
      <w:r>
        <w:rPr>
          <w:rFonts w:hint="default" w:ascii="宋体" w:hAnsi="宋体" w:eastAsia="宋体"/>
          <w:highlight w:val="none"/>
          <w:lang w:val="en-US" w:eastAsia="zh-CN"/>
        </w:rPr>
        <w:t>安装完成之后，安装单位应及时组织单位技术人员、安全人员、安装人员对</w:t>
      </w:r>
      <w:r>
        <w:rPr>
          <w:rFonts w:hint="eastAsia"/>
          <w:highlight w:val="none"/>
          <w:lang w:val="en-US" w:eastAsia="zh-CN"/>
        </w:rPr>
        <w:t>塔机</w:t>
      </w:r>
      <w:r>
        <w:rPr>
          <w:rFonts w:hint="default" w:ascii="宋体" w:hAnsi="宋体" w:eastAsia="宋体"/>
          <w:highlight w:val="none"/>
          <w:lang w:val="en-US" w:eastAsia="zh-CN"/>
        </w:rPr>
        <w:t>进行验收。</w:t>
      </w:r>
    </w:p>
    <w:p w14:paraId="72331B23">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2、委托第三方检验机构进行检验。检测单位检测完成之后，出具的检测报告是整机合格，可能存在部分一般项目不合格；设备供应方应对不合格项目进行整改，并出具整改报告。</w:t>
      </w:r>
    </w:p>
    <w:p w14:paraId="246510D4">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3、资料审核。</w:t>
      </w:r>
      <w:r>
        <w:rPr>
          <w:rFonts w:hint="eastAsia" w:ascii="宋体" w:hAnsi="宋体" w:eastAsia="宋体"/>
          <w:highlight w:val="none"/>
          <w:lang w:val="en-US" w:eastAsia="zh-CN"/>
        </w:rPr>
        <w:t>项目部</w:t>
      </w:r>
      <w:r>
        <w:rPr>
          <w:rFonts w:hint="default" w:ascii="宋体" w:hAnsi="宋体" w:eastAsia="宋体"/>
          <w:highlight w:val="none"/>
          <w:lang w:val="en-US" w:eastAsia="zh-CN"/>
        </w:rPr>
        <w:t>对</w:t>
      </w:r>
      <w:r>
        <w:rPr>
          <w:rFonts w:hint="eastAsia"/>
          <w:highlight w:val="none"/>
          <w:lang w:val="en-US" w:eastAsia="zh-CN"/>
        </w:rPr>
        <w:t>塔机</w:t>
      </w:r>
      <w:r>
        <w:rPr>
          <w:rFonts w:hint="default" w:ascii="宋体" w:hAnsi="宋体" w:eastAsia="宋体"/>
          <w:highlight w:val="none"/>
          <w:lang w:val="en-US" w:eastAsia="zh-CN"/>
        </w:rPr>
        <w:t>安装相关资料原件进行审核，审核通过后，留存加盖单位公章的复印件，并报监理单位审核。监理单位审核完成后，</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p>
    <w:p w14:paraId="3850B958">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组织设备供应方、安装单位、使用单位、监理单位对</w:t>
      </w:r>
      <w:r>
        <w:rPr>
          <w:rFonts w:hint="eastAsia"/>
          <w:highlight w:val="none"/>
          <w:lang w:val="en-US" w:eastAsia="zh-CN"/>
        </w:rPr>
        <w:t>塔机</w:t>
      </w:r>
      <w:r>
        <w:rPr>
          <w:rFonts w:hint="default" w:ascii="宋体" w:hAnsi="宋体" w:eastAsia="宋体"/>
          <w:highlight w:val="none"/>
          <w:lang w:val="en-US" w:eastAsia="zh-CN"/>
        </w:rPr>
        <w:t>安装进行联合验收。</w:t>
      </w:r>
    </w:p>
    <w:p w14:paraId="17457514">
      <w:pPr>
        <w:pStyle w:val="4"/>
        <w:bidi w:val="0"/>
        <w:ind w:left="720" w:leftChars="0" w:hanging="720" w:firstLineChars="0"/>
        <w:rPr>
          <w:rFonts w:hint="eastAsia"/>
          <w:lang w:val="en-US" w:eastAsia="zh-CN"/>
        </w:rPr>
      </w:pPr>
      <w:r>
        <w:rPr>
          <w:rFonts w:hint="eastAsia"/>
          <w:lang w:val="en-US" w:eastAsia="zh-CN"/>
        </w:rPr>
        <w:t>验收人员</w:t>
      </w:r>
    </w:p>
    <w:p w14:paraId="3663CB50">
      <w:pPr>
        <w:ind w:firstLine="480" w:firstLineChars="200"/>
        <w:rPr>
          <w:rFonts w:hint="default"/>
          <w:highlight w:val="none"/>
          <w:lang w:val="en-US" w:eastAsia="zh-CN"/>
        </w:rPr>
      </w:pPr>
      <w:r>
        <w:rPr>
          <w:rFonts w:hint="eastAsia"/>
          <w:highlight w:val="none"/>
          <w:lang w:val="en-US" w:eastAsia="zh-CN"/>
        </w:rPr>
        <w:t>检验部位（</w:t>
      </w:r>
      <w:r>
        <w:rPr>
          <w:rFonts w:hint="default"/>
          <w:highlight w:val="none"/>
          <w:lang w:val="en-US" w:eastAsia="zh-CN"/>
        </w:rPr>
        <w:t>检验批</w:t>
      </w:r>
      <w:r>
        <w:rPr>
          <w:rFonts w:hint="eastAsia"/>
          <w:highlight w:val="none"/>
          <w:lang w:val="en-US" w:eastAsia="zh-CN"/>
        </w:rPr>
        <w:t>）</w:t>
      </w:r>
      <w:r>
        <w:rPr>
          <w:rFonts w:hint="default"/>
          <w:highlight w:val="none"/>
          <w:lang w:val="en-US" w:eastAsia="zh-CN"/>
        </w:rPr>
        <w:t>由施工单位自检合格后，报监理单位（建设单位项目技术负责人</w:t>
      </w:r>
      <w:r>
        <w:rPr>
          <w:rFonts w:hint="eastAsia"/>
          <w:highlight w:val="none"/>
          <w:lang w:val="en-US" w:eastAsia="zh-CN"/>
        </w:rPr>
        <w:t>）</w:t>
      </w:r>
      <w:r>
        <w:rPr>
          <w:rFonts w:hint="default"/>
          <w:highlight w:val="none"/>
          <w:lang w:val="en-US" w:eastAsia="zh-CN"/>
        </w:rPr>
        <w:t>，由监理工程师组织施工单位专职质量检查员等进行验收。监理单位应对全部主控项目进行检查，对一般项目的检查内容和数量可根据具体情况确定。</w:t>
      </w:r>
    </w:p>
    <w:p w14:paraId="196D4F7C">
      <w:pPr>
        <w:ind w:firstLine="480" w:firstLineChars="200"/>
        <w:rPr>
          <w:rFonts w:hint="default"/>
          <w:highlight w:val="none"/>
          <w:lang w:val="en-US" w:eastAsia="zh-CN"/>
        </w:rPr>
      </w:pPr>
      <w:r>
        <w:rPr>
          <w:rFonts w:hint="default"/>
          <w:highlight w:val="none"/>
          <w:lang w:val="en-US" w:eastAsia="zh-CN"/>
        </w:rPr>
        <w:t>分项工程由监理工程师（建设单位项目技术负责人）组织施工单位项目专业技术负责人等进行验收。</w:t>
      </w:r>
    </w:p>
    <w:p w14:paraId="346DB45E">
      <w:pPr>
        <w:ind w:firstLine="480" w:firstLineChars="200"/>
        <w:rPr>
          <w:rFonts w:hint="default"/>
          <w:highlight w:val="none"/>
          <w:lang w:val="en-US" w:eastAsia="zh-CN"/>
        </w:rPr>
      </w:pPr>
      <w:r>
        <w:rPr>
          <w:rFonts w:hint="default"/>
          <w:highlight w:val="none"/>
          <w:lang w:val="en-US" w:eastAsia="zh-CN"/>
        </w:rPr>
        <w:t>分部工程由总监理工程师（建设单位项目负责人）组织施工单位项目负责人和技术、质量负责人等进行验收</w:t>
      </w:r>
      <w:r>
        <w:rPr>
          <w:rFonts w:hint="eastAsia"/>
          <w:highlight w:val="none"/>
          <w:lang w:val="en-US" w:eastAsia="zh-CN"/>
        </w:rPr>
        <w:t>；</w:t>
      </w:r>
      <w:r>
        <w:rPr>
          <w:rFonts w:hint="default"/>
          <w:highlight w:val="none"/>
          <w:lang w:val="en-US" w:eastAsia="zh-CN"/>
        </w:rPr>
        <w:t>地基与基础、主体结构分部工程进行验收时，勘察、设计单位项目负责人也应参加。</w:t>
      </w:r>
    </w:p>
    <w:p w14:paraId="763FE683">
      <w:pPr>
        <w:pStyle w:val="3"/>
        <w:bidi w:val="0"/>
        <w:ind w:left="575" w:leftChars="0" w:hanging="575" w:firstLineChars="0"/>
        <w:rPr>
          <w:rFonts w:hint="eastAsia" w:cs="Times New Roman"/>
          <w:highlight w:val="none"/>
          <w:lang w:val="en-US" w:eastAsia="zh-CN"/>
        </w:rPr>
      </w:pPr>
      <w:bookmarkStart w:id="377" w:name="_Toc11653"/>
      <w:bookmarkStart w:id="378" w:name="_Toc21699"/>
      <w:bookmarkStart w:id="379" w:name="_Toc28632"/>
      <w:r>
        <w:rPr>
          <w:rFonts w:hint="eastAsia" w:ascii="Arial" w:hAnsi="Arial" w:cs="Times New Roman"/>
          <w:highlight w:val="none"/>
          <w:lang w:val="en-US" w:eastAsia="zh-CN"/>
        </w:rPr>
        <w:t>验收</w:t>
      </w:r>
      <w:r>
        <w:rPr>
          <w:rFonts w:hint="eastAsia" w:cs="Times New Roman"/>
          <w:highlight w:val="none"/>
          <w:lang w:val="en-US" w:eastAsia="zh-CN"/>
        </w:rPr>
        <w:t>内容</w:t>
      </w:r>
      <w:bookmarkEnd w:id="377"/>
      <w:bookmarkEnd w:id="378"/>
      <w:bookmarkEnd w:id="379"/>
    </w:p>
    <w:p w14:paraId="2A610C4B">
      <w:pPr>
        <w:pStyle w:val="15"/>
        <w:bidi w:val="0"/>
        <w:rPr>
          <w:rFonts w:hint="default"/>
          <w:highlight w:val="none"/>
          <w:lang w:val="en-US" w:eastAsia="zh-CN"/>
        </w:rPr>
      </w:pPr>
      <w:r>
        <w:rPr>
          <w:rFonts w:hint="eastAsia"/>
          <w:highlight w:val="none"/>
          <w:lang w:val="en-US" w:eastAsia="zh-CN"/>
        </w:rPr>
        <w:t>表8.3-1塔机安拆验收内容</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83"/>
        <w:gridCol w:w="7821"/>
      </w:tblGrid>
      <w:tr w14:paraId="08E0E3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83" w:type="dxa"/>
            <w:tcBorders>
              <w:tl2br w:val="nil"/>
              <w:tr2bl w:val="nil"/>
            </w:tcBorders>
            <w:shd w:val="clear" w:color="auto" w:fill="DAE3F3" w:themeFill="accent5" w:themeFillTint="32"/>
            <w:noWrap w:val="0"/>
            <w:vAlign w:val="center"/>
          </w:tcPr>
          <w:p w14:paraId="0719A6C2">
            <w:pPr>
              <w:pStyle w:val="105"/>
              <w:bidi w:val="0"/>
              <w:rPr>
                <w:rFonts w:hint="default"/>
                <w:highlight w:val="none"/>
                <w:lang w:val="en-US" w:eastAsia="zh-CN"/>
              </w:rPr>
            </w:pPr>
            <w:r>
              <w:rPr>
                <w:rFonts w:hint="eastAsia"/>
                <w:highlight w:val="none"/>
                <w:lang w:val="en-US" w:eastAsia="zh-CN"/>
              </w:rPr>
              <w:t>序号</w:t>
            </w:r>
          </w:p>
        </w:tc>
        <w:tc>
          <w:tcPr>
            <w:tcW w:w="7821" w:type="dxa"/>
            <w:tcBorders>
              <w:tl2br w:val="nil"/>
              <w:tr2bl w:val="nil"/>
            </w:tcBorders>
            <w:shd w:val="clear" w:color="auto" w:fill="DAE3F3" w:themeFill="accent5" w:themeFillTint="32"/>
            <w:noWrap w:val="0"/>
            <w:vAlign w:val="center"/>
          </w:tcPr>
          <w:p w14:paraId="435D78FD">
            <w:pPr>
              <w:pStyle w:val="105"/>
              <w:bidi w:val="0"/>
              <w:rPr>
                <w:rFonts w:hint="default"/>
                <w:highlight w:val="none"/>
                <w:lang w:val="en-US" w:eastAsia="zh-CN"/>
              </w:rPr>
            </w:pPr>
            <w:r>
              <w:rPr>
                <w:rFonts w:hint="eastAsia"/>
                <w:highlight w:val="none"/>
                <w:lang w:val="en-US" w:eastAsia="zh-CN"/>
              </w:rPr>
              <w:t>内 容</w:t>
            </w:r>
          </w:p>
        </w:tc>
      </w:tr>
      <w:tr w14:paraId="4C00DD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784BE103">
            <w:pPr>
              <w:pStyle w:val="105"/>
              <w:bidi w:val="0"/>
              <w:rPr>
                <w:rFonts w:hint="default"/>
                <w:highlight w:val="none"/>
                <w:lang w:val="en-US" w:eastAsia="zh-CN"/>
              </w:rPr>
            </w:pPr>
            <w:r>
              <w:rPr>
                <w:rFonts w:hint="eastAsia"/>
                <w:highlight w:val="none"/>
                <w:lang w:val="en-US" w:eastAsia="zh-CN"/>
              </w:rPr>
              <w:t>1</w:t>
            </w:r>
          </w:p>
        </w:tc>
        <w:tc>
          <w:tcPr>
            <w:tcW w:w="7821" w:type="dxa"/>
            <w:tcBorders>
              <w:tl2br w:val="nil"/>
              <w:tr2bl w:val="nil"/>
            </w:tcBorders>
            <w:noWrap w:val="0"/>
            <w:vAlign w:val="center"/>
          </w:tcPr>
          <w:p w14:paraId="75B04B2F">
            <w:pPr>
              <w:pStyle w:val="105"/>
              <w:bidi w:val="0"/>
              <w:rPr>
                <w:rFonts w:hint="default"/>
                <w:highlight w:val="none"/>
                <w:lang w:val="en-US" w:eastAsia="zh-CN"/>
              </w:rPr>
            </w:pPr>
            <w:r>
              <w:rPr>
                <w:rFonts w:hint="eastAsia"/>
                <w:highlight w:val="none"/>
                <w:lang w:val="en-US" w:eastAsia="zh-CN"/>
              </w:rPr>
              <w:t>施工现场塔机的技术资料和安全资料必须齐全。</w:t>
            </w:r>
          </w:p>
        </w:tc>
      </w:tr>
      <w:tr w14:paraId="7F0604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58EC579">
            <w:pPr>
              <w:pStyle w:val="105"/>
              <w:bidi w:val="0"/>
              <w:rPr>
                <w:rFonts w:hint="default"/>
                <w:highlight w:val="none"/>
                <w:lang w:val="en-US" w:eastAsia="zh-CN"/>
              </w:rPr>
            </w:pPr>
            <w:r>
              <w:rPr>
                <w:rFonts w:hint="eastAsia"/>
                <w:highlight w:val="none"/>
                <w:lang w:val="en-US" w:eastAsia="zh-CN"/>
              </w:rPr>
              <w:t>2</w:t>
            </w:r>
          </w:p>
        </w:tc>
        <w:tc>
          <w:tcPr>
            <w:tcW w:w="7821" w:type="dxa"/>
            <w:tcBorders>
              <w:tl2br w:val="nil"/>
              <w:tr2bl w:val="nil"/>
            </w:tcBorders>
            <w:noWrap w:val="0"/>
            <w:vAlign w:val="center"/>
          </w:tcPr>
          <w:p w14:paraId="63FB3894">
            <w:pPr>
              <w:pStyle w:val="105"/>
              <w:bidi w:val="0"/>
              <w:rPr>
                <w:rFonts w:hint="default"/>
                <w:highlight w:val="none"/>
                <w:lang w:val="en-US" w:eastAsia="zh-CN"/>
              </w:rPr>
            </w:pPr>
            <w:r>
              <w:rPr>
                <w:rFonts w:hint="eastAsia"/>
                <w:highlight w:val="none"/>
                <w:lang w:val="en-US" w:eastAsia="zh-CN"/>
              </w:rPr>
              <w:t>塔机生产许可证、出厂合格证、使用说明书、设备 档案、运转及维修保养记录、安装方案、验收证书、检测检验报告。</w:t>
            </w:r>
          </w:p>
        </w:tc>
      </w:tr>
      <w:tr w14:paraId="0FFBB6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48175CB0">
            <w:pPr>
              <w:pStyle w:val="105"/>
              <w:bidi w:val="0"/>
              <w:rPr>
                <w:rFonts w:hint="default"/>
                <w:highlight w:val="none"/>
                <w:lang w:val="en-US" w:eastAsia="zh-CN"/>
              </w:rPr>
            </w:pPr>
            <w:r>
              <w:rPr>
                <w:rFonts w:hint="eastAsia"/>
                <w:highlight w:val="none"/>
                <w:lang w:val="en-US" w:eastAsia="zh-CN"/>
              </w:rPr>
              <w:t>3</w:t>
            </w:r>
          </w:p>
        </w:tc>
        <w:tc>
          <w:tcPr>
            <w:tcW w:w="7821" w:type="dxa"/>
            <w:tcBorders>
              <w:tl2br w:val="nil"/>
              <w:tr2bl w:val="nil"/>
            </w:tcBorders>
            <w:noWrap w:val="0"/>
            <w:vAlign w:val="center"/>
          </w:tcPr>
          <w:p w14:paraId="2AD4858C">
            <w:pPr>
              <w:pStyle w:val="105"/>
              <w:bidi w:val="0"/>
              <w:rPr>
                <w:rFonts w:hint="default"/>
                <w:highlight w:val="none"/>
                <w:lang w:val="en-US" w:eastAsia="zh-CN"/>
              </w:rPr>
            </w:pPr>
            <w:r>
              <w:rPr>
                <w:rFonts w:hint="eastAsia"/>
                <w:highlight w:val="none"/>
                <w:lang w:val="en-US" w:eastAsia="zh-CN"/>
              </w:rPr>
              <w:t>安装队伍资质证书、设备安拆人员、指挥人员、操作人员及其他特种作业人员的操作证和安全上岗证。</w:t>
            </w:r>
          </w:p>
        </w:tc>
      </w:tr>
      <w:tr w14:paraId="6B75BE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6E072DFC">
            <w:pPr>
              <w:pStyle w:val="105"/>
              <w:bidi w:val="0"/>
              <w:rPr>
                <w:rFonts w:hint="default"/>
                <w:highlight w:val="none"/>
                <w:lang w:val="en-US" w:eastAsia="zh-CN"/>
              </w:rPr>
            </w:pPr>
            <w:r>
              <w:rPr>
                <w:rFonts w:hint="eastAsia"/>
                <w:highlight w:val="none"/>
                <w:lang w:val="en-US" w:eastAsia="zh-CN"/>
              </w:rPr>
              <w:t>4</w:t>
            </w:r>
          </w:p>
        </w:tc>
        <w:tc>
          <w:tcPr>
            <w:tcW w:w="7821" w:type="dxa"/>
            <w:tcBorders>
              <w:tl2br w:val="nil"/>
              <w:tr2bl w:val="nil"/>
            </w:tcBorders>
            <w:noWrap w:val="0"/>
            <w:vAlign w:val="center"/>
          </w:tcPr>
          <w:p w14:paraId="1E456B82">
            <w:pPr>
              <w:pStyle w:val="105"/>
              <w:bidi w:val="0"/>
              <w:rPr>
                <w:rFonts w:hint="default"/>
                <w:highlight w:val="none"/>
                <w:lang w:val="en-US" w:eastAsia="zh-CN"/>
              </w:rPr>
            </w:pPr>
            <w:r>
              <w:rPr>
                <w:rFonts w:hint="eastAsia"/>
                <w:highlight w:val="none"/>
                <w:lang w:val="en-US" w:eastAsia="zh-CN"/>
              </w:rPr>
              <w:t>塔机处悬挂限载标志牌、安全警示牌、操作规程牌、验收合格牌、定人定机牌。</w:t>
            </w:r>
          </w:p>
        </w:tc>
      </w:tr>
      <w:tr w14:paraId="10332A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95D2F60">
            <w:pPr>
              <w:pStyle w:val="105"/>
              <w:bidi w:val="0"/>
              <w:rPr>
                <w:rFonts w:hint="eastAsia"/>
                <w:highlight w:val="none"/>
                <w:lang w:val="en-US" w:eastAsia="zh-CN"/>
              </w:rPr>
            </w:pPr>
            <w:r>
              <w:rPr>
                <w:rFonts w:hint="eastAsia"/>
                <w:highlight w:val="none"/>
                <w:lang w:val="en-US" w:eastAsia="zh-CN"/>
              </w:rPr>
              <w:t>5</w:t>
            </w:r>
          </w:p>
        </w:tc>
        <w:tc>
          <w:tcPr>
            <w:tcW w:w="7821" w:type="dxa"/>
            <w:tcBorders>
              <w:tl2br w:val="nil"/>
              <w:tr2bl w:val="nil"/>
            </w:tcBorders>
            <w:noWrap w:val="0"/>
            <w:vAlign w:val="center"/>
          </w:tcPr>
          <w:p w14:paraId="1593D1B0">
            <w:pPr>
              <w:pStyle w:val="105"/>
              <w:bidi w:val="0"/>
              <w:rPr>
                <w:rFonts w:hint="eastAsia"/>
                <w:highlight w:val="none"/>
                <w:lang w:val="en-US" w:eastAsia="zh-CN"/>
              </w:rPr>
            </w:pPr>
            <w:r>
              <w:rPr>
                <w:rFonts w:hint="eastAsia"/>
                <w:highlight w:val="none"/>
                <w:lang w:val="en-US" w:eastAsia="zh-CN"/>
              </w:rPr>
              <w:t>起重吊装及起重机械设备、设施安装，过程中各工序、节点的验收标准和验收条件</w:t>
            </w:r>
          </w:p>
        </w:tc>
      </w:tr>
      <w:tr w14:paraId="392B5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256405B">
            <w:pPr>
              <w:pStyle w:val="105"/>
              <w:bidi w:val="0"/>
              <w:rPr>
                <w:rFonts w:hint="default"/>
                <w:highlight w:val="none"/>
                <w:lang w:val="en-US" w:eastAsia="zh-CN"/>
              </w:rPr>
            </w:pPr>
            <w:r>
              <w:rPr>
                <w:rFonts w:hint="eastAsia"/>
                <w:highlight w:val="none"/>
                <w:lang w:val="en-US" w:eastAsia="zh-CN"/>
              </w:rPr>
              <w:t>6</w:t>
            </w:r>
          </w:p>
        </w:tc>
        <w:tc>
          <w:tcPr>
            <w:tcW w:w="7821" w:type="dxa"/>
            <w:tcBorders>
              <w:tl2br w:val="nil"/>
              <w:tr2bl w:val="nil"/>
            </w:tcBorders>
            <w:noWrap w:val="0"/>
            <w:vAlign w:val="center"/>
          </w:tcPr>
          <w:p w14:paraId="3E77B42C">
            <w:pPr>
              <w:pStyle w:val="105"/>
              <w:bidi w:val="0"/>
              <w:rPr>
                <w:rFonts w:hint="eastAsia"/>
                <w:highlight w:val="none"/>
                <w:lang w:val="en-US" w:eastAsia="zh-CN"/>
              </w:rPr>
            </w:pPr>
            <w:r>
              <w:rPr>
                <w:rFonts w:hint="eastAsia"/>
                <w:highlight w:val="none"/>
                <w:lang w:val="en-US" w:eastAsia="zh-CN"/>
              </w:rPr>
              <w:t>进场材料、机械设备、设施验收标准及验收表</w:t>
            </w:r>
          </w:p>
        </w:tc>
      </w:tr>
      <w:tr w14:paraId="0E7DE8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C025A0E">
            <w:pPr>
              <w:pStyle w:val="105"/>
              <w:bidi w:val="0"/>
              <w:rPr>
                <w:rFonts w:hint="default"/>
                <w:highlight w:val="none"/>
                <w:lang w:val="en-US" w:eastAsia="zh-CN"/>
              </w:rPr>
            </w:pPr>
            <w:r>
              <w:rPr>
                <w:rFonts w:hint="eastAsia"/>
                <w:highlight w:val="none"/>
                <w:lang w:val="en-US" w:eastAsia="zh-CN"/>
              </w:rPr>
              <w:t>7</w:t>
            </w:r>
          </w:p>
        </w:tc>
        <w:tc>
          <w:tcPr>
            <w:tcW w:w="7821" w:type="dxa"/>
            <w:tcBorders>
              <w:tl2br w:val="nil"/>
              <w:tr2bl w:val="nil"/>
            </w:tcBorders>
            <w:noWrap w:val="0"/>
            <w:vAlign w:val="center"/>
          </w:tcPr>
          <w:p w14:paraId="2BF185DC">
            <w:pPr>
              <w:pStyle w:val="105"/>
              <w:bidi w:val="0"/>
              <w:rPr>
                <w:rFonts w:hint="default"/>
                <w:highlight w:val="none"/>
                <w:lang w:val="en-US" w:eastAsia="zh-CN"/>
              </w:rPr>
            </w:pPr>
            <w:r>
              <w:rPr>
                <w:rFonts w:hint="eastAsia"/>
                <w:highlight w:val="none"/>
                <w:lang w:val="en-US" w:eastAsia="zh-CN"/>
              </w:rPr>
              <w:t>吊装与拆卸作业全过程安全技术控制的关键环节验收</w:t>
            </w:r>
          </w:p>
        </w:tc>
      </w:tr>
      <w:tr w14:paraId="6A6106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20E6ED">
            <w:pPr>
              <w:pStyle w:val="105"/>
              <w:bidi w:val="0"/>
              <w:rPr>
                <w:rFonts w:hint="default"/>
                <w:highlight w:val="none"/>
                <w:lang w:val="en-US" w:eastAsia="zh-CN"/>
              </w:rPr>
            </w:pPr>
            <w:r>
              <w:rPr>
                <w:rFonts w:hint="eastAsia"/>
                <w:highlight w:val="none"/>
                <w:lang w:val="en-US" w:eastAsia="zh-CN"/>
              </w:rPr>
              <w:t>8</w:t>
            </w:r>
          </w:p>
        </w:tc>
        <w:tc>
          <w:tcPr>
            <w:tcW w:w="7821" w:type="dxa"/>
            <w:tcBorders>
              <w:tl2br w:val="nil"/>
              <w:tr2bl w:val="nil"/>
            </w:tcBorders>
            <w:noWrap w:val="0"/>
            <w:vAlign w:val="center"/>
          </w:tcPr>
          <w:p w14:paraId="7B1B5CEC">
            <w:pPr>
              <w:pStyle w:val="105"/>
              <w:bidi w:val="0"/>
              <w:rPr>
                <w:rFonts w:hint="default"/>
                <w:highlight w:val="none"/>
                <w:lang w:val="en-US" w:eastAsia="zh-CN"/>
              </w:rPr>
            </w:pPr>
            <w:r>
              <w:rPr>
                <w:rFonts w:hint="eastAsia"/>
                <w:highlight w:val="none"/>
                <w:lang w:val="en-US" w:eastAsia="zh-CN"/>
              </w:rPr>
              <w:t>汽车吊摆放位置基础承载力满足要求</w:t>
            </w:r>
          </w:p>
        </w:tc>
      </w:tr>
      <w:tr w14:paraId="55C49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1F80A89D">
            <w:pPr>
              <w:pStyle w:val="105"/>
              <w:bidi w:val="0"/>
              <w:rPr>
                <w:rFonts w:hint="default"/>
                <w:highlight w:val="none"/>
                <w:lang w:val="en-US" w:eastAsia="zh-CN"/>
              </w:rPr>
            </w:pPr>
            <w:r>
              <w:rPr>
                <w:rFonts w:hint="eastAsia"/>
                <w:highlight w:val="none"/>
                <w:lang w:val="en-US" w:eastAsia="zh-CN"/>
              </w:rPr>
              <w:t>9</w:t>
            </w:r>
          </w:p>
        </w:tc>
        <w:tc>
          <w:tcPr>
            <w:tcW w:w="7821" w:type="dxa"/>
            <w:tcBorders>
              <w:tl2br w:val="nil"/>
              <w:tr2bl w:val="nil"/>
            </w:tcBorders>
            <w:noWrap w:val="0"/>
            <w:vAlign w:val="center"/>
          </w:tcPr>
          <w:p w14:paraId="2D660F46">
            <w:pPr>
              <w:pStyle w:val="105"/>
              <w:bidi w:val="0"/>
              <w:rPr>
                <w:rFonts w:hint="default"/>
                <w:highlight w:val="none"/>
                <w:lang w:val="en-US" w:eastAsia="zh-CN"/>
              </w:rPr>
            </w:pPr>
            <w:r>
              <w:rPr>
                <w:rFonts w:hint="eastAsia"/>
                <w:highlight w:val="none"/>
                <w:lang w:val="en-US" w:eastAsia="zh-CN"/>
              </w:rPr>
              <w:t>汽车吊起重性能满足要求</w:t>
            </w:r>
          </w:p>
        </w:tc>
      </w:tr>
      <w:tr w14:paraId="341DA39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659F308">
            <w:pPr>
              <w:pStyle w:val="105"/>
              <w:bidi w:val="0"/>
              <w:rPr>
                <w:rFonts w:hint="default"/>
                <w:highlight w:val="none"/>
                <w:lang w:val="en-US" w:eastAsia="zh-CN"/>
              </w:rPr>
            </w:pPr>
            <w:r>
              <w:rPr>
                <w:rFonts w:hint="eastAsia"/>
                <w:highlight w:val="none"/>
                <w:lang w:val="en-US" w:eastAsia="zh-CN"/>
              </w:rPr>
              <w:t>10</w:t>
            </w:r>
          </w:p>
        </w:tc>
        <w:tc>
          <w:tcPr>
            <w:tcW w:w="7821" w:type="dxa"/>
            <w:tcBorders>
              <w:tl2br w:val="nil"/>
              <w:tr2bl w:val="nil"/>
            </w:tcBorders>
            <w:noWrap w:val="0"/>
            <w:vAlign w:val="center"/>
          </w:tcPr>
          <w:p w14:paraId="7E19B736">
            <w:pPr>
              <w:pStyle w:val="105"/>
              <w:bidi w:val="0"/>
              <w:rPr>
                <w:rFonts w:hint="default"/>
                <w:highlight w:val="none"/>
                <w:lang w:val="en-US" w:eastAsia="zh-CN"/>
              </w:rPr>
            </w:pPr>
            <w:r>
              <w:rPr>
                <w:rFonts w:hint="eastAsia"/>
                <w:highlight w:val="none"/>
                <w:lang w:val="en-US" w:eastAsia="zh-CN"/>
              </w:rPr>
              <w:t>吊、索、卡、具完好，被吊物重心已确认</w:t>
            </w:r>
          </w:p>
        </w:tc>
      </w:tr>
      <w:tr w14:paraId="7D8DE6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F2F29E">
            <w:pPr>
              <w:pStyle w:val="105"/>
              <w:bidi w:val="0"/>
              <w:rPr>
                <w:rFonts w:hint="default"/>
                <w:highlight w:val="none"/>
                <w:lang w:val="en-US" w:eastAsia="zh-CN"/>
              </w:rPr>
            </w:pPr>
            <w:r>
              <w:rPr>
                <w:rFonts w:hint="eastAsia"/>
                <w:highlight w:val="none"/>
                <w:lang w:val="en-US" w:eastAsia="zh-CN"/>
              </w:rPr>
              <w:t>11</w:t>
            </w:r>
          </w:p>
        </w:tc>
        <w:tc>
          <w:tcPr>
            <w:tcW w:w="7821" w:type="dxa"/>
            <w:tcBorders>
              <w:tl2br w:val="nil"/>
              <w:tr2bl w:val="nil"/>
            </w:tcBorders>
            <w:noWrap w:val="0"/>
            <w:vAlign w:val="center"/>
          </w:tcPr>
          <w:p w14:paraId="356304BD">
            <w:pPr>
              <w:pStyle w:val="105"/>
              <w:bidi w:val="0"/>
              <w:rPr>
                <w:rFonts w:hint="eastAsia"/>
                <w:highlight w:val="none"/>
                <w:lang w:val="en-US" w:eastAsia="zh-CN"/>
              </w:rPr>
            </w:pPr>
            <w:r>
              <w:rPr>
                <w:rFonts w:hint="eastAsia"/>
                <w:highlight w:val="none"/>
                <w:lang w:val="en-US" w:eastAsia="zh-CN"/>
              </w:rPr>
              <w:t>各结构件焊缝强度满足设计要求</w:t>
            </w:r>
          </w:p>
        </w:tc>
      </w:tr>
      <w:tr w14:paraId="00333C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6D083E7">
            <w:pPr>
              <w:pStyle w:val="105"/>
              <w:bidi w:val="0"/>
              <w:rPr>
                <w:rFonts w:hint="default"/>
                <w:highlight w:val="none"/>
                <w:lang w:val="en-US" w:eastAsia="zh-CN"/>
              </w:rPr>
            </w:pPr>
            <w:r>
              <w:rPr>
                <w:rFonts w:hint="eastAsia"/>
                <w:highlight w:val="none"/>
                <w:lang w:val="en-US" w:eastAsia="zh-CN"/>
              </w:rPr>
              <w:t>12</w:t>
            </w:r>
          </w:p>
        </w:tc>
        <w:tc>
          <w:tcPr>
            <w:tcW w:w="7821" w:type="dxa"/>
            <w:tcBorders>
              <w:tl2br w:val="nil"/>
              <w:tr2bl w:val="nil"/>
            </w:tcBorders>
            <w:noWrap w:val="0"/>
            <w:vAlign w:val="center"/>
          </w:tcPr>
          <w:p w14:paraId="6C2FFA0E">
            <w:pPr>
              <w:pStyle w:val="105"/>
              <w:bidi w:val="0"/>
              <w:rPr>
                <w:rFonts w:hint="eastAsia"/>
                <w:highlight w:val="none"/>
                <w:lang w:val="en-US" w:eastAsia="zh-CN"/>
              </w:rPr>
            </w:pPr>
            <w:r>
              <w:rPr>
                <w:rFonts w:hint="eastAsia"/>
                <w:highlight w:val="none"/>
                <w:lang w:val="en-US" w:eastAsia="zh-CN"/>
              </w:rPr>
              <w:t>吊运轨迹正确，信号指挥方式确定</w:t>
            </w:r>
          </w:p>
        </w:tc>
      </w:tr>
    </w:tbl>
    <w:p w14:paraId="220C6F80">
      <w:pPr>
        <w:pStyle w:val="15"/>
        <w:bidi w:val="0"/>
        <w:rPr>
          <w:rFonts w:hint="default"/>
          <w:highlight w:val="none"/>
          <w:lang w:val="en-US" w:eastAsia="zh-CN"/>
        </w:rPr>
      </w:pPr>
      <w:r>
        <w:rPr>
          <w:rFonts w:hint="eastAsia"/>
          <w:highlight w:val="none"/>
          <w:lang w:val="en-US" w:eastAsia="zh-CN"/>
        </w:rPr>
        <w:t>表8.3-2</w:t>
      </w:r>
      <w:r>
        <w:rPr>
          <w:rFonts w:hint="default"/>
          <w:highlight w:val="none"/>
          <w:lang w:val="en-US" w:eastAsia="zh-CN"/>
        </w:rPr>
        <w:t>塔式起重机基础整体验收表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97"/>
        <w:gridCol w:w="6160"/>
        <w:gridCol w:w="1647"/>
      </w:tblGrid>
      <w:tr w14:paraId="1AFCF88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shd w:val="clear" w:color="auto" w:fill="DAE3F3" w:themeFill="accent5" w:themeFillTint="32"/>
            <w:noWrap w:val="0"/>
            <w:vAlign w:val="center"/>
          </w:tcPr>
          <w:p w14:paraId="6B954C1A">
            <w:pPr>
              <w:pStyle w:val="105"/>
              <w:bidi w:val="0"/>
              <w:rPr>
                <w:rFonts w:hint="default"/>
                <w:highlight w:val="none"/>
                <w:lang w:val="en-US" w:eastAsia="zh-CN"/>
              </w:rPr>
            </w:pPr>
            <w:r>
              <w:rPr>
                <w:rFonts w:hint="default"/>
                <w:highlight w:val="none"/>
                <w:lang w:val="en-US" w:eastAsia="zh-CN"/>
              </w:rPr>
              <w:t>序号</w:t>
            </w:r>
          </w:p>
        </w:tc>
        <w:tc>
          <w:tcPr>
            <w:tcW w:w="6160" w:type="dxa"/>
            <w:tcBorders>
              <w:tl2br w:val="nil"/>
              <w:tr2bl w:val="nil"/>
            </w:tcBorders>
            <w:shd w:val="clear" w:color="auto" w:fill="DAE3F3" w:themeFill="accent5" w:themeFillTint="32"/>
            <w:noWrap w:val="0"/>
            <w:vAlign w:val="center"/>
          </w:tcPr>
          <w:p w14:paraId="202DB14C">
            <w:pPr>
              <w:pStyle w:val="105"/>
              <w:bidi w:val="0"/>
              <w:rPr>
                <w:rFonts w:hint="default"/>
                <w:highlight w:val="none"/>
                <w:lang w:val="en-US" w:eastAsia="zh-CN"/>
              </w:rPr>
            </w:pPr>
            <w:r>
              <w:rPr>
                <w:rFonts w:hint="default"/>
                <w:highlight w:val="none"/>
                <w:lang w:val="en-US" w:eastAsia="zh-CN"/>
              </w:rPr>
              <w:t>安全技术要求</w:t>
            </w:r>
          </w:p>
        </w:tc>
        <w:tc>
          <w:tcPr>
            <w:tcW w:w="1647" w:type="dxa"/>
            <w:tcBorders>
              <w:tl2br w:val="nil"/>
              <w:tr2bl w:val="nil"/>
            </w:tcBorders>
            <w:shd w:val="clear" w:color="auto" w:fill="DAE3F3" w:themeFill="accent5" w:themeFillTint="32"/>
            <w:noWrap w:val="0"/>
            <w:vAlign w:val="center"/>
          </w:tcPr>
          <w:p w14:paraId="247CC425">
            <w:pPr>
              <w:pStyle w:val="105"/>
              <w:bidi w:val="0"/>
              <w:rPr>
                <w:rFonts w:hint="default"/>
                <w:highlight w:val="none"/>
                <w:lang w:val="en-US" w:eastAsia="zh-CN"/>
              </w:rPr>
            </w:pPr>
            <w:r>
              <w:rPr>
                <w:rFonts w:hint="default"/>
                <w:highlight w:val="none"/>
                <w:lang w:val="en-US" w:eastAsia="zh-CN"/>
              </w:rPr>
              <w:t>验收结果</w:t>
            </w:r>
          </w:p>
        </w:tc>
      </w:tr>
      <w:tr w14:paraId="458B59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07E5043">
            <w:pPr>
              <w:pStyle w:val="105"/>
              <w:bidi w:val="0"/>
              <w:rPr>
                <w:rFonts w:hint="default"/>
                <w:highlight w:val="none"/>
                <w:lang w:val="en-US" w:eastAsia="zh-CN"/>
              </w:rPr>
            </w:pPr>
            <w:r>
              <w:rPr>
                <w:rFonts w:hint="default"/>
                <w:highlight w:val="none"/>
                <w:lang w:val="en-US" w:eastAsia="zh-CN"/>
              </w:rPr>
              <w:t>1</w:t>
            </w:r>
          </w:p>
        </w:tc>
        <w:tc>
          <w:tcPr>
            <w:tcW w:w="6160" w:type="dxa"/>
            <w:tcBorders>
              <w:tl2br w:val="nil"/>
              <w:tr2bl w:val="nil"/>
            </w:tcBorders>
            <w:noWrap w:val="0"/>
            <w:vAlign w:val="center"/>
          </w:tcPr>
          <w:p w14:paraId="7D5713DA">
            <w:pPr>
              <w:pStyle w:val="105"/>
              <w:bidi w:val="0"/>
              <w:rPr>
                <w:rFonts w:hint="default"/>
                <w:highlight w:val="none"/>
                <w:lang w:val="en-US" w:eastAsia="zh-CN"/>
              </w:rPr>
            </w:pPr>
            <w:r>
              <w:rPr>
                <w:rFonts w:hint="default"/>
                <w:highlight w:val="none"/>
                <w:lang w:val="en-US" w:eastAsia="zh-CN"/>
              </w:rPr>
              <w:t>地基承载力应满足说明书要求，基础原材料符合相关标准要求，并做材料性能检验及隐蔽工程验收。</w:t>
            </w:r>
          </w:p>
        </w:tc>
        <w:tc>
          <w:tcPr>
            <w:tcW w:w="1647" w:type="dxa"/>
            <w:tcBorders>
              <w:tl2br w:val="nil"/>
              <w:tr2bl w:val="nil"/>
            </w:tcBorders>
            <w:noWrap w:val="0"/>
            <w:vAlign w:val="center"/>
          </w:tcPr>
          <w:p w14:paraId="1DDA75C0">
            <w:pPr>
              <w:pStyle w:val="105"/>
              <w:bidi w:val="0"/>
              <w:rPr>
                <w:rFonts w:hint="default"/>
                <w:highlight w:val="none"/>
                <w:lang w:val="en-US" w:eastAsia="zh-CN"/>
              </w:rPr>
            </w:pPr>
          </w:p>
        </w:tc>
      </w:tr>
      <w:tr w14:paraId="5AAC008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8EB1F61">
            <w:pPr>
              <w:pStyle w:val="105"/>
              <w:bidi w:val="0"/>
              <w:rPr>
                <w:rFonts w:hint="default"/>
                <w:highlight w:val="none"/>
                <w:lang w:val="en-US" w:eastAsia="zh-CN"/>
              </w:rPr>
            </w:pPr>
            <w:r>
              <w:rPr>
                <w:rFonts w:hint="default"/>
                <w:highlight w:val="none"/>
                <w:lang w:val="en-US" w:eastAsia="zh-CN"/>
              </w:rPr>
              <w:t>2</w:t>
            </w:r>
          </w:p>
        </w:tc>
        <w:tc>
          <w:tcPr>
            <w:tcW w:w="6160" w:type="dxa"/>
            <w:tcBorders>
              <w:tl2br w:val="nil"/>
              <w:tr2bl w:val="nil"/>
            </w:tcBorders>
            <w:noWrap w:val="0"/>
            <w:vAlign w:val="center"/>
          </w:tcPr>
          <w:p w14:paraId="6257C024">
            <w:pPr>
              <w:pStyle w:val="105"/>
              <w:bidi w:val="0"/>
              <w:rPr>
                <w:rFonts w:hint="default"/>
                <w:highlight w:val="none"/>
                <w:lang w:val="en-US" w:eastAsia="zh-CN"/>
              </w:rPr>
            </w:pPr>
            <w:r>
              <w:rPr>
                <w:rFonts w:hint="default"/>
                <w:highlight w:val="none"/>
                <w:lang w:val="en-US" w:eastAsia="zh-CN"/>
              </w:rPr>
              <w:t>基础尺寸偏差（长度、宽度、高度）≤±20mm。</w:t>
            </w:r>
          </w:p>
        </w:tc>
        <w:tc>
          <w:tcPr>
            <w:tcW w:w="1647" w:type="dxa"/>
            <w:tcBorders>
              <w:tl2br w:val="nil"/>
              <w:tr2bl w:val="nil"/>
            </w:tcBorders>
            <w:noWrap w:val="0"/>
            <w:vAlign w:val="center"/>
          </w:tcPr>
          <w:p w14:paraId="33C30881">
            <w:pPr>
              <w:pStyle w:val="105"/>
              <w:bidi w:val="0"/>
              <w:rPr>
                <w:rFonts w:hint="default"/>
                <w:highlight w:val="none"/>
                <w:lang w:val="en-US" w:eastAsia="zh-CN"/>
              </w:rPr>
            </w:pPr>
          </w:p>
        </w:tc>
      </w:tr>
      <w:tr w14:paraId="2F1A40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12172440">
            <w:pPr>
              <w:pStyle w:val="105"/>
              <w:bidi w:val="0"/>
              <w:rPr>
                <w:rFonts w:hint="default"/>
                <w:highlight w:val="none"/>
                <w:lang w:val="en-US" w:eastAsia="zh-CN"/>
              </w:rPr>
            </w:pPr>
            <w:r>
              <w:rPr>
                <w:rFonts w:hint="default"/>
                <w:highlight w:val="none"/>
                <w:lang w:val="en-US" w:eastAsia="zh-CN"/>
              </w:rPr>
              <w:t>3</w:t>
            </w:r>
          </w:p>
        </w:tc>
        <w:tc>
          <w:tcPr>
            <w:tcW w:w="6160" w:type="dxa"/>
            <w:tcBorders>
              <w:tl2br w:val="nil"/>
              <w:tr2bl w:val="nil"/>
            </w:tcBorders>
            <w:noWrap w:val="0"/>
            <w:vAlign w:val="center"/>
          </w:tcPr>
          <w:p w14:paraId="338F2AFA">
            <w:pPr>
              <w:pStyle w:val="105"/>
              <w:bidi w:val="0"/>
              <w:rPr>
                <w:rFonts w:hint="default"/>
                <w:highlight w:val="none"/>
                <w:lang w:val="en-US" w:eastAsia="zh-CN"/>
              </w:rPr>
            </w:pPr>
            <w:r>
              <w:rPr>
                <w:rFonts w:hint="default"/>
                <w:highlight w:val="none"/>
                <w:lang w:val="en-US" w:eastAsia="zh-CN"/>
              </w:rPr>
              <w:t>混凝土强度达到设计强度80%以上时方可安装、达到设计强度100%以上时方可使用塔式起重机（查验基础混凝土同期强度报告确定）</w:t>
            </w:r>
          </w:p>
        </w:tc>
        <w:tc>
          <w:tcPr>
            <w:tcW w:w="1647" w:type="dxa"/>
            <w:tcBorders>
              <w:tl2br w:val="nil"/>
              <w:tr2bl w:val="nil"/>
            </w:tcBorders>
            <w:noWrap w:val="0"/>
            <w:vAlign w:val="center"/>
          </w:tcPr>
          <w:p w14:paraId="2AAA70F1">
            <w:pPr>
              <w:pStyle w:val="105"/>
              <w:bidi w:val="0"/>
              <w:rPr>
                <w:rFonts w:hint="default"/>
                <w:highlight w:val="none"/>
                <w:lang w:val="en-US" w:eastAsia="zh-CN"/>
              </w:rPr>
            </w:pPr>
          </w:p>
        </w:tc>
      </w:tr>
      <w:tr w14:paraId="154CCB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6A3E127">
            <w:pPr>
              <w:pStyle w:val="105"/>
              <w:bidi w:val="0"/>
              <w:rPr>
                <w:rFonts w:hint="default"/>
                <w:highlight w:val="none"/>
                <w:lang w:val="en-US" w:eastAsia="zh-CN"/>
              </w:rPr>
            </w:pPr>
            <w:r>
              <w:rPr>
                <w:rFonts w:hint="default"/>
                <w:highlight w:val="none"/>
                <w:lang w:val="en-US" w:eastAsia="zh-CN"/>
              </w:rPr>
              <w:t>4</w:t>
            </w:r>
          </w:p>
        </w:tc>
        <w:tc>
          <w:tcPr>
            <w:tcW w:w="6160" w:type="dxa"/>
            <w:tcBorders>
              <w:tl2br w:val="nil"/>
              <w:tr2bl w:val="nil"/>
            </w:tcBorders>
            <w:noWrap w:val="0"/>
            <w:vAlign w:val="center"/>
          </w:tcPr>
          <w:p w14:paraId="69548AE6">
            <w:pPr>
              <w:pStyle w:val="105"/>
              <w:bidi w:val="0"/>
              <w:rPr>
                <w:rFonts w:hint="default"/>
                <w:highlight w:val="none"/>
                <w:lang w:val="en-US" w:eastAsia="zh-CN"/>
              </w:rPr>
            </w:pPr>
            <w:r>
              <w:rPr>
                <w:rFonts w:hint="default"/>
                <w:highlight w:val="none"/>
                <w:lang w:val="en-US" w:eastAsia="zh-CN"/>
              </w:rPr>
              <w:t>基础表面平整度允许偏差≤L/1000mm，且≤10mm（L为矩形或十字形基础的长边）。</w:t>
            </w:r>
          </w:p>
        </w:tc>
        <w:tc>
          <w:tcPr>
            <w:tcW w:w="1647" w:type="dxa"/>
            <w:tcBorders>
              <w:tl2br w:val="nil"/>
              <w:tr2bl w:val="nil"/>
            </w:tcBorders>
            <w:noWrap w:val="0"/>
            <w:vAlign w:val="center"/>
          </w:tcPr>
          <w:p w14:paraId="30450DB5">
            <w:pPr>
              <w:pStyle w:val="105"/>
              <w:bidi w:val="0"/>
              <w:rPr>
                <w:rFonts w:hint="default"/>
                <w:highlight w:val="none"/>
                <w:lang w:val="en-US" w:eastAsia="zh-CN"/>
              </w:rPr>
            </w:pPr>
          </w:p>
        </w:tc>
      </w:tr>
      <w:tr w14:paraId="24F380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45A554B">
            <w:pPr>
              <w:pStyle w:val="105"/>
              <w:bidi w:val="0"/>
              <w:rPr>
                <w:rFonts w:hint="default"/>
                <w:highlight w:val="none"/>
                <w:lang w:val="en-US" w:eastAsia="zh-CN"/>
              </w:rPr>
            </w:pPr>
            <w:r>
              <w:rPr>
                <w:rFonts w:hint="default"/>
                <w:highlight w:val="none"/>
                <w:lang w:val="en-US" w:eastAsia="zh-CN"/>
              </w:rPr>
              <w:t>5</w:t>
            </w:r>
          </w:p>
        </w:tc>
        <w:tc>
          <w:tcPr>
            <w:tcW w:w="6160" w:type="dxa"/>
            <w:tcBorders>
              <w:tl2br w:val="nil"/>
              <w:tr2bl w:val="nil"/>
            </w:tcBorders>
            <w:noWrap w:val="0"/>
            <w:vAlign w:val="center"/>
          </w:tcPr>
          <w:p w14:paraId="3111C412">
            <w:pPr>
              <w:pStyle w:val="105"/>
              <w:bidi w:val="0"/>
              <w:rPr>
                <w:rFonts w:hint="default"/>
                <w:highlight w:val="none"/>
                <w:lang w:val="en-US" w:eastAsia="zh-CN"/>
              </w:rPr>
            </w:pPr>
            <w:r>
              <w:rPr>
                <w:rFonts w:hint="default"/>
                <w:highlight w:val="none"/>
                <w:lang w:val="en-US" w:eastAsia="zh-CN"/>
              </w:rPr>
              <w:t>基础顶面标高偏差≤±20mm。</w:t>
            </w:r>
          </w:p>
        </w:tc>
        <w:tc>
          <w:tcPr>
            <w:tcW w:w="1647" w:type="dxa"/>
            <w:tcBorders>
              <w:tl2br w:val="nil"/>
              <w:tr2bl w:val="nil"/>
            </w:tcBorders>
            <w:noWrap w:val="0"/>
            <w:vAlign w:val="center"/>
          </w:tcPr>
          <w:p w14:paraId="10E264DA">
            <w:pPr>
              <w:pStyle w:val="105"/>
              <w:bidi w:val="0"/>
              <w:rPr>
                <w:rFonts w:hint="default"/>
                <w:highlight w:val="none"/>
                <w:lang w:val="en-US" w:eastAsia="zh-CN"/>
              </w:rPr>
            </w:pPr>
          </w:p>
        </w:tc>
      </w:tr>
      <w:tr w14:paraId="78C186E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E2D525E">
            <w:pPr>
              <w:pStyle w:val="105"/>
              <w:bidi w:val="0"/>
              <w:rPr>
                <w:rFonts w:hint="default"/>
                <w:highlight w:val="none"/>
                <w:lang w:val="en-US" w:eastAsia="zh-CN"/>
              </w:rPr>
            </w:pPr>
            <w:r>
              <w:rPr>
                <w:rFonts w:hint="default"/>
                <w:highlight w:val="none"/>
                <w:lang w:val="en-US" w:eastAsia="zh-CN"/>
              </w:rPr>
              <w:t>6</w:t>
            </w:r>
          </w:p>
        </w:tc>
        <w:tc>
          <w:tcPr>
            <w:tcW w:w="6160" w:type="dxa"/>
            <w:tcBorders>
              <w:tl2br w:val="nil"/>
              <w:tr2bl w:val="nil"/>
            </w:tcBorders>
            <w:noWrap w:val="0"/>
            <w:vAlign w:val="center"/>
          </w:tcPr>
          <w:p w14:paraId="2A5EA75B">
            <w:pPr>
              <w:pStyle w:val="105"/>
              <w:bidi w:val="0"/>
              <w:rPr>
                <w:rFonts w:hint="default"/>
                <w:highlight w:val="none"/>
                <w:lang w:val="en-US" w:eastAsia="zh-CN"/>
              </w:rPr>
            </w:pPr>
            <w:r>
              <w:rPr>
                <w:rFonts w:hint="default"/>
                <w:highlight w:val="none"/>
                <w:lang w:val="en-US" w:eastAsia="zh-CN"/>
              </w:rPr>
              <w:t>预埋螺栓、预埋件顶部标高偏差≤±20mm。</w:t>
            </w:r>
          </w:p>
        </w:tc>
        <w:tc>
          <w:tcPr>
            <w:tcW w:w="1647" w:type="dxa"/>
            <w:tcBorders>
              <w:tl2br w:val="nil"/>
              <w:tr2bl w:val="nil"/>
            </w:tcBorders>
            <w:noWrap w:val="0"/>
            <w:vAlign w:val="center"/>
          </w:tcPr>
          <w:p w14:paraId="091B3B1E">
            <w:pPr>
              <w:pStyle w:val="105"/>
              <w:bidi w:val="0"/>
              <w:rPr>
                <w:rFonts w:hint="default"/>
                <w:highlight w:val="none"/>
                <w:lang w:val="en-US" w:eastAsia="zh-CN"/>
              </w:rPr>
            </w:pPr>
          </w:p>
        </w:tc>
      </w:tr>
      <w:tr w14:paraId="2F7332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7C4BC33">
            <w:pPr>
              <w:pStyle w:val="105"/>
              <w:bidi w:val="0"/>
              <w:rPr>
                <w:rFonts w:hint="default"/>
                <w:highlight w:val="none"/>
                <w:lang w:val="en-US" w:eastAsia="zh-CN"/>
              </w:rPr>
            </w:pPr>
            <w:r>
              <w:rPr>
                <w:rFonts w:hint="default"/>
                <w:highlight w:val="none"/>
                <w:lang w:val="en-US" w:eastAsia="zh-CN"/>
              </w:rPr>
              <w:t>7</w:t>
            </w:r>
          </w:p>
        </w:tc>
        <w:tc>
          <w:tcPr>
            <w:tcW w:w="6160" w:type="dxa"/>
            <w:tcBorders>
              <w:tl2br w:val="nil"/>
              <w:tr2bl w:val="nil"/>
            </w:tcBorders>
            <w:noWrap w:val="0"/>
            <w:vAlign w:val="center"/>
          </w:tcPr>
          <w:p w14:paraId="6E8C71D7">
            <w:pPr>
              <w:pStyle w:val="105"/>
              <w:bidi w:val="0"/>
              <w:rPr>
                <w:rFonts w:hint="default"/>
                <w:highlight w:val="none"/>
                <w:lang w:val="en-US" w:eastAsia="zh-CN"/>
              </w:rPr>
            </w:pPr>
            <w:r>
              <w:rPr>
                <w:rFonts w:hint="default"/>
                <w:highlight w:val="none"/>
                <w:lang w:val="en-US" w:eastAsia="zh-CN"/>
              </w:rPr>
              <w:t>预埋螺栓、预埋件中心距偏差≤±2mm。</w:t>
            </w:r>
          </w:p>
        </w:tc>
        <w:tc>
          <w:tcPr>
            <w:tcW w:w="1647" w:type="dxa"/>
            <w:tcBorders>
              <w:tl2br w:val="nil"/>
              <w:tr2bl w:val="nil"/>
            </w:tcBorders>
            <w:noWrap w:val="0"/>
            <w:vAlign w:val="center"/>
          </w:tcPr>
          <w:p w14:paraId="73FB11A6">
            <w:pPr>
              <w:pStyle w:val="105"/>
              <w:bidi w:val="0"/>
              <w:rPr>
                <w:rFonts w:hint="default"/>
                <w:highlight w:val="none"/>
                <w:lang w:val="en-US" w:eastAsia="zh-CN"/>
              </w:rPr>
            </w:pPr>
          </w:p>
        </w:tc>
      </w:tr>
      <w:tr w14:paraId="0F5331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D07DA31">
            <w:pPr>
              <w:pStyle w:val="105"/>
              <w:bidi w:val="0"/>
              <w:rPr>
                <w:rFonts w:hint="default"/>
                <w:highlight w:val="none"/>
                <w:lang w:val="en-US" w:eastAsia="zh-CN"/>
              </w:rPr>
            </w:pPr>
            <w:r>
              <w:rPr>
                <w:rFonts w:hint="default"/>
                <w:highlight w:val="none"/>
                <w:lang w:val="en-US" w:eastAsia="zh-CN"/>
              </w:rPr>
              <w:t>8</w:t>
            </w:r>
          </w:p>
        </w:tc>
        <w:tc>
          <w:tcPr>
            <w:tcW w:w="6160" w:type="dxa"/>
            <w:tcBorders>
              <w:tl2br w:val="nil"/>
              <w:tr2bl w:val="nil"/>
            </w:tcBorders>
            <w:noWrap w:val="0"/>
            <w:vAlign w:val="center"/>
          </w:tcPr>
          <w:p w14:paraId="2AADA52A">
            <w:pPr>
              <w:pStyle w:val="105"/>
              <w:bidi w:val="0"/>
              <w:rPr>
                <w:rFonts w:hint="default"/>
                <w:highlight w:val="none"/>
                <w:lang w:val="en-US" w:eastAsia="zh-CN"/>
              </w:rPr>
            </w:pPr>
            <w:r>
              <w:rPr>
                <w:rFonts w:hint="default"/>
                <w:highlight w:val="none"/>
                <w:lang w:val="en-US" w:eastAsia="zh-CN"/>
              </w:rPr>
              <w:t>基础周边有排水措施。</w:t>
            </w:r>
          </w:p>
        </w:tc>
        <w:tc>
          <w:tcPr>
            <w:tcW w:w="1647" w:type="dxa"/>
            <w:tcBorders>
              <w:tl2br w:val="nil"/>
              <w:tr2bl w:val="nil"/>
            </w:tcBorders>
            <w:noWrap w:val="0"/>
            <w:vAlign w:val="center"/>
          </w:tcPr>
          <w:p w14:paraId="039994BD">
            <w:pPr>
              <w:pStyle w:val="105"/>
              <w:bidi w:val="0"/>
              <w:rPr>
                <w:rFonts w:hint="default"/>
                <w:highlight w:val="none"/>
                <w:lang w:val="en-US" w:eastAsia="zh-CN"/>
              </w:rPr>
            </w:pPr>
          </w:p>
        </w:tc>
      </w:tr>
      <w:tr w14:paraId="7B1DBAA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870C35C">
            <w:pPr>
              <w:pStyle w:val="105"/>
              <w:bidi w:val="0"/>
              <w:rPr>
                <w:rFonts w:hint="default"/>
                <w:highlight w:val="none"/>
                <w:lang w:val="en-US" w:eastAsia="zh-CN"/>
              </w:rPr>
            </w:pPr>
            <w:r>
              <w:rPr>
                <w:rFonts w:hint="default"/>
                <w:highlight w:val="none"/>
                <w:lang w:val="en-US" w:eastAsia="zh-CN"/>
              </w:rPr>
              <w:t>9</w:t>
            </w:r>
          </w:p>
        </w:tc>
        <w:tc>
          <w:tcPr>
            <w:tcW w:w="6160" w:type="dxa"/>
            <w:tcBorders>
              <w:tl2br w:val="nil"/>
              <w:tr2bl w:val="nil"/>
            </w:tcBorders>
            <w:noWrap w:val="0"/>
            <w:vAlign w:val="center"/>
          </w:tcPr>
          <w:p w14:paraId="380EA78C">
            <w:pPr>
              <w:pStyle w:val="105"/>
              <w:bidi w:val="0"/>
              <w:rPr>
                <w:rFonts w:hint="default"/>
                <w:highlight w:val="none"/>
                <w:lang w:val="en-US" w:eastAsia="zh-CN"/>
              </w:rPr>
            </w:pPr>
            <w:r>
              <w:rPr>
                <w:rFonts w:hint="default"/>
                <w:highlight w:val="none"/>
                <w:lang w:val="en-US" w:eastAsia="zh-CN"/>
              </w:rPr>
              <w:t>基础周边与外电线路安全距离符合JGJ46—2005规定。</w:t>
            </w:r>
          </w:p>
        </w:tc>
        <w:tc>
          <w:tcPr>
            <w:tcW w:w="1647" w:type="dxa"/>
            <w:tcBorders>
              <w:tl2br w:val="nil"/>
              <w:tr2bl w:val="nil"/>
            </w:tcBorders>
            <w:noWrap w:val="0"/>
            <w:vAlign w:val="center"/>
          </w:tcPr>
          <w:p w14:paraId="18DE7705">
            <w:pPr>
              <w:pStyle w:val="105"/>
              <w:bidi w:val="0"/>
              <w:rPr>
                <w:rFonts w:hint="default"/>
                <w:highlight w:val="none"/>
                <w:lang w:val="en-US" w:eastAsia="zh-CN"/>
              </w:rPr>
            </w:pPr>
          </w:p>
        </w:tc>
      </w:tr>
    </w:tbl>
    <w:p w14:paraId="17A14562">
      <w:pPr>
        <w:pStyle w:val="41"/>
        <w:bidi w:val="0"/>
        <w:rPr>
          <w:rFonts w:hint="default"/>
          <w:highlight w:val="none"/>
          <w:lang w:val="en-US" w:eastAsia="zh-CN"/>
        </w:rPr>
      </w:pPr>
      <w:bookmarkStart w:id="380" w:name="_Toc360722866"/>
      <w:r>
        <w:rPr>
          <w:highlight w:val="none"/>
        </w:rPr>
        <w:t>表</w:t>
      </w:r>
      <w:r>
        <w:rPr>
          <w:rFonts w:hint="eastAsia"/>
          <w:highlight w:val="none"/>
          <w:lang w:val="en-US" w:eastAsia="zh-CN"/>
        </w:rPr>
        <w:t>8.3-3</w:t>
      </w:r>
      <w:r>
        <w:rPr>
          <w:rFonts w:hint="default"/>
          <w:highlight w:val="none"/>
          <w:lang w:val="en-US" w:eastAsia="zh-CN"/>
        </w:rPr>
        <w:t>塔式起重机安装整体验收表</w:t>
      </w:r>
    </w:p>
    <w:bookmarkEnd w:id="380"/>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1"/>
        <w:gridCol w:w="513"/>
        <w:gridCol w:w="6041"/>
        <w:gridCol w:w="1229"/>
      </w:tblGrid>
      <w:tr w14:paraId="1B91D5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1" w:type="dxa"/>
            <w:tcBorders>
              <w:tl2br w:val="nil"/>
              <w:tr2bl w:val="nil"/>
            </w:tcBorders>
            <w:shd w:val="clear" w:color="auto" w:fill="DAE3F3" w:themeFill="accent5" w:themeFillTint="32"/>
            <w:noWrap w:val="0"/>
            <w:vAlign w:val="center"/>
          </w:tcPr>
          <w:p w14:paraId="002F6276">
            <w:pPr>
              <w:pStyle w:val="105"/>
              <w:bidi w:val="0"/>
              <w:rPr>
                <w:rFonts w:hint="default"/>
                <w:highlight w:val="none"/>
                <w:lang w:val="en-US" w:eastAsia="zh-CN"/>
              </w:rPr>
            </w:pPr>
            <w:r>
              <w:rPr>
                <w:rFonts w:hint="default"/>
                <w:highlight w:val="none"/>
                <w:lang w:val="en-US" w:eastAsia="zh-CN"/>
              </w:rPr>
              <w:t>验收项目</w:t>
            </w:r>
          </w:p>
        </w:tc>
        <w:tc>
          <w:tcPr>
            <w:tcW w:w="513" w:type="dxa"/>
            <w:tcBorders>
              <w:tl2br w:val="nil"/>
              <w:tr2bl w:val="nil"/>
            </w:tcBorders>
            <w:shd w:val="clear" w:color="auto" w:fill="DAE3F3" w:themeFill="accent5" w:themeFillTint="32"/>
            <w:noWrap w:val="0"/>
            <w:vAlign w:val="center"/>
          </w:tcPr>
          <w:p w14:paraId="63E3650F">
            <w:pPr>
              <w:pStyle w:val="105"/>
              <w:bidi w:val="0"/>
              <w:rPr>
                <w:rFonts w:hint="default"/>
                <w:highlight w:val="none"/>
                <w:lang w:val="en-US" w:eastAsia="zh-CN"/>
              </w:rPr>
            </w:pPr>
            <w:r>
              <w:rPr>
                <w:rFonts w:hint="default"/>
                <w:highlight w:val="none"/>
                <w:lang w:val="en-US" w:eastAsia="zh-CN"/>
              </w:rPr>
              <w:t>序号</w:t>
            </w:r>
          </w:p>
        </w:tc>
        <w:tc>
          <w:tcPr>
            <w:tcW w:w="6041" w:type="dxa"/>
            <w:tcBorders>
              <w:tl2br w:val="nil"/>
              <w:tr2bl w:val="nil"/>
            </w:tcBorders>
            <w:shd w:val="clear" w:color="auto" w:fill="DAE3F3" w:themeFill="accent5" w:themeFillTint="32"/>
            <w:noWrap w:val="0"/>
            <w:vAlign w:val="center"/>
          </w:tcPr>
          <w:p w14:paraId="11A66EB1">
            <w:pPr>
              <w:pStyle w:val="105"/>
              <w:bidi w:val="0"/>
              <w:rPr>
                <w:rFonts w:hint="default"/>
                <w:highlight w:val="none"/>
                <w:lang w:val="en-US" w:eastAsia="zh-CN"/>
              </w:rPr>
            </w:pPr>
            <w:r>
              <w:rPr>
                <w:rFonts w:hint="default"/>
                <w:highlight w:val="none"/>
                <w:lang w:val="en-US" w:eastAsia="zh-CN"/>
              </w:rPr>
              <w:t>安全技术要求</w:t>
            </w:r>
          </w:p>
        </w:tc>
        <w:tc>
          <w:tcPr>
            <w:tcW w:w="1229" w:type="dxa"/>
            <w:tcBorders>
              <w:tl2br w:val="nil"/>
              <w:tr2bl w:val="nil"/>
            </w:tcBorders>
            <w:shd w:val="clear" w:color="auto" w:fill="DAE3F3" w:themeFill="accent5" w:themeFillTint="32"/>
            <w:noWrap w:val="0"/>
            <w:vAlign w:val="center"/>
          </w:tcPr>
          <w:p w14:paraId="29F6822B">
            <w:pPr>
              <w:pStyle w:val="105"/>
              <w:bidi w:val="0"/>
              <w:rPr>
                <w:rFonts w:hint="default"/>
                <w:highlight w:val="none"/>
                <w:lang w:val="en-US" w:eastAsia="zh-CN"/>
              </w:rPr>
            </w:pPr>
            <w:r>
              <w:rPr>
                <w:rFonts w:hint="default"/>
                <w:highlight w:val="none"/>
                <w:lang w:val="en-US" w:eastAsia="zh-CN"/>
              </w:rPr>
              <w:t>验收结果</w:t>
            </w:r>
          </w:p>
        </w:tc>
      </w:tr>
      <w:tr w14:paraId="4A25BA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79AD772">
            <w:pPr>
              <w:pStyle w:val="105"/>
              <w:bidi w:val="0"/>
              <w:rPr>
                <w:rFonts w:hint="default"/>
                <w:highlight w:val="none"/>
                <w:lang w:val="en-US" w:eastAsia="zh-CN"/>
              </w:rPr>
            </w:pPr>
            <w:r>
              <w:rPr>
                <w:rFonts w:hint="default"/>
                <w:highlight w:val="none"/>
                <w:lang w:val="en-US" w:eastAsia="zh-CN"/>
              </w:rPr>
              <w:t>资料检查</w:t>
            </w:r>
          </w:p>
        </w:tc>
        <w:tc>
          <w:tcPr>
            <w:tcW w:w="513" w:type="dxa"/>
            <w:tcBorders>
              <w:tl2br w:val="nil"/>
              <w:tr2bl w:val="nil"/>
            </w:tcBorders>
            <w:noWrap w:val="0"/>
            <w:vAlign w:val="center"/>
          </w:tcPr>
          <w:p w14:paraId="5EB9A2A2">
            <w:pPr>
              <w:pStyle w:val="105"/>
              <w:bidi w:val="0"/>
              <w:rPr>
                <w:rFonts w:hint="default"/>
                <w:highlight w:val="none"/>
                <w:lang w:val="en-US" w:eastAsia="zh-CN"/>
              </w:rPr>
            </w:pPr>
            <w:r>
              <w:rPr>
                <w:rFonts w:hint="default"/>
                <w:highlight w:val="none"/>
                <w:lang w:val="en-US" w:eastAsia="zh-CN"/>
              </w:rPr>
              <w:t>1</w:t>
            </w:r>
          </w:p>
        </w:tc>
        <w:tc>
          <w:tcPr>
            <w:tcW w:w="6041" w:type="dxa"/>
            <w:tcBorders>
              <w:tl2br w:val="nil"/>
              <w:tr2bl w:val="nil"/>
            </w:tcBorders>
            <w:noWrap w:val="0"/>
            <w:vAlign w:val="center"/>
          </w:tcPr>
          <w:p w14:paraId="01CF1171">
            <w:pPr>
              <w:pStyle w:val="105"/>
              <w:bidi w:val="0"/>
              <w:rPr>
                <w:rFonts w:hint="default"/>
                <w:highlight w:val="none"/>
                <w:lang w:val="en-US" w:eastAsia="zh-CN"/>
              </w:rPr>
            </w:pPr>
            <w:r>
              <w:rPr>
                <w:rFonts w:hint="default"/>
                <w:highlight w:val="none"/>
                <w:lang w:val="en-US" w:eastAsia="zh-CN"/>
              </w:rPr>
              <w:t>基础验收表和隐蔽工程验收单应齐全</w:t>
            </w:r>
          </w:p>
        </w:tc>
        <w:tc>
          <w:tcPr>
            <w:tcW w:w="1229" w:type="dxa"/>
            <w:tcBorders>
              <w:tl2br w:val="nil"/>
              <w:tr2bl w:val="nil"/>
            </w:tcBorders>
            <w:noWrap w:val="0"/>
            <w:vAlign w:val="center"/>
          </w:tcPr>
          <w:p w14:paraId="286916CA">
            <w:pPr>
              <w:pStyle w:val="105"/>
              <w:bidi w:val="0"/>
              <w:rPr>
                <w:rFonts w:hint="default"/>
                <w:highlight w:val="none"/>
                <w:lang w:val="en-US" w:eastAsia="zh-CN"/>
              </w:rPr>
            </w:pPr>
          </w:p>
        </w:tc>
      </w:tr>
      <w:tr w14:paraId="4639A9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84F3D2E">
            <w:pPr>
              <w:pStyle w:val="105"/>
              <w:bidi w:val="0"/>
              <w:rPr>
                <w:rFonts w:hint="default"/>
                <w:highlight w:val="none"/>
                <w:lang w:val="en-US" w:eastAsia="zh-CN"/>
              </w:rPr>
            </w:pPr>
          </w:p>
        </w:tc>
        <w:tc>
          <w:tcPr>
            <w:tcW w:w="513" w:type="dxa"/>
            <w:tcBorders>
              <w:tl2br w:val="nil"/>
              <w:tr2bl w:val="nil"/>
            </w:tcBorders>
            <w:noWrap w:val="0"/>
            <w:vAlign w:val="center"/>
          </w:tcPr>
          <w:p w14:paraId="0FEE8742">
            <w:pPr>
              <w:pStyle w:val="105"/>
              <w:bidi w:val="0"/>
              <w:rPr>
                <w:rFonts w:hint="default"/>
                <w:highlight w:val="none"/>
                <w:lang w:val="en-US" w:eastAsia="zh-CN"/>
              </w:rPr>
            </w:pPr>
            <w:r>
              <w:rPr>
                <w:rFonts w:hint="default"/>
                <w:highlight w:val="none"/>
                <w:lang w:val="en-US" w:eastAsia="zh-CN"/>
              </w:rPr>
              <w:t>2</w:t>
            </w:r>
          </w:p>
        </w:tc>
        <w:tc>
          <w:tcPr>
            <w:tcW w:w="6041" w:type="dxa"/>
            <w:tcBorders>
              <w:tl2br w:val="nil"/>
              <w:tr2bl w:val="nil"/>
            </w:tcBorders>
            <w:noWrap w:val="0"/>
            <w:vAlign w:val="center"/>
          </w:tcPr>
          <w:p w14:paraId="37E8E7BC">
            <w:pPr>
              <w:pStyle w:val="105"/>
              <w:bidi w:val="0"/>
              <w:rPr>
                <w:rFonts w:hint="default"/>
                <w:highlight w:val="none"/>
                <w:lang w:val="en-US" w:eastAsia="zh-CN"/>
              </w:rPr>
            </w:pPr>
            <w:r>
              <w:rPr>
                <w:rFonts w:hint="default"/>
                <w:highlight w:val="none"/>
                <w:lang w:val="en-US" w:eastAsia="zh-CN"/>
              </w:rPr>
              <w:t xml:space="preserve">安装方案、安全交底记录应齐全 </w:t>
            </w:r>
          </w:p>
        </w:tc>
        <w:tc>
          <w:tcPr>
            <w:tcW w:w="1229" w:type="dxa"/>
            <w:tcBorders>
              <w:tl2br w:val="nil"/>
              <w:tr2bl w:val="nil"/>
            </w:tcBorders>
            <w:noWrap w:val="0"/>
            <w:vAlign w:val="center"/>
          </w:tcPr>
          <w:p w14:paraId="0C838808">
            <w:pPr>
              <w:pStyle w:val="105"/>
              <w:bidi w:val="0"/>
              <w:rPr>
                <w:rFonts w:hint="default"/>
                <w:highlight w:val="none"/>
                <w:lang w:val="en-US" w:eastAsia="zh-CN"/>
              </w:rPr>
            </w:pPr>
          </w:p>
        </w:tc>
      </w:tr>
      <w:tr w14:paraId="7101CCC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05041A0">
            <w:pPr>
              <w:pStyle w:val="105"/>
              <w:bidi w:val="0"/>
              <w:rPr>
                <w:rFonts w:hint="default"/>
                <w:highlight w:val="none"/>
                <w:lang w:val="en-US" w:eastAsia="zh-CN"/>
              </w:rPr>
            </w:pPr>
          </w:p>
        </w:tc>
        <w:tc>
          <w:tcPr>
            <w:tcW w:w="513" w:type="dxa"/>
            <w:tcBorders>
              <w:tl2br w:val="nil"/>
              <w:tr2bl w:val="nil"/>
            </w:tcBorders>
            <w:noWrap w:val="0"/>
            <w:vAlign w:val="center"/>
          </w:tcPr>
          <w:p w14:paraId="63A87DF0">
            <w:pPr>
              <w:pStyle w:val="105"/>
              <w:bidi w:val="0"/>
              <w:rPr>
                <w:rFonts w:hint="default"/>
                <w:highlight w:val="none"/>
                <w:lang w:val="en-US" w:eastAsia="zh-CN"/>
              </w:rPr>
            </w:pPr>
            <w:r>
              <w:rPr>
                <w:rFonts w:hint="default"/>
                <w:highlight w:val="none"/>
                <w:lang w:val="en-US" w:eastAsia="zh-CN"/>
              </w:rPr>
              <w:t>3</w:t>
            </w:r>
          </w:p>
        </w:tc>
        <w:tc>
          <w:tcPr>
            <w:tcW w:w="6041" w:type="dxa"/>
            <w:tcBorders>
              <w:tl2br w:val="nil"/>
              <w:tr2bl w:val="nil"/>
            </w:tcBorders>
            <w:noWrap w:val="0"/>
            <w:vAlign w:val="center"/>
          </w:tcPr>
          <w:p w14:paraId="11A27281">
            <w:pPr>
              <w:pStyle w:val="105"/>
              <w:bidi w:val="0"/>
              <w:rPr>
                <w:rFonts w:hint="default"/>
                <w:highlight w:val="none"/>
                <w:lang w:val="en-US" w:eastAsia="zh-CN"/>
              </w:rPr>
            </w:pPr>
            <w:r>
              <w:rPr>
                <w:rFonts w:hint="default"/>
                <w:highlight w:val="none"/>
                <w:lang w:val="en-US" w:eastAsia="zh-CN"/>
              </w:rPr>
              <w:t>转场保养作业单及进场验收记录应齐全</w:t>
            </w:r>
          </w:p>
        </w:tc>
        <w:tc>
          <w:tcPr>
            <w:tcW w:w="1229" w:type="dxa"/>
            <w:tcBorders>
              <w:tl2br w:val="nil"/>
              <w:tr2bl w:val="nil"/>
            </w:tcBorders>
            <w:noWrap w:val="0"/>
            <w:vAlign w:val="center"/>
          </w:tcPr>
          <w:p w14:paraId="4E3A69B9">
            <w:pPr>
              <w:pStyle w:val="105"/>
              <w:bidi w:val="0"/>
              <w:rPr>
                <w:rFonts w:hint="default"/>
                <w:highlight w:val="none"/>
                <w:lang w:val="en-US" w:eastAsia="zh-CN"/>
              </w:rPr>
            </w:pPr>
          </w:p>
        </w:tc>
      </w:tr>
      <w:tr w14:paraId="7AE545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CC5C5F">
            <w:pPr>
              <w:pStyle w:val="105"/>
              <w:bidi w:val="0"/>
              <w:rPr>
                <w:rFonts w:hint="default"/>
                <w:highlight w:val="none"/>
                <w:lang w:val="en-US" w:eastAsia="zh-CN"/>
              </w:rPr>
            </w:pPr>
          </w:p>
        </w:tc>
        <w:tc>
          <w:tcPr>
            <w:tcW w:w="513" w:type="dxa"/>
            <w:tcBorders>
              <w:tl2br w:val="nil"/>
              <w:tr2bl w:val="nil"/>
            </w:tcBorders>
            <w:noWrap w:val="0"/>
            <w:vAlign w:val="center"/>
          </w:tcPr>
          <w:p w14:paraId="2C907115">
            <w:pPr>
              <w:pStyle w:val="105"/>
              <w:bidi w:val="0"/>
              <w:rPr>
                <w:rFonts w:hint="default"/>
                <w:highlight w:val="none"/>
                <w:lang w:val="en-US" w:eastAsia="zh-CN"/>
              </w:rPr>
            </w:pPr>
            <w:r>
              <w:rPr>
                <w:rFonts w:hint="default"/>
                <w:highlight w:val="none"/>
                <w:lang w:val="en-US" w:eastAsia="zh-CN"/>
              </w:rPr>
              <w:t>4</w:t>
            </w:r>
          </w:p>
        </w:tc>
        <w:tc>
          <w:tcPr>
            <w:tcW w:w="6041" w:type="dxa"/>
            <w:tcBorders>
              <w:tl2br w:val="nil"/>
              <w:tr2bl w:val="nil"/>
            </w:tcBorders>
            <w:noWrap w:val="0"/>
            <w:vAlign w:val="center"/>
          </w:tcPr>
          <w:p w14:paraId="131761AD">
            <w:pPr>
              <w:pStyle w:val="105"/>
              <w:bidi w:val="0"/>
              <w:rPr>
                <w:rFonts w:hint="default"/>
                <w:highlight w:val="none"/>
                <w:lang w:val="en-US" w:eastAsia="zh-CN"/>
              </w:rPr>
            </w:pPr>
            <w:r>
              <w:rPr>
                <w:rFonts w:hint="default"/>
                <w:highlight w:val="none"/>
                <w:lang w:val="en-US" w:eastAsia="zh-CN"/>
              </w:rPr>
              <w:t>群塔作业应编制专项防碰撞措施方案</w:t>
            </w:r>
          </w:p>
        </w:tc>
        <w:tc>
          <w:tcPr>
            <w:tcW w:w="1229" w:type="dxa"/>
            <w:tcBorders>
              <w:tl2br w:val="nil"/>
              <w:tr2bl w:val="nil"/>
            </w:tcBorders>
            <w:noWrap w:val="0"/>
            <w:vAlign w:val="center"/>
          </w:tcPr>
          <w:p w14:paraId="5B070B1B">
            <w:pPr>
              <w:pStyle w:val="105"/>
              <w:bidi w:val="0"/>
              <w:rPr>
                <w:rFonts w:hint="default"/>
                <w:highlight w:val="none"/>
                <w:lang w:val="en-US" w:eastAsia="zh-CN"/>
              </w:rPr>
            </w:pPr>
          </w:p>
        </w:tc>
      </w:tr>
      <w:tr w14:paraId="589A3A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2E47FD9">
            <w:pPr>
              <w:pStyle w:val="105"/>
              <w:bidi w:val="0"/>
              <w:rPr>
                <w:rFonts w:hint="default"/>
                <w:highlight w:val="none"/>
                <w:lang w:val="en-US" w:eastAsia="zh-CN"/>
              </w:rPr>
            </w:pPr>
            <w:r>
              <w:rPr>
                <w:rFonts w:hint="default"/>
                <w:highlight w:val="none"/>
                <w:lang w:val="en-US" w:eastAsia="zh-CN"/>
              </w:rPr>
              <w:t>标识</w:t>
            </w:r>
          </w:p>
          <w:p w14:paraId="6862B8DA">
            <w:pPr>
              <w:pStyle w:val="105"/>
              <w:bidi w:val="0"/>
              <w:rPr>
                <w:rFonts w:hint="default"/>
                <w:highlight w:val="none"/>
                <w:lang w:val="en-US" w:eastAsia="zh-CN"/>
              </w:rPr>
            </w:pPr>
            <w:r>
              <w:rPr>
                <w:rFonts w:hint="default"/>
                <w:highlight w:val="none"/>
                <w:lang w:val="en-US" w:eastAsia="zh-CN"/>
              </w:rPr>
              <w:t>与环境</w:t>
            </w:r>
          </w:p>
        </w:tc>
        <w:tc>
          <w:tcPr>
            <w:tcW w:w="513" w:type="dxa"/>
            <w:tcBorders>
              <w:tl2br w:val="nil"/>
              <w:tr2bl w:val="nil"/>
            </w:tcBorders>
            <w:noWrap w:val="0"/>
            <w:vAlign w:val="center"/>
          </w:tcPr>
          <w:p w14:paraId="4DF9995B">
            <w:pPr>
              <w:pStyle w:val="105"/>
              <w:bidi w:val="0"/>
              <w:rPr>
                <w:rFonts w:hint="default"/>
                <w:highlight w:val="none"/>
                <w:lang w:val="en-US" w:eastAsia="zh-CN"/>
              </w:rPr>
            </w:pPr>
            <w:r>
              <w:rPr>
                <w:rFonts w:hint="default"/>
                <w:highlight w:val="none"/>
                <w:lang w:val="en-US" w:eastAsia="zh-CN"/>
              </w:rPr>
              <w:t>5</w:t>
            </w:r>
          </w:p>
        </w:tc>
        <w:tc>
          <w:tcPr>
            <w:tcW w:w="6041" w:type="dxa"/>
            <w:tcBorders>
              <w:tl2br w:val="nil"/>
              <w:tr2bl w:val="nil"/>
            </w:tcBorders>
            <w:noWrap w:val="0"/>
            <w:vAlign w:val="center"/>
          </w:tcPr>
          <w:p w14:paraId="68A134BC">
            <w:pPr>
              <w:pStyle w:val="105"/>
              <w:bidi w:val="0"/>
              <w:rPr>
                <w:rFonts w:hint="default"/>
                <w:highlight w:val="none"/>
                <w:lang w:val="en-US" w:eastAsia="zh-CN"/>
              </w:rPr>
            </w:pPr>
            <w:r>
              <w:rPr>
                <w:rFonts w:hint="default"/>
                <w:highlight w:val="none"/>
                <w:lang w:val="en-US" w:eastAsia="zh-CN"/>
              </w:rPr>
              <w:t>使用登记牌、安全操作规程牌和产品标牌齐全，悬挂醒目</w:t>
            </w:r>
          </w:p>
        </w:tc>
        <w:tc>
          <w:tcPr>
            <w:tcW w:w="1229" w:type="dxa"/>
            <w:tcBorders>
              <w:tl2br w:val="nil"/>
              <w:tr2bl w:val="nil"/>
            </w:tcBorders>
            <w:noWrap w:val="0"/>
            <w:vAlign w:val="center"/>
          </w:tcPr>
          <w:p w14:paraId="1672B425">
            <w:pPr>
              <w:pStyle w:val="105"/>
              <w:bidi w:val="0"/>
              <w:rPr>
                <w:rFonts w:hint="default"/>
                <w:highlight w:val="none"/>
                <w:lang w:val="en-US" w:eastAsia="zh-CN"/>
              </w:rPr>
            </w:pPr>
          </w:p>
        </w:tc>
      </w:tr>
      <w:tr w14:paraId="3745EF1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1D6F1BC6">
            <w:pPr>
              <w:pStyle w:val="105"/>
              <w:bidi w:val="0"/>
              <w:rPr>
                <w:rFonts w:hint="default"/>
                <w:highlight w:val="none"/>
                <w:lang w:val="en-US" w:eastAsia="zh-CN"/>
              </w:rPr>
            </w:pPr>
          </w:p>
        </w:tc>
        <w:tc>
          <w:tcPr>
            <w:tcW w:w="513" w:type="dxa"/>
            <w:tcBorders>
              <w:tl2br w:val="nil"/>
              <w:tr2bl w:val="nil"/>
            </w:tcBorders>
            <w:noWrap w:val="0"/>
            <w:vAlign w:val="center"/>
          </w:tcPr>
          <w:p w14:paraId="6CEE9E99">
            <w:pPr>
              <w:pStyle w:val="105"/>
              <w:bidi w:val="0"/>
              <w:rPr>
                <w:rFonts w:hint="default"/>
                <w:highlight w:val="none"/>
                <w:lang w:val="en-US" w:eastAsia="zh-CN"/>
              </w:rPr>
            </w:pPr>
            <w:r>
              <w:rPr>
                <w:rFonts w:hint="default"/>
                <w:highlight w:val="none"/>
                <w:lang w:val="en-US" w:eastAsia="zh-CN"/>
              </w:rPr>
              <w:t>6</w:t>
            </w:r>
          </w:p>
        </w:tc>
        <w:tc>
          <w:tcPr>
            <w:tcW w:w="6041" w:type="dxa"/>
            <w:tcBorders>
              <w:tl2br w:val="nil"/>
              <w:tr2bl w:val="nil"/>
            </w:tcBorders>
            <w:noWrap w:val="0"/>
            <w:vAlign w:val="center"/>
          </w:tcPr>
          <w:p w14:paraId="55839299">
            <w:pPr>
              <w:pStyle w:val="105"/>
              <w:bidi w:val="0"/>
              <w:rPr>
                <w:rFonts w:hint="default"/>
                <w:highlight w:val="none"/>
                <w:lang w:val="en-US" w:eastAsia="zh-CN"/>
              </w:rPr>
            </w:pPr>
            <w:r>
              <w:rPr>
                <w:rFonts w:hint="default"/>
                <w:highlight w:val="none"/>
                <w:lang w:val="en-US" w:eastAsia="zh-CN"/>
              </w:rPr>
              <w:t>塔式起重机尾部与建（构）筑物及施工设施之间的距离≥m</w:t>
            </w:r>
          </w:p>
        </w:tc>
        <w:tc>
          <w:tcPr>
            <w:tcW w:w="1229" w:type="dxa"/>
            <w:tcBorders>
              <w:tl2br w:val="nil"/>
              <w:tr2bl w:val="nil"/>
            </w:tcBorders>
            <w:noWrap w:val="0"/>
            <w:vAlign w:val="center"/>
          </w:tcPr>
          <w:p w14:paraId="67061EDA">
            <w:pPr>
              <w:pStyle w:val="105"/>
              <w:bidi w:val="0"/>
              <w:rPr>
                <w:rFonts w:hint="default"/>
                <w:highlight w:val="none"/>
                <w:lang w:val="en-US" w:eastAsia="zh-CN"/>
              </w:rPr>
            </w:pPr>
          </w:p>
        </w:tc>
      </w:tr>
      <w:tr w14:paraId="7FFA70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1BE9867">
            <w:pPr>
              <w:pStyle w:val="105"/>
              <w:bidi w:val="0"/>
              <w:rPr>
                <w:rFonts w:hint="default"/>
                <w:highlight w:val="none"/>
                <w:lang w:val="en-US" w:eastAsia="zh-CN"/>
              </w:rPr>
            </w:pPr>
          </w:p>
        </w:tc>
        <w:tc>
          <w:tcPr>
            <w:tcW w:w="513" w:type="dxa"/>
            <w:tcBorders>
              <w:tl2br w:val="nil"/>
              <w:tr2bl w:val="nil"/>
            </w:tcBorders>
            <w:noWrap w:val="0"/>
            <w:vAlign w:val="center"/>
          </w:tcPr>
          <w:p w14:paraId="1C414DB0">
            <w:pPr>
              <w:pStyle w:val="105"/>
              <w:bidi w:val="0"/>
              <w:rPr>
                <w:rFonts w:hint="default"/>
                <w:highlight w:val="none"/>
                <w:lang w:val="en-US" w:eastAsia="zh-CN"/>
              </w:rPr>
            </w:pPr>
            <w:r>
              <w:rPr>
                <w:rFonts w:hint="default"/>
                <w:highlight w:val="none"/>
                <w:lang w:val="en-US" w:eastAsia="zh-CN"/>
              </w:rPr>
              <w:t>7</w:t>
            </w:r>
          </w:p>
        </w:tc>
        <w:tc>
          <w:tcPr>
            <w:tcW w:w="6041" w:type="dxa"/>
            <w:tcBorders>
              <w:tl2br w:val="nil"/>
              <w:tr2bl w:val="nil"/>
            </w:tcBorders>
            <w:noWrap w:val="0"/>
            <w:vAlign w:val="center"/>
          </w:tcPr>
          <w:p w14:paraId="24A8EA71">
            <w:pPr>
              <w:pStyle w:val="105"/>
              <w:bidi w:val="0"/>
              <w:rPr>
                <w:rFonts w:hint="default"/>
                <w:highlight w:val="none"/>
                <w:lang w:val="en-US" w:eastAsia="zh-CN"/>
              </w:rPr>
            </w:pPr>
            <w:r>
              <w:rPr>
                <w:rFonts w:hint="default"/>
                <w:highlight w:val="none"/>
                <w:lang w:val="en-US" w:eastAsia="zh-CN"/>
              </w:rPr>
              <w:t>多塔作业时，低位塔起重臂端部与高位塔塔身之间的水平距离≥2m；高位塔的最低位置部件与低位塔最高位置部件之间的垂直距离≥2m</w:t>
            </w:r>
          </w:p>
        </w:tc>
        <w:tc>
          <w:tcPr>
            <w:tcW w:w="1229" w:type="dxa"/>
            <w:tcBorders>
              <w:tl2br w:val="nil"/>
              <w:tr2bl w:val="nil"/>
            </w:tcBorders>
            <w:noWrap w:val="0"/>
            <w:vAlign w:val="center"/>
          </w:tcPr>
          <w:p w14:paraId="5977EC8B">
            <w:pPr>
              <w:pStyle w:val="105"/>
              <w:bidi w:val="0"/>
              <w:rPr>
                <w:rFonts w:hint="default"/>
                <w:highlight w:val="none"/>
                <w:lang w:val="en-US" w:eastAsia="zh-CN"/>
              </w:rPr>
            </w:pPr>
          </w:p>
        </w:tc>
      </w:tr>
      <w:tr w14:paraId="07E4B4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A9E2C68">
            <w:pPr>
              <w:pStyle w:val="105"/>
              <w:bidi w:val="0"/>
              <w:rPr>
                <w:rFonts w:hint="default"/>
                <w:highlight w:val="none"/>
                <w:lang w:val="en-US" w:eastAsia="zh-CN"/>
              </w:rPr>
            </w:pPr>
          </w:p>
        </w:tc>
        <w:tc>
          <w:tcPr>
            <w:tcW w:w="513" w:type="dxa"/>
            <w:tcBorders>
              <w:tl2br w:val="nil"/>
              <w:tr2bl w:val="nil"/>
            </w:tcBorders>
            <w:noWrap w:val="0"/>
            <w:vAlign w:val="center"/>
          </w:tcPr>
          <w:p w14:paraId="632A050B">
            <w:pPr>
              <w:pStyle w:val="105"/>
              <w:bidi w:val="0"/>
              <w:rPr>
                <w:rFonts w:hint="default"/>
                <w:highlight w:val="none"/>
                <w:lang w:val="en-US" w:eastAsia="zh-CN"/>
              </w:rPr>
            </w:pPr>
            <w:r>
              <w:rPr>
                <w:rFonts w:hint="default"/>
                <w:highlight w:val="none"/>
                <w:lang w:val="en-US" w:eastAsia="zh-CN"/>
              </w:rPr>
              <w:t>8</w:t>
            </w:r>
          </w:p>
        </w:tc>
        <w:tc>
          <w:tcPr>
            <w:tcW w:w="6041" w:type="dxa"/>
            <w:tcBorders>
              <w:tl2br w:val="nil"/>
              <w:tr2bl w:val="nil"/>
            </w:tcBorders>
            <w:noWrap w:val="0"/>
            <w:vAlign w:val="center"/>
          </w:tcPr>
          <w:p w14:paraId="3D51F5C4">
            <w:pPr>
              <w:pStyle w:val="105"/>
              <w:bidi w:val="0"/>
              <w:rPr>
                <w:rFonts w:hint="default"/>
                <w:highlight w:val="none"/>
                <w:lang w:val="en-US" w:eastAsia="zh-CN"/>
              </w:rPr>
            </w:pPr>
            <w:r>
              <w:rPr>
                <w:rFonts w:hint="default"/>
                <w:highlight w:val="none"/>
                <w:lang w:val="en-US" w:eastAsia="zh-CN"/>
              </w:rPr>
              <w:t>塔式起重机与外电线路的距离应符合JGJ46—2005的规定</w:t>
            </w:r>
          </w:p>
        </w:tc>
        <w:tc>
          <w:tcPr>
            <w:tcW w:w="1229" w:type="dxa"/>
            <w:tcBorders>
              <w:tl2br w:val="nil"/>
              <w:tr2bl w:val="nil"/>
            </w:tcBorders>
            <w:noWrap w:val="0"/>
            <w:vAlign w:val="center"/>
          </w:tcPr>
          <w:p w14:paraId="6D5EEB75">
            <w:pPr>
              <w:pStyle w:val="105"/>
              <w:bidi w:val="0"/>
              <w:rPr>
                <w:rFonts w:hint="default"/>
                <w:highlight w:val="none"/>
                <w:lang w:val="en-US" w:eastAsia="zh-CN"/>
              </w:rPr>
            </w:pPr>
          </w:p>
        </w:tc>
      </w:tr>
      <w:tr w14:paraId="593E60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30DCB7A6">
            <w:pPr>
              <w:pStyle w:val="105"/>
              <w:bidi w:val="0"/>
              <w:rPr>
                <w:rFonts w:hint="default"/>
                <w:highlight w:val="none"/>
                <w:lang w:val="en-US" w:eastAsia="zh-CN"/>
              </w:rPr>
            </w:pPr>
            <w:r>
              <w:rPr>
                <w:rFonts w:hint="default"/>
                <w:highlight w:val="none"/>
                <w:lang w:val="en-US" w:eastAsia="zh-CN"/>
              </w:rPr>
              <w:t>塔式起重机结构</w:t>
            </w:r>
          </w:p>
        </w:tc>
        <w:tc>
          <w:tcPr>
            <w:tcW w:w="513" w:type="dxa"/>
            <w:tcBorders>
              <w:tl2br w:val="nil"/>
              <w:tr2bl w:val="nil"/>
            </w:tcBorders>
            <w:noWrap w:val="0"/>
            <w:vAlign w:val="center"/>
          </w:tcPr>
          <w:p w14:paraId="6E3FAD16">
            <w:pPr>
              <w:pStyle w:val="105"/>
              <w:bidi w:val="0"/>
              <w:rPr>
                <w:rFonts w:hint="default"/>
                <w:highlight w:val="none"/>
                <w:lang w:val="en-US" w:eastAsia="zh-CN"/>
              </w:rPr>
            </w:pPr>
            <w:r>
              <w:rPr>
                <w:rFonts w:hint="default"/>
                <w:highlight w:val="none"/>
                <w:lang w:val="en-US" w:eastAsia="zh-CN"/>
              </w:rPr>
              <w:t>9</w:t>
            </w:r>
          </w:p>
        </w:tc>
        <w:tc>
          <w:tcPr>
            <w:tcW w:w="6041" w:type="dxa"/>
            <w:tcBorders>
              <w:tl2br w:val="nil"/>
              <w:tr2bl w:val="nil"/>
            </w:tcBorders>
            <w:noWrap w:val="0"/>
            <w:vAlign w:val="center"/>
          </w:tcPr>
          <w:p w14:paraId="4DC98110">
            <w:pPr>
              <w:pStyle w:val="105"/>
              <w:bidi w:val="0"/>
              <w:rPr>
                <w:rFonts w:hint="default"/>
                <w:highlight w:val="none"/>
                <w:lang w:val="en-US" w:eastAsia="zh-CN"/>
              </w:rPr>
            </w:pPr>
            <w:r>
              <w:rPr>
                <w:rFonts w:hint="default"/>
                <w:highlight w:val="none"/>
                <w:lang w:val="en-US" w:eastAsia="zh-CN"/>
              </w:rPr>
              <w:t>金属结构无可见裂纹和明显变形</w:t>
            </w:r>
          </w:p>
        </w:tc>
        <w:tc>
          <w:tcPr>
            <w:tcW w:w="1229" w:type="dxa"/>
            <w:tcBorders>
              <w:tl2br w:val="nil"/>
              <w:tr2bl w:val="nil"/>
            </w:tcBorders>
            <w:noWrap w:val="0"/>
            <w:vAlign w:val="center"/>
          </w:tcPr>
          <w:p w14:paraId="6CFA8459">
            <w:pPr>
              <w:pStyle w:val="105"/>
              <w:bidi w:val="0"/>
              <w:rPr>
                <w:rFonts w:hint="default"/>
                <w:highlight w:val="none"/>
                <w:lang w:val="en-US" w:eastAsia="zh-CN"/>
              </w:rPr>
            </w:pPr>
          </w:p>
        </w:tc>
      </w:tr>
      <w:tr w14:paraId="633C88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0919881">
            <w:pPr>
              <w:pStyle w:val="105"/>
              <w:bidi w:val="0"/>
              <w:rPr>
                <w:rFonts w:hint="default"/>
                <w:highlight w:val="none"/>
                <w:lang w:val="en-US" w:eastAsia="zh-CN"/>
              </w:rPr>
            </w:pPr>
          </w:p>
        </w:tc>
        <w:tc>
          <w:tcPr>
            <w:tcW w:w="513" w:type="dxa"/>
            <w:tcBorders>
              <w:tl2br w:val="nil"/>
              <w:tr2bl w:val="nil"/>
            </w:tcBorders>
            <w:noWrap w:val="0"/>
            <w:vAlign w:val="center"/>
          </w:tcPr>
          <w:p w14:paraId="637BF7B6">
            <w:pPr>
              <w:pStyle w:val="105"/>
              <w:bidi w:val="0"/>
              <w:rPr>
                <w:rFonts w:hint="default"/>
                <w:highlight w:val="none"/>
                <w:lang w:val="en-US" w:eastAsia="zh-CN"/>
              </w:rPr>
            </w:pPr>
            <w:r>
              <w:rPr>
                <w:rFonts w:hint="default"/>
                <w:highlight w:val="none"/>
                <w:lang w:val="en-US" w:eastAsia="zh-CN"/>
              </w:rPr>
              <w:t>10</w:t>
            </w:r>
          </w:p>
        </w:tc>
        <w:tc>
          <w:tcPr>
            <w:tcW w:w="6041" w:type="dxa"/>
            <w:tcBorders>
              <w:tl2br w:val="nil"/>
              <w:tr2bl w:val="nil"/>
            </w:tcBorders>
            <w:noWrap w:val="0"/>
            <w:vAlign w:val="center"/>
          </w:tcPr>
          <w:p w14:paraId="40D5A2A8">
            <w:pPr>
              <w:pStyle w:val="105"/>
              <w:bidi w:val="0"/>
              <w:rPr>
                <w:rFonts w:hint="default"/>
                <w:highlight w:val="none"/>
                <w:lang w:val="en-US" w:eastAsia="zh-CN"/>
              </w:rPr>
            </w:pPr>
            <w:r>
              <w:rPr>
                <w:rFonts w:hint="default"/>
                <w:highlight w:val="none"/>
                <w:lang w:val="en-US" w:eastAsia="zh-CN"/>
              </w:rPr>
              <w:t>连接螺栓齐全，规格和预紧力达到使用说明书要求</w:t>
            </w:r>
          </w:p>
        </w:tc>
        <w:tc>
          <w:tcPr>
            <w:tcW w:w="1229" w:type="dxa"/>
            <w:tcBorders>
              <w:tl2br w:val="nil"/>
              <w:tr2bl w:val="nil"/>
            </w:tcBorders>
            <w:noWrap w:val="0"/>
            <w:vAlign w:val="center"/>
          </w:tcPr>
          <w:p w14:paraId="434013BF">
            <w:pPr>
              <w:pStyle w:val="105"/>
              <w:bidi w:val="0"/>
              <w:rPr>
                <w:rFonts w:hint="default"/>
                <w:highlight w:val="none"/>
                <w:lang w:val="en-US" w:eastAsia="zh-CN"/>
              </w:rPr>
            </w:pPr>
          </w:p>
        </w:tc>
      </w:tr>
      <w:tr w14:paraId="5A1BAF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453E75">
            <w:pPr>
              <w:pStyle w:val="105"/>
              <w:bidi w:val="0"/>
              <w:rPr>
                <w:rFonts w:hint="default"/>
                <w:highlight w:val="none"/>
                <w:lang w:val="en-US" w:eastAsia="zh-CN"/>
              </w:rPr>
            </w:pPr>
          </w:p>
        </w:tc>
        <w:tc>
          <w:tcPr>
            <w:tcW w:w="513" w:type="dxa"/>
            <w:tcBorders>
              <w:tl2br w:val="nil"/>
              <w:tr2bl w:val="nil"/>
            </w:tcBorders>
            <w:noWrap w:val="0"/>
            <w:vAlign w:val="center"/>
          </w:tcPr>
          <w:p w14:paraId="53268A53">
            <w:pPr>
              <w:pStyle w:val="105"/>
              <w:bidi w:val="0"/>
              <w:rPr>
                <w:rFonts w:hint="default"/>
                <w:highlight w:val="none"/>
                <w:lang w:val="en-US" w:eastAsia="zh-CN"/>
              </w:rPr>
            </w:pPr>
            <w:r>
              <w:rPr>
                <w:rFonts w:hint="default"/>
                <w:highlight w:val="none"/>
                <w:lang w:val="en-US" w:eastAsia="zh-CN"/>
              </w:rPr>
              <w:t>11</w:t>
            </w:r>
          </w:p>
        </w:tc>
        <w:tc>
          <w:tcPr>
            <w:tcW w:w="6041" w:type="dxa"/>
            <w:tcBorders>
              <w:tl2br w:val="nil"/>
              <w:tr2bl w:val="nil"/>
            </w:tcBorders>
            <w:noWrap w:val="0"/>
            <w:vAlign w:val="center"/>
          </w:tcPr>
          <w:p w14:paraId="0CE43711">
            <w:pPr>
              <w:pStyle w:val="105"/>
              <w:bidi w:val="0"/>
              <w:rPr>
                <w:rFonts w:hint="default"/>
                <w:highlight w:val="none"/>
                <w:lang w:val="en-US" w:eastAsia="zh-CN"/>
              </w:rPr>
            </w:pPr>
            <w:r>
              <w:rPr>
                <w:rFonts w:hint="default"/>
                <w:highlight w:val="none"/>
                <w:lang w:val="en-US" w:eastAsia="zh-CN"/>
              </w:rPr>
              <w:t xml:space="preserve">销轴连接可靠，符合出厂要求 </w:t>
            </w:r>
          </w:p>
        </w:tc>
        <w:tc>
          <w:tcPr>
            <w:tcW w:w="1229" w:type="dxa"/>
            <w:tcBorders>
              <w:tl2br w:val="nil"/>
              <w:tr2bl w:val="nil"/>
            </w:tcBorders>
            <w:noWrap w:val="0"/>
            <w:vAlign w:val="center"/>
          </w:tcPr>
          <w:p w14:paraId="58989B8D">
            <w:pPr>
              <w:pStyle w:val="105"/>
              <w:bidi w:val="0"/>
              <w:rPr>
                <w:rFonts w:hint="default"/>
                <w:highlight w:val="none"/>
                <w:lang w:val="en-US" w:eastAsia="zh-CN"/>
              </w:rPr>
            </w:pPr>
          </w:p>
        </w:tc>
      </w:tr>
      <w:tr w14:paraId="65958F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23E19C5E">
            <w:pPr>
              <w:pStyle w:val="105"/>
              <w:bidi w:val="0"/>
              <w:rPr>
                <w:rFonts w:hint="default"/>
                <w:highlight w:val="none"/>
                <w:lang w:val="en-US" w:eastAsia="zh-CN"/>
              </w:rPr>
            </w:pPr>
          </w:p>
        </w:tc>
        <w:tc>
          <w:tcPr>
            <w:tcW w:w="513" w:type="dxa"/>
            <w:tcBorders>
              <w:tl2br w:val="nil"/>
              <w:tr2bl w:val="nil"/>
            </w:tcBorders>
            <w:noWrap w:val="0"/>
            <w:vAlign w:val="center"/>
          </w:tcPr>
          <w:p w14:paraId="43B0882B">
            <w:pPr>
              <w:pStyle w:val="105"/>
              <w:bidi w:val="0"/>
              <w:rPr>
                <w:rFonts w:hint="default"/>
                <w:highlight w:val="none"/>
                <w:lang w:val="en-US" w:eastAsia="zh-CN"/>
              </w:rPr>
            </w:pPr>
            <w:r>
              <w:rPr>
                <w:rFonts w:hint="default"/>
                <w:highlight w:val="none"/>
                <w:lang w:val="en-US" w:eastAsia="zh-CN"/>
              </w:rPr>
              <w:t>12</w:t>
            </w:r>
          </w:p>
        </w:tc>
        <w:tc>
          <w:tcPr>
            <w:tcW w:w="6041" w:type="dxa"/>
            <w:tcBorders>
              <w:tl2br w:val="nil"/>
              <w:tr2bl w:val="nil"/>
            </w:tcBorders>
            <w:noWrap w:val="0"/>
            <w:vAlign w:val="center"/>
          </w:tcPr>
          <w:p w14:paraId="22B90383">
            <w:pPr>
              <w:pStyle w:val="105"/>
              <w:bidi w:val="0"/>
              <w:rPr>
                <w:rFonts w:hint="default"/>
                <w:highlight w:val="none"/>
                <w:lang w:val="en-US" w:eastAsia="zh-CN"/>
              </w:rPr>
            </w:pPr>
            <w:r>
              <w:rPr>
                <w:rFonts w:hint="default"/>
                <w:highlight w:val="none"/>
                <w:lang w:val="en-US" w:eastAsia="zh-CN"/>
              </w:rPr>
              <w:t>过道、平台、栏杆、踏板符合GB5144—2006规定，连接牢靠</w:t>
            </w:r>
          </w:p>
        </w:tc>
        <w:tc>
          <w:tcPr>
            <w:tcW w:w="1229" w:type="dxa"/>
            <w:tcBorders>
              <w:tl2br w:val="nil"/>
              <w:tr2bl w:val="nil"/>
            </w:tcBorders>
            <w:noWrap w:val="0"/>
            <w:vAlign w:val="center"/>
          </w:tcPr>
          <w:p w14:paraId="2F887603">
            <w:pPr>
              <w:pStyle w:val="105"/>
              <w:bidi w:val="0"/>
              <w:rPr>
                <w:rFonts w:hint="default"/>
                <w:highlight w:val="none"/>
                <w:lang w:val="en-US" w:eastAsia="zh-CN"/>
              </w:rPr>
            </w:pPr>
          </w:p>
        </w:tc>
      </w:tr>
      <w:tr w14:paraId="60C292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A5464DD">
            <w:pPr>
              <w:pStyle w:val="105"/>
              <w:bidi w:val="0"/>
              <w:rPr>
                <w:rFonts w:hint="default"/>
                <w:highlight w:val="none"/>
                <w:lang w:val="en-US" w:eastAsia="zh-CN"/>
              </w:rPr>
            </w:pPr>
          </w:p>
        </w:tc>
        <w:tc>
          <w:tcPr>
            <w:tcW w:w="513" w:type="dxa"/>
            <w:tcBorders>
              <w:tl2br w:val="nil"/>
              <w:tr2bl w:val="nil"/>
            </w:tcBorders>
            <w:noWrap w:val="0"/>
            <w:vAlign w:val="center"/>
          </w:tcPr>
          <w:p w14:paraId="251DCE2D">
            <w:pPr>
              <w:pStyle w:val="105"/>
              <w:bidi w:val="0"/>
              <w:rPr>
                <w:rFonts w:hint="default"/>
                <w:highlight w:val="none"/>
                <w:lang w:val="en-US" w:eastAsia="zh-CN"/>
              </w:rPr>
            </w:pPr>
            <w:r>
              <w:rPr>
                <w:rFonts w:hint="default"/>
                <w:highlight w:val="none"/>
                <w:lang w:val="en-US" w:eastAsia="zh-CN"/>
              </w:rPr>
              <w:t>13</w:t>
            </w:r>
          </w:p>
        </w:tc>
        <w:tc>
          <w:tcPr>
            <w:tcW w:w="6041" w:type="dxa"/>
            <w:tcBorders>
              <w:tl2br w:val="nil"/>
              <w:tr2bl w:val="nil"/>
            </w:tcBorders>
            <w:noWrap w:val="0"/>
            <w:vAlign w:val="center"/>
          </w:tcPr>
          <w:p w14:paraId="01F903FF">
            <w:pPr>
              <w:pStyle w:val="105"/>
              <w:bidi w:val="0"/>
              <w:rPr>
                <w:rFonts w:hint="default"/>
                <w:highlight w:val="none"/>
                <w:lang w:val="en-US" w:eastAsia="zh-CN"/>
              </w:rPr>
            </w:pPr>
            <w:r>
              <w:rPr>
                <w:rFonts w:hint="default"/>
                <w:highlight w:val="none"/>
                <w:lang w:val="en-US" w:eastAsia="zh-CN"/>
              </w:rPr>
              <w:t>梯子、护圈、休息平台符合GB5144—2006规定，连接牢靠</w:t>
            </w:r>
          </w:p>
        </w:tc>
        <w:tc>
          <w:tcPr>
            <w:tcW w:w="1229" w:type="dxa"/>
            <w:tcBorders>
              <w:tl2br w:val="nil"/>
              <w:tr2bl w:val="nil"/>
            </w:tcBorders>
            <w:noWrap w:val="0"/>
            <w:vAlign w:val="center"/>
          </w:tcPr>
          <w:p w14:paraId="632BE8CD">
            <w:pPr>
              <w:pStyle w:val="105"/>
              <w:bidi w:val="0"/>
              <w:rPr>
                <w:rFonts w:hint="default"/>
                <w:highlight w:val="none"/>
                <w:lang w:val="en-US" w:eastAsia="zh-CN"/>
              </w:rPr>
            </w:pPr>
          </w:p>
        </w:tc>
      </w:tr>
      <w:tr w14:paraId="2068D7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1E27AF">
            <w:pPr>
              <w:pStyle w:val="105"/>
              <w:bidi w:val="0"/>
              <w:rPr>
                <w:rFonts w:hint="default"/>
                <w:highlight w:val="none"/>
                <w:lang w:val="en-US" w:eastAsia="zh-CN"/>
              </w:rPr>
            </w:pPr>
          </w:p>
        </w:tc>
        <w:tc>
          <w:tcPr>
            <w:tcW w:w="513" w:type="dxa"/>
            <w:tcBorders>
              <w:tl2br w:val="nil"/>
              <w:tr2bl w:val="nil"/>
            </w:tcBorders>
            <w:noWrap w:val="0"/>
            <w:vAlign w:val="center"/>
          </w:tcPr>
          <w:p w14:paraId="50CD42C5">
            <w:pPr>
              <w:pStyle w:val="105"/>
              <w:bidi w:val="0"/>
              <w:rPr>
                <w:rFonts w:hint="default"/>
                <w:highlight w:val="none"/>
                <w:lang w:val="en-US" w:eastAsia="zh-CN"/>
              </w:rPr>
            </w:pPr>
            <w:r>
              <w:rPr>
                <w:rFonts w:hint="default"/>
                <w:highlight w:val="none"/>
                <w:lang w:val="en-US" w:eastAsia="zh-CN"/>
              </w:rPr>
              <w:t>14</w:t>
            </w:r>
          </w:p>
        </w:tc>
        <w:tc>
          <w:tcPr>
            <w:tcW w:w="6041" w:type="dxa"/>
            <w:tcBorders>
              <w:tl2br w:val="nil"/>
              <w:tr2bl w:val="nil"/>
            </w:tcBorders>
            <w:noWrap w:val="0"/>
            <w:vAlign w:val="center"/>
          </w:tcPr>
          <w:p w14:paraId="0B398DA9">
            <w:pPr>
              <w:pStyle w:val="105"/>
              <w:bidi w:val="0"/>
              <w:rPr>
                <w:rFonts w:hint="default"/>
                <w:highlight w:val="none"/>
                <w:lang w:val="en-US" w:eastAsia="zh-CN"/>
              </w:rPr>
            </w:pPr>
            <w:r>
              <w:rPr>
                <w:rFonts w:hint="default"/>
                <w:highlight w:val="none"/>
                <w:lang w:val="en-US" w:eastAsia="zh-CN"/>
              </w:rPr>
              <w:t xml:space="preserve">平衡重安装牢固，重量与位置符合使用说明书要求， </w:t>
            </w:r>
          </w:p>
        </w:tc>
        <w:tc>
          <w:tcPr>
            <w:tcW w:w="1229" w:type="dxa"/>
            <w:tcBorders>
              <w:tl2br w:val="nil"/>
              <w:tr2bl w:val="nil"/>
            </w:tcBorders>
            <w:noWrap w:val="0"/>
            <w:vAlign w:val="center"/>
          </w:tcPr>
          <w:p w14:paraId="720EBC38">
            <w:pPr>
              <w:pStyle w:val="105"/>
              <w:bidi w:val="0"/>
              <w:rPr>
                <w:rFonts w:hint="default"/>
                <w:highlight w:val="none"/>
                <w:lang w:val="en-US" w:eastAsia="zh-CN"/>
              </w:rPr>
            </w:pPr>
          </w:p>
        </w:tc>
      </w:tr>
      <w:tr w14:paraId="1AD7B6E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594C29CC">
            <w:pPr>
              <w:pStyle w:val="105"/>
              <w:bidi w:val="0"/>
              <w:rPr>
                <w:rFonts w:hint="default"/>
                <w:highlight w:val="none"/>
                <w:lang w:val="en-US" w:eastAsia="zh-CN"/>
              </w:rPr>
            </w:pPr>
            <w:r>
              <w:rPr>
                <w:rFonts w:hint="default"/>
                <w:highlight w:val="none"/>
                <w:lang w:val="en-US" w:eastAsia="zh-CN"/>
              </w:rPr>
              <w:t>垂直度</w:t>
            </w:r>
          </w:p>
        </w:tc>
        <w:tc>
          <w:tcPr>
            <w:tcW w:w="513" w:type="dxa"/>
            <w:tcBorders>
              <w:tl2br w:val="nil"/>
              <w:tr2bl w:val="nil"/>
            </w:tcBorders>
            <w:noWrap w:val="0"/>
            <w:vAlign w:val="center"/>
          </w:tcPr>
          <w:p w14:paraId="6957DB7D">
            <w:pPr>
              <w:pStyle w:val="105"/>
              <w:bidi w:val="0"/>
              <w:rPr>
                <w:rFonts w:hint="default"/>
                <w:highlight w:val="none"/>
                <w:lang w:val="en-US" w:eastAsia="zh-CN"/>
              </w:rPr>
            </w:pPr>
            <w:r>
              <w:rPr>
                <w:rFonts w:hint="default"/>
                <w:highlight w:val="none"/>
                <w:lang w:val="en-US" w:eastAsia="zh-CN"/>
              </w:rPr>
              <w:t>15</w:t>
            </w:r>
          </w:p>
        </w:tc>
        <w:tc>
          <w:tcPr>
            <w:tcW w:w="6041" w:type="dxa"/>
            <w:tcBorders>
              <w:tl2br w:val="nil"/>
              <w:tr2bl w:val="nil"/>
            </w:tcBorders>
            <w:noWrap w:val="0"/>
            <w:vAlign w:val="center"/>
          </w:tcPr>
          <w:p w14:paraId="3AD568CE">
            <w:pPr>
              <w:pStyle w:val="105"/>
              <w:bidi w:val="0"/>
              <w:rPr>
                <w:rFonts w:hint="default"/>
                <w:highlight w:val="none"/>
                <w:lang w:val="en-US" w:eastAsia="zh-CN"/>
              </w:rPr>
            </w:pPr>
            <w:r>
              <w:rPr>
                <w:rFonts w:hint="default"/>
                <w:highlight w:val="none"/>
                <w:lang w:val="en-US" w:eastAsia="zh-CN"/>
              </w:rPr>
              <w:t>独立状态塔身轴心线对支承面的垂直度≤4‰</w:t>
            </w:r>
          </w:p>
        </w:tc>
        <w:tc>
          <w:tcPr>
            <w:tcW w:w="1229" w:type="dxa"/>
            <w:tcBorders>
              <w:tl2br w:val="nil"/>
              <w:tr2bl w:val="nil"/>
            </w:tcBorders>
            <w:noWrap w:val="0"/>
            <w:vAlign w:val="center"/>
          </w:tcPr>
          <w:p w14:paraId="62595DDD">
            <w:pPr>
              <w:pStyle w:val="105"/>
              <w:bidi w:val="0"/>
              <w:rPr>
                <w:rFonts w:hint="default"/>
                <w:highlight w:val="none"/>
                <w:lang w:val="en-US" w:eastAsia="zh-CN"/>
              </w:rPr>
            </w:pPr>
          </w:p>
        </w:tc>
      </w:tr>
      <w:tr w14:paraId="556C6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7AD01A6">
            <w:pPr>
              <w:pStyle w:val="105"/>
              <w:bidi w:val="0"/>
              <w:rPr>
                <w:rFonts w:hint="default"/>
                <w:highlight w:val="none"/>
                <w:lang w:val="en-US" w:eastAsia="zh-CN"/>
              </w:rPr>
            </w:pPr>
            <w:r>
              <w:rPr>
                <w:rFonts w:hint="default"/>
                <w:highlight w:val="none"/>
                <w:lang w:val="en-US" w:eastAsia="zh-CN"/>
              </w:rPr>
              <w:t>回转</w:t>
            </w:r>
          </w:p>
        </w:tc>
        <w:tc>
          <w:tcPr>
            <w:tcW w:w="513" w:type="dxa"/>
            <w:tcBorders>
              <w:tl2br w:val="nil"/>
              <w:tr2bl w:val="nil"/>
            </w:tcBorders>
            <w:noWrap w:val="0"/>
            <w:vAlign w:val="center"/>
          </w:tcPr>
          <w:p w14:paraId="4AB5557F">
            <w:pPr>
              <w:pStyle w:val="105"/>
              <w:bidi w:val="0"/>
              <w:rPr>
                <w:rFonts w:hint="default"/>
                <w:highlight w:val="none"/>
                <w:lang w:val="en-US" w:eastAsia="zh-CN"/>
              </w:rPr>
            </w:pPr>
            <w:r>
              <w:rPr>
                <w:rFonts w:hint="default"/>
                <w:highlight w:val="none"/>
                <w:lang w:val="en-US" w:eastAsia="zh-CN"/>
              </w:rPr>
              <w:t>16</w:t>
            </w:r>
          </w:p>
        </w:tc>
        <w:tc>
          <w:tcPr>
            <w:tcW w:w="6041" w:type="dxa"/>
            <w:tcBorders>
              <w:tl2br w:val="nil"/>
              <w:tr2bl w:val="nil"/>
            </w:tcBorders>
            <w:noWrap w:val="0"/>
            <w:vAlign w:val="center"/>
          </w:tcPr>
          <w:p w14:paraId="4B7BCCCA">
            <w:pPr>
              <w:pStyle w:val="105"/>
              <w:bidi w:val="0"/>
              <w:rPr>
                <w:rFonts w:hint="default"/>
                <w:highlight w:val="none"/>
                <w:lang w:val="en-US" w:eastAsia="zh-CN"/>
              </w:rPr>
            </w:pPr>
            <w:r>
              <w:rPr>
                <w:rFonts w:hint="default"/>
                <w:highlight w:val="none"/>
                <w:lang w:val="en-US" w:eastAsia="zh-CN"/>
              </w:rPr>
              <w:t>回转处不设集电器供电的塔式起重机，应设置正反两个方向回转限位开关，开关动作时臂架旋转角度应≤±540°</w:t>
            </w:r>
          </w:p>
        </w:tc>
        <w:tc>
          <w:tcPr>
            <w:tcW w:w="1229" w:type="dxa"/>
            <w:tcBorders>
              <w:tl2br w:val="nil"/>
              <w:tr2bl w:val="nil"/>
            </w:tcBorders>
            <w:noWrap w:val="0"/>
            <w:vAlign w:val="center"/>
          </w:tcPr>
          <w:p w14:paraId="5DD1B288">
            <w:pPr>
              <w:pStyle w:val="105"/>
              <w:bidi w:val="0"/>
              <w:rPr>
                <w:rFonts w:hint="default"/>
                <w:highlight w:val="none"/>
                <w:lang w:val="en-US" w:eastAsia="zh-CN"/>
              </w:rPr>
            </w:pPr>
          </w:p>
        </w:tc>
      </w:tr>
      <w:tr w14:paraId="61C9D50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B99B151">
            <w:pPr>
              <w:pStyle w:val="105"/>
              <w:bidi w:val="0"/>
              <w:rPr>
                <w:rFonts w:hint="default"/>
                <w:highlight w:val="none"/>
                <w:lang w:val="en-US" w:eastAsia="zh-CN"/>
              </w:rPr>
            </w:pPr>
            <w:r>
              <w:rPr>
                <w:rFonts w:hint="default"/>
                <w:highlight w:val="none"/>
                <w:lang w:val="en-US" w:eastAsia="zh-CN"/>
              </w:rPr>
              <w:t>起升系统</w:t>
            </w:r>
          </w:p>
        </w:tc>
        <w:tc>
          <w:tcPr>
            <w:tcW w:w="513" w:type="dxa"/>
            <w:tcBorders>
              <w:tl2br w:val="nil"/>
              <w:tr2bl w:val="nil"/>
            </w:tcBorders>
            <w:noWrap w:val="0"/>
            <w:vAlign w:val="center"/>
          </w:tcPr>
          <w:p w14:paraId="6413DFF0">
            <w:pPr>
              <w:pStyle w:val="105"/>
              <w:bidi w:val="0"/>
              <w:rPr>
                <w:rFonts w:hint="default"/>
                <w:highlight w:val="none"/>
                <w:lang w:val="en-US" w:eastAsia="zh-CN"/>
              </w:rPr>
            </w:pPr>
            <w:r>
              <w:rPr>
                <w:rFonts w:hint="default"/>
                <w:highlight w:val="none"/>
                <w:lang w:val="en-US" w:eastAsia="zh-CN"/>
              </w:rPr>
              <w:t>17</w:t>
            </w:r>
          </w:p>
        </w:tc>
        <w:tc>
          <w:tcPr>
            <w:tcW w:w="6041" w:type="dxa"/>
            <w:tcBorders>
              <w:tl2br w:val="nil"/>
              <w:tr2bl w:val="nil"/>
            </w:tcBorders>
            <w:noWrap w:val="0"/>
            <w:vAlign w:val="center"/>
          </w:tcPr>
          <w:p w14:paraId="0EF27B82">
            <w:pPr>
              <w:pStyle w:val="105"/>
              <w:bidi w:val="0"/>
              <w:rPr>
                <w:rFonts w:hint="default"/>
                <w:highlight w:val="none"/>
                <w:lang w:val="en-US" w:eastAsia="zh-CN"/>
              </w:rPr>
            </w:pPr>
            <w:r>
              <w:rPr>
                <w:rFonts w:hint="default"/>
                <w:highlight w:val="none"/>
                <w:lang w:val="en-US" w:eastAsia="zh-CN"/>
              </w:rPr>
              <w:t>起重力矩限制器灵敏可靠，限制值&lt;额定载荷110%，显示误差≤额定载荷±5%</w:t>
            </w:r>
          </w:p>
        </w:tc>
        <w:tc>
          <w:tcPr>
            <w:tcW w:w="1229" w:type="dxa"/>
            <w:tcBorders>
              <w:tl2br w:val="nil"/>
              <w:tr2bl w:val="nil"/>
            </w:tcBorders>
            <w:noWrap w:val="0"/>
            <w:vAlign w:val="center"/>
          </w:tcPr>
          <w:p w14:paraId="4279D8B6">
            <w:pPr>
              <w:pStyle w:val="105"/>
              <w:bidi w:val="0"/>
              <w:rPr>
                <w:rFonts w:hint="default"/>
                <w:highlight w:val="none"/>
                <w:lang w:val="en-US" w:eastAsia="zh-CN"/>
              </w:rPr>
            </w:pPr>
          </w:p>
        </w:tc>
      </w:tr>
      <w:tr w14:paraId="10846D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0AFC299">
            <w:pPr>
              <w:pStyle w:val="105"/>
              <w:bidi w:val="0"/>
              <w:rPr>
                <w:rFonts w:hint="default"/>
                <w:highlight w:val="none"/>
                <w:lang w:val="en-US" w:eastAsia="zh-CN"/>
              </w:rPr>
            </w:pPr>
          </w:p>
        </w:tc>
        <w:tc>
          <w:tcPr>
            <w:tcW w:w="513" w:type="dxa"/>
            <w:tcBorders>
              <w:tl2br w:val="nil"/>
              <w:tr2bl w:val="nil"/>
            </w:tcBorders>
            <w:noWrap w:val="0"/>
            <w:vAlign w:val="center"/>
          </w:tcPr>
          <w:p w14:paraId="52C433CE">
            <w:pPr>
              <w:pStyle w:val="105"/>
              <w:bidi w:val="0"/>
              <w:rPr>
                <w:rFonts w:hint="default"/>
                <w:highlight w:val="none"/>
                <w:lang w:val="en-US" w:eastAsia="zh-CN"/>
              </w:rPr>
            </w:pPr>
            <w:r>
              <w:rPr>
                <w:rFonts w:hint="default"/>
                <w:highlight w:val="none"/>
                <w:lang w:val="en-US" w:eastAsia="zh-CN"/>
              </w:rPr>
              <w:t>18</w:t>
            </w:r>
          </w:p>
        </w:tc>
        <w:tc>
          <w:tcPr>
            <w:tcW w:w="6041" w:type="dxa"/>
            <w:tcBorders>
              <w:tl2br w:val="nil"/>
              <w:tr2bl w:val="nil"/>
            </w:tcBorders>
            <w:noWrap w:val="0"/>
            <w:vAlign w:val="center"/>
          </w:tcPr>
          <w:p w14:paraId="246E9D49">
            <w:pPr>
              <w:pStyle w:val="105"/>
              <w:bidi w:val="0"/>
              <w:rPr>
                <w:rFonts w:hint="default"/>
                <w:highlight w:val="none"/>
                <w:lang w:val="en-US" w:eastAsia="zh-CN"/>
              </w:rPr>
            </w:pPr>
            <w:r>
              <w:rPr>
                <w:rFonts w:hint="default"/>
                <w:highlight w:val="none"/>
                <w:lang w:val="en-US" w:eastAsia="zh-CN"/>
              </w:rPr>
              <w:t>起升高度限位器灵敏可靠，安全越程≥800mm</w:t>
            </w:r>
          </w:p>
        </w:tc>
        <w:tc>
          <w:tcPr>
            <w:tcW w:w="1229" w:type="dxa"/>
            <w:tcBorders>
              <w:tl2br w:val="nil"/>
              <w:tr2bl w:val="nil"/>
            </w:tcBorders>
            <w:noWrap w:val="0"/>
            <w:vAlign w:val="center"/>
          </w:tcPr>
          <w:p w14:paraId="4D304025">
            <w:pPr>
              <w:pStyle w:val="105"/>
              <w:bidi w:val="0"/>
              <w:rPr>
                <w:rFonts w:hint="default"/>
                <w:highlight w:val="none"/>
                <w:lang w:val="en-US" w:eastAsia="zh-CN"/>
              </w:rPr>
            </w:pPr>
          </w:p>
        </w:tc>
      </w:tr>
      <w:tr w14:paraId="17CEBD6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71E591A">
            <w:pPr>
              <w:pStyle w:val="105"/>
              <w:bidi w:val="0"/>
              <w:rPr>
                <w:rFonts w:hint="default"/>
                <w:highlight w:val="none"/>
                <w:lang w:val="en-US" w:eastAsia="zh-CN"/>
              </w:rPr>
            </w:pPr>
          </w:p>
        </w:tc>
        <w:tc>
          <w:tcPr>
            <w:tcW w:w="513" w:type="dxa"/>
            <w:tcBorders>
              <w:tl2br w:val="nil"/>
              <w:tr2bl w:val="nil"/>
            </w:tcBorders>
            <w:noWrap w:val="0"/>
            <w:vAlign w:val="center"/>
          </w:tcPr>
          <w:p w14:paraId="161C8A87">
            <w:pPr>
              <w:pStyle w:val="105"/>
              <w:bidi w:val="0"/>
              <w:rPr>
                <w:rFonts w:hint="default"/>
                <w:highlight w:val="none"/>
                <w:lang w:val="en-US" w:eastAsia="zh-CN"/>
              </w:rPr>
            </w:pPr>
            <w:r>
              <w:rPr>
                <w:rFonts w:hint="default"/>
                <w:highlight w:val="none"/>
                <w:lang w:val="en-US" w:eastAsia="zh-CN"/>
              </w:rPr>
              <w:t>19</w:t>
            </w:r>
          </w:p>
        </w:tc>
        <w:tc>
          <w:tcPr>
            <w:tcW w:w="6041" w:type="dxa"/>
            <w:tcBorders>
              <w:tl2br w:val="nil"/>
              <w:tr2bl w:val="nil"/>
            </w:tcBorders>
            <w:noWrap w:val="0"/>
            <w:vAlign w:val="center"/>
          </w:tcPr>
          <w:p w14:paraId="245BA9C1">
            <w:pPr>
              <w:pStyle w:val="105"/>
              <w:bidi w:val="0"/>
              <w:rPr>
                <w:rFonts w:hint="default"/>
                <w:highlight w:val="none"/>
                <w:lang w:val="en-US" w:eastAsia="zh-CN"/>
              </w:rPr>
            </w:pPr>
            <w:r>
              <w:rPr>
                <w:rFonts w:hint="default"/>
                <w:highlight w:val="none"/>
                <w:lang w:val="en-US" w:eastAsia="zh-CN"/>
              </w:rPr>
              <w:t>起重量限制器灵敏可靠，限制值＜额定载荷110%，显示误差≤额定载荷±5%</w:t>
            </w:r>
          </w:p>
        </w:tc>
        <w:tc>
          <w:tcPr>
            <w:tcW w:w="1229" w:type="dxa"/>
            <w:tcBorders>
              <w:tl2br w:val="nil"/>
              <w:tr2bl w:val="nil"/>
            </w:tcBorders>
            <w:noWrap w:val="0"/>
            <w:vAlign w:val="center"/>
          </w:tcPr>
          <w:p w14:paraId="0C02C57E">
            <w:pPr>
              <w:pStyle w:val="105"/>
              <w:bidi w:val="0"/>
              <w:rPr>
                <w:rFonts w:hint="default"/>
                <w:highlight w:val="none"/>
                <w:lang w:val="en-US" w:eastAsia="zh-CN"/>
              </w:rPr>
            </w:pPr>
          </w:p>
        </w:tc>
      </w:tr>
      <w:tr w14:paraId="59E578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159052A5">
            <w:pPr>
              <w:pStyle w:val="105"/>
              <w:bidi w:val="0"/>
              <w:rPr>
                <w:rFonts w:hint="default"/>
                <w:highlight w:val="none"/>
                <w:lang w:val="en-US" w:eastAsia="zh-CN"/>
              </w:rPr>
            </w:pPr>
            <w:r>
              <w:rPr>
                <w:rFonts w:hint="default"/>
                <w:highlight w:val="none"/>
                <w:lang w:val="en-US" w:eastAsia="zh-CN"/>
              </w:rPr>
              <w:t>变幅系统</w:t>
            </w:r>
          </w:p>
        </w:tc>
        <w:tc>
          <w:tcPr>
            <w:tcW w:w="513" w:type="dxa"/>
            <w:tcBorders>
              <w:tl2br w:val="nil"/>
              <w:tr2bl w:val="nil"/>
            </w:tcBorders>
            <w:noWrap w:val="0"/>
            <w:vAlign w:val="center"/>
          </w:tcPr>
          <w:p w14:paraId="29A2DD67">
            <w:pPr>
              <w:pStyle w:val="105"/>
              <w:bidi w:val="0"/>
              <w:rPr>
                <w:rFonts w:hint="default"/>
                <w:highlight w:val="none"/>
                <w:lang w:val="en-US" w:eastAsia="zh-CN"/>
              </w:rPr>
            </w:pPr>
            <w:r>
              <w:rPr>
                <w:rFonts w:hint="default"/>
                <w:highlight w:val="none"/>
                <w:lang w:val="en-US" w:eastAsia="zh-CN"/>
              </w:rPr>
              <w:t>20</w:t>
            </w:r>
          </w:p>
        </w:tc>
        <w:tc>
          <w:tcPr>
            <w:tcW w:w="6041" w:type="dxa"/>
            <w:tcBorders>
              <w:tl2br w:val="nil"/>
              <w:tr2bl w:val="nil"/>
            </w:tcBorders>
            <w:noWrap w:val="0"/>
            <w:vAlign w:val="center"/>
          </w:tcPr>
          <w:p w14:paraId="6B3E8513">
            <w:pPr>
              <w:pStyle w:val="105"/>
              <w:bidi w:val="0"/>
              <w:rPr>
                <w:rFonts w:hint="default"/>
                <w:highlight w:val="none"/>
                <w:lang w:val="en-US" w:eastAsia="zh-CN"/>
              </w:rPr>
            </w:pPr>
            <w:r>
              <w:rPr>
                <w:rFonts w:hint="default"/>
                <w:highlight w:val="none"/>
                <w:lang w:val="en-US" w:eastAsia="zh-CN"/>
              </w:rPr>
              <w:t>应设置小车断绳、小车断轴保护装置，可靠有效</w:t>
            </w:r>
          </w:p>
        </w:tc>
        <w:tc>
          <w:tcPr>
            <w:tcW w:w="1229" w:type="dxa"/>
            <w:tcBorders>
              <w:tl2br w:val="nil"/>
              <w:tr2bl w:val="nil"/>
            </w:tcBorders>
            <w:noWrap w:val="0"/>
            <w:vAlign w:val="center"/>
          </w:tcPr>
          <w:p w14:paraId="1FBA7BC7">
            <w:pPr>
              <w:pStyle w:val="105"/>
              <w:bidi w:val="0"/>
              <w:rPr>
                <w:rFonts w:hint="default"/>
                <w:highlight w:val="none"/>
                <w:lang w:val="en-US" w:eastAsia="zh-CN"/>
              </w:rPr>
            </w:pPr>
          </w:p>
        </w:tc>
      </w:tr>
      <w:tr w14:paraId="02A26BA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77479BC5">
            <w:pPr>
              <w:pStyle w:val="105"/>
              <w:bidi w:val="0"/>
              <w:rPr>
                <w:rFonts w:hint="default"/>
                <w:highlight w:val="none"/>
                <w:lang w:val="en-US" w:eastAsia="zh-CN"/>
              </w:rPr>
            </w:pPr>
          </w:p>
        </w:tc>
        <w:tc>
          <w:tcPr>
            <w:tcW w:w="513" w:type="dxa"/>
            <w:tcBorders>
              <w:tl2br w:val="nil"/>
              <w:tr2bl w:val="nil"/>
            </w:tcBorders>
            <w:noWrap w:val="0"/>
            <w:vAlign w:val="center"/>
          </w:tcPr>
          <w:p w14:paraId="0E634CF7">
            <w:pPr>
              <w:pStyle w:val="105"/>
              <w:bidi w:val="0"/>
              <w:rPr>
                <w:rFonts w:hint="default"/>
                <w:highlight w:val="none"/>
                <w:lang w:val="en-US" w:eastAsia="zh-CN"/>
              </w:rPr>
            </w:pPr>
            <w:r>
              <w:rPr>
                <w:rFonts w:hint="default"/>
                <w:highlight w:val="none"/>
                <w:lang w:val="en-US" w:eastAsia="zh-CN"/>
              </w:rPr>
              <w:t>21</w:t>
            </w:r>
          </w:p>
        </w:tc>
        <w:tc>
          <w:tcPr>
            <w:tcW w:w="6041" w:type="dxa"/>
            <w:tcBorders>
              <w:tl2br w:val="nil"/>
              <w:tr2bl w:val="nil"/>
            </w:tcBorders>
            <w:noWrap w:val="0"/>
            <w:vAlign w:val="center"/>
          </w:tcPr>
          <w:p w14:paraId="499AE565">
            <w:pPr>
              <w:pStyle w:val="105"/>
              <w:bidi w:val="0"/>
              <w:rPr>
                <w:rFonts w:hint="default"/>
                <w:highlight w:val="none"/>
                <w:lang w:val="en-US" w:eastAsia="zh-CN"/>
              </w:rPr>
            </w:pPr>
            <w:r>
              <w:rPr>
                <w:rFonts w:hint="default"/>
                <w:highlight w:val="none"/>
                <w:lang w:val="en-US" w:eastAsia="zh-CN"/>
              </w:rPr>
              <w:t>小车变幅检修挂篮牢固可靠</w:t>
            </w:r>
          </w:p>
        </w:tc>
        <w:tc>
          <w:tcPr>
            <w:tcW w:w="1229" w:type="dxa"/>
            <w:tcBorders>
              <w:tl2br w:val="nil"/>
              <w:tr2bl w:val="nil"/>
            </w:tcBorders>
            <w:noWrap w:val="0"/>
            <w:vAlign w:val="center"/>
          </w:tcPr>
          <w:p w14:paraId="2FF3EF3B">
            <w:pPr>
              <w:pStyle w:val="105"/>
              <w:bidi w:val="0"/>
              <w:rPr>
                <w:rFonts w:hint="default"/>
                <w:highlight w:val="none"/>
                <w:lang w:val="en-US" w:eastAsia="zh-CN"/>
              </w:rPr>
            </w:pPr>
          </w:p>
        </w:tc>
      </w:tr>
      <w:tr w14:paraId="3748FF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FDE4A71">
            <w:pPr>
              <w:pStyle w:val="105"/>
              <w:bidi w:val="0"/>
              <w:rPr>
                <w:rFonts w:hint="default"/>
                <w:highlight w:val="none"/>
                <w:lang w:val="en-US" w:eastAsia="zh-CN"/>
              </w:rPr>
            </w:pPr>
          </w:p>
        </w:tc>
        <w:tc>
          <w:tcPr>
            <w:tcW w:w="513" w:type="dxa"/>
            <w:tcBorders>
              <w:tl2br w:val="nil"/>
              <w:tr2bl w:val="nil"/>
            </w:tcBorders>
            <w:noWrap w:val="0"/>
            <w:vAlign w:val="center"/>
          </w:tcPr>
          <w:p w14:paraId="79D2AA77">
            <w:pPr>
              <w:pStyle w:val="105"/>
              <w:bidi w:val="0"/>
              <w:rPr>
                <w:rFonts w:hint="default"/>
                <w:highlight w:val="none"/>
                <w:lang w:val="en-US" w:eastAsia="zh-CN"/>
              </w:rPr>
            </w:pPr>
            <w:r>
              <w:rPr>
                <w:rFonts w:hint="default"/>
                <w:highlight w:val="none"/>
                <w:lang w:val="en-US" w:eastAsia="zh-CN"/>
              </w:rPr>
              <w:t>22</w:t>
            </w:r>
          </w:p>
        </w:tc>
        <w:tc>
          <w:tcPr>
            <w:tcW w:w="6041" w:type="dxa"/>
            <w:tcBorders>
              <w:tl2br w:val="nil"/>
              <w:tr2bl w:val="nil"/>
            </w:tcBorders>
            <w:noWrap w:val="0"/>
            <w:vAlign w:val="center"/>
          </w:tcPr>
          <w:p w14:paraId="010F6982">
            <w:pPr>
              <w:pStyle w:val="105"/>
              <w:bidi w:val="0"/>
              <w:rPr>
                <w:rFonts w:hint="default"/>
                <w:highlight w:val="none"/>
                <w:lang w:val="en-US" w:eastAsia="zh-CN"/>
              </w:rPr>
            </w:pPr>
            <w:r>
              <w:rPr>
                <w:rFonts w:hint="default"/>
                <w:highlight w:val="none"/>
                <w:lang w:val="en-US" w:eastAsia="zh-CN"/>
              </w:rPr>
              <w:t>小车行程限位开关和终端缓冲装置齐全有效。限位开关动作后应保证小车停车时其端部距缓冲装置距离≥200mm</w:t>
            </w:r>
          </w:p>
        </w:tc>
        <w:tc>
          <w:tcPr>
            <w:tcW w:w="1229" w:type="dxa"/>
            <w:tcBorders>
              <w:tl2br w:val="nil"/>
              <w:tr2bl w:val="nil"/>
            </w:tcBorders>
            <w:noWrap w:val="0"/>
            <w:vAlign w:val="center"/>
          </w:tcPr>
          <w:p w14:paraId="73F7B804">
            <w:pPr>
              <w:pStyle w:val="105"/>
              <w:bidi w:val="0"/>
              <w:rPr>
                <w:rFonts w:hint="default"/>
                <w:highlight w:val="none"/>
                <w:lang w:val="en-US" w:eastAsia="zh-CN"/>
              </w:rPr>
            </w:pPr>
          </w:p>
        </w:tc>
      </w:tr>
      <w:tr w14:paraId="7ACD4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57209F6E">
            <w:pPr>
              <w:pStyle w:val="105"/>
              <w:bidi w:val="0"/>
              <w:rPr>
                <w:rFonts w:hint="default"/>
                <w:highlight w:val="none"/>
                <w:lang w:val="en-US" w:eastAsia="zh-CN"/>
              </w:rPr>
            </w:pPr>
            <w:r>
              <w:rPr>
                <w:rFonts w:hint="default"/>
                <w:highlight w:val="none"/>
                <w:lang w:val="en-US" w:eastAsia="zh-CN"/>
              </w:rPr>
              <w:t>机构及零部件</w:t>
            </w:r>
          </w:p>
        </w:tc>
        <w:tc>
          <w:tcPr>
            <w:tcW w:w="513" w:type="dxa"/>
            <w:tcBorders>
              <w:tl2br w:val="nil"/>
              <w:tr2bl w:val="nil"/>
            </w:tcBorders>
            <w:noWrap w:val="0"/>
            <w:vAlign w:val="center"/>
          </w:tcPr>
          <w:p w14:paraId="089F1205">
            <w:pPr>
              <w:pStyle w:val="105"/>
              <w:bidi w:val="0"/>
              <w:rPr>
                <w:rFonts w:hint="default"/>
                <w:highlight w:val="none"/>
                <w:lang w:val="en-US" w:eastAsia="zh-CN"/>
              </w:rPr>
            </w:pPr>
            <w:r>
              <w:rPr>
                <w:rFonts w:hint="default"/>
                <w:highlight w:val="none"/>
                <w:lang w:val="en-US" w:eastAsia="zh-CN"/>
              </w:rPr>
              <w:t>23</w:t>
            </w:r>
          </w:p>
        </w:tc>
        <w:tc>
          <w:tcPr>
            <w:tcW w:w="6041" w:type="dxa"/>
            <w:tcBorders>
              <w:tl2br w:val="nil"/>
              <w:tr2bl w:val="nil"/>
            </w:tcBorders>
            <w:noWrap w:val="0"/>
            <w:vAlign w:val="center"/>
          </w:tcPr>
          <w:p w14:paraId="135AE44F">
            <w:pPr>
              <w:pStyle w:val="105"/>
              <w:bidi w:val="0"/>
              <w:rPr>
                <w:rFonts w:hint="default"/>
                <w:highlight w:val="none"/>
                <w:lang w:val="en-US" w:eastAsia="zh-CN"/>
              </w:rPr>
            </w:pPr>
            <w:r>
              <w:rPr>
                <w:rFonts w:hint="default"/>
                <w:highlight w:val="none"/>
                <w:lang w:val="en-US" w:eastAsia="zh-CN"/>
              </w:rPr>
              <w:t>吊钩钩体无裂纹、补焊，危险截面、钩筋无塑性变形，挂绳处截面磨损量＜原高度的10%</w:t>
            </w:r>
          </w:p>
        </w:tc>
        <w:tc>
          <w:tcPr>
            <w:tcW w:w="1229" w:type="dxa"/>
            <w:tcBorders>
              <w:tl2br w:val="nil"/>
              <w:tr2bl w:val="nil"/>
            </w:tcBorders>
            <w:noWrap w:val="0"/>
            <w:vAlign w:val="center"/>
          </w:tcPr>
          <w:p w14:paraId="0C9FFE77">
            <w:pPr>
              <w:pStyle w:val="105"/>
              <w:bidi w:val="0"/>
              <w:rPr>
                <w:rFonts w:hint="default"/>
                <w:highlight w:val="none"/>
                <w:lang w:val="en-US" w:eastAsia="zh-CN"/>
              </w:rPr>
            </w:pPr>
          </w:p>
        </w:tc>
      </w:tr>
      <w:tr w14:paraId="3CE57C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BE3CCA">
            <w:pPr>
              <w:pStyle w:val="105"/>
              <w:bidi w:val="0"/>
              <w:rPr>
                <w:rFonts w:hint="default"/>
                <w:highlight w:val="none"/>
                <w:lang w:val="en-US" w:eastAsia="zh-CN"/>
              </w:rPr>
            </w:pPr>
          </w:p>
        </w:tc>
        <w:tc>
          <w:tcPr>
            <w:tcW w:w="513" w:type="dxa"/>
            <w:tcBorders>
              <w:tl2br w:val="nil"/>
              <w:tr2bl w:val="nil"/>
            </w:tcBorders>
            <w:noWrap w:val="0"/>
            <w:vAlign w:val="center"/>
          </w:tcPr>
          <w:p w14:paraId="03303823">
            <w:pPr>
              <w:pStyle w:val="105"/>
              <w:bidi w:val="0"/>
              <w:rPr>
                <w:rFonts w:hint="default"/>
                <w:highlight w:val="none"/>
                <w:lang w:val="en-US" w:eastAsia="zh-CN"/>
              </w:rPr>
            </w:pPr>
            <w:r>
              <w:rPr>
                <w:rFonts w:hint="default"/>
                <w:highlight w:val="none"/>
                <w:lang w:val="en-US" w:eastAsia="zh-CN"/>
              </w:rPr>
              <w:t>24</w:t>
            </w:r>
          </w:p>
        </w:tc>
        <w:tc>
          <w:tcPr>
            <w:tcW w:w="6041" w:type="dxa"/>
            <w:tcBorders>
              <w:tl2br w:val="nil"/>
              <w:tr2bl w:val="nil"/>
            </w:tcBorders>
            <w:noWrap w:val="0"/>
            <w:vAlign w:val="center"/>
          </w:tcPr>
          <w:p w14:paraId="2439E3DF">
            <w:pPr>
              <w:pStyle w:val="105"/>
              <w:bidi w:val="0"/>
              <w:rPr>
                <w:rFonts w:hint="default"/>
                <w:highlight w:val="none"/>
                <w:lang w:val="en-US" w:eastAsia="zh-CN"/>
              </w:rPr>
            </w:pPr>
            <w:r>
              <w:rPr>
                <w:rFonts w:hint="default"/>
                <w:highlight w:val="none"/>
                <w:lang w:val="en-US" w:eastAsia="zh-CN"/>
              </w:rPr>
              <w:t>滑轮转动灵活可靠，无卡塞现象；无裂纹或轮缘破损；滑轮绳槽壁厚磨损量＜原壁厚的20%；滑轮槽底的磨损量＜相应钢丝绳直径的25%</w:t>
            </w:r>
          </w:p>
        </w:tc>
        <w:tc>
          <w:tcPr>
            <w:tcW w:w="1229" w:type="dxa"/>
            <w:tcBorders>
              <w:tl2br w:val="nil"/>
              <w:tr2bl w:val="nil"/>
            </w:tcBorders>
            <w:noWrap w:val="0"/>
            <w:vAlign w:val="center"/>
          </w:tcPr>
          <w:p w14:paraId="2225AEDA">
            <w:pPr>
              <w:pStyle w:val="105"/>
              <w:bidi w:val="0"/>
              <w:rPr>
                <w:rFonts w:hint="default"/>
                <w:highlight w:val="none"/>
                <w:lang w:val="en-US" w:eastAsia="zh-CN"/>
              </w:rPr>
            </w:pPr>
          </w:p>
        </w:tc>
      </w:tr>
      <w:tr w14:paraId="2097196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30929B15">
            <w:pPr>
              <w:pStyle w:val="105"/>
              <w:bidi w:val="0"/>
              <w:rPr>
                <w:rFonts w:hint="default"/>
                <w:highlight w:val="none"/>
                <w:lang w:val="en-US" w:eastAsia="zh-CN"/>
              </w:rPr>
            </w:pPr>
          </w:p>
        </w:tc>
        <w:tc>
          <w:tcPr>
            <w:tcW w:w="513" w:type="dxa"/>
            <w:tcBorders>
              <w:tl2br w:val="nil"/>
              <w:tr2bl w:val="nil"/>
            </w:tcBorders>
            <w:noWrap w:val="0"/>
            <w:vAlign w:val="center"/>
          </w:tcPr>
          <w:p w14:paraId="1245D91E">
            <w:pPr>
              <w:pStyle w:val="105"/>
              <w:bidi w:val="0"/>
              <w:rPr>
                <w:rFonts w:hint="default"/>
                <w:highlight w:val="none"/>
                <w:lang w:val="en-US" w:eastAsia="zh-CN"/>
              </w:rPr>
            </w:pPr>
            <w:r>
              <w:rPr>
                <w:rFonts w:hint="default"/>
                <w:highlight w:val="none"/>
                <w:lang w:val="en-US" w:eastAsia="zh-CN"/>
              </w:rPr>
              <w:t>25</w:t>
            </w:r>
          </w:p>
        </w:tc>
        <w:tc>
          <w:tcPr>
            <w:tcW w:w="6041" w:type="dxa"/>
            <w:tcBorders>
              <w:tl2br w:val="nil"/>
              <w:tr2bl w:val="nil"/>
            </w:tcBorders>
            <w:noWrap w:val="0"/>
            <w:vAlign w:val="center"/>
          </w:tcPr>
          <w:p w14:paraId="15B66F70">
            <w:pPr>
              <w:pStyle w:val="105"/>
              <w:bidi w:val="0"/>
              <w:rPr>
                <w:rFonts w:hint="default"/>
                <w:highlight w:val="none"/>
                <w:lang w:val="en-US" w:eastAsia="zh-CN"/>
              </w:rPr>
            </w:pPr>
            <w:r>
              <w:rPr>
                <w:rFonts w:hint="default"/>
                <w:highlight w:val="none"/>
                <w:lang w:val="en-US" w:eastAsia="zh-CN"/>
              </w:rPr>
              <w:t>滑轮上的钢丝绳防脱装置应完整、可靠，该装置与滑轮最外缘的间隙≤钢丝绳直径的20%</w:t>
            </w:r>
          </w:p>
        </w:tc>
        <w:tc>
          <w:tcPr>
            <w:tcW w:w="1229" w:type="dxa"/>
            <w:tcBorders>
              <w:tl2br w:val="nil"/>
              <w:tr2bl w:val="nil"/>
            </w:tcBorders>
            <w:noWrap w:val="0"/>
            <w:vAlign w:val="center"/>
          </w:tcPr>
          <w:p w14:paraId="2F523861">
            <w:pPr>
              <w:pStyle w:val="105"/>
              <w:bidi w:val="0"/>
              <w:rPr>
                <w:rFonts w:hint="default"/>
                <w:highlight w:val="none"/>
                <w:lang w:val="en-US" w:eastAsia="zh-CN"/>
              </w:rPr>
            </w:pPr>
          </w:p>
        </w:tc>
      </w:tr>
      <w:tr w14:paraId="40E69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C200DFE">
            <w:pPr>
              <w:pStyle w:val="105"/>
              <w:bidi w:val="0"/>
              <w:rPr>
                <w:rFonts w:hint="default"/>
                <w:highlight w:val="none"/>
                <w:lang w:val="en-US" w:eastAsia="zh-CN"/>
              </w:rPr>
            </w:pPr>
          </w:p>
        </w:tc>
        <w:tc>
          <w:tcPr>
            <w:tcW w:w="513" w:type="dxa"/>
            <w:tcBorders>
              <w:tl2br w:val="nil"/>
              <w:tr2bl w:val="nil"/>
            </w:tcBorders>
            <w:noWrap w:val="0"/>
            <w:vAlign w:val="center"/>
          </w:tcPr>
          <w:p w14:paraId="06FF7460">
            <w:pPr>
              <w:pStyle w:val="105"/>
              <w:bidi w:val="0"/>
              <w:rPr>
                <w:rFonts w:hint="default"/>
                <w:highlight w:val="none"/>
                <w:lang w:val="en-US" w:eastAsia="zh-CN"/>
              </w:rPr>
            </w:pPr>
            <w:r>
              <w:rPr>
                <w:rFonts w:hint="default"/>
                <w:highlight w:val="none"/>
                <w:lang w:val="en-US" w:eastAsia="zh-CN"/>
              </w:rPr>
              <w:t>26</w:t>
            </w:r>
          </w:p>
        </w:tc>
        <w:tc>
          <w:tcPr>
            <w:tcW w:w="6041" w:type="dxa"/>
            <w:tcBorders>
              <w:tl2br w:val="nil"/>
              <w:tr2bl w:val="nil"/>
            </w:tcBorders>
            <w:noWrap w:val="0"/>
            <w:vAlign w:val="center"/>
          </w:tcPr>
          <w:p w14:paraId="14BC20AA">
            <w:pPr>
              <w:pStyle w:val="105"/>
              <w:bidi w:val="0"/>
              <w:rPr>
                <w:rFonts w:hint="default"/>
                <w:highlight w:val="none"/>
                <w:lang w:val="en-US" w:eastAsia="zh-CN"/>
              </w:rPr>
            </w:pPr>
            <w:r>
              <w:rPr>
                <w:rFonts w:hint="default"/>
                <w:highlight w:val="none"/>
                <w:lang w:val="en-US" w:eastAsia="zh-CN"/>
              </w:rPr>
              <w:t>吊钩防钢丝绳脱钩装置应完整可靠</w:t>
            </w:r>
          </w:p>
        </w:tc>
        <w:tc>
          <w:tcPr>
            <w:tcW w:w="1229" w:type="dxa"/>
            <w:tcBorders>
              <w:tl2br w:val="nil"/>
              <w:tr2bl w:val="nil"/>
            </w:tcBorders>
            <w:noWrap w:val="0"/>
            <w:vAlign w:val="center"/>
          </w:tcPr>
          <w:p w14:paraId="1525C5DF">
            <w:pPr>
              <w:pStyle w:val="105"/>
              <w:bidi w:val="0"/>
              <w:rPr>
                <w:rFonts w:hint="default"/>
                <w:highlight w:val="none"/>
                <w:lang w:val="en-US" w:eastAsia="zh-CN"/>
              </w:rPr>
            </w:pPr>
          </w:p>
        </w:tc>
      </w:tr>
      <w:tr w14:paraId="1F9469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B1B8783">
            <w:pPr>
              <w:pStyle w:val="105"/>
              <w:bidi w:val="0"/>
              <w:rPr>
                <w:rFonts w:hint="default"/>
                <w:highlight w:val="none"/>
                <w:lang w:val="en-US" w:eastAsia="zh-CN"/>
              </w:rPr>
            </w:pPr>
          </w:p>
        </w:tc>
        <w:tc>
          <w:tcPr>
            <w:tcW w:w="513" w:type="dxa"/>
            <w:tcBorders>
              <w:tl2br w:val="nil"/>
              <w:tr2bl w:val="nil"/>
            </w:tcBorders>
            <w:noWrap w:val="0"/>
            <w:vAlign w:val="center"/>
          </w:tcPr>
          <w:p w14:paraId="0BFD9CDC">
            <w:pPr>
              <w:pStyle w:val="105"/>
              <w:bidi w:val="0"/>
              <w:rPr>
                <w:rFonts w:hint="default"/>
                <w:highlight w:val="none"/>
                <w:lang w:val="en-US" w:eastAsia="zh-CN"/>
              </w:rPr>
            </w:pPr>
            <w:r>
              <w:rPr>
                <w:rFonts w:hint="default"/>
                <w:highlight w:val="none"/>
                <w:lang w:val="en-US" w:eastAsia="zh-CN"/>
              </w:rPr>
              <w:t>27</w:t>
            </w:r>
          </w:p>
        </w:tc>
        <w:tc>
          <w:tcPr>
            <w:tcW w:w="6041" w:type="dxa"/>
            <w:tcBorders>
              <w:tl2br w:val="nil"/>
              <w:tr2bl w:val="nil"/>
            </w:tcBorders>
            <w:noWrap w:val="0"/>
            <w:vAlign w:val="center"/>
          </w:tcPr>
          <w:p w14:paraId="0E24E0BB">
            <w:pPr>
              <w:pStyle w:val="105"/>
              <w:bidi w:val="0"/>
              <w:rPr>
                <w:rFonts w:hint="default"/>
                <w:highlight w:val="none"/>
                <w:lang w:val="en-US" w:eastAsia="zh-CN"/>
              </w:rPr>
            </w:pPr>
            <w:r>
              <w:rPr>
                <w:rFonts w:hint="default"/>
                <w:highlight w:val="none"/>
                <w:lang w:val="en-US" w:eastAsia="zh-CN"/>
              </w:rPr>
              <w:t>卷筒壁不应有裂纹，筒壁磨损量＜原壁厚的10%；多层缠绕的卷筒，端部应有比最外层钢丝绳高出2倍钢丝绳直径的凸缘</w:t>
            </w:r>
          </w:p>
        </w:tc>
        <w:tc>
          <w:tcPr>
            <w:tcW w:w="1229" w:type="dxa"/>
            <w:tcBorders>
              <w:tl2br w:val="nil"/>
              <w:tr2bl w:val="nil"/>
            </w:tcBorders>
            <w:noWrap w:val="0"/>
            <w:vAlign w:val="top"/>
          </w:tcPr>
          <w:p w14:paraId="02BBCB5D">
            <w:pPr>
              <w:pStyle w:val="105"/>
              <w:bidi w:val="0"/>
              <w:rPr>
                <w:rFonts w:hint="default"/>
                <w:highlight w:val="none"/>
                <w:lang w:val="en-US" w:eastAsia="zh-CN"/>
              </w:rPr>
            </w:pPr>
          </w:p>
        </w:tc>
      </w:tr>
      <w:tr w14:paraId="22E145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C326FB4">
            <w:pPr>
              <w:pStyle w:val="105"/>
              <w:bidi w:val="0"/>
              <w:rPr>
                <w:rFonts w:hint="default"/>
                <w:highlight w:val="none"/>
                <w:lang w:val="en-US" w:eastAsia="zh-CN"/>
              </w:rPr>
            </w:pPr>
          </w:p>
        </w:tc>
        <w:tc>
          <w:tcPr>
            <w:tcW w:w="513" w:type="dxa"/>
            <w:tcBorders>
              <w:tl2br w:val="nil"/>
              <w:tr2bl w:val="nil"/>
            </w:tcBorders>
            <w:noWrap w:val="0"/>
            <w:vAlign w:val="center"/>
          </w:tcPr>
          <w:p w14:paraId="1E2D66F6">
            <w:pPr>
              <w:pStyle w:val="105"/>
              <w:bidi w:val="0"/>
              <w:rPr>
                <w:rFonts w:hint="default"/>
                <w:highlight w:val="none"/>
                <w:lang w:val="en-US" w:eastAsia="zh-CN"/>
              </w:rPr>
            </w:pPr>
            <w:r>
              <w:rPr>
                <w:rFonts w:hint="default"/>
                <w:highlight w:val="none"/>
                <w:lang w:val="en-US" w:eastAsia="zh-CN"/>
              </w:rPr>
              <w:t>28</w:t>
            </w:r>
          </w:p>
        </w:tc>
        <w:tc>
          <w:tcPr>
            <w:tcW w:w="6041" w:type="dxa"/>
            <w:tcBorders>
              <w:tl2br w:val="nil"/>
              <w:tr2bl w:val="nil"/>
            </w:tcBorders>
            <w:noWrap w:val="0"/>
            <w:vAlign w:val="center"/>
          </w:tcPr>
          <w:p w14:paraId="2D46D8E3">
            <w:pPr>
              <w:pStyle w:val="105"/>
              <w:bidi w:val="0"/>
              <w:rPr>
                <w:rFonts w:hint="default"/>
                <w:highlight w:val="none"/>
                <w:lang w:val="en-US" w:eastAsia="zh-CN"/>
              </w:rPr>
            </w:pPr>
            <w:r>
              <w:rPr>
                <w:rFonts w:hint="default"/>
                <w:highlight w:val="none"/>
                <w:lang w:val="en-US" w:eastAsia="zh-CN"/>
              </w:rPr>
              <w:t>卷筒上钢丝绳应排列有序，有钢丝绳防脱槽装置。该装置与卷筒最外缘的间隙≤钢丝绳直径的20%</w:t>
            </w:r>
          </w:p>
        </w:tc>
        <w:tc>
          <w:tcPr>
            <w:tcW w:w="1229" w:type="dxa"/>
            <w:tcBorders>
              <w:tl2br w:val="nil"/>
              <w:tr2bl w:val="nil"/>
            </w:tcBorders>
            <w:noWrap w:val="0"/>
            <w:vAlign w:val="center"/>
          </w:tcPr>
          <w:p w14:paraId="639E3B0B">
            <w:pPr>
              <w:pStyle w:val="105"/>
              <w:bidi w:val="0"/>
              <w:rPr>
                <w:rFonts w:hint="default"/>
                <w:highlight w:val="none"/>
                <w:lang w:val="en-US" w:eastAsia="zh-CN"/>
              </w:rPr>
            </w:pPr>
          </w:p>
        </w:tc>
      </w:tr>
      <w:tr w14:paraId="4F72FB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876323A">
            <w:pPr>
              <w:pStyle w:val="105"/>
              <w:bidi w:val="0"/>
              <w:rPr>
                <w:rFonts w:hint="default"/>
                <w:highlight w:val="none"/>
                <w:lang w:val="en-US" w:eastAsia="zh-CN"/>
              </w:rPr>
            </w:pPr>
          </w:p>
        </w:tc>
        <w:tc>
          <w:tcPr>
            <w:tcW w:w="513" w:type="dxa"/>
            <w:tcBorders>
              <w:tl2br w:val="nil"/>
              <w:tr2bl w:val="nil"/>
            </w:tcBorders>
            <w:noWrap w:val="0"/>
            <w:vAlign w:val="center"/>
          </w:tcPr>
          <w:p w14:paraId="248AA6F7">
            <w:pPr>
              <w:pStyle w:val="105"/>
              <w:bidi w:val="0"/>
              <w:rPr>
                <w:rFonts w:hint="default"/>
                <w:highlight w:val="none"/>
                <w:lang w:val="en-US" w:eastAsia="zh-CN"/>
              </w:rPr>
            </w:pPr>
            <w:r>
              <w:rPr>
                <w:rFonts w:hint="default"/>
                <w:highlight w:val="none"/>
                <w:lang w:val="en-US" w:eastAsia="zh-CN"/>
              </w:rPr>
              <w:t>29</w:t>
            </w:r>
          </w:p>
        </w:tc>
        <w:tc>
          <w:tcPr>
            <w:tcW w:w="6041" w:type="dxa"/>
            <w:tcBorders>
              <w:tl2br w:val="nil"/>
              <w:tr2bl w:val="nil"/>
            </w:tcBorders>
            <w:noWrap w:val="0"/>
            <w:vAlign w:val="center"/>
          </w:tcPr>
          <w:p w14:paraId="44448620">
            <w:pPr>
              <w:pStyle w:val="105"/>
              <w:bidi w:val="0"/>
              <w:rPr>
                <w:rFonts w:hint="default"/>
                <w:highlight w:val="none"/>
                <w:lang w:val="en-US" w:eastAsia="zh-CN"/>
              </w:rPr>
            </w:pPr>
            <w:r>
              <w:rPr>
                <w:rFonts w:hint="default"/>
                <w:highlight w:val="none"/>
                <w:lang w:val="en-US" w:eastAsia="zh-CN"/>
              </w:rPr>
              <w:t>钢丝绳穿绕正确，无干涉；钢丝绳规格符合说明书规定，端部应固结可靠；使用应符合GB5972—2009规定</w:t>
            </w:r>
          </w:p>
        </w:tc>
        <w:tc>
          <w:tcPr>
            <w:tcW w:w="1229" w:type="dxa"/>
            <w:tcBorders>
              <w:tl2br w:val="nil"/>
              <w:tr2bl w:val="nil"/>
            </w:tcBorders>
            <w:noWrap w:val="0"/>
            <w:vAlign w:val="center"/>
          </w:tcPr>
          <w:p w14:paraId="5CA99567">
            <w:pPr>
              <w:pStyle w:val="105"/>
              <w:bidi w:val="0"/>
              <w:rPr>
                <w:rFonts w:hint="default"/>
                <w:highlight w:val="none"/>
                <w:lang w:val="en-US" w:eastAsia="zh-CN"/>
              </w:rPr>
            </w:pPr>
          </w:p>
        </w:tc>
      </w:tr>
      <w:tr w14:paraId="7826D8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DED901">
            <w:pPr>
              <w:pStyle w:val="105"/>
              <w:bidi w:val="0"/>
              <w:rPr>
                <w:rFonts w:hint="default"/>
                <w:highlight w:val="none"/>
                <w:lang w:val="en-US" w:eastAsia="zh-CN"/>
              </w:rPr>
            </w:pPr>
          </w:p>
        </w:tc>
        <w:tc>
          <w:tcPr>
            <w:tcW w:w="513" w:type="dxa"/>
            <w:tcBorders>
              <w:tl2br w:val="nil"/>
              <w:tr2bl w:val="nil"/>
            </w:tcBorders>
            <w:noWrap w:val="0"/>
            <w:vAlign w:val="center"/>
          </w:tcPr>
          <w:p w14:paraId="3E117A4E">
            <w:pPr>
              <w:pStyle w:val="105"/>
              <w:bidi w:val="0"/>
              <w:rPr>
                <w:rFonts w:hint="default"/>
                <w:highlight w:val="none"/>
                <w:lang w:val="en-US" w:eastAsia="zh-CN"/>
              </w:rPr>
            </w:pPr>
            <w:r>
              <w:rPr>
                <w:rFonts w:hint="default"/>
                <w:highlight w:val="none"/>
                <w:lang w:val="en-US" w:eastAsia="zh-CN"/>
              </w:rPr>
              <w:t>30</w:t>
            </w:r>
          </w:p>
        </w:tc>
        <w:tc>
          <w:tcPr>
            <w:tcW w:w="6041" w:type="dxa"/>
            <w:tcBorders>
              <w:tl2br w:val="nil"/>
              <w:tr2bl w:val="nil"/>
            </w:tcBorders>
            <w:noWrap w:val="0"/>
            <w:vAlign w:val="center"/>
          </w:tcPr>
          <w:p w14:paraId="61325168">
            <w:pPr>
              <w:pStyle w:val="105"/>
              <w:bidi w:val="0"/>
              <w:rPr>
                <w:rFonts w:hint="default"/>
                <w:highlight w:val="none"/>
                <w:lang w:val="en-US" w:eastAsia="zh-CN"/>
              </w:rPr>
            </w:pPr>
            <w:r>
              <w:rPr>
                <w:rFonts w:hint="default"/>
                <w:highlight w:val="none"/>
                <w:lang w:val="en-US" w:eastAsia="zh-CN"/>
              </w:rPr>
              <w:t>制动器不应有裂纹、过度磨损、塑性变形、缺件等缺陷，调整适宜，制动平稳可靠</w:t>
            </w:r>
          </w:p>
        </w:tc>
        <w:tc>
          <w:tcPr>
            <w:tcW w:w="1229" w:type="dxa"/>
            <w:tcBorders>
              <w:tl2br w:val="nil"/>
              <w:tr2bl w:val="nil"/>
            </w:tcBorders>
            <w:noWrap w:val="0"/>
            <w:vAlign w:val="center"/>
          </w:tcPr>
          <w:p w14:paraId="6AD20D8A">
            <w:pPr>
              <w:pStyle w:val="105"/>
              <w:bidi w:val="0"/>
              <w:rPr>
                <w:rFonts w:hint="default"/>
                <w:highlight w:val="none"/>
                <w:lang w:val="en-US" w:eastAsia="zh-CN"/>
              </w:rPr>
            </w:pPr>
          </w:p>
        </w:tc>
      </w:tr>
      <w:tr w14:paraId="258D12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9CC8291">
            <w:pPr>
              <w:pStyle w:val="105"/>
              <w:bidi w:val="0"/>
              <w:rPr>
                <w:rFonts w:hint="default"/>
                <w:highlight w:val="none"/>
                <w:lang w:val="en-US" w:eastAsia="zh-CN"/>
              </w:rPr>
            </w:pPr>
          </w:p>
        </w:tc>
        <w:tc>
          <w:tcPr>
            <w:tcW w:w="513" w:type="dxa"/>
            <w:tcBorders>
              <w:tl2br w:val="nil"/>
              <w:tr2bl w:val="nil"/>
            </w:tcBorders>
            <w:noWrap w:val="0"/>
            <w:vAlign w:val="center"/>
          </w:tcPr>
          <w:p w14:paraId="27E08230">
            <w:pPr>
              <w:pStyle w:val="105"/>
              <w:bidi w:val="0"/>
              <w:rPr>
                <w:rFonts w:hint="default"/>
                <w:highlight w:val="none"/>
                <w:lang w:val="en-US" w:eastAsia="zh-CN"/>
              </w:rPr>
            </w:pPr>
            <w:r>
              <w:rPr>
                <w:rFonts w:hint="default"/>
                <w:highlight w:val="none"/>
                <w:lang w:val="en-US" w:eastAsia="zh-CN"/>
              </w:rPr>
              <w:t>31</w:t>
            </w:r>
          </w:p>
        </w:tc>
        <w:tc>
          <w:tcPr>
            <w:tcW w:w="6041" w:type="dxa"/>
            <w:tcBorders>
              <w:tl2br w:val="nil"/>
              <w:tr2bl w:val="nil"/>
            </w:tcBorders>
            <w:noWrap w:val="0"/>
            <w:vAlign w:val="center"/>
          </w:tcPr>
          <w:p w14:paraId="633764C8">
            <w:pPr>
              <w:pStyle w:val="105"/>
              <w:bidi w:val="0"/>
              <w:rPr>
                <w:rFonts w:hint="default"/>
                <w:highlight w:val="none"/>
                <w:lang w:val="en-US" w:eastAsia="zh-CN"/>
              </w:rPr>
            </w:pPr>
            <w:r>
              <w:rPr>
                <w:rFonts w:hint="default"/>
                <w:highlight w:val="none"/>
                <w:lang w:val="en-US" w:eastAsia="zh-CN"/>
              </w:rPr>
              <w:t>传动装置固定牢固，运行平稳</w:t>
            </w:r>
          </w:p>
        </w:tc>
        <w:tc>
          <w:tcPr>
            <w:tcW w:w="1229" w:type="dxa"/>
            <w:tcBorders>
              <w:tl2br w:val="nil"/>
              <w:tr2bl w:val="nil"/>
            </w:tcBorders>
            <w:noWrap w:val="0"/>
            <w:vAlign w:val="center"/>
          </w:tcPr>
          <w:p w14:paraId="35E027C6">
            <w:pPr>
              <w:pStyle w:val="105"/>
              <w:bidi w:val="0"/>
              <w:rPr>
                <w:rFonts w:hint="default"/>
                <w:highlight w:val="none"/>
                <w:lang w:val="en-US" w:eastAsia="zh-CN"/>
              </w:rPr>
            </w:pPr>
          </w:p>
        </w:tc>
      </w:tr>
      <w:tr w14:paraId="67F241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C449D00">
            <w:pPr>
              <w:pStyle w:val="105"/>
              <w:bidi w:val="0"/>
              <w:rPr>
                <w:rFonts w:hint="default"/>
                <w:highlight w:val="none"/>
                <w:lang w:val="en-US" w:eastAsia="zh-CN"/>
              </w:rPr>
            </w:pPr>
          </w:p>
        </w:tc>
        <w:tc>
          <w:tcPr>
            <w:tcW w:w="513" w:type="dxa"/>
            <w:tcBorders>
              <w:tl2br w:val="nil"/>
              <w:tr2bl w:val="nil"/>
            </w:tcBorders>
            <w:noWrap w:val="0"/>
            <w:vAlign w:val="center"/>
          </w:tcPr>
          <w:p w14:paraId="1CEF0AD3">
            <w:pPr>
              <w:pStyle w:val="105"/>
              <w:bidi w:val="0"/>
              <w:rPr>
                <w:rFonts w:hint="default"/>
                <w:highlight w:val="none"/>
                <w:lang w:val="en-US" w:eastAsia="zh-CN"/>
              </w:rPr>
            </w:pPr>
            <w:r>
              <w:rPr>
                <w:rFonts w:hint="default"/>
                <w:highlight w:val="none"/>
                <w:lang w:val="en-US" w:eastAsia="zh-CN"/>
              </w:rPr>
              <w:t>32</w:t>
            </w:r>
          </w:p>
        </w:tc>
        <w:tc>
          <w:tcPr>
            <w:tcW w:w="6041" w:type="dxa"/>
            <w:tcBorders>
              <w:tl2br w:val="nil"/>
              <w:tr2bl w:val="nil"/>
            </w:tcBorders>
            <w:noWrap w:val="0"/>
            <w:vAlign w:val="center"/>
          </w:tcPr>
          <w:p w14:paraId="1A59730F">
            <w:pPr>
              <w:pStyle w:val="105"/>
              <w:bidi w:val="0"/>
              <w:rPr>
                <w:rFonts w:hint="default"/>
                <w:highlight w:val="none"/>
                <w:lang w:val="en-US" w:eastAsia="zh-CN"/>
              </w:rPr>
            </w:pPr>
            <w:r>
              <w:rPr>
                <w:rFonts w:hint="default"/>
                <w:highlight w:val="none"/>
                <w:lang w:val="en-US" w:eastAsia="zh-CN"/>
              </w:rPr>
              <w:t>有可能伤人的活动零部件的防护罩齐全</w:t>
            </w:r>
          </w:p>
        </w:tc>
        <w:tc>
          <w:tcPr>
            <w:tcW w:w="1229" w:type="dxa"/>
            <w:tcBorders>
              <w:tl2br w:val="nil"/>
              <w:tr2bl w:val="nil"/>
            </w:tcBorders>
            <w:noWrap w:val="0"/>
            <w:vAlign w:val="center"/>
          </w:tcPr>
          <w:p w14:paraId="5BA0DEB5">
            <w:pPr>
              <w:pStyle w:val="105"/>
              <w:bidi w:val="0"/>
              <w:rPr>
                <w:rFonts w:hint="default"/>
                <w:highlight w:val="none"/>
                <w:lang w:val="en-US" w:eastAsia="zh-CN"/>
              </w:rPr>
            </w:pPr>
          </w:p>
        </w:tc>
      </w:tr>
      <w:tr w14:paraId="0D2390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E1CCB2C">
            <w:pPr>
              <w:pStyle w:val="105"/>
              <w:bidi w:val="0"/>
              <w:rPr>
                <w:rFonts w:hint="default"/>
                <w:highlight w:val="none"/>
                <w:lang w:val="en-US" w:eastAsia="zh-CN"/>
              </w:rPr>
            </w:pPr>
            <w:r>
              <w:rPr>
                <w:rFonts w:hint="default"/>
                <w:highlight w:val="none"/>
                <w:lang w:val="en-US" w:eastAsia="zh-CN"/>
              </w:rPr>
              <w:t>电气系统</w:t>
            </w:r>
          </w:p>
        </w:tc>
        <w:tc>
          <w:tcPr>
            <w:tcW w:w="513" w:type="dxa"/>
            <w:tcBorders>
              <w:tl2br w:val="nil"/>
              <w:tr2bl w:val="nil"/>
            </w:tcBorders>
            <w:noWrap w:val="0"/>
            <w:vAlign w:val="center"/>
          </w:tcPr>
          <w:p w14:paraId="46B5813E">
            <w:pPr>
              <w:pStyle w:val="105"/>
              <w:bidi w:val="0"/>
              <w:rPr>
                <w:rFonts w:hint="default"/>
                <w:highlight w:val="none"/>
                <w:lang w:val="en-US" w:eastAsia="zh-CN"/>
              </w:rPr>
            </w:pPr>
            <w:r>
              <w:rPr>
                <w:rFonts w:hint="default"/>
                <w:highlight w:val="none"/>
                <w:lang w:val="en-US" w:eastAsia="zh-CN"/>
              </w:rPr>
              <w:t>33</w:t>
            </w:r>
          </w:p>
        </w:tc>
        <w:tc>
          <w:tcPr>
            <w:tcW w:w="6041" w:type="dxa"/>
            <w:tcBorders>
              <w:tl2br w:val="nil"/>
              <w:tr2bl w:val="nil"/>
            </w:tcBorders>
            <w:noWrap w:val="0"/>
            <w:vAlign w:val="center"/>
          </w:tcPr>
          <w:p w14:paraId="0C1FC08A">
            <w:pPr>
              <w:pStyle w:val="105"/>
              <w:bidi w:val="0"/>
              <w:rPr>
                <w:rFonts w:hint="default"/>
                <w:highlight w:val="none"/>
                <w:lang w:val="en-US" w:eastAsia="zh-CN"/>
              </w:rPr>
            </w:pPr>
            <w:r>
              <w:rPr>
                <w:rFonts w:hint="default"/>
                <w:highlight w:val="none"/>
                <w:lang w:val="en-US" w:eastAsia="zh-CN"/>
              </w:rPr>
              <w:t>仪表、照明、报警系统完好、可靠；控制、操纵装置动作灵活、可靠</w:t>
            </w:r>
          </w:p>
        </w:tc>
        <w:tc>
          <w:tcPr>
            <w:tcW w:w="1229" w:type="dxa"/>
            <w:tcBorders>
              <w:tl2br w:val="nil"/>
              <w:tr2bl w:val="nil"/>
            </w:tcBorders>
            <w:noWrap w:val="0"/>
            <w:vAlign w:val="center"/>
          </w:tcPr>
          <w:p w14:paraId="3467D0D1">
            <w:pPr>
              <w:pStyle w:val="105"/>
              <w:bidi w:val="0"/>
              <w:rPr>
                <w:rFonts w:hint="default"/>
                <w:highlight w:val="none"/>
                <w:lang w:val="en-US" w:eastAsia="zh-CN"/>
              </w:rPr>
            </w:pPr>
          </w:p>
        </w:tc>
      </w:tr>
      <w:tr w14:paraId="5A7424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598A970">
            <w:pPr>
              <w:pStyle w:val="105"/>
              <w:bidi w:val="0"/>
              <w:rPr>
                <w:rFonts w:hint="default"/>
                <w:highlight w:val="none"/>
                <w:lang w:val="en-US" w:eastAsia="zh-CN"/>
              </w:rPr>
            </w:pPr>
          </w:p>
        </w:tc>
        <w:tc>
          <w:tcPr>
            <w:tcW w:w="513" w:type="dxa"/>
            <w:tcBorders>
              <w:tl2br w:val="nil"/>
              <w:tr2bl w:val="nil"/>
            </w:tcBorders>
            <w:noWrap w:val="0"/>
            <w:vAlign w:val="center"/>
          </w:tcPr>
          <w:p w14:paraId="4A781143">
            <w:pPr>
              <w:pStyle w:val="105"/>
              <w:bidi w:val="0"/>
              <w:rPr>
                <w:rFonts w:hint="default"/>
                <w:highlight w:val="none"/>
                <w:lang w:val="en-US" w:eastAsia="zh-CN"/>
              </w:rPr>
            </w:pPr>
            <w:r>
              <w:rPr>
                <w:rFonts w:hint="default"/>
                <w:highlight w:val="none"/>
                <w:lang w:val="en-US" w:eastAsia="zh-CN"/>
              </w:rPr>
              <w:t>34</w:t>
            </w:r>
          </w:p>
        </w:tc>
        <w:tc>
          <w:tcPr>
            <w:tcW w:w="6041" w:type="dxa"/>
            <w:tcBorders>
              <w:tl2br w:val="nil"/>
              <w:tr2bl w:val="nil"/>
            </w:tcBorders>
            <w:noWrap w:val="0"/>
            <w:vAlign w:val="center"/>
          </w:tcPr>
          <w:p w14:paraId="06FF40CB">
            <w:pPr>
              <w:pStyle w:val="105"/>
              <w:bidi w:val="0"/>
              <w:rPr>
                <w:rFonts w:hint="default"/>
                <w:highlight w:val="none"/>
                <w:lang w:val="en-US" w:eastAsia="zh-CN"/>
              </w:rPr>
            </w:pPr>
            <w:r>
              <w:rPr>
                <w:rFonts w:hint="default"/>
                <w:highlight w:val="none"/>
                <w:lang w:val="en-US" w:eastAsia="zh-CN"/>
              </w:rPr>
              <w:t>短路、过电流、失压及零位保护灵敏可靠</w:t>
            </w:r>
          </w:p>
        </w:tc>
        <w:tc>
          <w:tcPr>
            <w:tcW w:w="1229" w:type="dxa"/>
            <w:tcBorders>
              <w:tl2br w:val="nil"/>
              <w:tr2bl w:val="nil"/>
            </w:tcBorders>
            <w:noWrap w:val="0"/>
            <w:vAlign w:val="center"/>
          </w:tcPr>
          <w:p w14:paraId="789076C3">
            <w:pPr>
              <w:pStyle w:val="105"/>
              <w:bidi w:val="0"/>
              <w:rPr>
                <w:rFonts w:hint="default"/>
                <w:highlight w:val="none"/>
                <w:lang w:val="en-US" w:eastAsia="zh-CN"/>
              </w:rPr>
            </w:pPr>
          </w:p>
        </w:tc>
      </w:tr>
      <w:tr w14:paraId="01088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CB5D365">
            <w:pPr>
              <w:pStyle w:val="105"/>
              <w:bidi w:val="0"/>
              <w:rPr>
                <w:rFonts w:hint="default"/>
                <w:highlight w:val="none"/>
                <w:lang w:val="en-US" w:eastAsia="zh-CN"/>
              </w:rPr>
            </w:pPr>
          </w:p>
        </w:tc>
        <w:tc>
          <w:tcPr>
            <w:tcW w:w="513" w:type="dxa"/>
            <w:tcBorders>
              <w:tl2br w:val="nil"/>
              <w:tr2bl w:val="nil"/>
            </w:tcBorders>
            <w:noWrap w:val="0"/>
            <w:vAlign w:val="center"/>
          </w:tcPr>
          <w:p w14:paraId="11D63B99">
            <w:pPr>
              <w:pStyle w:val="105"/>
              <w:bidi w:val="0"/>
              <w:rPr>
                <w:rFonts w:hint="default"/>
                <w:highlight w:val="none"/>
                <w:lang w:val="en-US" w:eastAsia="zh-CN"/>
              </w:rPr>
            </w:pPr>
            <w:r>
              <w:rPr>
                <w:rFonts w:hint="default"/>
                <w:highlight w:val="none"/>
                <w:lang w:val="en-US" w:eastAsia="zh-CN"/>
              </w:rPr>
              <w:t>35</w:t>
            </w:r>
          </w:p>
        </w:tc>
        <w:tc>
          <w:tcPr>
            <w:tcW w:w="6041" w:type="dxa"/>
            <w:tcBorders>
              <w:tl2br w:val="nil"/>
              <w:tr2bl w:val="nil"/>
            </w:tcBorders>
            <w:noWrap w:val="0"/>
            <w:vAlign w:val="center"/>
          </w:tcPr>
          <w:p w14:paraId="3DC1E8B4">
            <w:pPr>
              <w:pStyle w:val="105"/>
              <w:bidi w:val="0"/>
              <w:rPr>
                <w:rFonts w:hint="default"/>
                <w:highlight w:val="none"/>
                <w:lang w:val="en-US" w:eastAsia="zh-CN"/>
              </w:rPr>
            </w:pPr>
            <w:r>
              <w:rPr>
                <w:rFonts w:hint="default"/>
                <w:highlight w:val="none"/>
                <w:lang w:val="en-US" w:eastAsia="zh-CN"/>
              </w:rPr>
              <w:t>切断总电源的急停开关应为非自动复位型，可靠有效</w:t>
            </w:r>
          </w:p>
        </w:tc>
        <w:tc>
          <w:tcPr>
            <w:tcW w:w="1229" w:type="dxa"/>
            <w:tcBorders>
              <w:tl2br w:val="nil"/>
              <w:tr2bl w:val="nil"/>
            </w:tcBorders>
            <w:noWrap w:val="0"/>
            <w:vAlign w:val="center"/>
          </w:tcPr>
          <w:p w14:paraId="7D8A6573">
            <w:pPr>
              <w:pStyle w:val="105"/>
              <w:bidi w:val="0"/>
              <w:rPr>
                <w:rFonts w:hint="default"/>
                <w:highlight w:val="none"/>
                <w:lang w:val="en-US" w:eastAsia="zh-CN"/>
              </w:rPr>
            </w:pPr>
          </w:p>
        </w:tc>
      </w:tr>
      <w:tr w14:paraId="2B80A1C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C6689C2">
            <w:pPr>
              <w:pStyle w:val="105"/>
              <w:bidi w:val="0"/>
              <w:rPr>
                <w:rFonts w:hint="default"/>
                <w:highlight w:val="none"/>
                <w:lang w:val="en-US" w:eastAsia="zh-CN"/>
              </w:rPr>
            </w:pPr>
          </w:p>
        </w:tc>
        <w:tc>
          <w:tcPr>
            <w:tcW w:w="513" w:type="dxa"/>
            <w:tcBorders>
              <w:tl2br w:val="nil"/>
              <w:tr2bl w:val="nil"/>
            </w:tcBorders>
            <w:noWrap w:val="0"/>
            <w:vAlign w:val="center"/>
          </w:tcPr>
          <w:p w14:paraId="42A076A2">
            <w:pPr>
              <w:pStyle w:val="105"/>
              <w:bidi w:val="0"/>
              <w:rPr>
                <w:rFonts w:hint="default"/>
                <w:highlight w:val="none"/>
                <w:lang w:val="en-US" w:eastAsia="zh-CN"/>
              </w:rPr>
            </w:pPr>
            <w:r>
              <w:rPr>
                <w:rFonts w:hint="default"/>
                <w:highlight w:val="none"/>
                <w:lang w:val="en-US" w:eastAsia="zh-CN"/>
              </w:rPr>
              <w:t>36</w:t>
            </w:r>
          </w:p>
        </w:tc>
        <w:tc>
          <w:tcPr>
            <w:tcW w:w="6041" w:type="dxa"/>
            <w:tcBorders>
              <w:tl2br w:val="nil"/>
              <w:tr2bl w:val="nil"/>
            </w:tcBorders>
            <w:noWrap w:val="0"/>
            <w:vAlign w:val="center"/>
          </w:tcPr>
          <w:p w14:paraId="3910DCB7">
            <w:pPr>
              <w:pStyle w:val="105"/>
              <w:bidi w:val="0"/>
              <w:rPr>
                <w:rFonts w:hint="default"/>
                <w:highlight w:val="none"/>
                <w:lang w:val="en-US" w:eastAsia="zh-CN"/>
              </w:rPr>
            </w:pPr>
            <w:r>
              <w:rPr>
                <w:rFonts w:hint="default"/>
                <w:highlight w:val="none"/>
                <w:lang w:val="en-US" w:eastAsia="zh-CN"/>
              </w:rPr>
              <w:t>主电路和控制电路的对地绝缘电阻≥MΩ</w:t>
            </w:r>
          </w:p>
        </w:tc>
        <w:tc>
          <w:tcPr>
            <w:tcW w:w="1229" w:type="dxa"/>
            <w:tcBorders>
              <w:tl2br w:val="nil"/>
              <w:tr2bl w:val="nil"/>
            </w:tcBorders>
            <w:noWrap w:val="0"/>
            <w:vAlign w:val="center"/>
          </w:tcPr>
          <w:p w14:paraId="4488B9F1">
            <w:pPr>
              <w:pStyle w:val="105"/>
              <w:bidi w:val="0"/>
              <w:rPr>
                <w:rFonts w:hint="default"/>
                <w:highlight w:val="none"/>
                <w:lang w:val="en-US" w:eastAsia="zh-CN"/>
              </w:rPr>
            </w:pPr>
          </w:p>
        </w:tc>
      </w:tr>
      <w:tr w14:paraId="5498FF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3DEDB3">
            <w:pPr>
              <w:pStyle w:val="105"/>
              <w:bidi w:val="0"/>
              <w:rPr>
                <w:rFonts w:hint="default"/>
                <w:highlight w:val="none"/>
                <w:lang w:val="en-US" w:eastAsia="zh-CN"/>
              </w:rPr>
            </w:pPr>
          </w:p>
        </w:tc>
        <w:tc>
          <w:tcPr>
            <w:tcW w:w="513" w:type="dxa"/>
            <w:tcBorders>
              <w:tl2br w:val="nil"/>
              <w:tr2bl w:val="nil"/>
            </w:tcBorders>
            <w:noWrap w:val="0"/>
            <w:vAlign w:val="center"/>
          </w:tcPr>
          <w:p w14:paraId="16773DB1">
            <w:pPr>
              <w:pStyle w:val="105"/>
              <w:bidi w:val="0"/>
              <w:rPr>
                <w:rFonts w:hint="default"/>
                <w:highlight w:val="none"/>
                <w:lang w:val="en-US" w:eastAsia="zh-CN"/>
              </w:rPr>
            </w:pPr>
            <w:r>
              <w:rPr>
                <w:rFonts w:hint="default"/>
                <w:highlight w:val="none"/>
                <w:lang w:val="en-US" w:eastAsia="zh-CN"/>
              </w:rPr>
              <w:t>37</w:t>
            </w:r>
          </w:p>
        </w:tc>
        <w:tc>
          <w:tcPr>
            <w:tcW w:w="6041" w:type="dxa"/>
            <w:tcBorders>
              <w:tl2br w:val="nil"/>
              <w:tr2bl w:val="nil"/>
            </w:tcBorders>
            <w:noWrap w:val="0"/>
            <w:vAlign w:val="center"/>
          </w:tcPr>
          <w:p w14:paraId="14EA7CFB">
            <w:pPr>
              <w:pStyle w:val="105"/>
              <w:bidi w:val="0"/>
              <w:rPr>
                <w:rFonts w:hint="default"/>
                <w:highlight w:val="none"/>
                <w:lang w:val="en-US" w:eastAsia="zh-CN"/>
              </w:rPr>
            </w:pPr>
            <w:r>
              <w:rPr>
                <w:rFonts w:hint="default"/>
                <w:highlight w:val="none"/>
                <w:lang w:val="en-US" w:eastAsia="zh-CN"/>
              </w:rPr>
              <w:t>声响信号完好</w:t>
            </w:r>
          </w:p>
        </w:tc>
        <w:tc>
          <w:tcPr>
            <w:tcW w:w="1229" w:type="dxa"/>
            <w:tcBorders>
              <w:tl2br w:val="nil"/>
              <w:tr2bl w:val="nil"/>
            </w:tcBorders>
            <w:noWrap w:val="0"/>
            <w:vAlign w:val="center"/>
          </w:tcPr>
          <w:p w14:paraId="3EC1C3B1">
            <w:pPr>
              <w:pStyle w:val="105"/>
              <w:bidi w:val="0"/>
              <w:rPr>
                <w:rFonts w:hint="default"/>
                <w:highlight w:val="none"/>
                <w:lang w:val="en-US" w:eastAsia="zh-CN"/>
              </w:rPr>
            </w:pPr>
          </w:p>
        </w:tc>
      </w:tr>
      <w:tr w14:paraId="7508B4E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A762E4C">
            <w:pPr>
              <w:pStyle w:val="105"/>
              <w:bidi w:val="0"/>
              <w:rPr>
                <w:rFonts w:hint="default"/>
                <w:highlight w:val="none"/>
                <w:lang w:val="en-US" w:eastAsia="zh-CN"/>
              </w:rPr>
            </w:pPr>
          </w:p>
        </w:tc>
        <w:tc>
          <w:tcPr>
            <w:tcW w:w="513" w:type="dxa"/>
            <w:tcBorders>
              <w:tl2br w:val="nil"/>
              <w:tr2bl w:val="nil"/>
            </w:tcBorders>
            <w:noWrap w:val="0"/>
            <w:vAlign w:val="center"/>
          </w:tcPr>
          <w:p w14:paraId="401FA66A">
            <w:pPr>
              <w:pStyle w:val="105"/>
              <w:bidi w:val="0"/>
              <w:rPr>
                <w:rFonts w:hint="default"/>
                <w:highlight w:val="none"/>
                <w:lang w:val="en-US" w:eastAsia="zh-CN"/>
              </w:rPr>
            </w:pPr>
            <w:r>
              <w:rPr>
                <w:rFonts w:hint="default"/>
                <w:highlight w:val="none"/>
                <w:lang w:val="en-US" w:eastAsia="zh-CN"/>
              </w:rPr>
              <w:t>38</w:t>
            </w:r>
          </w:p>
        </w:tc>
        <w:tc>
          <w:tcPr>
            <w:tcW w:w="6041" w:type="dxa"/>
            <w:tcBorders>
              <w:tl2br w:val="nil"/>
              <w:tr2bl w:val="nil"/>
            </w:tcBorders>
            <w:noWrap w:val="0"/>
            <w:vAlign w:val="center"/>
          </w:tcPr>
          <w:p w14:paraId="15559056">
            <w:pPr>
              <w:pStyle w:val="105"/>
              <w:bidi w:val="0"/>
              <w:rPr>
                <w:rFonts w:hint="default"/>
                <w:highlight w:val="none"/>
                <w:lang w:val="en-US" w:eastAsia="zh-CN"/>
              </w:rPr>
            </w:pPr>
            <w:r>
              <w:rPr>
                <w:rFonts w:hint="default"/>
                <w:highlight w:val="none"/>
                <w:lang w:val="en-US" w:eastAsia="zh-CN"/>
              </w:rPr>
              <w:t>专用开关箱单独设置并有警示标志</w:t>
            </w:r>
          </w:p>
        </w:tc>
        <w:tc>
          <w:tcPr>
            <w:tcW w:w="1229" w:type="dxa"/>
            <w:tcBorders>
              <w:tl2br w:val="nil"/>
              <w:tr2bl w:val="nil"/>
            </w:tcBorders>
            <w:noWrap w:val="0"/>
            <w:vAlign w:val="center"/>
          </w:tcPr>
          <w:p w14:paraId="333BCB3E">
            <w:pPr>
              <w:pStyle w:val="105"/>
              <w:bidi w:val="0"/>
              <w:rPr>
                <w:rFonts w:hint="default"/>
                <w:highlight w:val="none"/>
                <w:lang w:val="en-US" w:eastAsia="zh-CN"/>
              </w:rPr>
            </w:pPr>
          </w:p>
        </w:tc>
      </w:tr>
      <w:tr w14:paraId="725CDA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FD243E7">
            <w:pPr>
              <w:pStyle w:val="105"/>
              <w:bidi w:val="0"/>
              <w:rPr>
                <w:rFonts w:hint="default"/>
                <w:highlight w:val="none"/>
                <w:lang w:val="en-US" w:eastAsia="zh-CN"/>
              </w:rPr>
            </w:pPr>
          </w:p>
        </w:tc>
        <w:tc>
          <w:tcPr>
            <w:tcW w:w="513" w:type="dxa"/>
            <w:tcBorders>
              <w:tl2br w:val="nil"/>
              <w:tr2bl w:val="nil"/>
            </w:tcBorders>
            <w:noWrap w:val="0"/>
            <w:vAlign w:val="center"/>
          </w:tcPr>
          <w:p w14:paraId="7085356E">
            <w:pPr>
              <w:pStyle w:val="105"/>
              <w:bidi w:val="0"/>
              <w:rPr>
                <w:rFonts w:hint="default"/>
                <w:highlight w:val="none"/>
                <w:lang w:val="en-US" w:eastAsia="zh-CN"/>
              </w:rPr>
            </w:pPr>
            <w:r>
              <w:rPr>
                <w:rFonts w:hint="default"/>
                <w:highlight w:val="none"/>
                <w:lang w:val="en-US" w:eastAsia="zh-CN"/>
              </w:rPr>
              <w:t>39</w:t>
            </w:r>
          </w:p>
        </w:tc>
        <w:tc>
          <w:tcPr>
            <w:tcW w:w="6041" w:type="dxa"/>
            <w:tcBorders>
              <w:tl2br w:val="nil"/>
              <w:tr2bl w:val="nil"/>
            </w:tcBorders>
            <w:noWrap w:val="0"/>
            <w:vAlign w:val="center"/>
          </w:tcPr>
          <w:p w14:paraId="0D870A95">
            <w:pPr>
              <w:pStyle w:val="105"/>
              <w:bidi w:val="0"/>
              <w:rPr>
                <w:rFonts w:hint="default"/>
                <w:highlight w:val="none"/>
                <w:lang w:val="en-US" w:eastAsia="zh-CN"/>
              </w:rPr>
            </w:pPr>
            <w:r>
              <w:rPr>
                <w:rFonts w:hint="default"/>
                <w:highlight w:val="none"/>
                <w:lang w:val="en-US" w:eastAsia="zh-CN"/>
              </w:rPr>
              <w:t>电缆无破损，老化，与金属接触处有绝缘材料隔离</w:t>
            </w:r>
          </w:p>
        </w:tc>
        <w:tc>
          <w:tcPr>
            <w:tcW w:w="1229" w:type="dxa"/>
            <w:tcBorders>
              <w:tl2br w:val="nil"/>
              <w:tr2bl w:val="nil"/>
            </w:tcBorders>
            <w:noWrap w:val="0"/>
            <w:vAlign w:val="center"/>
          </w:tcPr>
          <w:p w14:paraId="0DF8FF8E">
            <w:pPr>
              <w:pStyle w:val="105"/>
              <w:bidi w:val="0"/>
              <w:rPr>
                <w:rFonts w:hint="default"/>
                <w:highlight w:val="none"/>
                <w:lang w:val="en-US" w:eastAsia="zh-CN"/>
              </w:rPr>
            </w:pPr>
          </w:p>
        </w:tc>
      </w:tr>
      <w:tr w14:paraId="6FD5EA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13A760">
            <w:pPr>
              <w:pStyle w:val="105"/>
              <w:bidi w:val="0"/>
              <w:rPr>
                <w:rFonts w:hint="default"/>
                <w:highlight w:val="none"/>
                <w:lang w:val="en-US" w:eastAsia="zh-CN"/>
              </w:rPr>
            </w:pPr>
          </w:p>
        </w:tc>
        <w:tc>
          <w:tcPr>
            <w:tcW w:w="513" w:type="dxa"/>
            <w:tcBorders>
              <w:tl2br w:val="nil"/>
              <w:tr2bl w:val="nil"/>
            </w:tcBorders>
            <w:noWrap w:val="0"/>
            <w:vAlign w:val="center"/>
          </w:tcPr>
          <w:p w14:paraId="3D5EF53D">
            <w:pPr>
              <w:pStyle w:val="105"/>
              <w:bidi w:val="0"/>
              <w:rPr>
                <w:rFonts w:hint="default"/>
                <w:highlight w:val="none"/>
                <w:lang w:val="en-US" w:eastAsia="zh-CN"/>
              </w:rPr>
            </w:pPr>
            <w:r>
              <w:rPr>
                <w:rFonts w:hint="default"/>
                <w:highlight w:val="none"/>
                <w:lang w:val="en-US" w:eastAsia="zh-CN"/>
              </w:rPr>
              <w:t>40</w:t>
            </w:r>
          </w:p>
        </w:tc>
        <w:tc>
          <w:tcPr>
            <w:tcW w:w="6041" w:type="dxa"/>
            <w:tcBorders>
              <w:tl2br w:val="nil"/>
              <w:tr2bl w:val="nil"/>
            </w:tcBorders>
            <w:noWrap w:val="0"/>
            <w:vAlign w:val="center"/>
          </w:tcPr>
          <w:p w14:paraId="2DF07955">
            <w:pPr>
              <w:pStyle w:val="105"/>
              <w:bidi w:val="0"/>
              <w:rPr>
                <w:rFonts w:hint="default"/>
                <w:highlight w:val="none"/>
                <w:lang w:val="en-US" w:eastAsia="zh-CN"/>
              </w:rPr>
            </w:pPr>
            <w:r>
              <w:rPr>
                <w:rFonts w:hint="default"/>
                <w:highlight w:val="none"/>
                <w:lang w:val="en-US" w:eastAsia="zh-CN"/>
              </w:rPr>
              <w:t>塔顶高度大于30m且高于周围建筑物时应安装障碍指示灯，供电不应受停机的影响</w:t>
            </w:r>
          </w:p>
        </w:tc>
        <w:tc>
          <w:tcPr>
            <w:tcW w:w="1229" w:type="dxa"/>
            <w:tcBorders>
              <w:tl2br w:val="nil"/>
              <w:tr2bl w:val="nil"/>
            </w:tcBorders>
            <w:noWrap w:val="0"/>
            <w:vAlign w:val="center"/>
          </w:tcPr>
          <w:p w14:paraId="53ADC7AE">
            <w:pPr>
              <w:pStyle w:val="105"/>
              <w:bidi w:val="0"/>
              <w:rPr>
                <w:rFonts w:hint="default"/>
                <w:highlight w:val="none"/>
                <w:lang w:val="en-US" w:eastAsia="zh-CN"/>
              </w:rPr>
            </w:pPr>
          </w:p>
        </w:tc>
      </w:tr>
      <w:tr w14:paraId="534B83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7D436C1A">
            <w:pPr>
              <w:pStyle w:val="105"/>
              <w:bidi w:val="0"/>
              <w:rPr>
                <w:rFonts w:hint="default"/>
                <w:highlight w:val="none"/>
                <w:lang w:val="en-US" w:eastAsia="zh-CN"/>
              </w:rPr>
            </w:pPr>
          </w:p>
        </w:tc>
        <w:tc>
          <w:tcPr>
            <w:tcW w:w="513" w:type="dxa"/>
            <w:tcBorders>
              <w:tl2br w:val="nil"/>
              <w:tr2bl w:val="nil"/>
            </w:tcBorders>
            <w:noWrap w:val="0"/>
            <w:vAlign w:val="center"/>
          </w:tcPr>
          <w:p w14:paraId="13449C87">
            <w:pPr>
              <w:pStyle w:val="105"/>
              <w:bidi w:val="0"/>
              <w:rPr>
                <w:rFonts w:hint="default"/>
                <w:highlight w:val="none"/>
                <w:lang w:val="en-US" w:eastAsia="zh-CN"/>
              </w:rPr>
            </w:pPr>
            <w:r>
              <w:rPr>
                <w:rFonts w:hint="default"/>
                <w:highlight w:val="none"/>
                <w:lang w:val="en-US" w:eastAsia="zh-CN"/>
              </w:rPr>
              <w:t>41</w:t>
            </w:r>
          </w:p>
        </w:tc>
        <w:tc>
          <w:tcPr>
            <w:tcW w:w="6041" w:type="dxa"/>
            <w:tcBorders>
              <w:tl2br w:val="nil"/>
              <w:tr2bl w:val="nil"/>
            </w:tcBorders>
            <w:noWrap w:val="0"/>
            <w:vAlign w:val="center"/>
          </w:tcPr>
          <w:p w14:paraId="13BDB6C8">
            <w:pPr>
              <w:pStyle w:val="105"/>
              <w:bidi w:val="0"/>
              <w:rPr>
                <w:rFonts w:hint="default"/>
                <w:highlight w:val="none"/>
                <w:lang w:val="en-US" w:eastAsia="zh-CN"/>
              </w:rPr>
            </w:pPr>
            <w:r>
              <w:rPr>
                <w:rFonts w:hint="default"/>
                <w:highlight w:val="none"/>
                <w:lang w:val="en-US" w:eastAsia="zh-CN"/>
              </w:rPr>
              <w:t>臂根铰点高于50m时应设置风速仪</w:t>
            </w:r>
          </w:p>
        </w:tc>
        <w:tc>
          <w:tcPr>
            <w:tcW w:w="1229" w:type="dxa"/>
            <w:tcBorders>
              <w:tl2br w:val="nil"/>
              <w:tr2bl w:val="nil"/>
            </w:tcBorders>
            <w:noWrap w:val="0"/>
            <w:vAlign w:val="center"/>
          </w:tcPr>
          <w:p w14:paraId="0AAE97BA">
            <w:pPr>
              <w:pStyle w:val="105"/>
              <w:bidi w:val="0"/>
              <w:rPr>
                <w:rFonts w:hint="default"/>
                <w:highlight w:val="none"/>
                <w:lang w:val="en-US" w:eastAsia="zh-CN"/>
              </w:rPr>
            </w:pPr>
          </w:p>
        </w:tc>
      </w:tr>
      <w:tr w14:paraId="71D7AD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69FCD5F">
            <w:pPr>
              <w:pStyle w:val="105"/>
              <w:bidi w:val="0"/>
              <w:rPr>
                <w:rFonts w:hint="default"/>
                <w:highlight w:val="none"/>
                <w:lang w:val="en-US" w:eastAsia="zh-CN"/>
              </w:rPr>
            </w:pPr>
            <w:r>
              <w:rPr>
                <w:rFonts w:hint="default"/>
                <w:highlight w:val="none"/>
                <w:lang w:val="en-US" w:eastAsia="zh-CN"/>
              </w:rPr>
              <w:t>司机室</w:t>
            </w:r>
          </w:p>
        </w:tc>
        <w:tc>
          <w:tcPr>
            <w:tcW w:w="513" w:type="dxa"/>
            <w:tcBorders>
              <w:tl2br w:val="nil"/>
              <w:tr2bl w:val="nil"/>
            </w:tcBorders>
            <w:noWrap w:val="0"/>
            <w:vAlign w:val="center"/>
          </w:tcPr>
          <w:p w14:paraId="7F80FBB5">
            <w:pPr>
              <w:pStyle w:val="105"/>
              <w:bidi w:val="0"/>
              <w:rPr>
                <w:rFonts w:hint="default"/>
                <w:highlight w:val="none"/>
                <w:lang w:val="en-US" w:eastAsia="zh-CN"/>
              </w:rPr>
            </w:pPr>
            <w:r>
              <w:rPr>
                <w:rFonts w:hint="default"/>
                <w:highlight w:val="none"/>
                <w:lang w:val="en-US" w:eastAsia="zh-CN"/>
              </w:rPr>
              <w:t>42</w:t>
            </w:r>
          </w:p>
        </w:tc>
        <w:tc>
          <w:tcPr>
            <w:tcW w:w="6041" w:type="dxa"/>
            <w:tcBorders>
              <w:tl2br w:val="nil"/>
              <w:tr2bl w:val="nil"/>
            </w:tcBorders>
            <w:noWrap w:val="0"/>
            <w:vAlign w:val="center"/>
          </w:tcPr>
          <w:p w14:paraId="1ADE153C">
            <w:pPr>
              <w:pStyle w:val="105"/>
              <w:bidi w:val="0"/>
              <w:rPr>
                <w:rFonts w:hint="default"/>
                <w:highlight w:val="none"/>
                <w:lang w:val="en-US" w:eastAsia="zh-CN"/>
              </w:rPr>
            </w:pPr>
            <w:r>
              <w:rPr>
                <w:rFonts w:hint="default"/>
                <w:highlight w:val="none"/>
                <w:lang w:val="en-US" w:eastAsia="zh-CN"/>
              </w:rPr>
              <w:t>性能标牌（显示屏）齐全，清晰</w:t>
            </w:r>
          </w:p>
        </w:tc>
        <w:tc>
          <w:tcPr>
            <w:tcW w:w="1229" w:type="dxa"/>
            <w:tcBorders>
              <w:tl2br w:val="nil"/>
              <w:tr2bl w:val="nil"/>
            </w:tcBorders>
            <w:noWrap w:val="0"/>
            <w:vAlign w:val="center"/>
          </w:tcPr>
          <w:p w14:paraId="58593A65">
            <w:pPr>
              <w:pStyle w:val="105"/>
              <w:bidi w:val="0"/>
              <w:rPr>
                <w:rFonts w:hint="default"/>
                <w:highlight w:val="none"/>
                <w:lang w:val="en-US" w:eastAsia="zh-CN"/>
              </w:rPr>
            </w:pPr>
          </w:p>
        </w:tc>
      </w:tr>
      <w:tr w14:paraId="776EE9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372820">
            <w:pPr>
              <w:pStyle w:val="105"/>
              <w:bidi w:val="0"/>
              <w:rPr>
                <w:rFonts w:hint="default"/>
                <w:highlight w:val="none"/>
                <w:lang w:val="en-US" w:eastAsia="zh-CN"/>
              </w:rPr>
            </w:pPr>
          </w:p>
        </w:tc>
        <w:tc>
          <w:tcPr>
            <w:tcW w:w="513" w:type="dxa"/>
            <w:tcBorders>
              <w:tl2br w:val="nil"/>
              <w:tr2bl w:val="nil"/>
            </w:tcBorders>
            <w:noWrap w:val="0"/>
            <w:vAlign w:val="center"/>
          </w:tcPr>
          <w:p w14:paraId="12F7C0A6">
            <w:pPr>
              <w:pStyle w:val="105"/>
              <w:bidi w:val="0"/>
              <w:rPr>
                <w:rFonts w:hint="default"/>
                <w:highlight w:val="none"/>
                <w:lang w:val="en-US" w:eastAsia="zh-CN"/>
              </w:rPr>
            </w:pPr>
            <w:r>
              <w:rPr>
                <w:rFonts w:hint="default"/>
                <w:highlight w:val="none"/>
                <w:lang w:val="en-US" w:eastAsia="zh-CN"/>
              </w:rPr>
              <w:t>43</w:t>
            </w:r>
          </w:p>
        </w:tc>
        <w:tc>
          <w:tcPr>
            <w:tcW w:w="6041" w:type="dxa"/>
            <w:tcBorders>
              <w:tl2br w:val="nil"/>
              <w:tr2bl w:val="nil"/>
            </w:tcBorders>
            <w:noWrap w:val="0"/>
            <w:vAlign w:val="center"/>
          </w:tcPr>
          <w:p w14:paraId="06B75388">
            <w:pPr>
              <w:pStyle w:val="105"/>
              <w:bidi w:val="0"/>
              <w:rPr>
                <w:rFonts w:hint="default"/>
                <w:highlight w:val="none"/>
                <w:lang w:val="en-US" w:eastAsia="zh-CN"/>
              </w:rPr>
            </w:pPr>
            <w:r>
              <w:rPr>
                <w:rFonts w:hint="default"/>
                <w:highlight w:val="none"/>
                <w:lang w:val="en-US" w:eastAsia="zh-CN"/>
              </w:rPr>
              <w:t>门窗、绝缘地板及灭火器等附属设施齐全，有效</w:t>
            </w:r>
          </w:p>
        </w:tc>
        <w:tc>
          <w:tcPr>
            <w:tcW w:w="1229" w:type="dxa"/>
            <w:tcBorders>
              <w:tl2br w:val="nil"/>
              <w:tr2bl w:val="nil"/>
            </w:tcBorders>
            <w:noWrap w:val="0"/>
            <w:vAlign w:val="center"/>
          </w:tcPr>
          <w:p w14:paraId="7877A75F">
            <w:pPr>
              <w:pStyle w:val="105"/>
              <w:bidi w:val="0"/>
              <w:rPr>
                <w:rFonts w:hint="default"/>
                <w:highlight w:val="none"/>
                <w:lang w:val="en-US" w:eastAsia="zh-CN"/>
              </w:rPr>
            </w:pPr>
          </w:p>
        </w:tc>
      </w:tr>
      <w:tr w14:paraId="757B0FC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54D01D1">
            <w:pPr>
              <w:pStyle w:val="105"/>
              <w:bidi w:val="0"/>
              <w:rPr>
                <w:rFonts w:hint="default"/>
                <w:highlight w:val="none"/>
                <w:lang w:val="en-US" w:eastAsia="zh-CN"/>
              </w:rPr>
            </w:pPr>
            <w:r>
              <w:rPr>
                <w:rFonts w:hint="default"/>
                <w:highlight w:val="none"/>
                <w:lang w:val="en-US" w:eastAsia="zh-CN"/>
              </w:rPr>
              <w:t>试运行</w:t>
            </w:r>
          </w:p>
        </w:tc>
        <w:tc>
          <w:tcPr>
            <w:tcW w:w="513" w:type="dxa"/>
            <w:tcBorders>
              <w:tl2br w:val="nil"/>
              <w:tr2bl w:val="nil"/>
            </w:tcBorders>
            <w:noWrap w:val="0"/>
            <w:vAlign w:val="center"/>
          </w:tcPr>
          <w:p w14:paraId="5B89863A">
            <w:pPr>
              <w:pStyle w:val="105"/>
              <w:bidi w:val="0"/>
              <w:rPr>
                <w:rFonts w:hint="default"/>
                <w:highlight w:val="none"/>
                <w:lang w:val="en-US" w:eastAsia="zh-CN"/>
              </w:rPr>
            </w:pPr>
            <w:r>
              <w:rPr>
                <w:rFonts w:hint="default"/>
                <w:highlight w:val="none"/>
                <w:lang w:val="en-US" w:eastAsia="zh-CN"/>
              </w:rPr>
              <w:t>44</w:t>
            </w:r>
          </w:p>
        </w:tc>
        <w:tc>
          <w:tcPr>
            <w:tcW w:w="6041" w:type="dxa"/>
            <w:tcBorders>
              <w:tl2br w:val="nil"/>
              <w:tr2bl w:val="nil"/>
            </w:tcBorders>
            <w:noWrap w:val="0"/>
            <w:vAlign w:val="center"/>
          </w:tcPr>
          <w:p w14:paraId="614E4CEE">
            <w:pPr>
              <w:pStyle w:val="105"/>
              <w:bidi w:val="0"/>
              <w:rPr>
                <w:rFonts w:hint="default"/>
                <w:highlight w:val="none"/>
                <w:lang w:val="en-US" w:eastAsia="zh-CN"/>
              </w:rPr>
            </w:pPr>
            <w:r>
              <w:rPr>
                <w:rFonts w:hint="default"/>
                <w:highlight w:val="none"/>
                <w:lang w:val="en-US" w:eastAsia="zh-CN"/>
              </w:rPr>
              <w:t>空载状态下，进行起升、回转、变幅各动作的操作，检查调试：操作系统、控制系统、联锁装置动作准确性和灵活性；各行程限位器动作准确性和可靠性；各机构无漏油现象，运动平稳无异常现象</w:t>
            </w:r>
          </w:p>
        </w:tc>
        <w:tc>
          <w:tcPr>
            <w:tcW w:w="1229" w:type="dxa"/>
            <w:tcBorders>
              <w:tl2br w:val="nil"/>
              <w:tr2bl w:val="nil"/>
            </w:tcBorders>
            <w:noWrap w:val="0"/>
            <w:vAlign w:val="center"/>
          </w:tcPr>
          <w:p w14:paraId="406010D7">
            <w:pPr>
              <w:pStyle w:val="105"/>
              <w:bidi w:val="0"/>
              <w:rPr>
                <w:rFonts w:hint="default"/>
                <w:highlight w:val="none"/>
                <w:lang w:val="en-US" w:eastAsia="zh-CN"/>
              </w:rPr>
            </w:pPr>
          </w:p>
        </w:tc>
      </w:tr>
    </w:tbl>
    <w:p w14:paraId="7ABCC3F3">
      <w:pPr>
        <w:spacing w:line="360" w:lineRule="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br w:type="page"/>
      </w:r>
    </w:p>
    <w:bookmarkEnd w:id="316"/>
    <w:p w14:paraId="4B8D1658">
      <w:pPr>
        <w:pStyle w:val="2"/>
        <w:bidi w:val="0"/>
        <w:ind w:left="432" w:leftChars="0" w:hanging="432" w:firstLineChars="0"/>
      </w:pPr>
      <w:bookmarkStart w:id="381" w:name="_Toc25769"/>
      <w:bookmarkStart w:id="382" w:name="_Toc4012"/>
      <w:bookmarkStart w:id="383" w:name="_Toc922"/>
      <w:bookmarkStart w:id="384" w:name="_Toc29137"/>
      <w:r>
        <w:rPr>
          <w:rFonts w:hint="eastAsia"/>
        </w:rPr>
        <w:t>应急处置</w:t>
      </w:r>
      <w:r>
        <w:rPr>
          <w:rFonts w:hint="eastAsia"/>
          <w:lang w:eastAsia="zh-CN"/>
        </w:rPr>
        <w:t>措施</w:t>
      </w:r>
      <w:bookmarkEnd w:id="381"/>
      <w:bookmarkEnd w:id="382"/>
      <w:bookmarkEnd w:id="383"/>
      <w:bookmarkEnd w:id="384"/>
    </w:p>
    <w:p w14:paraId="0E2505D8">
      <w:pPr>
        <w:pStyle w:val="3"/>
        <w:bidi w:val="0"/>
        <w:ind w:left="575" w:leftChars="0" w:hanging="575" w:firstLineChars="0"/>
        <w:rPr>
          <w:rFonts w:hint="eastAsia"/>
          <w:highlight w:val="none"/>
        </w:rPr>
      </w:pPr>
      <w:bookmarkStart w:id="385" w:name="_Toc9886"/>
      <w:bookmarkStart w:id="386" w:name="_Toc10409838"/>
      <w:bookmarkStart w:id="387" w:name="_Toc4766"/>
      <w:bookmarkStart w:id="388" w:name="_Toc32162"/>
      <w:r>
        <w:rPr>
          <w:rFonts w:hint="eastAsia"/>
          <w:highlight w:val="none"/>
          <w:lang w:val="en-US" w:eastAsia="zh-CN"/>
        </w:rPr>
        <w:t xml:space="preserve"> </w:t>
      </w:r>
      <w:bookmarkStart w:id="389" w:name="_Toc10806"/>
      <w:r>
        <w:rPr>
          <w:rFonts w:hint="eastAsia"/>
          <w:highlight w:val="none"/>
        </w:rPr>
        <w:t>危险源</w:t>
      </w:r>
      <w:r>
        <w:rPr>
          <w:rFonts w:hint="eastAsia" w:ascii="宋体" w:hAnsi="宋体" w:eastAsia="宋体" w:cs="Times New Roman"/>
        </w:rPr>
        <w:t>辨识</w:t>
      </w:r>
      <w:bookmarkEnd w:id="385"/>
      <w:bookmarkEnd w:id="386"/>
      <w:bookmarkEnd w:id="387"/>
      <w:bookmarkEnd w:id="388"/>
      <w:bookmarkEnd w:id="389"/>
    </w:p>
    <w:p w14:paraId="21C6C25E">
      <w:pPr>
        <w:pStyle w:val="4"/>
        <w:bidi w:val="0"/>
        <w:ind w:left="720" w:leftChars="0" w:hanging="720" w:firstLineChars="0"/>
        <w:rPr>
          <w:rFonts w:hint="default"/>
          <w:lang w:val="en-US" w:eastAsia="zh-CN"/>
        </w:rPr>
      </w:pPr>
      <w:r>
        <w:rPr>
          <w:rFonts w:hint="eastAsia"/>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158"/>
        <w:ind w:firstLine="480"/>
        <w:rPr>
          <w:rFonts w:ascii="宋体" w:hAnsi="宋体"/>
          <w:highlight w:val="none"/>
        </w:rPr>
      </w:pPr>
      <w:r>
        <w:rPr>
          <w:rFonts w:ascii="宋体" w:hAnsi="宋体"/>
          <w:highlight w:val="none"/>
        </w:rPr>
        <w:t>（1）风险估测方法选择</w:t>
      </w:r>
    </w:p>
    <w:p w14:paraId="739D2572">
      <w:pPr>
        <w:pStyle w:val="158"/>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158"/>
        <w:ind w:firstLine="480"/>
        <w:rPr>
          <w:rFonts w:ascii="宋体" w:hAnsi="宋体"/>
          <w:highlight w:val="none"/>
        </w:rPr>
      </w:pPr>
      <w:r>
        <w:rPr>
          <w:rFonts w:ascii="宋体" w:hAnsi="宋体"/>
          <w:highlight w:val="none"/>
        </w:rPr>
        <w:t>（2）量化分值标准</w:t>
      </w:r>
    </w:p>
    <w:p w14:paraId="4BD18095">
      <w:pPr>
        <w:pStyle w:val="158"/>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158"/>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158"/>
        <w:ind w:firstLine="480"/>
        <w:rPr>
          <w:rFonts w:ascii="宋体" w:hAnsi="宋体"/>
          <w:highlight w:val="none"/>
        </w:rPr>
      </w:pPr>
      <w:r>
        <w:rPr>
          <w:rFonts w:ascii="宋体" w:hAnsi="宋体"/>
          <w:highlight w:val="none"/>
        </w:rPr>
        <w:t>C一发生事故造成的后果。</w:t>
      </w:r>
    </w:p>
    <w:p w14:paraId="547723C5">
      <w:pPr>
        <w:pStyle w:val="158"/>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158"/>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019274C0">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1</w:t>
      </w:r>
      <w:r>
        <w:rPr>
          <w:highlight w:val="none"/>
        </w:rPr>
        <w:t>发生事故的可能性（L）</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158"/>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158"/>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2</w:t>
      </w:r>
      <w:r>
        <w:rPr>
          <w:highlight w:val="none"/>
        </w:rPr>
        <w:t>暴露于危险环境的频繁程度（E）</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158"/>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158"/>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3</w:t>
      </w:r>
      <w:r>
        <w:rPr>
          <w:highlight w:val="none"/>
        </w:rPr>
        <w:t>发生事故造成的后果（C）</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158"/>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158"/>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4</w:t>
      </w:r>
      <w:r>
        <w:rPr>
          <w:highlight w:val="none"/>
        </w:rPr>
        <w:t>风险等级划分（D）</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7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7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7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7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7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7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7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7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7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7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7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7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7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7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72"/>
              <w:rPr>
                <w:rFonts w:hint="eastAsia" w:ascii="宋体" w:hAnsi="宋体" w:eastAsia="黑体"/>
                <w:highlight w:val="none"/>
                <w:lang w:eastAsia="zh-CN"/>
              </w:rPr>
            </w:pPr>
            <w:r>
              <w:rPr>
                <w:rFonts w:hint="eastAsia" w:ascii="宋体" w:hAnsi="宋体"/>
                <w:highlight w:val="none"/>
                <w:lang w:val="en-US" w:eastAsia="zh-CN"/>
              </w:rPr>
              <w:t>Ⅰ</w:t>
            </w:r>
          </w:p>
        </w:tc>
      </w:tr>
    </w:tbl>
    <w:p w14:paraId="7DE0E791">
      <w:pPr>
        <w:bidi w:val="0"/>
        <w:rPr>
          <w:rFonts w:hint="eastAsia"/>
          <w:highlight w:val="none"/>
          <w:lang w:val="en-US" w:eastAsia="zh-CN"/>
        </w:rPr>
      </w:pPr>
    </w:p>
    <w:p w14:paraId="1B61E0A9">
      <w:pPr>
        <w:pStyle w:val="4"/>
        <w:bidi w:val="0"/>
        <w:ind w:left="720" w:leftChars="0" w:hanging="720" w:firstLineChars="0"/>
        <w:rPr>
          <w:rFonts w:hint="default"/>
          <w:lang w:val="en-US" w:eastAsia="zh-CN"/>
        </w:rPr>
      </w:pPr>
      <w:r>
        <w:rPr>
          <w:rFonts w:hint="eastAsia"/>
          <w:lang w:val="en-US" w:eastAsia="zh-CN"/>
        </w:rPr>
        <w:t>危险源辨识与评价</w:t>
      </w:r>
    </w:p>
    <w:p w14:paraId="58333EC1">
      <w:pPr>
        <w:ind w:firstLine="480" w:firstLineChars="200"/>
        <w:rPr>
          <w:rFonts w:ascii="宋体" w:hAnsi="宋体"/>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highlight w:val="none"/>
        </w:rPr>
        <w:t>根据以上风险估测方法，对</w:t>
      </w:r>
      <w:r>
        <w:rPr>
          <w:rFonts w:hint="eastAsia"/>
          <w:highlight w:val="none"/>
          <w:lang w:val="en-US" w:eastAsia="zh-CN"/>
        </w:rPr>
        <w:t>塔机</w:t>
      </w:r>
      <w:r>
        <w:rPr>
          <w:rFonts w:hint="eastAsia" w:ascii="宋体" w:hAnsi="宋体"/>
          <w:highlight w:val="none"/>
          <w:lang w:val="en-US" w:eastAsia="zh-CN"/>
        </w:rPr>
        <w:t>安拆</w:t>
      </w:r>
      <w:r>
        <w:rPr>
          <w:rFonts w:ascii="宋体" w:hAnsi="宋体"/>
          <w:highlight w:val="none"/>
        </w:rPr>
        <w:t>施工过程主要危险源进行分析和估算，从而得出相关估测结果见</w:t>
      </w:r>
      <w:r>
        <w:rPr>
          <w:rFonts w:hint="eastAsia" w:ascii="宋体" w:hAnsi="宋体"/>
          <w:highlight w:val="none"/>
        </w:rPr>
        <w:t>下表</w:t>
      </w:r>
      <w:r>
        <w:rPr>
          <w:rFonts w:ascii="宋体" w:hAnsi="宋体"/>
          <w:highlight w:val="none"/>
        </w:rPr>
        <w:t>。</w:t>
      </w:r>
    </w:p>
    <w:tbl>
      <w:tblPr>
        <w:tblStyle w:val="30"/>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510"/>
        <w:gridCol w:w="465"/>
        <w:gridCol w:w="686"/>
        <w:gridCol w:w="5408"/>
        <w:gridCol w:w="1095"/>
        <w:gridCol w:w="485"/>
        <w:gridCol w:w="420"/>
        <w:gridCol w:w="397"/>
        <w:gridCol w:w="723"/>
        <w:gridCol w:w="630"/>
        <w:gridCol w:w="1704"/>
        <w:gridCol w:w="1642"/>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772452A">
      <w:pPr>
        <w:bidi w:val="0"/>
        <w:rPr>
          <w:rFonts w:hint="eastAsia"/>
          <w:highlight w:val="none"/>
        </w:rPr>
        <w:sectPr>
          <w:head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9FDB69D">
      <w:pPr>
        <w:pStyle w:val="4"/>
        <w:bidi w:val="0"/>
        <w:ind w:left="720" w:leftChars="0" w:hanging="720" w:firstLineChars="0"/>
      </w:pPr>
      <w:bookmarkStart w:id="390" w:name="_Toc10409839"/>
      <w:bookmarkStart w:id="391" w:name="_Toc18053"/>
      <w:bookmarkStart w:id="392" w:name="_Toc11562"/>
      <w:r>
        <w:rPr>
          <w:rFonts w:hint="eastAsia"/>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0A8401FE">
      <w:pPr>
        <w:pStyle w:val="158"/>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表9</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4</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 xml:space="preserve"> </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液压爬模施工显著危害因素清单及控制措施表</w:t>
      </w:r>
    </w:p>
    <w:tbl>
      <w:tblPr>
        <w:tblStyle w:val="30"/>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tbl>
    <w:p w14:paraId="7D06C13B">
      <w:pPr>
        <w:pStyle w:val="3"/>
        <w:bidi w:val="0"/>
        <w:ind w:left="575" w:leftChars="0" w:hanging="575" w:firstLineChars="0"/>
        <w:rPr>
          <w:rFonts w:hint="eastAsia"/>
          <w:highlight w:val="none"/>
        </w:rPr>
      </w:pPr>
      <w:bookmarkStart w:id="393" w:name="_Toc22149"/>
      <w:bookmarkStart w:id="394" w:name="_Toc15719"/>
      <w:r>
        <w:rPr>
          <w:rFonts w:hint="eastAsia"/>
          <w:highlight w:val="none"/>
        </w:rPr>
        <w:t>组织</w:t>
      </w:r>
      <w:r>
        <w:rPr>
          <w:rFonts w:hint="eastAsia"/>
          <w:highlight w:val="none"/>
          <w:lang w:val="en-US" w:eastAsia="zh-CN"/>
        </w:rPr>
        <w:t>机</w:t>
      </w:r>
      <w:r>
        <w:rPr>
          <w:rFonts w:hint="eastAsia"/>
          <w:highlight w:val="none"/>
        </w:rPr>
        <w:t>构及职责</w:t>
      </w:r>
      <w:bookmarkEnd w:id="390"/>
      <w:bookmarkEnd w:id="391"/>
      <w:bookmarkEnd w:id="392"/>
      <w:bookmarkEnd w:id="393"/>
      <w:bookmarkEnd w:id="394"/>
    </w:p>
    <w:p w14:paraId="42429EFE">
      <w:pPr>
        <w:pStyle w:val="4"/>
        <w:bidi w:val="0"/>
        <w:ind w:left="720" w:leftChars="0" w:hanging="720" w:firstLineChars="0"/>
        <w:rPr>
          <w:rFonts w:hint="eastAsia"/>
        </w:rPr>
      </w:pPr>
      <w:bookmarkStart w:id="395" w:name="_Toc530055718"/>
      <w:r>
        <w:rPr>
          <w:rFonts w:hint="eastAsia"/>
        </w:rPr>
        <w:t>应急处置领导小组</w:t>
      </w:r>
      <w:bookmarkEnd w:id="395"/>
    </w:p>
    <w:p w14:paraId="40BFA608">
      <w:pPr>
        <w:ind w:firstLine="643"/>
        <w:rPr>
          <w:rFonts w:hint="default" w:ascii="Times New Roman" w:hAnsi="Times New Roman" w:eastAsia="宋体" w:cstheme="minorBidi"/>
          <w:szCs w:val="22"/>
          <w:highlight w:val="none"/>
          <w:lang w:val="en-US" w:eastAsia="zh-CN"/>
        </w:rPr>
      </w:pPr>
      <w:bookmarkStart w:id="396" w:name="_Toc530055719"/>
      <w:r>
        <w:rPr>
          <w:rFonts w:hint="default" w:ascii="Times New Roman" w:hAnsi="Times New Roman" w:eastAsia="宋体" w:cstheme="minorBidi"/>
          <w:szCs w:val="22"/>
          <w:highlight w:val="none"/>
          <w:lang w:val="en-US" w:eastAsia="zh-CN"/>
        </w:rPr>
        <w:t>项目部成立以项目经理</w:t>
      </w:r>
      <w:r>
        <w:rPr>
          <w:rFonts w:hint="eastAsia" w:ascii="Times New Roman" w:hAnsi="Times New Roman" w:eastAsia="宋体" w:cstheme="minorBidi"/>
          <w:szCs w:val="22"/>
          <w:highlight w:val="none"/>
          <w:lang w:val="en-US" w:eastAsia="zh-CN"/>
        </w:rPr>
        <w:t>、</w:t>
      </w:r>
      <w:r>
        <w:rPr>
          <w:rFonts w:hint="default" w:ascii="Times New Roman" w:hAnsi="Times New Roman" w:eastAsia="宋体" w:cstheme="minorBidi"/>
          <w:szCs w:val="22"/>
          <w:highlight w:val="none"/>
          <w:lang w:val="en-US" w:eastAsia="zh-CN"/>
        </w:rPr>
        <w:t>项目书记为组长，总工程师、</w:t>
      </w:r>
      <w:r>
        <w:rPr>
          <w:rFonts w:hint="eastAsia" w:ascii="Times New Roman" w:hAnsi="Times New Roman" w:eastAsia="宋体" w:cstheme="minorBidi"/>
          <w:szCs w:val="22"/>
          <w:highlight w:val="none"/>
          <w:lang w:val="en-US" w:eastAsia="zh-CN"/>
        </w:rPr>
        <w:t>副经理、安全总监等其他副职领导</w:t>
      </w:r>
      <w:r>
        <w:rPr>
          <w:rFonts w:hint="default" w:ascii="Times New Roman" w:hAnsi="Times New Roman" w:eastAsia="宋体" w:cstheme="minorBidi"/>
          <w:szCs w:val="22"/>
          <w:highlight w:val="none"/>
          <w:lang w:val="en-US" w:eastAsia="zh-CN"/>
        </w:rPr>
        <w:t>为副组长，各</w:t>
      </w:r>
      <w:r>
        <w:rPr>
          <w:rFonts w:hint="eastAsia" w:ascii="Times New Roman" w:hAnsi="Times New Roman" w:eastAsia="宋体" w:cstheme="minorBidi"/>
          <w:szCs w:val="22"/>
          <w:highlight w:val="none"/>
          <w:lang w:val="en-US" w:eastAsia="zh-CN"/>
        </w:rPr>
        <w:t>职能</w:t>
      </w:r>
      <w:r>
        <w:rPr>
          <w:rFonts w:hint="default" w:ascii="Times New Roman" w:hAnsi="Times New Roman" w:eastAsia="宋体" w:cstheme="minorBidi"/>
          <w:szCs w:val="22"/>
          <w:highlight w:val="none"/>
          <w:lang w:val="en-US" w:eastAsia="zh-CN"/>
        </w:rPr>
        <w:t>部门负责人及各协作队伍负责人为组员的安全应急领导小组</w:t>
      </w:r>
      <w:r>
        <w:rPr>
          <w:rFonts w:hint="eastAsia" w:ascii="Times New Roman" w:hAnsi="Times New Roman" w:eastAsia="宋体" w:cstheme="minorBidi"/>
          <w:szCs w:val="22"/>
          <w:highlight w:val="none"/>
          <w:lang w:val="en-US" w:eastAsia="zh-CN"/>
        </w:rPr>
        <w:t>。</w:t>
      </w:r>
    </w:p>
    <w:p w14:paraId="15B92C34">
      <w:pPr>
        <w:ind w:firstLine="480"/>
        <w:rPr>
          <w:rFonts w:cstheme="minorBidi"/>
          <w:szCs w:val="22"/>
          <w:highlight w:val="none"/>
        </w:rPr>
      </w:pPr>
      <w:r>
        <w:rPr>
          <w:rFonts w:cstheme="minorBidi"/>
          <w:szCs w:val="22"/>
          <w:highlight w:val="none"/>
        </w:rPr>
        <w:t>组  长</w:t>
      </w:r>
      <w:r>
        <w:rPr>
          <w:rFonts w:hint="eastAsia" w:cstheme="minorBidi"/>
          <w:szCs w:val="22"/>
          <w:highlight w:val="none"/>
        </w:rPr>
        <w:t>：</w:t>
      </w:r>
      <w:r>
        <w:rPr>
          <w:rFonts w:hint="eastAsia"/>
          <w:highlight w:val="none"/>
        </w:rPr>
        <w:t>程金平</w:t>
      </w:r>
    </w:p>
    <w:p w14:paraId="02251F65">
      <w:pPr>
        <w:ind w:firstLine="480"/>
        <w:rPr>
          <w:rFonts w:hint="default" w:eastAsia="宋体" w:cstheme="minorBidi"/>
          <w:szCs w:val="22"/>
          <w:highlight w:val="none"/>
          <w:lang w:val="en-US" w:eastAsia="zh-CN"/>
        </w:rPr>
      </w:pPr>
      <w:r>
        <w:rPr>
          <w:rFonts w:cstheme="minorBidi"/>
          <w:szCs w:val="22"/>
          <w:highlight w:val="none"/>
        </w:rPr>
        <w:t>副组长：</w:t>
      </w:r>
      <w:r>
        <w:rPr>
          <w:rFonts w:hint="eastAsia" w:cstheme="minorBidi"/>
          <w:szCs w:val="22"/>
          <w:highlight w:val="none"/>
          <w:lang w:val="en-US" w:eastAsia="zh-CN"/>
        </w:rPr>
        <w:t>赵凯、刘海、刘斌、李野、刘海东、农世好</w:t>
      </w:r>
    </w:p>
    <w:p w14:paraId="225437F3">
      <w:pPr>
        <w:ind w:firstLine="480"/>
        <w:rPr>
          <w:rFonts w:hint="eastAsia"/>
          <w:highlight w:val="none"/>
          <w:lang w:val="en-US" w:eastAsia="zh-CN"/>
        </w:rPr>
      </w:pPr>
      <w:r>
        <w:rPr>
          <w:rFonts w:cstheme="minorBidi"/>
          <w:szCs w:val="22"/>
          <w:highlight w:val="none"/>
        </w:rPr>
        <w:t>组  员：</w:t>
      </w:r>
      <w:r>
        <w:rPr>
          <w:rFonts w:hint="eastAsia"/>
          <w:highlight w:val="none"/>
        </w:rPr>
        <w:t>岳蛟、</w:t>
      </w:r>
      <w:r>
        <w:rPr>
          <w:highlight w:val="none"/>
        </w:rPr>
        <w:t>李萌萌</w:t>
      </w:r>
      <w:r>
        <w:rPr>
          <w:rFonts w:hint="eastAsia"/>
          <w:highlight w:val="none"/>
        </w:rPr>
        <w:t>、刘嘉伟、黄硕、</w:t>
      </w:r>
      <w:r>
        <w:rPr>
          <w:highlight w:val="none"/>
        </w:rPr>
        <w:t>魏小雨</w:t>
      </w:r>
      <w:r>
        <w:rPr>
          <w:rFonts w:hint="eastAsia"/>
          <w:highlight w:val="none"/>
        </w:rPr>
        <w:t>、</w:t>
      </w:r>
      <w:r>
        <w:rPr>
          <w:highlight w:val="none"/>
        </w:rPr>
        <w:t>丁阳</w:t>
      </w:r>
      <w:r>
        <w:rPr>
          <w:rFonts w:hint="eastAsia"/>
          <w:highlight w:val="none"/>
        </w:rPr>
        <w:t>、</w:t>
      </w:r>
      <w:r>
        <w:rPr>
          <w:highlight w:val="none"/>
        </w:rPr>
        <w:t>陈硕</w:t>
      </w:r>
      <w:r>
        <w:rPr>
          <w:rFonts w:hint="eastAsia"/>
          <w:highlight w:val="none"/>
        </w:rPr>
        <w:t>、</w:t>
      </w:r>
      <w:r>
        <w:rPr>
          <w:rFonts w:hint="eastAsia"/>
          <w:highlight w:val="none"/>
          <w:lang w:val="en-US" w:eastAsia="zh-CN"/>
        </w:rPr>
        <w:t>刘慈龙</w:t>
      </w:r>
      <w:r>
        <w:rPr>
          <w:rFonts w:hint="eastAsia"/>
          <w:highlight w:val="none"/>
        </w:rPr>
        <w:t>、</w:t>
      </w:r>
      <w:r>
        <w:rPr>
          <w:rFonts w:hint="eastAsia"/>
          <w:highlight w:val="none"/>
          <w:lang w:val="en-US" w:eastAsia="zh-CN"/>
        </w:rPr>
        <w:t>桂海波</w:t>
      </w:r>
    </w:p>
    <w:p w14:paraId="4299E23B">
      <w:pPr>
        <w:ind w:firstLine="480" w:firstLineChars="200"/>
        <w:rPr>
          <w:highlight w:val="none"/>
        </w:rPr>
      </w:pPr>
      <w:bookmarkStart w:id="397" w:name="_Toc29787"/>
      <w:r>
        <w:rPr>
          <w:rFonts w:hint="eastAsia"/>
          <w:color w:val="000000"/>
          <w:kern w:val="0"/>
          <w:highlight w:val="none"/>
          <w:lang w:bidi="ar"/>
        </w:rPr>
        <w:t>应急救援领导小组办公室</w:t>
      </w:r>
      <w:bookmarkEnd w:id="397"/>
      <w:r>
        <w:rPr>
          <w:rFonts w:hint="eastAsia"/>
          <w:color w:val="000000"/>
          <w:kern w:val="0"/>
          <w:highlight w:val="none"/>
          <w:lang w:bidi="ar"/>
        </w:rPr>
        <w:t xml:space="preserve"> </w:t>
      </w:r>
    </w:p>
    <w:p w14:paraId="4D2BF7A1">
      <w:pPr>
        <w:widowControl/>
        <w:ind w:firstLine="480" w:firstLineChars="200"/>
        <w:jc w:val="left"/>
        <w:rPr>
          <w:highlight w:val="none"/>
        </w:rPr>
      </w:pPr>
      <w:r>
        <w:rPr>
          <w:rFonts w:hint="eastAsia"/>
          <w:color w:val="000000"/>
          <w:kern w:val="0"/>
          <w:highlight w:val="none"/>
          <w:lang w:bidi="ar"/>
        </w:rPr>
        <w:t>主  任：刘斌</w:t>
      </w:r>
    </w:p>
    <w:p w14:paraId="3AD9DCB4">
      <w:pPr>
        <w:widowControl/>
        <w:ind w:firstLine="480" w:firstLineChars="200"/>
        <w:jc w:val="left"/>
        <w:rPr>
          <w:rFonts w:hint="eastAsia"/>
          <w:highlight w:val="none"/>
          <w:lang w:val="en-US" w:eastAsia="zh-CN"/>
        </w:rPr>
      </w:pPr>
      <w:r>
        <w:rPr>
          <w:rFonts w:hint="eastAsia"/>
          <w:color w:val="000000"/>
          <w:kern w:val="0"/>
          <w:highlight w:val="none"/>
          <w:lang w:bidi="ar"/>
        </w:rPr>
        <w:t>成  员：陈硕、</w:t>
      </w:r>
      <w:r>
        <w:rPr>
          <w:rFonts w:hint="eastAsia"/>
          <w:color w:val="000000"/>
          <w:kern w:val="0"/>
          <w:highlight w:val="none"/>
          <w:lang w:val="en-US" w:eastAsia="zh-CN" w:bidi="ar"/>
        </w:rPr>
        <w:t>刘俊臣</w:t>
      </w:r>
      <w:r>
        <w:rPr>
          <w:rFonts w:hint="eastAsia"/>
          <w:color w:val="000000"/>
          <w:kern w:val="0"/>
          <w:highlight w:val="none"/>
          <w:lang w:bidi="ar"/>
        </w:rPr>
        <w:t>、</w:t>
      </w:r>
      <w:r>
        <w:rPr>
          <w:rFonts w:hint="eastAsia"/>
          <w:color w:val="000000"/>
          <w:kern w:val="0"/>
          <w:highlight w:val="none"/>
          <w:lang w:val="en-US" w:eastAsia="zh-CN" w:bidi="ar"/>
        </w:rPr>
        <w:t>苏靖晗</w:t>
      </w:r>
    </w:p>
    <w:p w14:paraId="3986D17E">
      <w:pPr>
        <w:pStyle w:val="4"/>
        <w:bidi w:val="0"/>
        <w:ind w:left="720" w:leftChars="0" w:hanging="720" w:firstLineChars="0"/>
        <w:rPr>
          <w:rFonts w:hint="eastAsia"/>
          <w:lang w:val="en-US" w:eastAsia="zh-CN"/>
        </w:rPr>
      </w:pPr>
      <w:r>
        <w:rPr>
          <w:rFonts w:hint="eastAsia"/>
          <w:lang w:val="en-US" w:eastAsia="zh-CN"/>
        </w:rPr>
        <w:t>职责</w:t>
      </w:r>
      <w:bookmarkEnd w:id="396"/>
    </w:p>
    <w:p w14:paraId="02B89FAD">
      <w:pPr>
        <w:ind w:firstLine="480"/>
        <w:rPr>
          <w:rFonts w:hint="default" w:ascii="宋体" w:hAnsi="宋体" w:eastAsia="宋体"/>
          <w:highlight w:val="none"/>
          <w:lang w:val="en-US" w:eastAsia="zh-CN"/>
        </w:rPr>
      </w:pPr>
      <w:r>
        <w:rPr>
          <w:rFonts w:hint="eastAsia"/>
          <w:highlight w:val="none"/>
          <w:lang w:val="en-US" w:eastAsia="zh-CN"/>
        </w:rPr>
        <w:t>1.领导小组职责</w:t>
      </w:r>
    </w:p>
    <w:p w14:paraId="3B3B8E53">
      <w:pPr>
        <w:ind w:firstLine="480"/>
        <w:rPr>
          <w:rFonts w:hint="eastAsia" w:ascii="宋体" w:hAnsi="宋体" w:eastAsia="宋体"/>
          <w:highlight w:val="none"/>
        </w:rPr>
      </w:pPr>
      <w:r>
        <w:rPr>
          <w:rFonts w:hint="eastAsia" w:ascii="宋体" w:hAnsi="宋体" w:eastAsia="宋体"/>
          <w:highlight w:val="none"/>
        </w:rPr>
        <w:t>（1）负责组织和制定应急处置措施；</w:t>
      </w:r>
    </w:p>
    <w:p w14:paraId="63BD38DD">
      <w:pPr>
        <w:ind w:firstLine="480"/>
        <w:rPr>
          <w:rFonts w:hint="eastAsia" w:ascii="宋体" w:hAnsi="宋体" w:eastAsia="宋体"/>
          <w:highlight w:val="none"/>
        </w:rPr>
      </w:pPr>
      <w:r>
        <w:rPr>
          <w:rFonts w:hint="eastAsia" w:ascii="宋体" w:hAnsi="宋体" w:eastAsia="宋体"/>
          <w:highlight w:val="none"/>
        </w:rPr>
        <w:t>（2）按规定的报告程序和时限，逐级上报事故；</w:t>
      </w:r>
    </w:p>
    <w:p w14:paraId="0ECFE6C4">
      <w:pPr>
        <w:ind w:firstLine="480"/>
        <w:rPr>
          <w:rFonts w:hint="eastAsia" w:ascii="宋体" w:hAnsi="宋体" w:eastAsia="宋体"/>
          <w:highlight w:val="none"/>
        </w:rPr>
      </w:pPr>
      <w:r>
        <w:rPr>
          <w:rFonts w:hint="eastAsia" w:ascii="宋体" w:hAnsi="宋体" w:eastAsia="宋体"/>
          <w:highlight w:val="none"/>
        </w:rPr>
        <w:t>（3）检查督促做好各项预防措施及应急资源的落实情况；</w:t>
      </w:r>
    </w:p>
    <w:p w14:paraId="450A8A15">
      <w:pPr>
        <w:ind w:firstLine="480"/>
        <w:rPr>
          <w:rFonts w:hint="eastAsia" w:ascii="宋体" w:hAnsi="宋体" w:eastAsia="宋体"/>
          <w:highlight w:val="none"/>
        </w:rPr>
      </w:pPr>
      <w:r>
        <w:rPr>
          <w:rFonts w:hint="eastAsia" w:ascii="宋体" w:hAnsi="宋体" w:eastAsia="宋体"/>
          <w:highlight w:val="none"/>
        </w:rPr>
        <w:t>（4）应急处置措施的组织与实施；</w:t>
      </w:r>
    </w:p>
    <w:p w14:paraId="4D88D10E">
      <w:pPr>
        <w:ind w:firstLine="480"/>
        <w:rPr>
          <w:rFonts w:hint="eastAsia" w:ascii="宋体" w:hAnsi="宋体" w:eastAsia="宋体"/>
          <w:highlight w:val="none"/>
        </w:rPr>
      </w:pPr>
      <w:r>
        <w:rPr>
          <w:rFonts w:hint="eastAsia" w:ascii="宋体" w:hAnsi="宋体" w:eastAsia="宋体"/>
          <w:highlight w:val="none"/>
        </w:rPr>
        <w:t>（5）当施工现场发生紧急情况时，发布和解除应急救援命令；</w:t>
      </w:r>
    </w:p>
    <w:p w14:paraId="747B9F4A">
      <w:pPr>
        <w:ind w:firstLine="480"/>
        <w:rPr>
          <w:rFonts w:hint="eastAsia" w:ascii="宋体" w:hAnsi="宋体" w:eastAsia="宋体"/>
          <w:highlight w:val="none"/>
        </w:rPr>
      </w:pPr>
      <w:r>
        <w:rPr>
          <w:rFonts w:hint="eastAsia" w:ascii="宋体" w:hAnsi="宋体" w:eastAsia="宋体"/>
          <w:highlight w:val="none"/>
        </w:rPr>
        <w:t>（6）随时了解和掌握处理事故的实际情况，根据情况作出应急对策；</w:t>
      </w:r>
    </w:p>
    <w:p w14:paraId="7890CCA2">
      <w:pPr>
        <w:ind w:firstLine="480"/>
        <w:rPr>
          <w:rFonts w:hint="eastAsia" w:ascii="宋体" w:hAnsi="宋体" w:eastAsia="宋体"/>
          <w:highlight w:val="none"/>
        </w:rPr>
      </w:pPr>
      <w:r>
        <w:rPr>
          <w:rFonts w:hint="eastAsia" w:ascii="宋体" w:hAnsi="宋体" w:eastAsia="宋体"/>
          <w:highlight w:val="none"/>
        </w:rPr>
        <w:t>（7）保护好事故现场，确保内外通讯畅通。</w:t>
      </w:r>
    </w:p>
    <w:p w14:paraId="16428EC1">
      <w:pPr>
        <w:bidi w:val="0"/>
        <w:ind w:firstLine="480" w:firstLineChars="200"/>
        <w:rPr>
          <w:rFonts w:hint="eastAsia"/>
          <w:highlight w:val="none"/>
          <w:lang w:val="en-US" w:eastAsia="zh-CN"/>
        </w:rPr>
      </w:pPr>
      <w:r>
        <w:rPr>
          <w:rFonts w:hint="eastAsia"/>
          <w:highlight w:val="none"/>
          <w:lang w:val="en-US" w:eastAsia="zh-CN"/>
        </w:rPr>
        <w:t>2.</w:t>
      </w:r>
      <w:r>
        <w:rPr>
          <w:rFonts w:hint="eastAsia"/>
          <w:color w:val="000000"/>
          <w:kern w:val="0"/>
          <w:highlight w:val="none"/>
          <w:lang w:bidi="ar"/>
        </w:rPr>
        <w:t>应急救援领导小组办公室</w:t>
      </w:r>
      <w:r>
        <w:rPr>
          <w:rFonts w:hint="eastAsia"/>
          <w:highlight w:val="none"/>
          <w:lang w:val="en-US" w:eastAsia="zh-CN"/>
        </w:rPr>
        <w:t>职责</w:t>
      </w:r>
    </w:p>
    <w:p w14:paraId="5C6AEBDA">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1</w:t>
      </w:r>
      <w:r>
        <w:rPr>
          <w:rFonts w:hint="eastAsia"/>
          <w:color w:val="000000"/>
          <w:kern w:val="0"/>
          <w:highlight w:val="none"/>
          <w:lang w:bidi="ar"/>
        </w:rPr>
        <w:t xml:space="preserve">）服从项目部应急救援领导小组的指挥，实施救援响应； </w:t>
      </w:r>
    </w:p>
    <w:p w14:paraId="52DFE93E">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2</w:t>
      </w:r>
      <w:r>
        <w:rPr>
          <w:rFonts w:hint="eastAsia"/>
          <w:color w:val="000000"/>
          <w:kern w:val="0"/>
          <w:highlight w:val="none"/>
          <w:lang w:bidi="ar"/>
        </w:rPr>
        <w:t xml:space="preserve">）根据组长指示，发布和解除突发事件应急救援命令； </w:t>
      </w:r>
    </w:p>
    <w:p w14:paraId="62B429E0">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3</w:t>
      </w:r>
      <w:r>
        <w:rPr>
          <w:rFonts w:hint="eastAsia"/>
          <w:color w:val="000000"/>
          <w:kern w:val="0"/>
          <w:highlight w:val="none"/>
          <w:lang w:bidi="ar"/>
        </w:rPr>
        <w:t>）织指挥救援队伍实施救援行动；</w:t>
      </w:r>
    </w:p>
    <w:p w14:paraId="5DA114A4">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4</w:t>
      </w:r>
      <w:r>
        <w:rPr>
          <w:rFonts w:hint="eastAsia"/>
          <w:color w:val="000000"/>
          <w:kern w:val="0"/>
          <w:highlight w:val="none"/>
          <w:lang w:bidi="ar"/>
        </w:rPr>
        <w:t xml:space="preserve">）向上级报告事故和事故救援情况，适时发布事故救援报告； </w:t>
      </w:r>
    </w:p>
    <w:p w14:paraId="783617A8">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5</w:t>
      </w:r>
      <w:r>
        <w:rPr>
          <w:rFonts w:hint="eastAsia"/>
          <w:color w:val="000000"/>
          <w:kern w:val="0"/>
          <w:highlight w:val="none"/>
          <w:lang w:bidi="ar"/>
        </w:rPr>
        <w:t xml:space="preserve">）指令有关部门配合上级部门进行事故调查处理； </w:t>
      </w:r>
    </w:p>
    <w:p w14:paraId="4D4109EF">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6</w:t>
      </w:r>
      <w:r>
        <w:rPr>
          <w:rFonts w:hint="eastAsia"/>
          <w:color w:val="000000"/>
          <w:kern w:val="0"/>
          <w:highlight w:val="none"/>
          <w:lang w:bidi="ar"/>
        </w:rPr>
        <w:t xml:space="preserve">）必要时向有关部门发出救援请求； </w:t>
      </w:r>
    </w:p>
    <w:p w14:paraId="3D151FDB">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7</w:t>
      </w:r>
      <w:r>
        <w:rPr>
          <w:rFonts w:hint="eastAsia"/>
          <w:color w:val="000000"/>
          <w:kern w:val="0"/>
          <w:highlight w:val="none"/>
          <w:lang w:bidi="ar"/>
        </w:rPr>
        <w:t xml:space="preserve">）完成领导小组交办的其他事项。 </w:t>
      </w:r>
    </w:p>
    <w:p w14:paraId="4576F001">
      <w:pPr>
        <w:pStyle w:val="4"/>
        <w:bidi w:val="0"/>
        <w:ind w:left="720" w:leftChars="0" w:hanging="720" w:firstLineChars="0"/>
        <w:rPr>
          <w:rFonts w:hint="eastAsia"/>
        </w:rPr>
      </w:pPr>
      <w:bookmarkStart w:id="398" w:name="_Toc530055720"/>
      <w:r>
        <w:rPr>
          <w:rFonts w:hint="eastAsia"/>
        </w:rPr>
        <w:t>领导小组人员分工</w:t>
      </w:r>
      <w:bookmarkEnd w:id="398"/>
    </w:p>
    <w:p w14:paraId="14889A10">
      <w:pPr>
        <w:ind w:firstLine="480"/>
        <w:rPr>
          <w:rFonts w:hint="eastAsia" w:ascii="宋体" w:hAnsi="宋体" w:eastAsia="宋体"/>
          <w:highlight w:val="none"/>
        </w:rPr>
      </w:pPr>
      <w:r>
        <w:rPr>
          <w:rFonts w:hint="eastAsia" w:ascii="宋体" w:hAnsi="宋体" w:eastAsia="宋体"/>
          <w:highlight w:val="none"/>
        </w:rPr>
        <w:t>组长</w:t>
      </w:r>
      <w:r>
        <w:rPr>
          <w:rFonts w:hint="eastAsia" w:ascii="宋体" w:hAnsi="宋体" w:eastAsia="宋体"/>
          <w:highlight w:val="none"/>
          <w:lang w:eastAsia="zh-CN"/>
        </w:rPr>
        <w:t>（</w:t>
      </w:r>
      <w:r>
        <w:rPr>
          <w:rFonts w:hint="eastAsia" w:ascii="宋体" w:hAnsi="宋体" w:eastAsia="宋体"/>
          <w:highlight w:val="none"/>
          <w:lang w:val="en-US" w:eastAsia="zh-CN"/>
        </w:rPr>
        <w:t>总指挥</w:t>
      </w:r>
      <w:r>
        <w:rPr>
          <w:rFonts w:hint="eastAsia" w:ascii="宋体" w:hAnsi="宋体" w:eastAsia="宋体"/>
          <w:highlight w:val="none"/>
          <w:lang w:eastAsia="zh-CN"/>
        </w:rPr>
        <w:t>）</w:t>
      </w:r>
      <w:r>
        <w:rPr>
          <w:rFonts w:hint="eastAsia" w:ascii="宋体" w:hAnsi="宋体" w:eastAsia="宋体"/>
          <w:highlight w:val="none"/>
        </w:rPr>
        <w:t>：发生吊装安全事故时，发布和解除应急救援指令；组织指挥应急队伍实施救援行动；向上级汇报和公司通报事故情况，必要时向有关单位发出救援要求；组织事故调查，总结应急救援经验教育等。</w:t>
      </w:r>
    </w:p>
    <w:p w14:paraId="0EC44A98">
      <w:pPr>
        <w:ind w:firstLine="480"/>
        <w:rPr>
          <w:rFonts w:hint="eastAsia" w:ascii="宋体" w:hAnsi="宋体" w:eastAsia="宋体"/>
          <w:highlight w:val="none"/>
        </w:rPr>
      </w:pPr>
      <w:r>
        <w:rPr>
          <w:rFonts w:hint="eastAsia" w:ascii="宋体" w:hAnsi="宋体" w:eastAsia="宋体"/>
          <w:highlight w:val="none"/>
        </w:rPr>
        <w:t>副组长</w:t>
      </w:r>
      <w:r>
        <w:rPr>
          <w:rFonts w:hint="eastAsia" w:ascii="宋体" w:hAnsi="宋体" w:eastAsia="宋体"/>
          <w:highlight w:val="none"/>
          <w:lang w:eastAsia="zh-CN"/>
        </w:rPr>
        <w:t>（</w:t>
      </w:r>
      <w:r>
        <w:rPr>
          <w:rFonts w:hint="eastAsia" w:ascii="宋体" w:hAnsi="宋体" w:eastAsia="宋体"/>
          <w:highlight w:val="none"/>
          <w:lang w:val="en-US" w:eastAsia="zh-CN"/>
        </w:rPr>
        <w:t>副总指挥</w:t>
      </w:r>
      <w:r>
        <w:rPr>
          <w:rFonts w:hint="eastAsia" w:ascii="宋体" w:hAnsi="宋体" w:eastAsia="宋体"/>
          <w:highlight w:val="none"/>
          <w:lang w:eastAsia="zh-CN"/>
        </w:rPr>
        <w:t>）</w:t>
      </w:r>
      <w:r>
        <w:rPr>
          <w:rFonts w:hint="eastAsia" w:ascii="宋体" w:hAnsi="宋体" w:eastAsia="宋体"/>
          <w:highlight w:val="none"/>
        </w:rPr>
        <w:t>：协助组长工作，负责指挥应急处置工作的具体实施。</w:t>
      </w:r>
    </w:p>
    <w:p w14:paraId="5725054B">
      <w:pPr>
        <w:ind w:firstLine="480"/>
        <w:rPr>
          <w:rFonts w:hint="eastAsia" w:ascii="宋体" w:hAnsi="宋体" w:eastAsia="宋体"/>
          <w:highlight w:val="none"/>
        </w:rPr>
      </w:pPr>
      <w:r>
        <w:rPr>
          <w:rFonts w:hint="eastAsia" w:ascii="宋体" w:hAnsi="宋体" w:eastAsia="宋体"/>
          <w:highlight w:val="none"/>
        </w:rPr>
        <w:t>小组成员：</w:t>
      </w:r>
    </w:p>
    <w:p w14:paraId="0692D2FE">
      <w:pPr>
        <w:ind w:firstLine="480"/>
        <w:rPr>
          <w:rFonts w:hint="eastAsia" w:ascii="宋体" w:hAnsi="宋体" w:eastAsia="宋体"/>
          <w:highlight w:val="none"/>
        </w:rPr>
      </w:pPr>
      <w:r>
        <w:rPr>
          <w:rFonts w:hint="eastAsia" w:ascii="宋体" w:hAnsi="宋体" w:eastAsia="宋体"/>
          <w:highlight w:val="none"/>
        </w:rPr>
        <w:t>（1）负责警戒、治安保卫、人员疏散，道路交通管制工作。</w:t>
      </w:r>
    </w:p>
    <w:p w14:paraId="5F4FEB7F">
      <w:pPr>
        <w:ind w:firstLine="480"/>
        <w:rPr>
          <w:rFonts w:hint="eastAsia" w:ascii="宋体" w:hAnsi="宋体" w:eastAsia="宋体"/>
          <w:highlight w:val="none"/>
        </w:rPr>
      </w:pPr>
      <w:r>
        <w:rPr>
          <w:rFonts w:hint="eastAsia" w:ascii="宋体" w:hAnsi="宋体" w:eastAsia="宋体"/>
          <w:highlight w:val="none"/>
        </w:rPr>
        <w:t>（2）协助副组长工作，做好事故报警，情况通报及事故处置工作，负责事故现场的通讯联络、对外联络及事故现场的监测工作。</w:t>
      </w:r>
    </w:p>
    <w:p w14:paraId="7663CFCB">
      <w:pPr>
        <w:ind w:firstLine="480"/>
        <w:rPr>
          <w:rFonts w:hint="eastAsia" w:ascii="宋体" w:hAnsi="宋体" w:eastAsia="宋体"/>
          <w:highlight w:val="none"/>
        </w:rPr>
      </w:pPr>
      <w:r>
        <w:rPr>
          <w:rFonts w:hint="eastAsia" w:ascii="宋体" w:hAnsi="宋体" w:eastAsia="宋体"/>
          <w:highlight w:val="none"/>
        </w:rPr>
        <w:t>（3）负责协助抢险机械设备的调转；负责抢险救援物质的供应和运输工作。</w:t>
      </w:r>
    </w:p>
    <w:p w14:paraId="4F33F013">
      <w:pPr>
        <w:ind w:firstLine="480"/>
        <w:rPr>
          <w:rFonts w:hint="eastAsia" w:ascii="宋体" w:hAnsi="宋体" w:eastAsia="宋体"/>
          <w:highlight w:val="none"/>
        </w:rPr>
      </w:pPr>
      <w:r>
        <w:rPr>
          <w:rFonts w:hint="eastAsia" w:ascii="宋体" w:hAnsi="宋体" w:eastAsia="宋体"/>
          <w:highlight w:val="none"/>
        </w:rPr>
        <w:t>（4）负责抢险车辆调度和现场医疗救护指挥及受伤人员分类抢救和护送医院，受伤人员的生活必需品、抢险救援物资供应，资金保证。</w:t>
      </w:r>
    </w:p>
    <w:p w14:paraId="43F7A73A">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color w:val="000000"/>
          <w:kern w:val="0"/>
          <w:highlight w:val="none"/>
          <w:lang w:val="en-US" w:eastAsia="zh-CN" w:bidi="ar"/>
        </w:rPr>
        <w:t>应急联络方式：手机号码（24小时）19142751617</w:t>
      </w:r>
    </w:p>
    <w:p w14:paraId="187F4135">
      <w:pPr>
        <w:pStyle w:val="3"/>
        <w:bidi w:val="0"/>
        <w:ind w:left="575" w:leftChars="0" w:hanging="575" w:firstLineChars="0"/>
      </w:pPr>
      <w:bookmarkStart w:id="399" w:name="_Toc10409840"/>
      <w:bookmarkStart w:id="400" w:name="_Toc29166"/>
      <w:bookmarkStart w:id="401" w:name="_Toc15798"/>
      <w:bookmarkStart w:id="402" w:name="_Toc8652"/>
      <w:r>
        <w:rPr>
          <w:rFonts w:hint="eastAsia"/>
          <w:lang w:val="en-US" w:eastAsia="zh-CN"/>
        </w:rPr>
        <w:t xml:space="preserve"> </w:t>
      </w:r>
      <w:bookmarkStart w:id="403" w:name="_Toc10419"/>
      <w:r>
        <w:rPr>
          <w:rFonts w:hint="eastAsia"/>
        </w:rPr>
        <w:t>预防与预警</w:t>
      </w:r>
      <w:bookmarkEnd w:id="399"/>
      <w:bookmarkEnd w:id="400"/>
      <w:bookmarkEnd w:id="401"/>
      <w:bookmarkEnd w:id="402"/>
      <w:bookmarkEnd w:id="403"/>
    </w:p>
    <w:p w14:paraId="3E310D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bookmarkStart w:id="404" w:name="_Toc10409841"/>
      <w:r>
        <w:rPr>
          <w:rFonts w:hint="eastAsia"/>
          <w:highlight w:val="none"/>
        </w:rPr>
        <w:t>（1）施工现场设安全领导小组，负责吊装过程中可能造成的人员 伤亡事故的控制。</w:t>
      </w:r>
    </w:p>
    <w:p w14:paraId="75B650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（2）发生事故时，安全领导小组要立即救人。救人时先排除危险，防止抢救时事故的再发生。</w:t>
      </w:r>
    </w:p>
    <w:p w14:paraId="056172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04B1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（4）将受伤人员及时转送医院进行紧急救护。</w:t>
      </w:r>
    </w:p>
    <w:p w14:paraId="20DCB8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（5）将信息迅速传递给项目部；传递内容包括发生的时间、地点、部位、简要经过、伤人数和已采取的应急措施等。  </w:t>
      </w:r>
    </w:p>
    <w:p w14:paraId="0326C1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（6）项目部接到应急信息后应立即核实现场的处置情况，组织有关人员或应急队伍赶赴现场。</w:t>
      </w:r>
    </w:p>
    <w:p w14:paraId="49D412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4615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（8）事故处理完毕后，施工现场应保护好现场，接受事故调查并如实提供事故的情况。</w:t>
      </w:r>
    </w:p>
    <w:bookmarkEnd w:id="404"/>
    <w:p w14:paraId="5EF3147C">
      <w:pPr>
        <w:pStyle w:val="3"/>
        <w:bidi w:val="0"/>
        <w:ind w:left="575" w:leftChars="0" w:hanging="575" w:firstLineChars="0"/>
        <w:rPr>
          <w:rFonts w:hint="eastAsia"/>
          <w:lang w:val="en-US" w:eastAsia="zh-CN"/>
        </w:rPr>
      </w:pPr>
      <w:bookmarkStart w:id="405" w:name="_Toc40778455"/>
      <w:bookmarkStart w:id="406" w:name="_Toc17271"/>
      <w:bookmarkStart w:id="407" w:name="_Toc941"/>
      <w:bookmarkStart w:id="408" w:name="_Toc18740"/>
      <w:bookmarkStart w:id="409" w:name="_Toc2661"/>
      <w:bookmarkStart w:id="410" w:name="_Toc28613979"/>
      <w:bookmarkStart w:id="411" w:name="_Toc3771"/>
      <w:bookmarkStart w:id="412" w:name="_Toc31708"/>
      <w:bookmarkStart w:id="413" w:name="_Toc55223384"/>
      <w:bookmarkStart w:id="414" w:name="_Toc9735"/>
      <w:r>
        <w:rPr>
          <w:rFonts w:hint="eastAsia"/>
        </w:rPr>
        <w:t>处置流程</w:t>
      </w:r>
      <w:bookmarkEnd w:id="405"/>
      <w:bookmarkEnd w:id="406"/>
      <w:bookmarkEnd w:id="407"/>
      <w:bookmarkEnd w:id="408"/>
      <w:bookmarkEnd w:id="409"/>
      <w:bookmarkEnd w:id="410"/>
      <w:bookmarkEnd w:id="411"/>
      <w:bookmarkEnd w:id="412"/>
      <w:bookmarkEnd w:id="413"/>
      <w:bookmarkEnd w:id="414"/>
    </w:p>
    <w:p w14:paraId="32C3D2E6">
      <w:pPr>
        <w:pStyle w:val="4"/>
        <w:bidi w:val="0"/>
        <w:ind w:left="720" w:leftChars="0" w:hanging="720" w:firstLineChars="0"/>
      </w:pPr>
      <w:bookmarkStart w:id="415" w:name="_Toc29053"/>
      <w:bookmarkStart w:id="416" w:name="_Toc10409842"/>
      <w:bookmarkStart w:id="417" w:name="_Toc16079"/>
      <w:r>
        <w:rPr>
          <w:rFonts w:hint="eastAsia"/>
          <w:lang w:val="en-US" w:eastAsia="zh-CN"/>
        </w:rPr>
        <w:t xml:space="preserve"> 信息报告与公开 </w:t>
      </w:r>
    </w:p>
    <w:p w14:paraId="755BF96A">
      <w:pPr>
        <w:bidi w:val="0"/>
        <w:jc w:val="center"/>
        <w:rPr>
          <w:highlight w:val="none"/>
        </w:rPr>
      </w:pPr>
      <w:bookmarkStart w:id="418" w:name="_Toc12816"/>
      <w:bookmarkStart w:id="419" w:name="_Toc1726"/>
      <w:bookmarkStart w:id="420" w:name="_Toc646"/>
      <w:r>
        <w:rPr>
          <w:highlight w:val="none"/>
        </w:rPr>
        <w:drawing>
          <wp:inline distT="0" distB="0" distL="114300" distR="114300">
            <wp:extent cx="3441700" cy="4241800"/>
            <wp:effectExtent l="0" t="0" r="0" b="0"/>
            <wp:docPr id="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
                    <pic:cNvPicPr>
                      <a:picLocks noChangeAspect="1"/>
                    </pic:cNvPicPr>
                  </pic:nvPicPr>
                  <pic:blipFill>
                    <a:blip r:embed="rId76"/>
                    <a:stretch>
                      <a:fillRect/>
                    </a:stretch>
                  </pic:blipFill>
                  <pic:spPr>
                    <a:xfrm>
                      <a:off x="0" y="0"/>
                      <a:ext cx="3441700" cy="4241800"/>
                    </a:xfrm>
                    <a:prstGeom prst="rect">
                      <a:avLst/>
                    </a:prstGeom>
                    <a:noFill/>
                    <a:ln>
                      <a:noFill/>
                    </a:ln>
                  </pic:spPr>
                </pic:pic>
              </a:graphicData>
            </a:graphic>
          </wp:inline>
        </w:drawing>
      </w:r>
    </w:p>
    <w:p w14:paraId="006CCF79">
      <w:pPr>
        <w:pStyle w:val="41"/>
        <w:bidi w:val="0"/>
        <w:rPr>
          <w:highlight w:val="none"/>
        </w:rPr>
      </w:pPr>
      <w:r>
        <w:t xml:space="preserve">图 </w:t>
      </w:r>
      <w:r>
        <w:fldChar w:fldCharType="begin"/>
      </w:r>
      <w:r>
        <w:instrText xml:space="preserve"> STYLEREF 3 \s </w:instrText>
      </w:r>
      <w:r>
        <w:fldChar w:fldCharType="separate"/>
      </w:r>
      <w:r>
        <w:t>9.4.1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highlight w:val="none"/>
          <w:lang w:val="en-US" w:eastAsia="zh-CN"/>
        </w:rPr>
        <w:t xml:space="preserve"> 信息发布流程图</w:t>
      </w:r>
    </w:p>
    <w:bookmarkEnd w:id="418"/>
    <w:bookmarkEnd w:id="419"/>
    <w:bookmarkEnd w:id="420"/>
    <w:p w14:paraId="7548F674">
      <w:pPr>
        <w:pStyle w:val="4"/>
        <w:bidi w:val="0"/>
        <w:ind w:left="720" w:leftChars="0" w:hanging="720" w:firstLineChars="0"/>
      </w:pPr>
      <w:r>
        <w:rPr>
          <w:rFonts w:hint="eastAsia"/>
          <w:lang w:val="en-US" w:eastAsia="zh-CN"/>
        </w:rPr>
        <w:t>响应分级</w:t>
      </w:r>
    </w:p>
    <w:p w14:paraId="1DD75A6E">
      <w:pPr>
        <w:bidi w:val="0"/>
        <w:ind w:firstLine="480" w:firstLineChars="200"/>
        <w:rPr>
          <w:highlight w:val="none"/>
        </w:rPr>
      </w:pPr>
      <w:r>
        <w:rPr>
          <w:rFonts w:hint="eastAsia"/>
          <w:highlight w:val="none"/>
          <w:lang w:val="en-US" w:eastAsia="zh-CN"/>
        </w:rPr>
        <w:t xml:space="preserve">按照事故性质、潜在危险性、严重程度、发展趋势、影响范围及应急处置能力等因素，结合国家及广西桂贺高速公路有限公司相关文件要求，将应急响应分为 I、Ⅱ、Ⅲ、Ⅳ级。 </w:t>
      </w:r>
    </w:p>
    <w:p w14:paraId="0EC19DDB">
      <w:pPr>
        <w:bidi w:val="0"/>
        <w:ind w:firstLine="480" w:firstLineChars="200"/>
        <w:rPr>
          <w:highlight w:val="none"/>
        </w:rPr>
      </w:pPr>
      <w:r>
        <w:rPr>
          <w:rFonts w:hint="eastAsia"/>
          <w:highlight w:val="none"/>
          <w:lang w:val="en-US" w:eastAsia="zh-CN"/>
        </w:rPr>
        <w:t>I级、Ⅱ级、Ⅲ级应急响应行动由广西桂贺高速公路有限公司应急领导小组组织实施。当广西桂贺高速公路有限公司应急领导小组进行应急响应行动时，总承包部应当按照相应的预案在确保救援人员安全的情况下全力以赴组织救援，控制事态发展；如事态有继续扩大可能，应立即撤离周边人员并及时向属地应急管理部门、监管部门、广西桂贺高速公路有限公司以及公司报告救援工作进展情况。</w:t>
      </w:r>
    </w:p>
    <w:p w14:paraId="217B6212">
      <w:pPr>
        <w:bidi w:val="0"/>
        <w:ind w:firstLine="480" w:firstLineChars="200"/>
        <w:rPr>
          <w:highlight w:val="none"/>
        </w:rPr>
      </w:pPr>
      <w:r>
        <w:rPr>
          <w:rFonts w:hint="eastAsia"/>
          <w:highlight w:val="none"/>
          <w:lang w:val="en-US" w:eastAsia="zh-CN"/>
        </w:rPr>
        <w:t>Ⅳ级应急响应行动的组织实施由总承包部应急领导小组决定。总承包部根据事故灾难或险情的严重程度启动相应的应急预案，超出其应急救援处置能力时，及时报请广西桂贺高速公路有限公司或上级公司应急领导小组启动相应应急预案实施救援。</w:t>
      </w:r>
    </w:p>
    <w:p w14:paraId="341B73BF">
      <w:pPr>
        <w:pStyle w:val="4"/>
        <w:bidi w:val="0"/>
        <w:ind w:left="720" w:leftChars="0" w:hanging="720" w:firstLineChars="0"/>
      </w:pPr>
      <w:r>
        <w:rPr>
          <w:rFonts w:hint="eastAsia"/>
          <w:lang w:val="en-US" w:eastAsia="zh-CN"/>
        </w:rPr>
        <w:t>响应程序</w:t>
      </w:r>
    </w:p>
    <w:p w14:paraId="00A893CC">
      <w:pPr>
        <w:bidi w:val="0"/>
        <w:ind w:firstLine="480" w:firstLineChars="200"/>
        <w:rPr>
          <w:highlight w:val="none"/>
        </w:rPr>
      </w:pPr>
      <w:r>
        <w:rPr>
          <w:rFonts w:hint="eastAsia"/>
          <w:highlight w:val="none"/>
          <w:lang w:val="en-US" w:eastAsia="zh-CN"/>
        </w:rPr>
        <w:t xml:space="preserve">（1）经现场发现异常现象或发生事件、事故时现场管理人员根据出现的险情或有可能出现的险情，迅速向应急领导小组上报。应急救援组织机构领导小组成员必须迅速到达指定岗位并立即启动总承包部应急救援预案。由应急领导小组组长主持紧急情况处理会议，协调、派遣和统一指挥所有车辆、设备、人员、物资等实施紧急抢救，并在30分钟内向广西桂贺高速公路有限公司应急领导小组办公室、监理及公司领导报告，主要说明紧急情况性质、地点、发生时间、有无伤亡等现场情况。根据上级领导指示启动更高一级的应急预案。（根据事故大小情况来确定，如果事故特别小，根据上级指示可由总承包部自行直接处理。如果事故较大或总承包部处理不了则由总承包部向广西桂贺高速公路有限公司应急救援领导办公室进行请示，请求启动广西桂贺高速公路有限公司级应急预案，广西桂贺高速公路有限公司的救援预案仍不能进行处理，则由广西桂贺高速公路有限公司向政府部门请示启动上一级救援预案。） </w:t>
      </w:r>
    </w:p>
    <w:p w14:paraId="28952113">
      <w:pPr>
        <w:bidi w:val="0"/>
        <w:ind w:firstLine="480" w:firstLineChars="200"/>
        <w:rPr>
          <w:highlight w:val="none"/>
        </w:rPr>
      </w:pPr>
      <w:r>
        <w:rPr>
          <w:rFonts w:hint="eastAsia"/>
          <w:highlight w:val="none"/>
          <w:lang w:val="en-US" w:eastAsia="zh-CN"/>
        </w:rPr>
        <w:t xml:space="preserve">（2）应急领导小组组长指挥各相应应急救援小组实施救援，各应急救援小组要切实履行自己的应急救援职责，实施救援。根据现场情况拨打120、110、119 等急救电话。 </w:t>
      </w:r>
    </w:p>
    <w:p w14:paraId="4AB5C266">
      <w:pPr>
        <w:bidi w:val="0"/>
        <w:ind w:firstLine="480" w:firstLineChars="200"/>
        <w:rPr>
          <w:highlight w:val="none"/>
        </w:rPr>
      </w:pPr>
      <w:r>
        <w:rPr>
          <w:rFonts w:hint="eastAsia"/>
          <w:highlight w:val="none"/>
          <w:lang w:val="en-US" w:eastAsia="zh-CN"/>
        </w:rPr>
        <w:t>（3）遇到紧急情况，全体职工应特事特办、急事急办，主动积极地投身到紧急情况的处理中去。各种设备、车辆、器材、物资等统一调遣，各类人员必须坚持无条件服从组长或副组长的命令和安排，不得拖延、推诿、阻碍紧急情况的处理。</w:t>
      </w:r>
    </w:p>
    <w:p w14:paraId="57945702">
      <w:pPr>
        <w:bidi w:val="0"/>
        <w:ind w:firstLine="480" w:firstLineChars="200"/>
        <w:rPr>
          <w:highlight w:val="none"/>
        </w:rPr>
      </w:pPr>
      <w:r>
        <w:rPr>
          <w:rFonts w:hint="eastAsia"/>
          <w:highlight w:val="none"/>
          <w:lang w:val="en-US" w:eastAsia="zh-CN"/>
        </w:rPr>
        <w:t>应急领导小组在确认事故现场得以控制，环境符合有关标准，导致次生、诱发事故隐患消除后，按照“谁启动、谁结束”的原则，经事故现场应急指挥机构批准后，现场应急结束</w:t>
      </w:r>
    </w:p>
    <w:p w14:paraId="1A68A341">
      <w:pPr>
        <w:pStyle w:val="4"/>
        <w:bidi w:val="0"/>
        <w:ind w:left="720" w:leftChars="0" w:hanging="720" w:firstLineChars="0"/>
      </w:pPr>
      <w:r>
        <w:rPr>
          <w:rFonts w:hint="eastAsia"/>
          <w:lang w:val="en-US" w:eastAsia="zh-CN"/>
        </w:rPr>
        <w:t xml:space="preserve"> 后期处理</w:t>
      </w:r>
    </w:p>
    <w:p w14:paraId="585DA7A2">
      <w:pPr>
        <w:bidi w:val="0"/>
        <w:rPr>
          <w:highlight w:val="none"/>
        </w:rPr>
      </w:pPr>
      <w:r>
        <w:rPr>
          <w:rFonts w:hint="eastAsia"/>
          <w:highlight w:val="none"/>
          <w:lang w:val="en-US" w:eastAsia="zh-CN"/>
        </w:rPr>
        <w:t xml:space="preserve">（1）应急总结 </w:t>
      </w:r>
    </w:p>
    <w:p w14:paraId="0C0F858A">
      <w:pPr>
        <w:bidi w:val="0"/>
        <w:rPr>
          <w:rFonts w:hint="eastAsia" w:ascii="Times New Roman" w:hAnsi="Times New Roman" w:eastAsia="宋体" w:cs="Times New Roman"/>
          <w:highlight w:val="none"/>
          <w:lang w:val="en-US" w:eastAsia="zh-CN"/>
        </w:rPr>
      </w:pPr>
      <w:r>
        <w:rPr>
          <w:rFonts w:hint="eastAsia"/>
          <w:highlight w:val="none"/>
          <w:lang w:val="en-US" w:eastAsia="zh-CN"/>
        </w:rPr>
        <w:t>抢险救援结束后，由监理单位主持、业主、设计、咨询等相关单位参加的恢复生产会，对生产安全事故发生的原因进行分析，确定下一步恢复生产应采取的安全、文明、质量等施工措施和管理措施。总承包部主要从</w:t>
      </w:r>
      <w:r>
        <w:rPr>
          <w:rFonts w:hint="eastAsia" w:ascii="Times New Roman" w:hAnsi="Times New Roman" w:eastAsia="宋体" w:cs="Times New Roman"/>
          <w:highlight w:val="none"/>
          <w:lang w:val="en-US" w:eastAsia="zh-CN"/>
        </w:rPr>
        <w:t xml:space="preserve">以下几个方面进行恢复生产： </w:t>
      </w:r>
    </w:p>
    <w:p w14:paraId="7633038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1）做好事故处理和善后工作，对受害人员进行领导慰问或团体慰问。对良性事迹加强报道。 </w:t>
      </w:r>
    </w:p>
    <w:p w14:paraId="76F89553">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2）严格落实公司及广西桂贺高速公路有限公司和地方政府应急管理规定，推行全员应急管理，认真学习应急预案。 </w:t>
      </w:r>
    </w:p>
    <w:p w14:paraId="5A4BD24D">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健全各组织机构，加强人员管理，建立矩阵管理。完善安全、质量保证体系，健全安全、质量管理组织机构，整个项目形成一套严密完整的安全、质量管理体系，各层级充分发挥管理的机能、职能和人的作用。 </w:t>
      </w:r>
    </w:p>
    <w:p w14:paraId="2777BB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4）依据安全、质量体系有关文件，制定安全、质量检查计划制度，形成安全、质量管理依据，做到“有法可依”。严格实施岗位责任制。 </w:t>
      </w:r>
    </w:p>
    <w:p w14:paraId="55D0005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5）做好技术、试验、测量、机械、施工工艺、后勤等各项保证工作。 </w:t>
      </w:r>
    </w:p>
    <w:p w14:paraId="5F24787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6）对恢复生产确保资金投入不受阻。 </w:t>
      </w:r>
    </w:p>
    <w:p w14:paraId="3ACEE86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7）确保设计、施工方案可行，符合现场实际情况，可利用现场存有的机械、设备和材料。 </w:t>
      </w:r>
    </w:p>
    <w:p w14:paraId="5E66953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8）及时调用后备人员和机械设备，补充到该工区，进行生产恢复，尽快达到生产正常。 </w:t>
      </w:r>
    </w:p>
    <w:p w14:paraId="14753A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抢险结束和生产恢复后，对应急预案的整个过程进行评审、分析和总结，找出预案中存在的不足，并进行评审及修订，使以后的应急预案更加成熟，遇到紧急情况等能处理及时，将安全、财产损失降到最低限度。 </w:t>
      </w:r>
    </w:p>
    <w:p w14:paraId="1F4CC4DE">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（2）事故调查 </w:t>
      </w:r>
    </w:p>
    <w:p w14:paraId="7CF86D7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按照事故调查组的要求，总承包部如实提供相应资料。 </w:t>
      </w:r>
    </w:p>
    <w:p w14:paraId="6CB752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（3）保险理赔 </w:t>
      </w:r>
    </w:p>
    <w:p w14:paraId="62CE07FF">
      <w:pPr>
        <w:bidi w:val="0"/>
        <w:ind w:firstLine="480" w:firstLineChars="200"/>
        <w:rPr>
          <w:rFonts w:hint="eastAsia"/>
          <w:highlight w:val="none"/>
        </w:rPr>
      </w:pPr>
      <w:r>
        <w:rPr>
          <w:rFonts w:hint="eastAsia" w:ascii="Times New Roman" w:hAnsi="Times New Roman" w:eastAsia="宋体" w:cs="Times New Roman"/>
          <w:highlight w:val="none"/>
          <w:lang w:val="en-US" w:eastAsia="zh-CN"/>
        </w:rPr>
        <w:t>按照保险理赔机构的要求，总承包部如实提供相应资料。</w:t>
      </w:r>
    </w:p>
    <w:p w14:paraId="2D9A1A18">
      <w:pPr>
        <w:pStyle w:val="3"/>
        <w:bidi w:val="0"/>
        <w:ind w:left="575" w:leftChars="0" w:hanging="575" w:firstLineChars="0"/>
        <w:rPr>
          <w:rFonts w:hint="eastAsia"/>
        </w:rPr>
      </w:pPr>
      <w:bookmarkStart w:id="421" w:name="_Toc22178"/>
      <w:bookmarkStart w:id="422" w:name="_Toc1028"/>
      <w:r>
        <w:rPr>
          <w:rFonts w:hint="eastAsia"/>
        </w:rPr>
        <w:t>突发事件应急</w:t>
      </w:r>
      <w:r>
        <w:rPr>
          <w:rFonts w:hint="eastAsia"/>
          <w:lang w:val="en-US" w:eastAsia="zh-CN"/>
        </w:rPr>
        <w:t>处置措施和</w:t>
      </w:r>
      <w:r>
        <w:rPr>
          <w:rFonts w:hint="eastAsia"/>
        </w:rPr>
        <w:t>预案</w:t>
      </w:r>
      <w:bookmarkEnd w:id="415"/>
      <w:bookmarkEnd w:id="416"/>
      <w:bookmarkEnd w:id="417"/>
      <w:bookmarkEnd w:id="421"/>
      <w:bookmarkEnd w:id="422"/>
    </w:p>
    <w:p w14:paraId="6C38D89F">
      <w:pPr>
        <w:pStyle w:val="4"/>
        <w:bidi w:val="0"/>
        <w:ind w:left="720" w:leftChars="0" w:hanging="720" w:firstLineChars="0"/>
        <w:rPr>
          <w:rFonts w:hint="eastAsia"/>
        </w:rPr>
      </w:pPr>
      <w:bookmarkStart w:id="423" w:name="_Toc530055723"/>
      <w:r>
        <w:rPr>
          <w:rFonts w:hint="eastAsia"/>
        </w:rPr>
        <w:t>高空坠落应急处置措施</w:t>
      </w:r>
      <w:bookmarkEnd w:id="423"/>
    </w:p>
    <w:p w14:paraId="75576B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B76F9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F5D25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09BF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04C7A5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（5）遇有创伤性出血的伤员，应迅速包扎止血，使伤员保持在头底脚高的卧位，并注意保暖。正确的现场止血处理措施：</w:t>
      </w:r>
    </w:p>
    <w:p w14:paraId="4AEB80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a.一般伤口的止血法：先用生理盐水（%Nacl溶液）冲洗伤口，涂上红汞水，然后盖上消毒纱布，用绷带较紧地包扎。</w:t>
      </w:r>
    </w:p>
    <w:p w14:paraId="0761F5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b.加压包扎止血法：用纱布、棉花等作成软件垫，放在伤口上再加包扎，来增强压力而达到止血。</w:t>
      </w:r>
    </w:p>
    <w:p w14:paraId="098E2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1分钟。</w:t>
      </w:r>
    </w:p>
    <w:p w14:paraId="0E2205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（6）动用最快的交通工具或其他措施，及时把伤者送往邻近医院抢救，运送途中应尽量减少颠簸。同时密切注意伤者的呼吸、脉搏、血压及伤口的情况。</w:t>
      </w:r>
    </w:p>
    <w:p w14:paraId="223C4A2A">
      <w:pPr>
        <w:pStyle w:val="4"/>
        <w:bidi w:val="0"/>
        <w:ind w:left="720" w:leftChars="0" w:hanging="720" w:firstLineChars="0"/>
        <w:rPr>
          <w:rFonts w:hint="eastAsia"/>
        </w:rPr>
      </w:pPr>
      <w:bookmarkStart w:id="424" w:name="_Toc530055724"/>
      <w:r>
        <w:rPr>
          <w:rFonts w:hint="eastAsia"/>
        </w:rPr>
        <w:t>物体打击应急处置措施</w:t>
      </w:r>
      <w:bookmarkEnd w:id="424"/>
    </w:p>
    <w:p w14:paraId="37F52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当发生物体打击事故后，抢救的重点放在颅脑损伤、胸部骨折和出血上进行处理。</w:t>
      </w:r>
    </w:p>
    <w:p w14:paraId="3CEA3E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10D634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（2）遇呼吸、心跳停止者，应立即进行人工呼吸，胸外心脏挤压。处于休克状态的伤员要让其安静、保暖、平卧、少动，并将下肢抬高约20度左右，尽快送医院进行抢救治疗。</w:t>
      </w:r>
    </w:p>
    <w:p w14:paraId="111C0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06A562C">
      <w:pPr>
        <w:pStyle w:val="4"/>
        <w:bidi w:val="0"/>
        <w:ind w:left="720" w:leftChars="0" w:hanging="720" w:firstLineChars="0"/>
        <w:rPr>
          <w:rFonts w:hint="eastAsia"/>
        </w:rPr>
      </w:pPr>
      <w:bookmarkStart w:id="425" w:name="_Toc530055725"/>
      <w:r>
        <w:rPr>
          <w:rFonts w:hint="eastAsia"/>
        </w:rPr>
        <w:t>机械伤害应急处置措施</w:t>
      </w:r>
      <w:bookmarkEnd w:id="425"/>
      <w:r>
        <w:rPr>
          <w:rFonts w:hint="eastAsia"/>
        </w:rPr>
        <w:t xml:space="preserve"> </w:t>
      </w:r>
    </w:p>
    <w:p w14:paraId="6C56A9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当施工人员发生机械伤害事故时，迅速确定事故发生的准确位置、可能波及的范围、设备损坏的程度、人员伤亡等情况，观察伤者的受伤情况、部位、伤害性质，急救人员应尽快赶往出事地点。</w:t>
      </w:r>
    </w:p>
    <w:p w14:paraId="3D0EE8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（1）休克、昏迷急救</w:t>
      </w:r>
    </w:p>
    <w:p w14:paraId="22C19E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让休克者平卧、不用枕头，腿部抬高30度。若属于心原性休克同时伴有心力衰竭、气急，不能平卧时，可采用半卧，注意保暖和安静，尽量不要搬动，如必须搬动时，动作要轻。</w:t>
      </w:r>
    </w:p>
    <w:p w14:paraId="2DCA81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（2）骨折急救</w:t>
      </w:r>
    </w:p>
    <w:p w14:paraId="12AFF6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a.固定断骨的材料可就地取材，如棍、木板、拐杖、硬纸板等都可作为固定材料，长短要以能固定住骨折处上下两个关节或不使断骨错动为准。 </w:t>
      </w:r>
    </w:p>
    <w:p w14:paraId="6FB35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b.脊柱骨折或骨折或颈部骨折时，除非是特殊情况如室内失火，否则应让伤者留在原地，等待携有医疗器材的医护人员来搬动。  </w:t>
      </w:r>
    </w:p>
    <w:p w14:paraId="085D18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14A49B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（3）严重出血的急救</w:t>
      </w:r>
    </w:p>
    <w:p w14:paraId="1CDAB9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止血的方法：</w:t>
      </w:r>
    </w:p>
    <w:p w14:paraId="3FC3D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a.一般止血法：一般伤口小的出血，先用生理盐水涂上红汞药水，然后盖上消毒纱布，用绷带较紧地包扎。</w:t>
      </w:r>
    </w:p>
    <w:p w14:paraId="3E9F8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96B17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（4）肢体切断断肢(指)后，有时即刻造成伤者因流血或疼痛而发生休克，所以应设法首先止血，防止伤员休克。其急救要点为：</w:t>
      </w:r>
    </w:p>
    <w:p w14:paraId="18D2FC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a.让伤者躺下，用一块纱布或清洁布块(如翻出干净手帕的内面)，放在断肢伤口上，再用绷带固定位置。如果找不到绷带，也可用围巾包扎。</w:t>
      </w:r>
    </w:p>
    <w:p w14:paraId="19FCD5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b.如是手臂切断，用绷带把断臂挂在胸前，固定位置；若是一条腿断了，则与另一条腿扎在一起。</w:t>
      </w:r>
    </w:p>
    <w:p w14:paraId="6BA46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c.料理好伤者后，设法找回断肢。倘若离断的伤肢(指)仍在机器中，千万不能将肢体强行拉出，或将机器倒开(转)，以免增加损伤的机会。正确的方法应是拆开机器后取出。</w:t>
      </w:r>
    </w:p>
    <w:p w14:paraId="76079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F83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e.离断后的伤肢，如有少许皮肤或其他肌腱相连，不能将其离断，应放在夹板或阔竹片上，然后包扎，立即送到医院作紧急处理。</w:t>
      </w:r>
    </w:p>
    <w:p w14:paraId="4D39FF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f.严禁在离断伤肢(指)的断端涂抹各种药物及药水(包括消毒剂)，更不能涂抹牙膏、灶灰之类试图止血。</w:t>
      </w:r>
    </w:p>
    <w:p w14:paraId="78DB9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（5）一般性外伤</w:t>
      </w:r>
    </w:p>
    <w:p w14:paraId="11FCE3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a.视伤情送往医院，防止破伤风。</w:t>
      </w:r>
    </w:p>
    <w:p w14:paraId="3E64AF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b.轻微内伤，送医院检查。</w:t>
      </w:r>
    </w:p>
    <w:p w14:paraId="31617DCD">
      <w:pPr>
        <w:pStyle w:val="4"/>
        <w:bidi w:val="0"/>
        <w:ind w:left="720" w:leftChars="0" w:hanging="720" w:firstLineChars="0"/>
        <w:rPr>
          <w:rFonts w:hint="eastAsia"/>
        </w:rPr>
      </w:pPr>
      <w:bookmarkStart w:id="426" w:name="_Toc530055726"/>
      <w:r>
        <w:rPr>
          <w:rFonts w:hint="eastAsia"/>
        </w:rPr>
        <w:t>触电应急处置措施</w:t>
      </w:r>
      <w:bookmarkEnd w:id="426"/>
      <w:r>
        <w:rPr>
          <w:rFonts w:hint="eastAsia"/>
        </w:rPr>
        <w:t xml:space="preserve"> </w:t>
      </w:r>
    </w:p>
    <w:p w14:paraId="288D4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（1）迅速脱离电源  </w:t>
      </w:r>
    </w:p>
    <w:p w14:paraId="48766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人体触电以后，可能由于痉挛或失去知觉等原因而紧抓带电体，不能自己摆脱电源。抢救触电者的首要步骤就是使触电者尽快脱离电源。 </w:t>
      </w:r>
    </w:p>
    <w:p w14:paraId="4279AD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使触电者脱离电源的方法：  </w:t>
      </w:r>
    </w:p>
    <w:p w14:paraId="52777A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a.立即将闸刀打开或将插头拨掉，切断电源。要注意，普通的电灯开关（如拉线开关）只能关断一根线，有时关断的不是相线，并未真正切断电源。 </w:t>
      </w:r>
    </w:p>
    <w:p w14:paraId="2B73BB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b.找不到开关或插头时，可用绝缘的物体（如干燥的木棒、竹杆、手套等）将电线拨开，使触电者脱离电源。</w:t>
      </w:r>
    </w:p>
    <w:p w14:paraId="6BA157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c.用绝缘工具（如带绝缘的电工钳、木柄斧头以及锄头等）切断电线来切断电源。</w:t>
      </w:r>
    </w:p>
    <w:p w14:paraId="61EE77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d.遇高压触电事故，立即通过有关部门停电。 </w:t>
      </w:r>
    </w:p>
    <w:p w14:paraId="7ACECC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总之，要因地制宜，灵活运用各种方法，快速切断电源，防止事故扩大。</w:t>
      </w:r>
    </w:p>
    <w:p w14:paraId="5436D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（2）现场急救方法</w:t>
      </w:r>
    </w:p>
    <w:p w14:paraId="1B04B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6FACD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a.口对口人工呼吸法：是用人工的方法来代替肺的呼吸活动，使空气有节律地进入和排出肺脏，供给体内足够的氧气，充分排出二氧化碳，维持正常的通气功能。 </w:t>
      </w:r>
    </w:p>
    <w:p w14:paraId="4E62B0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b.体外心脏挤压法：是指有节律地对心脏挤压，用人工的方法代替心脏的自然收缩，使心脏恢复搏动功能，维持血液循环。</w:t>
      </w:r>
    </w:p>
    <w:p w14:paraId="7154BD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（3）触电急救方法</w:t>
      </w:r>
    </w:p>
    <w:p w14:paraId="1817DB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触电病人一般有以下四种症状，可分别给予正确的对症救治：</w:t>
      </w:r>
    </w:p>
    <w:p w14:paraId="1FDC4F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a.神志尚清醒，但心慌力乏，四肢麻木。该类病人一般只需将其扶到清凉通风之处休息，让其自然慢慢恢复。但要派专人照料护理，因为有的病人在几小时后会发生病变而突然死亡。</w:t>
      </w:r>
    </w:p>
    <w:p w14:paraId="6B7618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b.有心跳，但呼吸停止或极微弱。该类病人应该采用口对口人工呼吸法进行急救。人工呼吸法可按下述口诀进行，频率是每分钟约12次：清理口腔防堵塞，鼻孔朝天头后仰；贴嘴吹气胸扩张，放开口鼻换气畅。</w:t>
      </w:r>
    </w:p>
    <w:p w14:paraId="0409F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c.有呼吸，但心跳停止或极微弱。该类病人应该采用人工胸外心脏挤压法来恢复病人的心跳。一般可以按下述口诀进行，频率是每分钟约60~80次。当胸一手掌，中指对凹膛；掌根用力向下压，压下突然收。</w:t>
      </w:r>
    </w:p>
    <w:p w14:paraId="373B9A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5332E26">
      <w:pPr>
        <w:pStyle w:val="4"/>
        <w:bidi w:val="0"/>
        <w:ind w:left="720" w:leftChars="0" w:hanging="720" w:firstLineChars="0"/>
        <w:rPr>
          <w:rFonts w:hint="eastAsia"/>
        </w:rPr>
      </w:pPr>
      <w:bookmarkStart w:id="427" w:name="_Toc530055727"/>
      <w:r>
        <w:rPr>
          <w:rFonts w:hint="eastAsia"/>
        </w:rPr>
        <w:t>落水人员应急处置措施</w:t>
      </w:r>
      <w:bookmarkEnd w:id="427"/>
    </w:p>
    <w:p w14:paraId="3E5E85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（1）交通船舶必须符合水上航行安全要求，备妥救生工具如救生衣、救生圈、救生竹篙等救生器材。</w:t>
      </w:r>
    </w:p>
    <w:p w14:paraId="4A70D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（2）水上施工作业及船上流动作业人员应按规定穿着救生衣。符合高处作业条件的，还应按高处作业的规定系好安全带。</w:t>
      </w:r>
    </w:p>
    <w:p w14:paraId="0787E2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（3）交通船必须按定员，不准超载。乘坐人员应听从船员的指挥，船到位后，应待靠稳拴牢方可上、下。不得抢上抢下或船未靠稳就跳船。</w:t>
      </w:r>
    </w:p>
    <w:p w14:paraId="0D7A7A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（4）乘坐人员应听从船员的指挥，自觉入舱，不得站立和坐骑在船头、船尾和船帮上，遇有风浪时，船上乘坐人员不得来回走动。非本船驾驶人员严禁擅自操作。</w:t>
      </w:r>
    </w:p>
    <w:p w14:paraId="56C5FE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（5）施工人员应开展游泳培训，加强自救和互救的能力。</w:t>
      </w:r>
    </w:p>
    <w:p w14:paraId="4688F6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（6）人员上下通道必须设安全网，跳板要固定。作业平台应满铺脚手板，周边必须有栏杆和安全网等可靠的临边维护。</w:t>
      </w:r>
    </w:p>
    <w:p w14:paraId="3F485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（7）作业平台上应配置足够数量的救生圈等救生设备，并配备一定数量的固定式防水灯，保证夜间足够的照明。</w:t>
      </w:r>
    </w:p>
    <w:p w14:paraId="27E5DF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（8）作业平台上设置多条安全通道，以防不测时人员迅速疏散。</w:t>
      </w:r>
    </w:p>
    <w:p w14:paraId="7347971D">
      <w:pPr>
        <w:pStyle w:val="3"/>
        <w:bidi w:val="0"/>
        <w:ind w:left="575" w:leftChars="0" w:hanging="575" w:firstLineChars="0"/>
        <w:rPr>
          <w:highlight w:val="none"/>
        </w:rPr>
      </w:pPr>
      <w:bookmarkStart w:id="428" w:name="_Toc10409843"/>
      <w:bookmarkStart w:id="429" w:name="_Toc20264"/>
      <w:bookmarkStart w:id="430" w:name="_Toc11464"/>
      <w:bookmarkStart w:id="431" w:name="_Toc27785"/>
      <w:bookmarkStart w:id="432" w:name="_Toc7406"/>
      <w:r>
        <w:rPr>
          <w:rFonts w:hint="eastAsia"/>
          <w:highlight w:val="none"/>
          <w:lang w:val="en-US" w:eastAsia="zh-CN"/>
        </w:rPr>
        <w:t xml:space="preserve"> </w:t>
      </w:r>
      <w:bookmarkStart w:id="433" w:name="_Toc24246"/>
      <w:r>
        <w:rPr>
          <w:rFonts w:hint="eastAsia" w:ascii="宋体" w:hAnsi="宋体" w:eastAsia="宋体" w:cs="Times New Roman"/>
        </w:rPr>
        <w:t>应急</w:t>
      </w:r>
      <w:r>
        <w:rPr>
          <w:rFonts w:hint="eastAsia"/>
          <w:highlight w:val="none"/>
        </w:rPr>
        <w:t>保障</w:t>
      </w:r>
      <w:bookmarkEnd w:id="428"/>
      <w:bookmarkEnd w:id="429"/>
      <w:bookmarkEnd w:id="430"/>
      <w:bookmarkEnd w:id="431"/>
      <w:bookmarkEnd w:id="432"/>
      <w:bookmarkEnd w:id="433"/>
    </w:p>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41"/>
        <w:bidi w:val="0"/>
        <w:rPr>
          <w:rFonts w:hint="eastAsia"/>
          <w:highlight w:val="none"/>
          <w:lang w:val="en-US" w:eastAsia="zh-CN"/>
        </w:rPr>
      </w:pPr>
      <w:r>
        <w:rPr>
          <w:highlight w:val="none"/>
        </w:rPr>
        <w:t>表</w:t>
      </w:r>
      <w:r>
        <w:rPr>
          <w:rFonts w:hint="eastAsia"/>
          <w:highlight w:val="none"/>
          <w:lang w:val="en-US" w:eastAsia="zh-CN"/>
        </w:rPr>
        <w:t>9.6-1应急物资、机械设备表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AE3F3" w:themeFill="accent5" w:themeFillTint="32"/>
            <w:noWrap w:val="0"/>
            <w:vAlign w:val="center"/>
          </w:tcPr>
          <w:p w14:paraId="03AC62B3">
            <w:pPr>
              <w:pStyle w:val="105"/>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AE3F3" w:themeFill="accent5" w:themeFillTint="32"/>
            <w:noWrap w:val="0"/>
            <w:vAlign w:val="center"/>
          </w:tcPr>
          <w:p w14:paraId="55C38F40">
            <w:pPr>
              <w:pStyle w:val="105"/>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AE3F3" w:themeFill="accent5" w:themeFillTint="32"/>
            <w:noWrap w:val="0"/>
            <w:vAlign w:val="center"/>
          </w:tcPr>
          <w:p w14:paraId="4F54F2C9">
            <w:pPr>
              <w:pStyle w:val="105"/>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AE3F3" w:themeFill="accent5" w:themeFillTint="32"/>
            <w:noWrap w:val="0"/>
            <w:vAlign w:val="center"/>
          </w:tcPr>
          <w:p w14:paraId="4518FBC0">
            <w:pPr>
              <w:pStyle w:val="105"/>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AE3F3" w:themeFill="accent5" w:themeFillTint="32"/>
            <w:noWrap w:val="0"/>
            <w:vAlign w:val="center"/>
          </w:tcPr>
          <w:p w14:paraId="4D813F3B">
            <w:pPr>
              <w:pStyle w:val="105"/>
              <w:bidi w:val="0"/>
              <w:rPr>
                <w:rFonts w:hint="eastAsia"/>
                <w:highlight w:val="none"/>
                <w:lang w:val="en-US" w:eastAsia="zh-CN"/>
              </w:rPr>
            </w:pPr>
            <w:r>
              <w:rPr>
                <w:rFonts w:hint="eastAsia"/>
                <w:highlight w:val="none"/>
                <w:lang w:val="en-US" w:eastAsia="zh-CN"/>
              </w:rPr>
              <w:t>备注</w:t>
            </w:r>
          </w:p>
        </w:tc>
      </w:tr>
      <w:tr w14:paraId="30C8B5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105"/>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105"/>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105"/>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105"/>
              <w:bidi w:val="0"/>
              <w:rPr>
                <w:rFonts w:hint="eastAsia"/>
                <w:highlight w:val="none"/>
                <w:lang w:val="en-US" w:eastAsia="zh-CN"/>
              </w:rPr>
            </w:pPr>
            <w:r>
              <w:rPr>
                <w:rFonts w:hint="eastAsia"/>
                <w:highlight w:val="none"/>
                <w:lang w:val="en-US" w:eastAsia="zh-CN"/>
              </w:rPr>
              <w:t>220型</w:t>
            </w:r>
          </w:p>
        </w:tc>
      </w:tr>
      <w:tr w14:paraId="1C5073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105"/>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105"/>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105"/>
              <w:bidi w:val="0"/>
              <w:rPr>
                <w:rFonts w:hint="eastAsia"/>
                <w:highlight w:val="none"/>
                <w:lang w:val="en-US" w:eastAsia="zh-CN"/>
              </w:rPr>
            </w:pPr>
            <w:r>
              <w:rPr>
                <w:rFonts w:hint="eastAsia"/>
                <w:highlight w:val="none"/>
                <w:lang w:val="en-US" w:eastAsia="zh-CN"/>
              </w:rPr>
              <w:t>50型</w:t>
            </w:r>
          </w:p>
        </w:tc>
      </w:tr>
      <w:tr w14:paraId="1033BC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105"/>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105"/>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105"/>
              <w:bidi w:val="0"/>
              <w:rPr>
                <w:rFonts w:hint="eastAsia"/>
                <w:highlight w:val="none"/>
                <w:lang w:val="en-US" w:eastAsia="zh-CN"/>
              </w:rPr>
            </w:pPr>
            <w:r>
              <w:rPr>
                <w:rFonts w:hint="eastAsia"/>
                <w:highlight w:val="none"/>
                <w:lang w:val="en-US" w:eastAsia="zh-CN"/>
              </w:rPr>
              <w:t>200千瓦</w:t>
            </w:r>
          </w:p>
        </w:tc>
      </w:tr>
      <w:tr w14:paraId="6F5C3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105"/>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105"/>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105"/>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105"/>
              <w:bidi w:val="0"/>
              <w:rPr>
                <w:rFonts w:hint="eastAsia"/>
                <w:highlight w:val="none"/>
                <w:lang w:val="en-US" w:eastAsia="zh-CN"/>
              </w:rPr>
            </w:pPr>
            <w:r>
              <w:rPr>
                <w:rFonts w:hint="eastAsia"/>
                <w:highlight w:val="none"/>
                <w:lang w:val="en-US" w:eastAsia="zh-CN"/>
              </w:rPr>
              <w:t>400吨</w:t>
            </w:r>
          </w:p>
        </w:tc>
      </w:tr>
      <w:tr w14:paraId="2E7171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105"/>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105"/>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105"/>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105"/>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105"/>
              <w:bidi w:val="0"/>
              <w:rPr>
                <w:rFonts w:hint="eastAsia"/>
                <w:highlight w:val="none"/>
                <w:lang w:val="en-US" w:eastAsia="zh-CN"/>
              </w:rPr>
            </w:pPr>
          </w:p>
        </w:tc>
      </w:tr>
      <w:tr w14:paraId="63FE7D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105"/>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105"/>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105"/>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105"/>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105"/>
              <w:bidi w:val="0"/>
              <w:rPr>
                <w:rFonts w:hint="eastAsia"/>
                <w:highlight w:val="none"/>
                <w:lang w:val="en-US" w:eastAsia="zh-CN"/>
              </w:rPr>
            </w:pPr>
          </w:p>
        </w:tc>
      </w:tr>
      <w:tr w14:paraId="7F2478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105"/>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105"/>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105"/>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105"/>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105"/>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105"/>
              <w:bidi w:val="0"/>
              <w:rPr>
                <w:rFonts w:hint="eastAsia"/>
                <w:highlight w:val="none"/>
                <w:lang w:val="en-US" w:eastAsia="zh-CN"/>
              </w:rPr>
            </w:pPr>
          </w:p>
        </w:tc>
      </w:tr>
      <w:tr w14:paraId="0ED501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105"/>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105"/>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105"/>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105"/>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105"/>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434" w:name="_Toc15656"/>
      <w:r>
        <w:rPr>
          <w:rFonts w:hint="eastAsia" w:ascii="宋体" w:hAnsi="宋体" w:eastAsia="宋体"/>
          <w:highlight w:val="none"/>
          <w:lang w:val="en-US" w:eastAsia="zh-CN"/>
        </w:rPr>
        <w:t>2、应急电话及救援路线图</w:t>
      </w:r>
      <w:bookmarkEnd w:id="434"/>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41"/>
        <w:bidi w:val="0"/>
        <w:rPr>
          <w:rFonts w:hint="eastAsia"/>
          <w:highlight w:val="none"/>
          <w:lang w:val="en-US" w:eastAsia="zh-CN"/>
        </w:rPr>
      </w:pPr>
      <w:r>
        <w:rPr>
          <w:highlight w:val="none"/>
        </w:rPr>
        <w:t>表</w:t>
      </w:r>
      <w:r>
        <w:rPr>
          <w:rFonts w:hint="eastAsia"/>
          <w:highlight w:val="none"/>
          <w:lang w:val="en-US" w:eastAsia="zh-CN"/>
        </w:rPr>
        <w:t>9.6-2项目附近救援机构联系方式及位置</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AE3F3" w:themeFill="accent5" w:themeFillTint="32"/>
            <w:noWrap w:val="0"/>
            <w:vAlign w:val="center"/>
          </w:tcPr>
          <w:p w14:paraId="1918F4A3">
            <w:pPr>
              <w:pStyle w:val="105"/>
              <w:bidi w:val="0"/>
              <w:rPr>
                <w:rFonts w:hint="eastAsia"/>
                <w:highlight w:val="none"/>
              </w:rPr>
            </w:pPr>
            <w:r>
              <w:rPr>
                <w:rFonts w:hint="eastAsia"/>
                <w:highlight w:val="none"/>
              </w:rPr>
              <w:t>序号</w:t>
            </w:r>
          </w:p>
        </w:tc>
        <w:tc>
          <w:tcPr>
            <w:tcW w:w="1464" w:type="pct"/>
            <w:tcBorders>
              <w:tl2br w:val="nil"/>
              <w:tr2bl w:val="nil"/>
            </w:tcBorders>
            <w:shd w:val="clear" w:color="auto" w:fill="DAE3F3" w:themeFill="accent5" w:themeFillTint="32"/>
            <w:noWrap w:val="0"/>
            <w:vAlign w:val="center"/>
          </w:tcPr>
          <w:p w14:paraId="6AE9834D">
            <w:pPr>
              <w:pStyle w:val="105"/>
              <w:bidi w:val="0"/>
              <w:rPr>
                <w:rFonts w:hint="eastAsia"/>
                <w:highlight w:val="none"/>
              </w:rPr>
            </w:pPr>
            <w:r>
              <w:rPr>
                <w:rFonts w:hint="eastAsia"/>
                <w:highlight w:val="none"/>
              </w:rPr>
              <w:t>周边资源</w:t>
            </w:r>
          </w:p>
        </w:tc>
        <w:tc>
          <w:tcPr>
            <w:tcW w:w="993" w:type="pct"/>
            <w:tcBorders>
              <w:tl2br w:val="nil"/>
              <w:tr2bl w:val="nil"/>
            </w:tcBorders>
            <w:shd w:val="clear" w:color="auto" w:fill="DAE3F3" w:themeFill="accent5" w:themeFillTint="32"/>
            <w:noWrap w:val="0"/>
            <w:vAlign w:val="center"/>
          </w:tcPr>
          <w:p w14:paraId="7971B0E4">
            <w:pPr>
              <w:pStyle w:val="105"/>
              <w:bidi w:val="0"/>
              <w:rPr>
                <w:rFonts w:hint="eastAsia"/>
                <w:highlight w:val="none"/>
              </w:rPr>
            </w:pPr>
            <w:r>
              <w:rPr>
                <w:rFonts w:hint="eastAsia"/>
                <w:highlight w:val="none"/>
              </w:rPr>
              <w:t>联系方式</w:t>
            </w:r>
          </w:p>
        </w:tc>
        <w:tc>
          <w:tcPr>
            <w:tcW w:w="1074" w:type="pct"/>
            <w:tcBorders>
              <w:tl2br w:val="nil"/>
              <w:tr2bl w:val="nil"/>
            </w:tcBorders>
            <w:shd w:val="clear" w:color="auto" w:fill="DAE3F3" w:themeFill="accent5" w:themeFillTint="32"/>
            <w:noWrap w:val="0"/>
            <w:vAlign w:val="center"/>
          </w:tcPr>
          <w:p w14:paraId="7790F91C">
            <w:pPr>
              <w:pStyle w:val="105"/>
              <w:bidi w:val="0"/>
              <w:rPr>
                <w:rFonts w:hint="eastAsia"/>
                <w:highlight w:val="none"/>
              </w:rPr>
            </w:pPr>
            <w:r>
              <w:rPr>
                <w:rFonts w:hint="eastAsia"/>
                <w:highlight w:val="none"/>
              </w:rPr>
              <w:t>位置</w:t>
            </w:r>
          </w:p>
        </w:tc>
        <w:tc>
          <w:tcPr>
            <w:tcW w:w="1056" w:type="pct"/>
            <w:tcBorders>
              <w:tl2br w:val="nil"/>
              <w:tr2bl w:val="nil"/>
            </w:tcBorders>
            <w:shd w:val="clear" w:color="auto" w:fill="DAE3F3" w:themeFill="accent5" w:themeFillTint="32"/>
            <w:noWrap w:val="0"/>
            <w:vAlign w:val="center"/>
          </w:tcPr>
          <w:p w14:paraId="5427F3F5">
            <w:pPr>
              <w:pStyle w:val="105"/>
              <w:bidi w:val="0"/>
              <w:rPr>
                <w:rFonts w:hint="eastAsia"/>
                <w:highlight w:val="none"/>
              </w:rPr>
            </w:pPr>
            <w:r>
              <w:rPr>
                <w:rFonts w:hint="eastAsia"/>
                <w:highlight w:val="none"/>
              </w:rPr>
              <w:t>用途</w:t>
            </w:r>
          </w:p>
        </w:tc>
      </w:tr>
      <w:tr w14:paraId="16E07F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105"/>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105"/>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105"/>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105"/>
              <w:bidi w:val="0"/>
              <w:rPr>
                <w:rFonts w:hint="eastAsia"/>
                <w:highlight w:val="none"/>
                <w:lang w:val="en-US" w:eastAsia="zh-CN"/>
              </w:rPr>
            </w:pPr>
            <w:r>
              <w:rPr>
                <w:rFonts w:hint="eastAsia"/>
                <w:highlight w:val="none"/>
              </w:rPr>
              <w:t>火灾报警救援</w:t>
            </w:r>
          </w:p>
        </w:tc>
      </w:tr>
      <w:tr w14:paraId="60448D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105"/>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105"/>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105"/>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105"/>
              <w:bidi w:val="0"/>
              <w:rPr>
                <w:rFonts w:hint="eastAsia"/>
                <w:highlight w:val="none"/>
                <w:lang w:val="en-US" w:eastAsia="zh-CN"/>
              </w:rPr>
            </w:pPr>
            <w:r>
              <w:rPr>
                <w:rFonts w:hint="eastAsia"/>
                <w:highlight w:val="none"/>
              </w:rPr>
              <w:t>治安事件报警救援</w:t>
            </w:r>
          </w:p>
        </w:tc>
      </w:tr>
      <w:tr w14:paraId="52BAABF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105"/>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105"/>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105"/>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105"/>
              <w:bidi w:val="0"/>
              <w:rPr>
                <w:rFonts w:hint="eastAsia"/>
                <w:highlight w:val="none"/>
                <w:lang w:val="en-US" w:eastAsia="zh-CN"/>
              </w:rPr>
            </w:pPr>
            <w:r>
              <w:rPr>
                <w:rFonts w:hint="eastAsia"/>
                <w:highlight w:val="none"/>
              </w:rPr>
              <w:t>气象信息</w:t>
            </w:r>
          </w:p>
        </w:tc>
      </w:tr>
      <w:tr w14:paraId="7D6CF00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105"/>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105"/>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105"/>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105"/>
              <w:bidi w:val="0"/>
              <w:rPr>
                <w:rFonts w:hint="eastAsia"/>
                <w:highlight w:val="none"/>
                <w:lang w:val="en-US" w:eastAsia="zh-CN"/>
              </w:rPr>
            </w:pPr>
            <w:r>
              <w:rPr>
                <w:rFonts w:hint="eastAsia"/>
                <w:highlight w:val="none"/>
              </w:rPr>
              <w:t>电话号码查询</w:t>
            </w:r>
          </w:p>
        </w:tc>
      </w:tr>
      <w:tr w14:paraId="4CFE67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105"/>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105"/>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105"/>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105"/>
              <w:bidi w:val="0"/>
              <w:rPr>
                <w:rFonts w:hint="eastAsia"/>
                <w:highlight w:val="none"/>
                <w:lang w:val="en-US" w:eastAsia="zh-CN"/>
              </w:rPr>
            </w:pPr>
            <w:r>
              <w:rPr>
                <w:rFonts w:hint="eastAsia"/>
                <w:highlight w:val="none"/>
              </w:rPr>
              <w:t>人员伤亡急救</w:t>
            </w:r>
          </w:p>
        </w:tc>
      </w:tr>
      <w:tr w14:paraId="0390A4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105"/>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105"/>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105"/>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105"/>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0" b="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77"/>
                    <a:srcRect b="6944"/>
                    <a:stretch>
                      <a:fillRect/>
                    </a:stretch>
                  </pic:blipFill>
                  <pic:spPr>
                    <a:xfrm>
                      <a:off x="0" y="0"/>
                      <a:ext cx="4458335" cy="2416810"/>
                    </a:xfrm>
                    <a:prstGeom prst="rect">
                      <a:avLst/>
                    </a:prstGeom>
                    <a:noFill/>
                    <a:ln w="9525">
                      <a:noFill/>
                    </a:ln>
                  </pic:spPr>
                </pic:pic>
              </a:graphicData>
            </a:graphic>
          </wp:inline>
        </w:drawing>
      </w:r>
    </w:p>
    <w:p w14:paraId="741763BE">
      <w:pPr>
        <w:pStyle w:val="41"/>
        <w:bidi w:val="0"/>
        <w:rPr>
          <w:rFonts w:hint="eastAsia"/>
          <w:highlight w:val="none"/>
          <w:lang w:val="en-US" w:eastAsia="zh-CN"/>
        </w:rPr>
      </w:pPr>
      <w:r>
        <w:rPr>
          <w:rFonts w:hint="eastAsia"/>
          <w:highlight w:val="none"/>
          <w:lang w:val="en-US" w:eastAsia="zh-CN"/>
        </w:rPr>
        <w:t>图9.6</w:t>
      </w:r>
      <w:r>
        <w:rPr>
          <w:rFonts w:hint="default"/>
          <w:highlight w:val="none"/>
          <w:lang w:val="en-US" w:eastAsia="zh-CN"/>
        </w:rPr>
        <w:t xml:space="preserve">-1 </w:t>
      </w:r>
      <w:r>
        <w:rPr>
          <w:rFonts w:hint="eastAsia"/>
          <w:highlight w:val="none"/>
          <w:lang w:val="en-US" w:eastAsia="zh-CN"/>
        </w:rPr>
        <w:t>应急路线图</w:t>
      </w:r>
    </w:p>
    <w:p w14:paraId="5160C3FD">
      <w:pPr>
        <w:pStyle w:val="3"/>
        <w:bidi w:val="0"/>
        <w:ind w:left="575" w:leftChars="0" w:hanging="575" w:firstLineChars="0"/>
        <w:rPr>
          <w:rFonts w:hint="eastAsia"/>
        </w:rPr>
      </w:pPr>
      <w:bookmarkStart w:id="435" w:name="_Toc40778459"/>
      <w:bookmarkStart w:id="436" w:name="_Toc25072"/>
      <w:bookmarkStart w:id="437" w:name="_Toc31758"/>
      <w:bookmarkStart w:id="438" w:name="_Toc23591"/>
      <w:bookmarkStart w:id="439" w:name="_Toc28123"/>
      <w:bookmarkStart w:id="440" w:name="_Toc19677"/>
      <w:bookmarkStart w:id="441" w:name="_Toc1146"/>
      <w:bookmarkStart w:id="442" w:name="_Toc21709"/>
      <w:bookmarkStart w:id="443" w:name="_Toc55223388"/>
      <w:bookmarkStart w:id="444" w:name="_Toc32359"/>
      <w:r>
        <w:rPr>
          <w:rFonts w:hint="eastAsia"/>
        </w:rPr>
        <w:t>事故善后及恢复生产</w:t>
      </w:r>
      <w:bookmarkEnd w:id="435"/>
      <w:bookmarkEnd w:id="436"/>
      <w:bookmarkEnd w:id="437"/>
      <w:bookmarkEnd w:id="438"/>
      <w:bookmarkEnd w:id="439"/>
      <w:bookmarkEnd w:id="440"/>
      <w:bookmarkEnd w:id="441"/>
      <w:bookmarkEnd w:id="442"/>
      <w:bookmarkEnd w:id="443"/>
      <w:bookmarkEnd w:id="444"/>
    </w:p>
    <w:p w14:paraId="044B4493">
      <w:pPr>
        <w:bidi w:val="0"/>
        <w:ind w:firstLine="480" w:firstLineChars="200"/>
        <w:rPr>
          <w:highlight w:val="none"/>
        </w:rPr>
      </w:pPr>
      <w:bookmarkStart w:id="445" w:name="_Toc239741315"/>
      <w:r>
        <w:rPr>
          <w:rFonts w:hint="eastAsia"/>
          <w:highlight w:val="none"/>
        </w:rPr>
        <w:t>当事态得到有效控制，危险得以消除时，由项目经理下达终止应急令。</w:t>
      </w:r>
    </w:p>
    <w:p w14:paraId="2292B82F">
      <w:pPr>
        <w:bidi w:val="0"/>
        <w:ind w:firstLine="480" w:firstLineChars="200"/>
        <w:rPr>
          <w:highlight w:val="none"/>
        </w:rPr>
      </w:pPr>
      <w:r>
        <w:rPr>
          <w:rFonts w:hint="eastAsia"/>
          <w:highlight w:val="none"/>
        </w:rPr>
        <w:t>当终止应急救援后，事故现场仍然存在可能的不明隐患时支护结构是否能满足土体应力、是否需要采取加强支护等），现场警戒不予解除，直至经技术部门技术鉴定确认无不明隐患、周边土体、支护结构及周边建筑物等趋于稳定后，告知安保部部长下令解除现场警戒。</w:t>
      </w:r>
    </w:p>
    <w:p w14:paraId="06D3AE3B">
      <w:pPr>
        <w:bidi w:val="0"/>
        <w:ind w:firstLine="480" w:firstLineChars="200"/>
        <w:rPr>
          <w:highlight w:val="none"/>
        </w:rPr>
      </w:pPr>
      <w:r>
        <w:rPr>
          <w:rFonts w:hint="eastAsia"/>
          <w:highlight w:val="none"/>
        </w:rPr>
        <w:t>警戒解除后，由应急救援队伍负责恢复现场。主要清理临时设施、救援过程中产生的废弃物、恢复现场施工条件等。</w:t>
      </w:r>
    </w:p>
    <w:p w14:paraId="6E3F8998">
      <w:pPr>
        <w:bidi w:val="0"/>
        <w:ind w:firstLine="480" w:firstLineChars="200"/>
        <w:rPr>
          <w:highlight w:val="none"/>
        </w:rPr>
      </w:pPr>
      <w:r>
        <w:rPr>
          <w:rFonts w:hint="eastAsia"/>
          <w:highlight w:val="none"/>
        </w:rPr>
        <w:t>事故处理</w:t>
      </w:r>
      <w:bookmarkEnd w:id="445"/>
      <w:r>
        <w:rPr>
          <w:rFonts w:hint="eastAsia"/>
          <w:highlight w:val="none"/>
        </w:rPr>
        <w:t>：事故调查小组在事故得到控制以后，迅速到受到保护的现场调查取证，查明产生事故的原因。项目部在事故处理完毕后，认真总结经验教训。</w:t>
      </w:r>
    </w:p>
    <w:p w14:paraId="229C72D7">
      <w:pPr>
        <w:bidi w:val="0"/>
        <w:ind w:firstLine="480" w:firstLineChars="200"/>
        <w:rPr>
          <w:highlight w:val="none"/>
        </w:rPr>
      </w:pPr>
      <w:bookmarkStart w:id="446" w:name="_Toc239741316"/>
      <w:r>
        <w:rPr>
          <w:rFonts w:hint="eastAsia"/>
          <w:highlight w:val="none"/>
        </w:rPr>
        <w:t>生产恢复</w:t>
      </w:r>
      <w:bookmarkEnd w:id="446"/>
      <w:r>
        <w:rPr>
          <w:rFonts w:hint="eastAsia"/>
          <w:highlight w:val="none"/>
        </w:rPr>
        <w:t>：事故发生后，项目部在处理事故的同时，尽快组织人员恢复生产，避免影响项目部施工生产进度，恢复生产的主要工作包括：</w:t>
      </w:r>
    </w:p>
    <w:p w14:paraId="5E762D68">
      <w:pPr>
        <w:bidi w:val="0"/>
        <w:ind w:firstLine="480" w:firstLineChars="200"/>
        <w:rPr>
          <w:highlight w:val="none"/>
        </w:rPr>
      </w:pPr>
      <w:r>
        <w:rPr>
          <w:rFonts w:hint="eastAsia"/>
          <w:highlight w:val="none"/>
          <w:lang w:val="en-US" w:eastAsia="zh-CN"/>
        </w:rPr>
        <w:t>1、</w:t>
      </w:r>
      <w:r>
        <w:rPr>
          <w:rFonts w:hint="eastAsia"/>
          <w:highlight w:val="none"/>
        </w:rPr>
        <w:t>明确事故处理所需的现场材料，加快对施工现场进行调查和取证，收集相关的资料证据，包括对现场的</w:t>
      </w:r>
      <w:r>
        <w:rPr>
          <w:rFonts w:hint="eastAsia"/>
          <w:highlight w:val="none"/>
          <w:lang w:eastAsia="zh-CN"/>
        </w:rPr>
        <w:t>摄像</w:t>
      </w:r>
      <w:r>
        <w:rPr>
          <w:rFonts w:hint="eastAsia"/>
          <w:highlight w:val="none"/>
        </w:rPr>
        <w:t>，相关人员、机械设备、物资材料在现场的资料照片，详细统计机械设备、物资材料的损失情况，制定维修或报废处理计划。</w:t>
      </w:r>
    </w:p>
    <w:p w14:paraId="5E7ACC6D">
      <w:pPr>
        <w:bidi w:val="0"/>
        <w:ind w:firstLine="480" w:firstLineChars="200"/>
        <w:rPr>
          <w:highlight w:val="none"/>
        </w:rPr>
      </w:pPr>
      <w:r>
        <w:rPr>
          <w:rFonts w:hint="eastAsia"/>
          <w:highlight w:val="none"/>
          <w:lang w:val="en-US" w:eastAsia="zh-CN"/>
        </w:rPr>
        <w:t>2、</w:t>
      </w:r>
      <w:r>
        <w:rPr>
          <w:rFonts w:hint="eastAsia"/>
          <w:highlight w:val="none"/>
        </w:rPr>
        <w:t>现场取证工作完成后，项目部对现场清理行动进行充分论证，认为时机成熟时，调集相关人员和设备对现场进行清理，制定现场清理的计划和措施，落实现场责任人，防止清理过程中事态进一步扩大。</w:t>
      </w:r>
    </w:p>
    <w:p w14:paraId="16A37B33">
      <w:pPr>
        <w:ind w:firstLine="480" w:firstLineChars="200"/>
        <w:rPr>
          <w:rFonts w:hint="eastAsia"/>
          <w:highlight w:val="none"/>
          <w:lang w:val="en-US" w:eastAsia="zh-CN"/>
        </w:rPr>
      </w:pPr>
      <w:r>
        <w:rPr>
          <w:rFonts w:hint="eastAsia"/>
          <w:highlight w:val="none"/>
          <w:lang w:val="en-US" w:eastAsia="zh-CN"/>
        </w:rPr>
        <w:t>3、</w:t>
      </w:r>
      <w:r>
        <w:rPr>
          <w:rFonts w:hint="eastAsia"/>
          <w:highlight w:val="none"/>
        </w:rPr>
        <w:t>现场清理完毕，项目部重新调集生产资源，组织施工生产，组织生产过程中，应吸取事故教训、总结经验、制定切实可靠的安全措施后方可施工。</w:t>
      </w:r>
      <w:r>
        <w:rPr>
          <w:rFonts w:hint="eastAsia"/>
          <w:highlight w:val="none"/>
          <w:lang w:val="en-US" w:eastAsia="zh-CN"/>
        </w:rPr>
        <w:br w:type="page"/>
      </w:r>
    </w:p>
    <w:p w14:paraId="5C5B4B2C">
      <w:pPr>
        <w:pStyle w:val="2"/>
        <w:bidi w:val="0"/>
        <w:ind w:left="432" w:leftChars="0" w:hanging="432" w:firstLineChars="0"/>
        <w:rPr>
          <w:rFonts w:hint="eastAsia" w:ascii="宋体" w:hAnsi="宋体" w:eastAsia="宋体" w:cs="Times New Roman"/>
        </w:rPr>
      </w:pPr>
      <w:bookmarkStart w:id="447" w:name="_Toc25052"/>
      <w:bookmarkStart w:id="448" w:name="_Toc18653"/>
      <w:bookmarkStart w:id="449" w:name="_Toc5516"/>
      <w:bookmarkStart w:id="450" w:name="_Toc15890"/>
      <w:r>
        <w:rPr>
          <w:rFonts w:hint="eastAsia" w:ascii="宋体" w:hAnsi="宋体" w:eastAsia="宋体" w:cs="Times New Roman"/>
        </w:rPr>
        <w:t>绿色及文明施工</w:t>
      </w:r>
      <w:bookmarkEnd w:id="447"/>
      <w:bookmarkEnd w:id="448"/>
      <w:bookmarkEnd w:id="449"/>
      <w:bookmarkEnd w:id="450"/>
    </w:p>
    <w:p w14:paraId="66F9B472">
      <w:pPr>
        <w:pStyle w:val="3"/>
        <w:bidi w:val="0"/>
        <w:ind w:left="575" w:leftChars="0" w:hanging="575" w:firstLineChars="0"/>
        <w:rPr>
          <w:rFonts w:hint="default"/>
          <w:lang w:val="en-US" w:eastAsia="zh-CN"/>
        </w:rPr>
      </w:pPr>
      <w:bookmarkStart w:id="451" w:name="_Toc32241"/>
      <w:bookmarkStart w:id="452" w:name="_Toc32357"/>
      <w:bookmarkStart w:id="453" w:name="_Toc16477"/>
      <w:bookmarkStart w:id="454" w:name="_Toc30600"/>
      <w:bookmarkStart w:id="455" w:name="_Toc7823"/>
      <w:r>
        <w:rPr>
          <w:rFonts w:hint="eastAsia"/>
          <w:lang w:val="en-US" w:eastAsia="zh-CN"/>
        </w:rPr>
        <w:t>绿色施工</w:t>
      </w:r>
      <w:bookmarkEnd w:id="451"/>
      <w:bookmarkEnd w:id="452"/>
      <w:bookmarkEnd w:id="453"/>
      <w:bookmarkEnd w:id="454"/>
      <w:bookmarkEnd w:id="455"/>
    </w:p>
    <w:p w14:paraId="39E6F611">
      <w:pPr>
        <w:pStyle w:val="4"/>
        <w:bidi w:val="0"/>
        <w:ind w:left="720" w:leftChars="0" w:hanging="720" w:firstLineChars="0"/>
        <w:rPr>
          <w:rFonts w:hint="default"/>
          <w:lang w:val="en-US" w:eastAsia="zh-CN"/>
        </w:rPr>
      </w:pPr>
      <w:r>
        <w:rPr>
          <w:rFonts w:hint="eastAsia"/>
          <w:lang w:val="en-US" w:eastAsia="zh-CN"/>
        </w:rPr>
        <w:t>绿色施工</w:t>
      </w:r>
      <w:r>
        <w:rPr>
          <w:rFonts w:hint="eastAsia"/>
        </w:rPr>
        <w:t>组织机构</w:t>
      </w:r>
    </w:p>
    <w:p w14:paraId="2A5F2AD3">
      <w:pPr>
        <w:bidi w:val="0"/>
        <w:ind w:firstLine="480" w:firstLineChars="200"/>
        <w:rPr>
          <w:rFonts w:hint="eastAsia" w:eastAsia="宋体"/>
          <w:highlight w:val="none"/>
          <w:lang w:eastAsia="zh-CN"/>
        </w:rPr>
      </w:pPr>
      <w:r>
        <w:rPr>
          <w:rFonts w:hint="eastAsia" w:ascii="宋体" w:hAnsi="宋体"/>
          <w:sz w:val="24"/>
          <w:highlight w:val="none"/>
        </w:rPr>
        <w:t>项目部成立节</w:t>
      </w:r>
      <w:r>
        <w:rPr>
          <w:rFonts w:hint="eastAsia" w:ascii="宋体" w:hAnsi="宋体"/>
          <w:sz w:val="24"/>
          <w:highlight w:val="none"/>
          <w:lang w:val="en-US" w:eastAsia="zh-CN"/>
        </w:rPr>
        <w:t>绿色施工</w:t>
      </w:r>
      <w:r>
        <w:rPr>
          <w:rFonts w:hint="eastAsia" w:ascii="宋体" w:hAnsi="宋体"/>
          <w:sz w:val="24"/>
          <w:highlight w:val="none"/>
        </w:rPr>
        <w:t>领导小组，负责项目</w:t>
      </w:r>
      <w:r>
        <w:rPr>
          <w:rFonts w:hint="eastAsia" w:ascii="宋体" w:hAnsi="宋体"/>
          <w:sz w:val="24"/>
          <w:highlight w:val="none"/>
          <w:lang w:val="en-US" w:eastAsia="zh-CN"/>
        </w:rPr>
        <w:t>绿色施工</w:t>
      </w:r>
      <w:r>
        <w:rPr>
          <w:rFonts w:hint="eastAsia" w:ascii="宋体" w:hAnsi="宋体"/>
          <w:sz w:val="24"/>
          <w:highlight w:val="none"/>
        </w:rPr>
        <w:t>的指导工作，指定</w:t>
      </w:r>
      <w:r>
        <w:rPr>
          <w:rFonts w:hint="eastAsia" w:ascii="宋体" w:hAnsi="宋体"/>
          <w:sz w:val="24"/>
          <w:highlight w:val="none"/>
          <w:lang w:val="en-US" w:eastAsia="zh-CN"/>
        </w:rPr>
        <w:t>工程部</w:t>
      </w:r>
      <w:r>
        <w:rPr>
          <w:rFonts w:hint="eastAsia" w:ascii="宋体" w:hAnsi="宋体"/>
          <w:sz w:val="24"/>
          <w:highlight w:val="none"/>
        </w:rPr>
        <w:t>人员具体负责节能减排工作。项目经理是</w:t>
      </w:r>
      <w:r>
        <w:rPr>
          <w:rFonts w:hint="eastAsia" w:ascii="宋体" w:hAnsi="宋体"/>
          <w:sz w:val="24"/>
          <w:highlight w:val="none"/>
          <w:lang w:val="en-US" w:eastAsia="zh-CN"/>
        </w:rPr>
        <w:t>绿色施工</w:t>
      </w:r>
      <w:r>
        <w:rPr>
          <w:rFonts w:hint="eastAsia" w:ascii="宋体" w:hAnsi="宋体"/>
          <w:sz w:val="24"/>
          <w:highlight w:val="none"/>
        </w:rPr>
        <w:t>第一责任人，对此项工作负总责。</w:t>
      </w:r>
    </w:p>
    <w:p w14:paraId="0ABBF6D4">
      <w:pPr>
        <w:bidi w:val="0"/>
        <w:rPr>
          <w:rFonts w:hint="eastAsia" w:eastAsia="宋体"/>
          <w:highlight w:val="none"/>
          <w:lang w:eastAsia="zh-CN"/>
        </w:rPr>
      </w:pPr>
      <w:r>
        <w:rPr>
          <w:rFonts w:hint="eastAsia"/>
          <w:highlight w:val="none"/>
        </w:rPr>
        <w:drawing>
          <wp:inline distT="0" distB="0" distL="114300" distR="114300">
            <wp:extent cx="5269230" cy="4343400"/>
            <wp:effectExtent l="0" t="0" r="0" b="0"/>
            <wp:docPr id="39" name="图片 39" descr="组织流程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织流程图--(2)(2)"/>
                    <pic:cNvPicPr>
                      <a:picLocks noChangeAspect="1"/>
                    </pic:cNvPicPr>
                  </pic:nvPicPr>
                  <pic:blipFill>
                    <a:blip r:embed="rId78"/>
                    <a:stretch>
                      <a:fillRect/>
                    </a:stretch>
                  </pic:blipFill>
                  <pic:spPr>
                    <a:xfrm>
                      <a:off x="0" y="0"/>
                      <a:ext cx="5269230" cy="4343400"/>
                    </a:xfrm>
                    <a:prstGeom prst="rect">
                      <a:avLst/>
                    </a:prstGeom>
                  </pic:spPr>
                </pic:pic>
              </a:graphicData>
            </a:graphic>
          </wp:inline>
        </w:drawing>
      </w:r>
    </w:p>
    <w:p w14:paraId="02F2B72D">
      <w:pPr>
        <w:pStyle w:val="41"/>
        <w:bidi w:val="0"/>
        <w:rPr>
          <w:rFonts w:hint="default"/>
          <w:highlight w:val="none"/>
          <w:lang w:val="en-US" w:eastAsia="zh-CN"/>
        </w:rPr>
      </w:pPr>
      <w:r>
        <w:rPr>
          <w:rFonts w:hint="eastAsia"/>
          <w:highlight w:val="none"/>
          <w:lang w:val="en-US" w:eastAsia="zh-CN"/>
        </w:rPr>
        <w:t xml:space="preserve">图10-1 </w:t>
      </w:r>
      <w:r>
        <w:rPr>
          <w:rFonts w:hint="eastAsia" w:ascii="宋体" w:hAnsi="宋体"/>
          <w:sz w:val="24"/>
          <w:highlight w:val="none"/>
          <w:lang w:val="en-US" w:eastAsia="zh-CN"/>
        </w:rPr>
        <w:t>绿色施工</w:t>
      </w:r>
      <w:r>
        <w:rPr>
          <w:rFonts w:hint="eastAsia"/>
          <w:highlight w:val="none"/>
        </w:rPr>
        <w:t>管理组织机构</w:t>
      </w:r>
    </w:p>
    <w:p w14:paraId="282FD1E0">
      <w:pPr>
        <w:pStyle w:val="4"/>
        <w:bidi w:val="0"/>
        <w:ind w:left="720" w:leftChars="0" w:hanging="720" w:firstLineChars="0"/>
        <w:rPr>
          <w:rFonts w:hint="eastAsia"/>
        </w:rPr>
      </w:pPr>
      <w:r>
        <w:rPr>
          <w:rFonts w:hint="eastAsia"/>
          <w:lang w:val="en-US" w:eastAsia="zh-CN"/>
        </w:rPr>
        <w:t>绿色施工</w:t>
      </w:r>
      <w:r>
        <w:rPr>
          <w:rFonts w:hint="eastAsia"/>
        </w:rPr>
        <w:t>保证体系</w:t>
      </w:r>
    </w:p>
    <w:p w14:paraId="70B5C251">
      <w:pPr>
        <w:pStyle w:val="13"/>
        <w:rPr>
          <w:rFonts w:hint="eastAsia"/>
          <w:highlight w:val="none"/>
          <w:lang w:val="en-US" w:eastAsia="zh-CN"/>
        </w:rPr>
      </w:pPr>
      <w:r>
        <w:rPr>
          <w:rFonts w:hint="eastAsia"/>
          <w:highlight w:val="none"/>
          <w:lang w:val="en-US" w:eastAsia="zh-CN"/>
        </w:rPr>
        <w:t>绿色施工保证体系如图1-1所示。</w:t>
      </w:r>
    </w:p>
    <w:p w14:paraId="27538FB1">
      <w:pPr>
        <w:pStyle w:val="4"/>
        <w:bidi w:val="0"/>
        <w:ind w:left="720" w:leftChars="0" w:hanging="720" w:firstLineChars="0"/>
        <w:rPr>
          <w:rFonts w:hint="eastAsia"/>
          <w:lang w:val="en-US" w:eastAsia="zh-CN"/>
        </w:rPr>
      </w:pPr>
      <w:r>
        <w:rPr>
          <w:rFonts w:hint="eastAsia"/>
          <w:lang w:val="en-US" w:eastAsia="zh-CN"/>
        </w:rPr>
        <w:t>绿色施工保证措施</w:t>
      </w:r>
    </w:p>
    <w:p w14:paraId="1554C5FD">
      <w:pPr>
        <w:pStyle w:val="5"/>
        <w:bidi w:val="0"/>
        <w:ind w:left="864" w:leftChars="0" w:hanging="864" w:firstLineChars="0"/>
        <w:rPr>
          <w:rFonts w:hint="eastAsia"/>
          <w:lang w:val="en-US" w:eastAsia="zh-CN"/>
        </w:rPr>
      </w:pPr>
      <w:r>
        <w:rPr>
          <w:rFonts w:hint="eastAsia"/>
          <w:lang w:val="en-US" w:eastAsia="zh-CN"/>
        </w:rPr>
        <w:t>生态环保和水土保持措施</w:t>
      </w:r>
    </w:p>
    <w:p w14:paraId="79C073F6">
      <w:pPr>
        <w:numPr>
          <w:ilvl w:val="0"/>
          <w:numId w:val="10"/>
        </w:numPr>
        <w:ind w:firstLine="480" w:firstLineChars="200"/>
        <w:rPr>
          <w:highlight w:val="none"/>
        </w:rPr>
      </w:pPr>
      <w:r>
        <w:rPr>
          <w:highlight w:val="none"/>
        </w:rPr>
        <w:t>维护自然生态平衡的措施</w:t>
      </w:r>
    </w:p>
    <w:p w14:paraId="3DEC67E3">
      <w:pPr>
        <w:bidi w:val="0"/>
        <w:ind w:firstLine="480" w:firstLineChars="200"/>
        <w:rPr>
          <w:highlight w:val="none"/>
        </w:rPr>
      </w:pPr>
      <w:r>
        <w:rPr>
          <w:highlight w:val="none"/>
        </w:rPr>
        <w:t>施工现场生产、生活房屋及生活设施、原材料堆放处和材料加工场均在规划 的区域内进行。修建的施工便道，要结合地方乡镇长远规划，选择线路。弃土场 必须做好防护工作，确保不发生水土流失情况，并进行弃土场绿化。</w:t>
      </w:r>
    </w:p>
    <w:p w14:paraId="4B3121E9">
      <w:pPr>
        <w:bidi w:val="0"/>
        <w:ind w:firstLine="480" w:firstLineChars="200"/>
        <w:rPr>
          <w:highlight w:val="none"/>
        </w:rPr>
      </w:pPr>
      <w:r>
        <w:rPr>
          <w:highlight w:val="none"/>
        </w:rPr>
        <w:t>施工期间对施工人员加强保护自然资源及野生动植物的教育，严禁随意砍伐 和偷猎，限制施工人员和车辆的活动范围。</w:t>
      </w:r>
    </w:p>
    <w:p w14:paraId="2901C3BD">
      <w:pPr>
        <w:bidi w:val="0"/>
        <w:ind w:firstLine="480" w:firstLineChars="200"/>
        <w:rPr>
          <w:highlight w:val="none"/>
        </w:rPr>
      </w:pPr>
      <w:r>
        <w:rPr>
          <w:highlight w:val="none"/>
        </w:rPr>
        <w:t>施工便道选线、生活营地、大型临时设施场地选址尽量少占或绕避林地、耕</w:t>
      </w:r>
    </w:p>
    <w:p w14:paraId="7BC889F3">
      <w:pPr>
        <w:bidi w:val="0"/>
        <w:rPr>
          <w:highlight w:val="none"/>
        </w:rPr>
      </w:pPr>
      <w:r>
        <w:rPr>
          <w:highlight w:val="none"/>
        </w:rPr>
        <w:t>地，保护原有植被。</w:t>
      </w:r>
    </w:p>
    <w:p w14:paraId="4895AB92">
      <w:pPr>
        <w:bidi w:val="0"/>
        <w:ind w:firstLine="480" w:firstLineChars="200"/>
        <w:rPr>
          <w:highlight w:val="none"/>
        </w:rPr>
      </w:pPr>
      <w:r>
        <w:rPr>
          <w:highlight w:val="none"/>
        </w:rPr>
        <w:t>对合同规定的施工界限外的植物、树木等尽力维护，严禁超范围砍伐。工程</w:t>
      </w:r>
    </w:p>
    <w:p w14:paraId="0A456FFB">
      <w:pPr>
        <w:bidi w:val="0"/>
        <w:rPr>
          <w:highlight w:val="none"/>
        </w:rPr>
      </w:pPr>
      <w:r>
        <w:rPr>
          <w:highlight w:val="none"/>
        </w:rPr>
        <w:t>完工后及时进行现场清理，复垦或绿化。</w:t>
      </w:r>
    </w:p>
    <w:p w14:paraId="55C70DDD">
      <w:pPr>
        <w:pStyle w:val="13"/>
        <w:rPr>
          <w:highlight w:val="none"/>
        </w:rPr>
      </w:pPr>
      <w:r>
        <w:rPr>
          <w:highlight w:val="none"/>
        </w:rPr>
        <mc:AlternateContent>
          <mc:Choice Requires="wpg">
            <w:drawing>
              <wp:inline distT="0" distB="0" distL="0" distR="0">
                <wp:extent cx="4855210" cy="4525645"/>
                <wp:effectExtent l="6350" t="6350" r="15240" b="14605"/>
                <wp:docPr id="40" name="Group 2503"/>
                <wp:cNvGraphicFramePr/>
                <a:graphic xmlns:a="http://schemas.openxmlformats.org/drawingml/2006/main">
                  <a:graphicData uri="http://schemas.microsoft.com/office/word/2010/wordprocessingGroup">
                    <wpg:wgp>
                      <wpg:cNvGrpSpPr/>
                      <wpg:grpSpPr>
                        <a:xfrm>
                          <a:off x="0" y="0"/>
                          <a:ext cx="4855210" cy="4525645"/>
                          <a:chOff x="0" y="0"/>
                          <a:chExt cx="7901" cy="5079"/>
                        </a:xfrm>
                      </wpg:grpSpPr>
                      <wps:wsp>
                        <wps:cNvPr id="626"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wps:txbx>
                        <wps:bodyPr rot="0" vert="horz" wrap="square" lIns="0" tIns="0" rIns="0" bIns="0" anchor="ctr" anchorCtr="0" upright="1">
                          <a:noAutofit/>
                        </wps:bodyPr>
                      </wps:wsp>
                      <wps:wsp>
                        <wps:cNvPr id="627"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628"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629"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3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6F2A6A99">
                              <w:pPr>
                                <w:pStyle w:val="55"/>
                              </w:pPr>
                              <w:r>
                                <w:rPr>
                                  <w:rFonts w:hint="eastAsia"/>
                                </w:rPr>
                                <w:t>思想保证</w:t>
                              </w:r>
                            </w:p>
                          </w:txbxContent>
                        </wps:txbx>
                        <wps:bodyPr rot="0" vert="horz" wrap="square" lIns="0" tIns="0" rIns="0" bIns="0" anchor="ctr" anchorCtr="0" upright="1">
                          <a:noAutofit/>
                        </wps:bodyPr>
                      </wps:wsp>
                      <wps:wsp>
                        <wps:cNvPr id="63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632"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60DF620B">
                              <w:pPr>
                                <w:pStyle w:val="55"/>
                              </w:pPr>
                              <w:r>
                                <w:rPr>
                                  <w:rFonts w:hint="eastAsia"/>
                                </w:rPr>
                                <w:t>组织保证</w:t>
                              </w:r>
                            </w:p>
                          </w:txbxContent>
                        </wps:txbx>
                        <wps:bodyPr rot="0" vert="horz" wrap="square" lIns="0" tIns="0" rIns="0" bIns="0" anchor="ctr" anchorCtr="0" upright="1">
                          <a:noAutofit/>
                        </wps:bodyPr>
                      </wps:wsp>
                      <wps:wsp>
                        <wps:cNvPr id="633"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4"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5388B81E">
                              <w:pPr>
                                <w:pStyle w:val="55"/>
                              </w:pPr>
                              <w:r>
                                <w:rPr>
                                  <w:rFonts w:hint="eastAsia"/>
                                </w:rPr>
                                <w:t>成立</w:t>
                              </w:r>
                              <w:r>
                                <w:rPr>
                                  <w:rFonts w:hint="eastAsia"/>
                                  <w:lang w:val="en-US" w:eastAsia="zh-CN"/>
                                </w:rPr>
                                <w:t>绿色施工</w:t>
                              </w:r>
                              <w:r>
                                <w:rPr>
                                  <w:rFonts w:hint="eastAsia"/>
                                </w:rPr>
                                <w:t>领导小组</w:t>
                              </w:r>
                            </w:p>
                          </w:txbxContent>
                        </wps:txbx>
                        <wps:bodyPr rot="0" vert="horz" wrap="square" lIns="108000" tIns="0" rIns="0" bIns="0" anchor="ctr" anchorCtr="0" upright="1">
                          <a:noAutofit/>
                        </wps:bodyPr>
                      </wps:wsp>
                      <wps:wsp>
                        <wps:cNvPr id="635"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2F287673">
                              <w:pPr>
                                <w:pStyle w:val="55"/>
                              </w:pPr>
                              <w:r>
                                <w:rPr>
                                  <w:rFonts w:hint="eastAsia"/>
                                  <w:lang w:val="en-US" w:eastAsia="zh-CN"/>
                                </w:rPr>
                                <w:t>环保节能</w:t>
                              </w:r>
                              <w:r>
                                <w:rPr>
                                  <w:rFonts w:hint="eastAsia"/>
                                </w:rPr>
                                <w:t>知识宣传教育</w:t>
                              </w:r>
                            </w:p>
                          </w:txbxContent>
                        </wps:txbx>
                        <wps:bodyPr rot="0" vert="horz" wrap="square" lIns="108000" tIns="0" rIns="0" bIns="0" anchor="ctr" anchorCtr="0" upright="1">
                          <a:noAutofit/>
                        </wps:bodyPr>
                      </wps:wsp>
                      <wps:wsp>
                        <wps:cNvPr id="636"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205954D5">
                              <w:pPr>
                                <w:pStyle w:val="55"/>
                                <w:spacing w:line="240" w:lineRule="auto"/>
                              </w:pPr>
                              <w:r>
                                <w:rPr>
                                  <w:rFonts w:hint="eastAsia"/>
                                </w:rPr>
                                <w:t>制定目标责任制</w:t>
                              </w:r>
                            </w:p>
                            <w:p w14:paraId="41FB3821">
                              <w:pPr>
                                <w:pStyle w:val="55"/>
                              </w:pPr>
                            </w:p>
                          </w:txbxContent>
                        </wps:txbx>
                        <wps:bodyPr rot="0" vert="horz" wrap="square" lIns="108000" tIns="0" rIns="0" bIns="0" anchor="ctr" anchorCtr="0" upright="1">
                          <a:noAutofit/>
                        </wps:bodyPr>
                      </wps:wsp>
                      <wps:wsp>
                        <wps:cNvPr id="63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638"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63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640"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641"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3BE9033C">
                              <w:pPr>
                                <w:pStyle w:val="55"/>
                              </w:pPr>
                              <w:r>
                                <w:rPr>
                                  <w:rFonts w:hint="eastAsia"/>
                                </w:rPr>
                                <w:t>技术保证</w:t>
                              </w:r>
                            </w:p>
                          </w:txbxContent>
                        </wps:txbx>
                        <wps:bodyPr rot="0" vert="horz" wrap="square" lIns="0" tIns="0" rIns="0" bIns="0" anchor="ctr" anchorCtr="0" upright="1">
                          <a:noAutofit/>
                        </wps:bodyPr>
                      </wps:wsp>
                      <wps:wsp>
                        <wps:cNvPr id="217"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667"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wps:txbx>
                        <wps:bodyPr rot="0" vert="horz" wrap="square" lIns="108000" tIns="0" rIns="0" bIns="0" anchor="ctr" anchorCtr="0" upright="1">
                          <a:noAutofit/>
                        </wps:bodyPr>
                      </wps:wsp>
                      <wps:wsp>
                        <wps:cNvPr id="668"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728CD31B">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669"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670"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671"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672"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3BA69FC5">
                              <w:pPr>
                                <w:pStyle w:val="55"/>
                              </w:pPr>
                              <w:r>
                                <w:rPr>
                                  <w:rFonts w:hint="eastAsia"/>
                                </w:rPr>
                                <w:t>制度保证</w:t>
                              </w:r>
                            </w:p>
                          </w:txbxContent>
                        </wps:txbx>
                        <wps:bodyPr rot="0" vert="horz" wrap="square" lIns="0" tIns="0" rIns="0" bIns="0" anchor="ctr" anchorCtr="0" upright="1">
                          <a:noAutofit/>
                        </wps:bodyPr>
                      </wps:wsp>
                      <wps:wsp>
                        <wps:cNvPr id="673"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92F0B52">
                              <w:pPr>
                                <w:pStyle w:val="55"/>
                              </w:pPr>
                              <w:r>
                                <w:rPr>
                                  <w:rFonts w:hint="eastAsia"/>
                                </w:rPr>
                                <w:t>公司、项目部相关规章制度</w:t>
                              </w:r>
                            </w:p>
                          </w:txbxContent>
                        </wps:txbx>
                        <wps:bodyPr rot="0" vert="horz" wrap="square" lIns="108000" tIns="0" rIns="0" bIns="0" anchor="ctr" anchorCtr="0" upright="1">
                          <a:noAutofit/>
                        </wps:bodyPr>
                      </wps:wsp>
                      <wps:wsp>
                        <wps:cNvPr id="674"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2FC5EA5F">
                              <w:pPr>
                                <w:pStyle w:val="55"/>
                              </w:pPr>
                              <w:r>
                                <w:rPr>
                                  <w:rFonts w:hint="eastAsia"/>
                                </w:rPr>
                                <w:t>国家、相关部委相关法律、法规</w:t>
                              </w:r>
                            </w:p>
                          </w:txbxContent>
                        </wps:txbx>
                        <wps:bodyPr rot="0" vert="horz" wrap="square" lIns="108000" tIns="0" rIns="0" bIns="0" anchor="ctr" anchorCtr="0" upright="1">
                          <a:noAutofit/>
                        </wps:bodyPr>
                      </wps:wsp>
                      <wps:wsp>
                        <wps:cNvPr id="697"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702"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703"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286927"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72B0B6B3">
                              <w:pPr>
                                <w:pStyle w:val="55"/>
                              </w:pPr>
                              <w:r>
                                <w:rPr>
                                  <w:rFonts w:hint="eastAsia"/>
                                </w:rPr>
                                <w:t>施工保证</w:t>
                              </w:r>
                            </w:p>
                          </w:txbxContent>
                        </wps:txbx>
                        <wps:bodyPr rot="0" vert="horz" wrap="square" lIns="0" tIns="0" rIns="0" bIns="0" anchor="ctr" anchorCtr="0" upright="1">
                          <a:noAutofit/>
                        </wps:bodyPr>
                      </wps:wsp>
                      <wps:wsp>
                        <wps:cNvPr id="286928"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28692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498948D0">
                              <w:pPr>
                                <w:pStyle w:val="55"/>
                              </w:pPr>
                              <w:r>
                                <w:rPr>
                                  <w:rFonts w:hint="eastAsia"/>
                                  <w:lang w:val="en-US" w:eastAsia="zh-CN"/>
                                </w:rPr>
                                <w:t>绿色</w:t>
                              </w:r>
                              <w:r>
                                <w:rPr>
                                  <w:rFonts w:hint="eastAsia"/>
                                </w:rPr>
                                <w:t>施工工艺保证</w:t>
                              </w:r>
                            </w:p>
                          </w:txbxContent>
                        </wps:txbx>
                        <wps:bodyPr rot="0" vert="horz" wrap="square" lIns="108000" tIns="0" rIns="0" bIns="0" anchor="ctr" anchorCtr="0" upright="1">
                          <a:noAutofit/>
                        </wps:bodyPr>
                      </wps:wsp>
                      <wps:wsp>
                        <wps:cNvPr id="28693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26605DA4">
                              <w:pPr>
                                <w:pStyle w:val="55"/>
                              </w:pPr>
                              <w:r>
                                <w:rPr>
                                  <w:rFonts w:hint="eastAsia"/>
                                </w:rPr>
                                <w:t>落实岗位责任制</w:t>
                              </w:r>
                            </w:p>
                          </w:txbxContent>
                        </wps:txbx>
                        <wps:bodyPr rot="0" vert="horz" wrap="square" lIns="108000" tIns="0" rIns="0" bIns="0" anchor="ctr" anchorCtr="0" upright="1">
                          <a:noAutofit/>
                        </wps:bodyPr>
                      </wps:wsp>
                      <wps:wsp>
                        <wps:cNvPr id="286931" name="Text Box 2536"/>
                        <wps:cNvSpPr txBox="1">
                          <a:spLocks noChangeArrowheads="1"/>
                        </wps:cNvSpPr>
                        <wps:spPr bwMode="auto">
                          <a:xfrm>
                            <a:off x="3045" y="4353"/>
                            <a:ext cx="3040" cy="302"/>
                          </a:xfrm>
                          <a:prstGeom prst="rect">
                            <a:avLst/>
                          </a:prstGeom>
                          <a:solidFill>
                            <a:schemeClr val="accent6">
                              <a:lumMod val="40000"/>
                              <a:lumOff val="60000"/>
                            </a:schemeClr>
                          </a:solidFill>
                          <a:ln w="12700">
                            <a:solidFill>
                              <a:srgbClr val="0000C8"/>
                            </a:solidFill>
                            <a:miter lim="800000"/>
                          </a:ln>
                        </wps:spPr>
                        <wps:txbx>
                          <w:txbxContent>
                            <w:p w14:paraId="59662101">
                              <w:pPr>
                                <w:pStyle w:val="55"/>
                              </w:pPr>
                              <w:r>
                                <w:rPr>
                                  <w:rFonts w:hint="eastAsia"/>
                                </w:rPr>
                                <w:t>物资设备保证</w:t>
                              </w:r>
                            </w:p>
                          </w:txbxContent>
                        </wps:txbx>
                        <wps:bodyPr rot="0" vert="horz" wrap="square" lIns="108000" tIns="0" rIns="0" bIns="0" anchor="ctr" anchorCtr="0" upright="1">
                          <a:noAutofit/>
                        </wps:bodyPr>
                      </wps:wsp>
                      <wps:wsp>
                        <wps:cNvPr id="28693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28693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28693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28693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28693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136C8F0">
                              <w:pPr>
                                <w:pStyle w:val="55"/>
                                <w:rPr>
                                  <w:rFonts w:hint="default" w:eastAsia="宋体"/>
                                  <w:lang w:val="en-US" w:eastAsia="zh-CN"/>
                                </w:rPr>
                              </w:pPr>
                              <w:r>
                                <w:rPr>
                                  <w:rFonts w:hint="eastAsia"/>
                                  <w:lang w:val="en-US" w:eastAsia="zh-CN"/>
                                </w:rPr>
                                <w:t>按照设计和施组内容进行落实</w:t>
                              </w:r>
                            </w:p>
                          </w:txbxContent>
                        </wps:txbx>
                        <wps:bodyPr rot="0" vert="horz" wrap="square" lIns="108000" tIns="0" rIns="0" bIns="0" anchor="ctr" anchorCtr="0" upright="1">
                          <a:noAutofit/>
                        </wps:bodyPr>
                      </wps:wsp>
                      <wps:wsp>
                        <wps:cNvPr id="28693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28693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D1F5B1C">
                              <w:pPr>
                                <w:pStyle w:val="55"/>
                              </w:pPr>
                              <w:r>
                                <w:rPr>
                                  <w:rFonts w:hint="eastAsia"/>
                                </w:rPr>
                                <w:t>监督、检查、改进</w:t>
                              </w:r>
                            </w:p>
                          </w:txbxContent>
                        </wps:txbx>
                        <wps:bodyPr rot="0" vert="horz" wrap="square" lIns="108000" tIns="0" rIns="0" bIns="0" anchor="ctr" anchorCtr="0" upright="1">
                          <a:noAutofit/>
                        </wps:bodyPr>
                      </wps:wsp>
                      <wps:wsp>
                        <wps:cNvPr id="286939"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286940"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286941"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286942"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28694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28694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28694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286946"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286947"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286948"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286949"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286950"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286951"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286952"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286953"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286954"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286955"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286956"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286957"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286958"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286959"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28696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286961"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286962"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286963"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56.35pt;width:382.3pt;" coordsize="7901,5079" o:gfxdata="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CLPUbr1gAAAAUBAAAPAAAAAAAAAAEA&#10;IAAAACIAAABkcnMvZG93bnJldi54bWxQSwECFAAUAAAACACHTuJAGlo/oE4KAAD1iwAADgAAAAAA&#10;AAABACAAAAAlAQAAZHJzL2Uyb0RvYy54bWxQSwUGAAAAAAYABgBZAQAA5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mGbe5L0AAADc&#10;AAAADwAAAGRycy9kb3ducmV2LnhtbEWPT2sCMRTE74V+h/AKvRTNusiiq9GD0tKrdtfzY/PcLCYv&#10;yyb+aT+9EYQeh5n5DbNc35wVFxpC51nBZJyBIG687rhVUP18jmYgQkTWaD2Tgl8KsF69viyx1P7K&#10;O7rsYysShEOJCkyMfSllaAw5DGPfEyfv6AeHMcmhlXrAa4I7K/MsK6TDjtOCwZ42hprT/uwUnKe5&#10;PX3UU1vLvOr+vg52bra1Uu9vk2wBItIt/oef7W+toMg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t7k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XrjY47wAAADc&#10;AAAADwAAAGRycy9kb3ducmV2LnhtbEWPQYvCMBSE78L+h/AWvGnaHlzpGkUF0ZtY97K3t82zKTYv&#10;JYnV/fcbYcHjMDPfMIvVw3ZiIB9axwryaQaCuHa65UbB13k3mYMIEVlj55gU/FKA1fJttMBSuzuf&#10;aKhiIxKEQ4kKTIx9KWWoDVkMU9cTJ+/ivMWYpG+k9nhPcNvJIstm0mLLacFgT1tD9bW6WQWV+T4N&#10;vP2Ru/Wm8Pvz9RJtflRq/J5nnyAiPeIr/N8+aAWz4g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2OO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LydMkbgAAADc&#10;AAAADwAAAGRycy9kb3ducmV2LnhtbEVPTYvCMBC9C/6HMMLeNG0PsnSNooLoTax72dvYjE2xmZQk&#10;Vv33m4Pg8fG+F6un7cRAPrSOFeSzDARx7XTLjYLf8276DSJEZI2dY1LwogCr5Xi0wFK7B59oqGIj&#10;UgiHEhWYGPtSylAbshhmridO3NV5izFB30jt8ZHCbSeLLJtLiy2nBoM9bQ3Vt+puFVTm7zTw9iJ3&#10;603h9+fbNdr8qNTXJM9+QER6xo/47T5oBfMirU1n0h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dMk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QGvpCrwAAADc&#10;AAAADwAAAGRycy9kb3ducmV2LnhtbEWPQYvCMBSE78L+h/AWvGnaHmTtGkUF0ZtY97K3t82zKTYv&#10;JYnV/fcbYcHjMDPfMIvVw3ZiIB9axwryaQaCuHa65UbB13k3+QARIrLGzjEp+KUAq+XbaIGldnc+&#10;0VDFRiQIhxIVmBj7UspQG7IYpq4nTt7FeYsxSd9I7fGe4LaTRZbNpMWW04LBnraG6mt1swoq830a&#10;ePsjd+tN4ffn6yXa/KjU+D3PPkFEesRX+L990ApmxRy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r6Q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Rp11rsAAADc&#10;AAAADwAAAGRycy9kb3ducmV2LnhtbEVPPW/CMBDdK/EfrKvEUoFDGiGaYhioiro2JZ1P8TWOsM9R&#10;bEjg19dDpY5P73u7n5wVVxpC51nBapmBIG687rhVcPp6X2xAhIis0XomBTcKsN/NHrZYaj/yJ12r&#10;2IoUwqFEBSbGvpQyNIYchqXviRP34weHMcGhlXrAMYU7K/MsW0uHHacGgz0dDDXn6uIUXIrcnp/q&#10;wtYyP3X347d9MW+1UvPHVfYKItIU/8V/7g+tYP2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11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2A6A99">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O8Rz0bwAAADc&#10;AAAADwAAAGRycy9kb3ducmV2LnhtbEWPQYvCMBSE7wv+h/AEb2taBZFqFBVEb4t1L3t7Ns+m2LyU&#10;JFb995uFBY/DzHzDLNdP24qefGgcK8jHGQjiyumGawXf5/3nHESIyBpbx6TgRQHWq8HHEgvtHnyi&#10;voy1SBAOBSowMXaFlKEyZDGMXUecvKvzFmOSvpba4yPBbSsnWTaTFhtOCwY72hmqbuXdKijNz6nn&#10;3UXuN9uJP5xv12jzL6VGwzxbgIj0jO/wf/uoFcymO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c9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YoROOr0AAADc&#10;AAAADwAAAGRycy9kb3ducmV2LnhtbEWPT2sCMRTE7wW/Q3iCl6JZtyK6Gj0oSq9V1/Nj89wsJi/L&#10;Jv7rp28KhR6HmfkNs1w/nRV36kLjWcF4lIEgrrxuuFZwOu6GMxAhImu0nknBiwKsV723JRbaP/iL&#10;7odYiwThUKACE2NbSBkqQw7DyLfEybv4zmFMsqul7vCR4M7KPMum0mHDacFgSxtD1fVwcwpuk9xe&#10;38uJLWV+ar73Zzs321KpQX+cLUBEesb/8F/7UyuYfuT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E4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0DF620B">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pFpIPbwAAADc&#10;AAAADwAAAGRycy9kb3ducmV2LnhtbEWPQYvCMBSE78L+h/CEvWlaBVmqUVQQvYnVy97eNs+m2LyU&#10;JFvdf28EYY/DzHzDLFYP24qefGgcK8jHGQjiyumGawWX8270BSJEZI2tY1LwRwFWy4/BAgvt7nyi&#10;voy1SBAOBSowMXaFlKEyZDGMXUecvKvzFmOSvpba4z3BbSsnWTaTFhtOCwY72hqqbuWvVVCa71PP&#10;2x+5W28mfn++XaPNj0p9DvNsDiLSI/6H3+2DVjCbTu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SD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fTRoarwAAADc&#10;AAAADwAAAGRycy9kb3ducmV2LnhtbEWPzYoCMRCE7wu+Q2jBy6KJuoqMRg+Kurd11AdoJj0/OOkM&#10;k4y6b79ZEDwWVfUVtdo8bS3u1PrKsYbxSIEgzpypuNBwveyHCxA+IBusHZOGX/KwWfc+VpgY9+CU&#10;7udQiAhhn6CGMoQmkdJnJVn0I9cQRy93rcUQZVtI0+Ijwm0tJ0rNpcWK40KJDW1Lym7nzmoIs8+8&#10;U8UOqyatvcu6/HQ4/mg96I/VEkSgZ3iHX+1vo2E+/YL/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aG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388B81E">
                        <w:pPr>
                          <w:pStyle w:val="55"/>
                        </w:pPr>
                        <w:r>
                          <w:rPr>
                            <w:rFonts w:hint="eastAsia"/>
                          </w:rPr>
                          <w:t>成立</w:t>
                        </w:r>
                        <w:r>
                          <w:rPr>
                            <w:rFonts w:hint="eastAsia"/>
                            <w:lang w:val="en-US" w:eastAsia="zh-CN"/>
                          </w:rPr>
                          <w:t>绿色施工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EnjN8b0AAADc&#10;AAAADwAAAGRycy9kb3ducmV2LnhtbEWPzW7CMBCE70i8g7VIXFCxoQqqUgwHUFtuJYEHWMWbHzVe&#10;R7ED6dvjSpU4jmbmG812P9pW3Kj3jWMNq6UCQVw403Cl4Xr5eHkD4QOywdYxafglD/vddLLF1Lg7&#10;Z3TLQyUihH2KGuoQulRKX9Rk0S9dRxy90vUWQ5R9JU2P9wi3rVwrtZEWG44LNXZ0qKn4yQerISSL&#10;clDVEZsua70rhvL8+fWt9Xy2Uu8gAo3hGf5vn4yGzWsCf2fi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M3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3mm,0mm,0mm,0mm">
                    <w:txbxContent>
                      <w:p w14:paraId="2F287673">
                        <w:pPr>
                          <w:pStyle w:val="55"/>
                        </w:pPr>
                        <w:r>
                          <w:rPr>
                            <w:rFonts w:hint="eastAsia"/>
                            <w:lang w:val="en-US" w:eastAsia="zh-CN"/>
                          </w:rPr>
                          <w:t>环保节能</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4qpThrwAAADc&#10;AAAADwAAAGRycy9kb3ducmV2LnhtbEWPzYoCMRCE74LvEHphL7ImujjIrNGDou5NR32AZtLzw046&#10;wySj7tsbQfBYVNVX1GJ1t424UudrxxomYwWCOHem5lLD5bz9moPwAdlg45g0/JOH1XI4WGBq3I0z&#10;up5CKSKEfYoaqhDaVEqfV2TRj11LHL3CdRZDlF0pTYe3CLeNnCqVSIs1x4UKW1pXlP+deqshzEZF&#10;r8oN1m3WeJf3xXG3P2j9+TFRPyAC3cM7/Gr/Gg3Jdw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qU4a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05954D5">
                        <w:pPr>
                          <w:pStyle w:val="55"/>
                          <w:spacing w:line="240" w:lineRule="auto"/>
                        </w:pPr>
                        <w:r>
                          <w:rPr>
                            <w:rFonts w:hint="eastAsia"/>
                          </w:rPr>
                          <w:t>制定目标责任制</w:t>
                        </w:r>
                      </w:p>
                      <w:p w14:paraId="41FB3821">
                        <w:pPr>
                          <w:pStyle w:val="55"/>
                        </w:pPr>
                      </w:p>
                    </w:txbxContent>
                  </v:textbox>
                </v:shape>
                <v:line id="Line 2515" o:spid="_x0000_s1026" o:spt="20" style="position:absolute;left:2707;top:158;height:447;width:0;" filled="f" stroked="t" coordsize="21600,21600" o:gfxdata="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Tj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qv7aTLkAAADc&#10;AAAADwAAAGRycy9kb3ducmV2LnhtbEVPTYvCMBC9C/sfwgjebFoFWbpGWQXRm1i9eBubsSk2k5Jk&#10;q/vvNwdhj4/3vVy/bCcG8qF1rKDIchDEtdMtNwou5930E0SIyBo7x6TglwKsVx+jJZbaPflEQxUb&#10;kUI4lKjAxNiXUobakMWQuZ44cXfnLcYEfSO1x2cKt52c5flCWmw5NRjsaWuoflQ/VkFlrqeBtze5&#10;+97M/P78uEdbHJWajIv8C0SkV/wXv90HrWAxT2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2ky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xbJ/17wAAADc&#10;AAAADwAAAGRycy9kb3ducmV2LnhtbEWPQWsCMRSE74L/IbyCN82uguhqlCpIeyuuXrw9N8/N4uZl&#10;SdLV/vumUPA4zMw3zHr7tK3oyYfGsYJ8koEgrpxuuFZwPh3GCxAhImtsHZOCHwqw3QwHayy0e/CR&#10;+jLWIkE4FKjAxNgVUobKkMUwcR1x8m7OW4xJ+lpqj48Et62cZtlcWmw4LRjsaG+oupffVkFpLsee&#10;91d5eN9N/cfpfos2/1Jq9JZnKxCRnvEV/m9/agXz2R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f9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DI6lN7kAAADc&#10;AAAADwAAAGRycy9kb3ducmV2LnhtbEVPTYvCMBC9C/sfwgjebFoRWbpGWQXRm1i9eBubsSk2k5Jk&#10;q/vvNwdhj4/3vVy/bCcG8qF1rKDIchDEtdMtNwou5930E0SIyBo7x6TglwKsVx+jJZbaPflEQxUb&#10;kUI4lKjAxNiXUobakMWQuZ44cXfnLcYEfSO1x2cKt52c5flCWmw5NRjsaWuoflQ/VkFlrqeBtze5&#10;+97M/P78uEdbHJWajIv8C0SkV/wXv90HrWAxT/P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pT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ylCjML0AAADc&#10;AAAADwAAAGRycy9kb3ducmV2LnhtbEWPS2vDMBCE74X+B7GFXEoi25jQuFFySGjJNQ/3vFhby0Ra&#10;GUt5/vqoUMhxmJlvmPny6qw40xA6zwrySQaCuPG641bBYf81/gARIrJG65kU3CjAcvH6MsdK+wtv&#10;6byLrUgQDhUqMDH2lZShMeQwTHxPnLxfPziMSQ6t1ANeEtxZWWTZVDrsOC0Y7GllqDnuTk7BqSzs&#10;8b0ubS2LQ3f//rEzs66VGr3l2SeISNf4DP+3N1rBtMz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KMw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E9033C">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i1u+R7wAAADc&#10;AAAADwAAAGRycy9kb3ducmV2LnhtbEWPQYvCMBSE7wv+h/AEb2vaHtylGkUF2b0tVi/ens2zKTYv&#10;JYlV/71ZWNjjMDPfMIvVw3ZiIB9axwryaQaCuHa65UbB8bB7/wQRIrLGzjEpeFKA1XL0tsBSuzvv&#10;aahiIxKEQ4kKTIx9KWWoDVkMU9cTJ+/ivMWYpG+k9nhPcNvJIstm0mLLacFgT1tD9bW6WQWVOe0H&#10;3p7lbr0p/Nfheok2/1FqMs6zOYhIj/gf/mt/awVF/gG/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vk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nlXZALwAAADc&#10;AAAADwAAAGRycy9kb3ducmV2LnhtbEWPy4oCMRRE98L8Q7gDbmRMFGyH1uhC8bFzfHzApXP7gZ2b&#10;ppP28fdGEGZZVNUpar582FrcqPWVYw2joQJBnDlTcaHhct78/ILwAdlg7Zg0PMnDcvHVm2Nq3J2P&#10;dDuFQkQI+xQ1lCE0qZQ+K8miH7qGOHq5ay2GKNtCmhbvEW5rOVYqkRYrjgslNrQqKbueOqshTAZ5&#10;p4o1Vs2x9i7r8r/t7qB1/3ukZiACPcJ/+NPeGw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2QC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78pNcrgAAADc&#10;AAAADwAAAGRycy9kb3ducmV2LnhtbEVPy4rCMBTdC/5DuIIb0UTBItXoQlFn51j9gEtz+8DmpjSp&#10;j783i4FZHs57s3vbRjyp87VjDfOZAkGcO1NzqeF+O05XIHxANtg4Jg0f8rDbDgcbTI178ZWeWShF&#10;DGGfooYqhDaV0ucVWfQz1xJHrnCdxRBhV0rT4SuG20YulEqkxZpjQ4Ut7SvKH1lvNYTlpOhVecC6&#10;vTbe5X3xezpftB6P5moNItA7/Iv/3D9GQ5LEtfFMP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pNc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3mm,0mm,0mm,0mm">
                    <w:txbxContent>
                      <w:p w14:paraId="728CD31B">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1gFQyr0AAADc&#10;AAAADwAAAGRycy9kb3ducmV2LnhtbEWPQWvCQBSE74X+h+UVvDWbeAg2dZVWEL0Voxdvr9lnNph9&#10;G3bXqP/eLQg9DjPzDTNf3mwvRvKhc6ygyHIQxI3THbcKDvv1+wxEiMgae8ek4E4BlovXlzlW2l15&#10;R2MdW5EgHCpUYGIcKilDY8hiyNxAnLyT8xZjkr6V2uM1wW0vp3leSosdpwWDA60MNef6YhXU5rgb&#10;efUr11/fU7/Zn0/RFj9KTd6K/BNEpFv8Dz/bW62gLD/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VDK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wuJvirkAAADc&#10;AAAADwAAAGRycy9kb3ducmV2LnhtbEVPPW/CMBDdkfofrENiI04YoEoxqCAh2CoCC9sRH3FEfI5s&#10;N8C/rwekjk/ve7l+2k4M5EPrWEGR5SCIa6dbbhScT7vpJ4gQkTV2jknBiwKsVx+jJZbaPfhIQxUb&#10;kUI4lKjAxNiXUobakMWQuZ44cTfnLcYEfSO1x0cKt52c5flcWmw5NRjsaWuovle/VkFlLseBt1e5&#10;+97M/P50v0Vb/Cg1GRf5F4hIz/gvfrsPWsF8kea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ib4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ra7KEbwAAADc&#10;AAAADwAAAGRycy9kb3ducmV2LnhtbEWPQYvCMBSE74L/ITxhb5rWgy5do6gg7k2sXry9bZ5NsXkp&#10;Sazuv98Iwh6HmfmGWayethU9+dA4VpBPMhDEldMN1wrOp934E0SIyBpbx6TglwKslsPBAgvtHnyk&#10;voy1SBAOBSowMXaFlKEyZDFMXEecvKvzFmOSvpba4yPBbSunWTaTFhtOCwY72hqqbuXdKijN5djz&#10;9kfu1pup359u12jzg1Ifozz7AhHpGf/D7/a3VjCb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yh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9O73+r0AAADc&#10;AAAADwAAAGRycy9kb3ducmV2LnhtbEWPzWsCMRTE74L/Q3iFXkSzLuLH1ujBUvFadT0/Ns/NYvKy&#10;bOJH/etNodDjMDO/YZbrh7PiRl1oPCsYjzIQxJXXDdcKjoev4RxEiMgarWdS8EMB1qt+b4mF9nf+&#10;pts+1iJBOBSowMTYFlKGypDDMPItcfLOvnMYk+xqqTu8J7izMs+yqXTYcFow2NLGUHXZX52C6yS3&#10;l0E5saXMj81ze7IL81kq9f42zj5ARHrE//Bfe6cVTGc5/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vf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A69FC5">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ZLdJ3rwAAADc&#10;AAAADwAAAGRycy9kb3ducmV2LnhtbEWPzYoCMRCE7wu+Q2jBy6KJy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Sd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192F0B52">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617RqrwAAADc&#10;AAAADwAAAGRycy9kb3ducmV2LnhtbEWPzYoCMRCE7wu+Q2jBy6KJ4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0a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FC5EA5F">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QcRBL0AAADc&#10;AAAADwAAAGRycy9kb3ducmV2LnhtbEWPQWsCMRSE7wX/Q3gFbzW7HqyuRqmC2Ftx9eLtuXluFjcv&#10;SxJX/fdNoeBxmJlvmMXqYVvRkw+NYwX5KANBXDndcK3geNh+TEGEiKyxdUwKnhRgtRy8LbDQ7s57&#10;6stYiwThUKACE2NXSBkqQxbDyHXEybs4bzEm6WupPd4T3LZynGUTabHhtGCwo42h6lrerILSnPY9&#10;b85y+7Ue+93heok2/1Fq+J5ncxCRHvEV/m9/awWT2Sf8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xEE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c5sohr0AAADc&#10;AAAADwAAAGRycy9kb3ducmV2LnhtbEWPQWsCMRSE7wX/Q3gFbzXZPdiyNUorSHsrrl68PTfPzeLm&#10;ZUniqv/eFAo9DjPzDbNY3VwvRgqx86yhmCkQxI03Hbca9rvNyxuImJAN9p5Jw50irJaTpwVWxl95&#10;S2OdWpEhHCvUYFMaKiljY8lhnPmBOHsnHxymLEMrTcBrhrtelkrNpcOO84LFgdaWmnN9cRpqe9iO&#10;vD7KzcdnGb5251NyxY/W0+dCvYNIdEv/4b/2t9Hwqkr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yiG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HNeNHb0AAADc&#10;AAAADwAAAGRycy9kb3ducmV2LnhtbEWPQWsCMRSE7wX/Q3hCbzVZC1pWo1hB2pu49tLb6+a5Wdy8&#10;LEm62n/fCILHYWa+YZbrq+vEQCG2njUUEwWCuPam5UbD13H38gYiJmSDnWfS8EcR1qvR0xJL4y98&#10;oKFKjcgQjiVqsCn1pZSxtuQwTnxPnL2TDw5TlqGRJuAlw10np0rNpMOW84LFnraW6nP16zRU9vsw&#10;8PZH7jbv0/BxPJ+SK/ZaP48LtQCR6Joe4Xv702iYq1e4nc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40d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EsEIfcAAAADf&#10;AAAADwAAAGRycy9kb3ducmV2LnhtbEWPzWsCMRTE70L/h/AKXqRmDWJ1a/TQ0uLVj+35sXndLCYv&#10;yyZ+9a83QqHHYWZ+wyzXV+/EmfrYBtYwGRcgiOtgWm40HPafL3MQMSEbdIFJw40irFdPgyWWJlx4&#10;S+ddakSGcCxRg02pK6WMtSWPcRw64uz9hN5jyrJvpOnxkuHeSVUUM+mx5bxgsaN3S/Vxd/IaTlPl&#10;jqNq6iqpDu3v17db2I9K6+HzpHgDkeia/sN/7Y3RoOazhXqFx5/8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Qh9&#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2B0B6B3">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2iKd1bwAAADf&#10;AAAADwAAAGRycy9kb3ducmV2LnhtbEVPPW/CMBDdkfofrKvEBk4yIJpiECAh2BCBhe0aH3FEfI5s&#10;E+i/rwekjk/ve7F62U4M5EPrWEE+zUAQ10633Ci4nHeTOYgQkTV2jknBLwVYLT9GCyy1e/KJhio2&#10;IoVwKFGBibEvpQy1IYth6nrixN2ctxgT9I3UHp8p3HayyLKZtNhyajDY09ZQfa8eVkFlrqeBtz9y&#10;t94Ufn++36LNj0qNP/PsG0SkV/wXv90HraCYz76KNDj9SV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ndW8AAAA&#10;3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pglxl8AAAADf&#10;AAAADwAAAGRycy9kb3ducmV2LnhtbEWPzWrDMBCE74W8g9hALiWRbGhwnCg+pDTprY3bB1is9Q+x&#10;VsaS8/P2VaHQ4zAz3zC74m57caXRd441JCsFgrhypuNGw/fX2zID4QOywd4xaXiQh2I/e9phbtyN&#10;z3QtQyMihH2OGtoQhlxKX7Vk0a/cQBy92o0WQ5RjI82Itwi3vUyVWkuLHceFFgc6tFRdyslqCC/P&#10;9aSaV+yGc+9dNdWfx9OH1ot5orYgAt3Df/iv/W40pNl6k27g90/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XGX&#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498948D0">
                        <w:pPr>
                          <w:pStyle w:val="55"/>
                        </w:pPr>
                        <w:r>
                          <w:rPr>
                            <w:rFonts w:hint="eastAsia"/>
                            <w:lang w:val="en-US" w:eastAsia="zh-CN"/>
                          </w:rPr>
                          <w:t>绿色</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supO174AAADf&#10;AAAADwAAAGRycy9kb3ducmV2LnhtbEWPyW7CMBCG70h9B2sqcUHEhgpE0xgOIJYbWx9gFE8WNR5H&#10;scPy9vhQieOvf9OXrR62ETfqfO1YwyRRIIhzZ2ouNfxet+MFCB+QDTaOScOTPKyWH4MMU+PufKbb&#10;JZQijrBPUUMVQptK6fOKLPrEtcTRK1xnMUTZldJ0eI/jtpFTpebSYs3xocKW1hXlf5feagizUdGr&#10;coN1e268y/vitNsftR5+TtQPiECP8A7/tw9Gw3Qx//6KBJEns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O174A&#10;AADf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3mm,0mm,0mm,0mm">
                    <w:txbxContent>
                      <w:p w14:paraId="26605DA4">
                        <w:pPr>
                          <w:pStyle w:val="55"/>
                        </w:pPr>
                        <w:r>
                          <w:rPr>
                            <w:rFonts w:hint="eastAsia"/>
                          </w:rPr>
                          <w:t>落实岗位责任制</w:t>
                        </w:r>
                      </w:p>
                    </w:txbxContent>
                  </v:textbox>
                </v:shape>
                <v:shape id="Text Box 2536" o:spid="_x0000_s1026" o:spt="202" type="#_x0000_t202" style="position:absolute;left:3045;top:4353;height:302;width:3040;v-text-anchor:middle;" fillcolor="#C5E0B4 [1305]" filled="t" stroked="t" coordsize="21600,21600" o:gfxdata="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60y/&#10;AAAA3w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3mm,0mm,0mm,0mm">
                    <w:txbxContent>
                      <w:p w14:paraId="59662101">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PhM84r8AAADf&#10;AAAADwAAAGRycy9kb3ducmV2LnhtbEWPQWsCMRSE7wX/Q3iCt5rdLYi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PO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V+Zeb8AAADf&#10;AAAADwAAAGRycy9kb3ducmV2LnhtbEWPQWsCMRSE70L/Q3iF3jS7K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mXm/&#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3rYBDc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EN&#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sfqkls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SW&#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Uk9zOMAAAADf&#10;AAAADwAAAGRycy9kb3ducmV2LnhtbEWPzW7CMBCE75V4B2uRuFRgh6oRBEwOVKW9tVAeYBVvfkS8&#10;jmKHpG9fV6rU42hmvtHs88m24k69bxxrSFYKBHHhTMOVhuvX63IDwgdkg61j0vBNHvLD7GGPmXEj&#10;n+l+CZWIEPYZaqhD6DIpfVGTRb9yHXH0StdbDFH2lTQ9jhFuW7lWKpUWG44LNXZ0rKm4XQarITw/&#10;loOqXrDpzq13xVB+nt4+tF7ME7UDEWgK/+G/9rvRsN6k26cUfv/ELyA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3M4&#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0136C8F0">
                        <w:pPr>
                          <w:pStyle w:val="55"/>
                          <w:rPr>
                            <w:rFonts w:hint="default" w:eastAsia="宋体"/>
                            <w:lang w:val="en-US" w:eastAsia="zh-CN"/>
                          </w:rPr>
                        </w:pPr>
                        <w:r>
                          <w:rPr>
                            <w:rFonts w:hint="eastAsia"/>
                            <w:lang w:val="en-US" w:eastAsia="zh-CN"/>
                          </w:rPr>
                          <w:t>按照设计和施组内容进行落实</w:t>
                        </w:r>
                      </w:p>
                    </w:txbxContent>
                  </v:textbox>
                </v:shape>
                <v:line id="Line 2542" o:spid="_x0000_s1026" o:spt="20" style="position:absolute;left:2707;top:2426;height:0;width:338;" filled="f" stroked="t" coordsize="21600,21600" o:gfxdata="UEsDBAoAAAAAAIdO4kAAAAAAAAAAAAAAAAAEAAAAZHJzL1BLAwQUAAAACACHTuJALmSfesAAAADf&#10;AAAADwAAAGRycy9kb3ducmV2LnhtbEWPQWsCMRSE70L/Q3iF3jS7W1C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J96&#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TJxC0bwAAADf&#10;AAAADwAAAGRycy9kb3ducmV2LnhtbEVPyW7CMBC9I/UfrKnEBREbKhBNYziAWG5s/YBRPFnUeBzF&#10;Dsvf40Mljk9vz1YP24gbdb52rGGSKBDEuTM1lxp+r9vxAoQPyAYbx6ThSR5Wy49Bhqlxdz7T7RJK&#10;EUPYp6ihCqFNpfR5RRZ94lriyBWusxgi7EppOrzHcNvIqVJzabHm2FBhS+uK8r9LbzWE2ajoVbnB&#10;uj033uV9cdrtj1oPPyfqB0SgR3iL/90Ho2G6mH9/xcHxT/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QtG8AAAA&#10;3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D1F5B1C">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MLeuk78AAADf&#10;AAAADwAAAGRycy9kb3ducmV2LnhtbEWPQWsCMRSE74L/ITyhN83uF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rp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Yt0c78AAADf&#10;AAAADwAAAGRycy9kb3ducmV2LnhtbEWPvWrDMBSF90LfQdxCt0a2K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dH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evDTXMAAAADf&#10;AAAADwAAAGRycy9kb3ducmV2LnhtbEWPzYvCMBTE74L/Q3iCN00ru0W7Rg+Csnja9YO9PprXpti8&#10;lCZ+/vVmQfA4zMxvmPnyZhtxoc7XjhWk4wQEceF0zZWCw349moLwAVlj45gU3MnDctHvzTHX7sq/&#10;dNmFSkQI+xwVmBDaXEpfGLLox64ljl7pOoshyq6SusNrhNtGTpIkkxZrjgsGW1oZKk67s1Xwg4/H&#10;Z3k+NGbztz3OSnnkU7ZWajhIky8QgW7hHX61v7WCyTSbfaTw/yd+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NN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iJNK8AAAADf&#10;AAAADwAAAGRycy9kb3ducmV2LnhtbEWPzYvCMBTE74L/Q3iCN00tu0Wr0cOCy+Jp1w+8PprXpti8&#10;lCZ+/vVmQfA4zMxvmMXqZhtxoc7XjhVMxgkI4sLpmisF+916NAXhA7LGxjEpuJOH1bLfW2Cu3ZX/&#10;6LINlYgQ9jkqMCG0uZS+MGTRj11LHL3SdRZDlF0ldYfXCLeNTJMkkxZrjgsGW/oyVJy2Z6vgFx+P&#10;z/K8b8z3cXOYlfLAp2yt1HAwSeYgAt3CO/xq/2gF6TSbfaTw/yd+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0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CVnqBM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eoE&#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hrBycL8AAADf&#10;AAAADwAAAGRycy9kb3ducmV2LnhtbEWPQWsCMRSE70L/Q3iF3jS7i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cnC/&#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6fzX68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GS5JnMAAAADf&#10;AAAADwAAAGRycy9kb3ducmV2LnhtbEWPwWrDMBBE74H+g9hCb4lsU0z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km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dmLsB8AAAADf&#10;AAAADwAAAGRycy9kb3ducmV2LnhtbEWPQWsCMRSE70L/Q3iF3jS7S1G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uwH&#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14db0AAADf&#10;AAAADwAAAGRycy9kb3ducmV2LnhtbEVPPWvDMBDdC/0P4grdGtmmhN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h1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aLHd7r8AAADf&#10;AAAADwAAAGRycy9kb3ducmV2LnhtbEWPQWsCMRSE74L/ITyhN83uU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x3e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fFLirr8AAADf&#10;AAAADwAAAGRycy9kb3ducmV2LnhtbEWPvWrDMBSF90LfQdxCt0a2o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4q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Ex5HNb8AAADf&#10;AAAADwAAAGRycy9kb3ducmV2LnhtbEWPQWsCMRSE70L/Q3iF3jS7C4pdjWIFsTdx7aW3181zs7h5&#10;WZJ0tf++EQSPw8x8wyzXN9uJgXxoHSvIJxkI4trplhsFX6fdeA4iRGSNnWNS8EcB1quX0RJL7a58&#10;pKGKjUgQDiUqMDH2pZShNmQxTFxPnLyz8xZjkr6R2uM1wW0niyybSYstpwWDPW0N1Zfq1yqozPdx&#10;4O2P3G0+Cr8/Xc7R5gel3l7zbAEi0i0+w4/2p1ZQzGfv0xzuf9IX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RzW/&#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48zZQr8AAADf&#10;AAAADwAAAGRycy9kb3ducmV2LnhtbEWPQWsCMRSE7wX/Q3iCt5rdhYq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2U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jIB82c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HzZ&#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A2nkrc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eSt&#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bCVBNr8AAADf&#10;AAAADwAAAGRycy9kb3ducmV2LnhtbEWPQWsCMRSE70L/Q3iF3jS7C4r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QTa/&#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nPffQcAAAADf&#10;AAAADwAAAGRycy9kb3ducmV2LnhtbEWPwWrDMBBE74H+g9hCb4lsQ03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99B&#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87t62sAAAADf&#10;AAAADwAAAGRycy9kb3ducmV2LnhtbEWPQWsCMRSE70L/Q3iF3jS7C1W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3ra&#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giTuqL0AAADf&#10;AAAADwAAAGRycy9kb3ducmV2LnhtbEVPPWvDMBDdC/0P4grdGtmGht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O6o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7WhLM78AAADf&#10;AAAADwAAAGRycy9kb3ducmV2LnhtbEWPQWsCMRSE74L/ITyhN83uQkV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Sz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sj4oE74AAADf&#10;AAAADwAAAGRycy9kb3ducmV2LnhtbEWPvW7CMBSFd6S+g3UrdSNOMkQ0YBAgoXZDhC7dLvEljoiv&#10;I9sN9O3rAanj0fnTt9o87CAm8qF3rKDIchDErdM9dwq+zof5AkSIyBoHx6TglwJs1i+zFdba3flE&#10;UxM7kUY41KjAxDjWUobWkMWQuZE4eVfnLcYkfSe1x3sat4Ms87ySFntODwZH2htqb82PVdCY79PE&#10;+4s8bHel/zjfrtEWR6XeXot8CSLSI/6Hn+1PraBcVO9VIkg8iQ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4oE74A&#10;AADfAAAADwAAAAAAAAABACAAAAAiAAAAZHJzL2Rvd25yZXYueG1sUEsBAhQAFAAAAAgAh07iQDMv&#10;BZ47AAAAOQAAABAAAAAAAAAAAQAgAAAADQEAAGRycy9zaGFwZXhtbC54bWxQSwUGAAAAAAYABgBb&#10;AQAAtwM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3XKNiL8AAADf&#10;AAAADwAAAGRycy9kb3ducmV2LnhtbEWPQWvCQBSE70L/w/KE3nSTHIKNrqKCtLdi9NLba/aZDWbf&#10;ht1ttP++Kwg9DjPzDbPa3G0vRvKhc6wgn2cgiBunO24VnE+H2QJEiMgae8ek4JcCbNYvkxVW2t34&#10;SGMdW5EgHCpUYGIcKilDY8himLuBOHkX5y3GJH0rtcdbgtteFllWSosdpwWDA+0NNdf6xyqozddx&#10;5P23PGx3hX8/XS/R5p9KvU7zbAki0j3+h5/tD62gWJRvZQ6PP+kL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yjYi/&#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LaAT/78AAADf&#10;AAAADwAAAGRycy9kb3ducmV2LnhtbEWPQWvCQBSE70L/w/IKvekmOQRNXaUVRG/F6KW31+wzG8y+&#10;DbvbaP99VxA8DjPzDbNc32wvRvKhc6wgn2UgiBunO24VnI7b6RxEiMgae8ek4I8CrFcvkyVW2l35&#10;QGMdW5EgHCpUYGIcKilDY8himLmBOHln5y3GJH0rtcdrgtteFllWSosdpwWDA20MNZf61yqozfdh&#10;5M2P3H58Fn53vJyjzb+UenvNs3cQkW7xGX6091pBMS8XZQH3P+kL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E/+/&#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5C3vsAAAADf&#10;AAAADwAAAGRycy9kb3ducmV2LnhtbEWPS2/CMBCE70j9D9ZW6gUVhxRFEDAcQEW98kjPq3iJI+x1&#10;FJtXf32NVKnH0cx8o1ms7s6KK/Wh9axgPMpAENdet9woOB4+36cgQkTWaD2TggcFWC1fBgsstb/x&#10;jq772IgE4VCiAhNjV0oZakMOw8h3xMk7+d5hTLJvpO7xluDOyjzLCumw5bRgsKO1ofq8vzgFl0lu&#10;z8NqYiuZH9uf7bedmU2l1NvrOJuDiHSP/+G/9pdWkE+LWfEBzz/p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Le+&#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v:textbox>
                </v:shape>
                <w10:wrap type="none"/>
                <w10:anchorlock/>
              </v:group>
            </w:pict>
          </mc:Fallback>
        </mc:AlternateContent>
      </w:r>
    </w:p>
    <w:p w14:paraId="60CD81EA">
      <w:pPr>
        <w:pStyle w:val="41"/>
        <w:bidi w:val="0"/>
        <w:rPr>
          <w:rFonts w:hint="eastAsia"/>
          <w:highlight w:val="none"/>
        </w:rPr>
      </w:pPr>
      <w:r>
        <w:rPr>
          <w:rFonts w:hint="eastAsia"/>
          <w:highlight w:val="none"/>
          <w:lang w:val="en-US" w:eastAsia="zh-CN"/>
        </w:rPr>
        <w:t>图10-2 绿色施工</w:t>
      </w:r>
      <w:r>
        <w:rPr>
          <w:rFonts w:hint="eastAsia"/>
          <w:highlight w:val="none"/>
        </w:rPr>
        <w:t>保证体系图</w:t>
      </w:r>
    </w:p>
    <w:p w14:paraId="3B646797">
      <w:pPr>
        <w:bidi w:val="0"/>
        <w:ind w:firstLine="480" w:firstLineChars="200"/>
        <w:rPr>
          <w:rFonts w:hint="eastAsia"/>
          <w:highlight w:val="none"/>
          <w:lang w:val="en-US" w:eastAsia="zh-CN"/>
        </w:rPr>
      </w:pPr>
      <w:r>
        <w:rPr>
          <w:rFonts w:hint="eastAsia"/>
          <w:highlight w:val="none"/>
          <w:lang w:val="en-US" w:eastAsia="zh-CN"/>
        </w:rPr>
        <w:t>（2）</w:t>
      </w:r>
      <w:r>
        <w:rPr>
          <w:highlight w:val="none"/>
        </w:rPr>
        <w:t>临时设施环境保护</w:t>
      </w:r>
      <w:r>
        <w:rPr>
          <w:rFonts w:hint="eastAsia"/>
          <w:highlight w:val="none"/>
          <w:lang w:val="en-US" w:eastAsia="zh-CN"/>
        </w:rPr>
        <w:t>措施</w:t>
      </w:r>
    </w:p>
    <w:p w14:paraId="7EF81F60">
      <w:pPr>
        <w:bidi w:val="0"/>
        <w:ind w:firstLine="480" w:firstLineChars="200"/>
        <w:rPr>
          <w:highlight w:val="none"/>
        </w:rPr>
      </w:pPr>
      <w:r>
        <w:rPr>
          <w:highlight w:val="none"/>
        </w:rPr>
        <w:t>便道、砼搅拌站、</w:t>
      </w:r>
      <w:r>
        <w:rPr>
          <w:rFonts w:hint="eastAsia"/>
          <w:highlight w:val="none"/>
          <w:lang w:val="en-US" w:eastAsia="zh-CN"/>
        </w:rPr>
        <w:t>钢筋加工场</w:t>
      </w:r>
      <w:r>
        <w:rPr>
          <w:highlight w:val="none"/>
        </w:rPr>
        <w:t>及施工营地的设置，要合理、紧凑，严禁随意搭建，尽量减少对植被的损坏，不占用乡村道路、阻碍交通。搅拌站等高</w:t>
      </w:r>
      <w:r>
        <w:rPr>
          <w:rFonts w:hint="eastAsia"/>
          <w:highlight w:val="none"/>
          <w:lang w:eastAsia="zh-CN"/>
        </w:rPr>
        <w:t>噪声</w:t>
      </w:r>
      <w:r>
        <w:rPr>
          <w:highlight w:val="none"/>
        </w:rPr>
        <w:t>生产设施 尽可能远离居民区或采取限时作业措施。施工场地周围预先开挖排水沟，做到排 水畅通，场内不得积水、积污，应充分考虑其对原地面排水的影响，以免阻挡地 表径流的排泄，影响当地居民的生产生活。</w:t>
      </w:r>
    </w:p>
    <w:p w14:paraId="0E06D3A8">
      <w:pPr>
        <w:bidi w:val="0"/>
        <w:ind w:firstLine="480" w:firstLineChars="200"/>
        <w:rPr>
          <w:rFonts w:hint="eastAsia"/>
          <w:highlight w:val="none"/>
          <w:lang w:val="en-US" w:eastAsia="zh-CN"/>
        </w:rPr>
      </w:pPr>
      <w:r>
        <w:rPr>
          <w:rFonts w:hint="eastAsia"/>
          <w:highlight w:val="none"/>
          <w:lang w:val="en-US" w:eastAsia="zh-CN"/>
        </w:rPr>
        <w:t>（3）</w:t>
      </w:r>
      <w:r>
        <w:rPr>
          <w:highlight w:val="none"/>
        </w:rPr>
        <w:t>施工中的环保措施</w:t>
      </w:r>
    </w:p>
    <w:p w14:paraId="38AC6365">
      <w:pPr>
        <w:bidi w:val="0"/>
        <w:ind w:firstLine="480" w:firstLineChars="200"/>
        <w:rPr>
          <w:highlight w:val="none"/>
        </w:rPr>
      </w:pPr>
      <w:r>
        <w:rPr>
          <w:highlight w:val="none"/>
        </w:rPr>
        <w:t>做好当地水系、植被的保护工作，在施工时对路基边坡及时进行防护与植被 绿化，施工车辆不得越界行驶，以免碾坏植被、庄稼、乡村道路等。</w:t>
      </w:r>
    </w:p>
    <w:p w14:paraId="5BD22C41">
      <w:pPr>
        <w:bidi w:val="0"/>
        <w:rPr>
          <w:rFonts w:hint="eastAsia"/>
          <w:highlight w:val="none"/>
          <w:lang w:val="en-US" w:eastAsia="zh-CN"/>
        </w:rPr>
      </w:pPr>
      <w:r>
        <w:rPr>
          <w:highlight w:val="none"/>
        </w:rPr>
        <w:t>场地</w:t>
      </w:r>
      <w:r>
        <w:rPr>
          <w:rFonts w:hint="eastAsia"/>
          <w:highlight w:val="none"/>
          <w:lang w:eastAsia="zh-CN"/>
        </w:rPr>
        <w:t>及时</w:t>
      </w:r>
      <w:r>
        <w:rPr>
          <w:highlight w:val="none"/>
        </w:rPr>
        <w:t>进行清扫，以防粉尘被风吹扬。凡对环境有污染的废物,如挖方弃 土、建筑垃圾、生产垃圾、废弃材料等，</w:t>
      </w:r>
      <w:r>
        <w:rPr>
          <w:rFonts w:hint="eastAsia"/>
          <w:highlight w:val="none"/>
          <w:lang w:eastAsia="zh-CN"/>
        </w:rPr>
        <w:t>并</w:t>
      </w:r>
      <w:r>
        <w:rPr>
          <w:highlight w:val="none"/>
        </w:rPr>
        <w:t>在指定地点处理。在桥涵施工时各种 材料、机械不得随意堆放，破坏植被。</w:t>
      </w:r>
    </w:p>
    <w:p w14:paraId="64670EBE">
      <w:pPr>
        <w:bidi w:val="0"/>
        <w:ind w:firstLine="480" w:firstLineChars="200"/>
        <w:rPr>
          <w:rFonts w:hint="eastAsia"/>
          <w:highlight w:val="none"/>
          <w:lang w:val="en-US" w:eastAsia="zh-CN"/>
        </w:rPr>
      </w:pPr>
      <w:r>
        <w:rPr>
          <w:rFonts w:hint="eastAsia"/>
          <w:highlight w:val="none"/>
          <w:lang w:val="en-US" w:eastAsia="zh-CN"/>
        </w:rPr>
        <w:t>（4）</w:t>
      </w:r>
      <w:r>
        <w:rPr>
          <w:highlight w:val="none"/>
        </w:rPr>
        <w:t>防止大气、噪声、水污染的措施</w:t>
      </w:r>
    </w:p>
    <w:p w14:paraId="19CDFCD5">
      <w:pPr>
        <w:bidi w:val="0"/>
        <w:ind w:firstLine="480" w:firstLineChars="200"/>
        <w:rPr>
          <w:highlight w:val="none"/>
        </w:rPr>
      </w:pPr>
      <w:r>
        <w:rPr>
          <w:rFonts w:hint="eastAsia"/>
          <w:highlight w:val="none"/>
          <w:lang w:val="en-US" w:eastAsia="zh-CN"/>
        </w:rPr>
        <w:t>1）</w:t>
      </w:r>
      <w:r>
        <w:rPr>
          <w:highlight w:val="none"/>
        </w:rPr>
        <w:t>防止大气污染措施</w:t>
      </w:r>
    </w:p>
    <w:p w14:paraId="3E6ED31B">
      <w:pPr>
        <w:bidi w:val="0"/>
        <w:ind w:firstLine="480" w:firstLineChars="200"/>
        <w:rPr>
          <w:highlight w:val="none"/>
        </w:rPr>
      </w:pPr>
      <w:r>
        <w:rPr>
          <w:highlight w:val="none"/>
        </w:rPr>
        <w:t>临时运输道路经常洒水湿润，减少道路扬尘。对产生尘埃运输车辆加以覆盖，</w:t>
      </w:r>
    </w:p>
    <w:p w14:paraId="33869607">
      <w:pPr>
        <w:bidi w:val="0"/>
        <w:rPr>
          <w:highlight w:val="none"/>
        </w:rPr>
      </w:pPr>
      <w:r>
        <w:rPr>
          <w:highlight w:val="none"/>
        </w:rPr>
        <w:t>减少对空气污染，生产及生活垃圾定期、专人处理。严禁焚烧有毒废料。</w:t>
      </w:r>
    </w:p>
    <w:p w14:paraId="5A856372">
      <w:pPr>
        <w:bidi w:val="0"/>
        <w:ind w:firstLine="480" w:firstLineChars="200"/>
        <w:rPr>
          <w:highlight w:val="none"/>
        </w:rPr>
      </w:pPr>
      <w:r>
        <w:rPr>
          <w:rFonts w:hint="eastAsia"/>
          <w:highlight w:val="none"/>
          <w:lang w:val="en-US" w:eastAsia="zh-CN"/>
        </w:rPr>
        <w:t>2）</w:t>
      </w:r>
      <w:r>
        <w:rPr>
          <w:highlight w:val="none"/>
        </w:rPr>
        <w:t>防止噪声的措施</w:t>
      </w:r>
    </w:p>
    <w:p w14:paraId="1A0C1DBD">
      <w:pPr>
        <w:bidi w:val="0"/>
        <w:ind w:firstLine="480" w:firstLineChars="200"/>
        <w:rPr>
          <w:highlight w:val="none"/>
        </w:rPr>
      </w:pPr>
      <w:r>
        <w:rPr>
          <w:highlight w:val="none"/>
        </w:rPr>
        <w:t>施工噪声主要包括施工现场、机械作业时和车辆运输时产生的噪声。为减少 噪声影响，机械设备选型配套时优先考虑低噪声设备，尽可能采取液压设备和摩 擦设备代替振动式设备，并采取消声、隔音、安装防震底座等措施。加强机械设 备的维修保养，保证机械设备的完好率，确保施工噪声达到环境保护标准要求。</w:t>
      </w:r>
    </w:p>
    <w:p w14:paraId="656FD694">
      <w:pPr>
        <w:bidi w:val="0"/>
        <w:ind w:firstLine="480" w:firstLineChars="200"/>
        <w:rPr>
          <w:highlight w:val="none"/>
        </w:rPr>
      </w:pPr>
      <w:r>
        <w:rPr>
          <w:highlight w:val="none"/>
        </w:rPr>
        <w:t>合理布置施工和生活区域。进入施工现场的机械车辆少鸣笛、不急刹、不带故障运行，减少噪声。</w:t>
      </w:r>
    </w:p>
    <w:p w14:paraId="544157AD">
      <w:pPr>
        <w:bidi w:val="0"/>
        <w:ind w:firstLine="480" w:firstLineChars="200"/>
        <w:rPr>
          <w:highlight w:val="none"/>
        </w:rPr>
      </w:pPr>
      <w:r>
        <w:rPr>
          <w:rFonts w:hint="eastAsia"/>
          <w:highlight w:val="none"/>
          <w:lang w:val="en-US" w:eastAsia="zh-CN"/>
        </w:rPr>
        <w:t>3）</w:t>
      </w:r>
      <w:r>
        <w:rPr>
          <w:highlight w:val="none"/>
        </w:rPr>
        <w:t>防止水污染的措施</w:t>
      </w:r>
    </w:p>
    <w:p w14:paraId="68D67A74">
      <w:pPr>
        <w:bidi w:val="0"/>
        <w:ind w:firstLine="480" w:firstLineChars="200"/>
        <w:rPr>
          <w:highlight w:val="none"/>
        </w:rPr>
      </w:pPr>
      <w:r>
        <w:rPr>
          <w:highlight w:val="none"/>
        </w:rPr>
        <w:t>施工及生活废水的排放遵循清污分流、雨污分流的原则，各种施工废油、废 液集中储积，集中处理，严禁乱流乱淌，防止污染水源，破坏环境。</w:t>
      </w:r>
    </w:p>
    <w:p w14:paraId="77E4D46D">
      <w:pPr>
        <w:bidi w:val="0"/>
        <w:ind w:firstLine="480" w:firstLineChars="200"/>
        <w:rPr>
          <w:highlight w:val="none"/>
        </w:rPr>
      </w:pPr>
      <w:r>
        <w:rPr>
          <w:highlight w:val="none"/>
        </w:rPr>
        <w:t>施工作业产生的污水必须经过沉淀池沉淀，并经净化处理，符合要求后排放。</w:t>
      </w:r>
    </w:p>
    <w:p w14:paraId="1D9E2253">
      <w:pPr>
        <w:bidi w:val="0"/>
        <w:ind w:firstLine="480" w:firstLineChars="200"/>
        <w:rPr>
          <w:highlight w:val="none"/>
        </w:rPr>
      </w:pPr>
      <w:r>
        <w:rPr>
          <w:highlight w:val="none"/>
        </w:rPr>
        <w:t>食堂的废水处理应设置隔油池，定期清理油污，污水经过必要的处理后排入 污水管道，施工、生活污水严禁排入农田和水源。</w:t>
      </w:r>
    </w:p>
    <w:p w14:paraId="3983D840">
      <w:pPr>
        <w:bidi w:val="0"/>
        <w:ind w:firstLine="480" w:firstLineChars="200"/>
        <w:rPr>
          <w:rFonts w:hint="eastAsia"/>
          <w:highlight w:val="none"/>
          <w:lang w:val="en-US" w:eastAsia="zh-CN"/>
        </w:rPr>
      </w:pPr>
      <w:r>
        <w:rPr>
          <w:highlight w:val="none"/>
        </w:rPr>
        <w:t>废弃物中不得含有有毒有害物质，避免雨水冲刷后对地表、地下水造成污染。</w:t>
      </w:r>
    </w:p>
    <w:p w14:paraId="725FCD51">
      <w:pPr>
        <w:pStyle w:val="5"/>
        <w:bidi w:val="0"/>
        <w:ind w:left="864" w:leftChars="0" w:hanging="864" w:firstLineChars="0"/>
        <w:rPr>
          <w:rFonts w:hint="default"/>
          <w:lang w:val="en-US" w:eastAsia="zh-CN"/>
        </w:rPr>
      </w:pPr>
      <w:r>
        <w:rPr>
          <w:rFonts w:hint="eastAsia"/>
          <w:lang w:val="en-US" w:eastAsia="zh-CN"/>
        </w:rPr>
        <w:t>节能减排措施</w:t>
      </w:r>
    </w:p>
    <w:p w14:paraId="302846B7">
      <w:pPr>
        <w:bidi w:val="0"/>
        <w:ind w:firstLine="480" w:firstLineChars="200"/>
        <w:rPr>
          <w:highlight w:val="none"/>
        </w:rPr>
      </w:pPr>
      <w:r>
        <w:rPr>
          <w:rFonts w:hint="eastAsia"/>
          <w:highlight w:val="none"/>
          <w:lang w:val="en-US" w:eastAsia="zh-CN"/>
        </w:rPr>
        <w:t>（1）</w:t>
      </w:r>
      <w:r>
        <w:rPr>
          <w:rFonts w:hint="eastAsia"/>
          <w:highlight w:val="none"/>
        </w:rPr>
        <w:t>节材措施</w:t>
      </w:r>
    </w:p>
    <w:p w14:paraId="6C70AE3F">
      <w:pPr>
        <w:bidi w:val="0"/>
        <w:ind w:firstLine="480" w:firstLineChars="200"/>
        <w:rPr>
          <w:highlight w:val="none"/>
        </w:rPr>
      </w:pPr>
      <w:r>
        <w:rPr>
          <w:highlight w:val="none"/>
          <w:lang w:val="en-US" w:eastAsia="zh-CN"/>
        </w:rPr>
        <w:t>1）加强混凝土浇筑过程中方量的动态复核，每一次混凝土浇筑尽可能做到不超</w:t>
      </w:r>
      <w:r>
        <w:rPr>
          <w:rFonts w:hint="default"/>
          <w:highlight w:val="none"/>
          <w:lang w:val="en-US" w:eastAsia="zh-CN"/>
        </w:rPr>
        <w:t xml:space="preserve">方，若出现超方现象，则多余混凝土用于便道修筑或者其他临时结构施工，减少资源消耗。 </w:t>
      </w:r>
    </w:p>
    <w:p w14:paraId="01D58740">
      <w:pPr>
        <w:bidi w:val="0"/>
        <w:ind w:firstLine="480" w:firstLineChars="200"/>
        <w:rPr>
          <w:highlight w:val="none"/>
        </w:rPr>
      </w:pPr>
      <w:r>
        <w:rPr>
          <w:rFonts w:hint="default"/>
          <w:highlight w:val="none"/>
          <w:lang w:val="en-US" w:eastAsia="zh-CN"/>
        </w:rPr>
        <w:t>2）推广钢筋专业化加工和配送，钢筋制作前应对下料单及样品进行复核，无误后方可批量下料。</w:t>
      </w:r>
    </w:p>
    <w:p w14:paraId="7A8C8E1C">
      <w:pPr>
        <w:bidi w:val="0"/>
        <w:ind w:firstLine="480" w:firstLineChars="200"/>
        <w:rPr>
          <w:rFonts w:hint="eastAsia"/>
          <w:highlight w:val="none"/>
        </w:rPr>
      </w:pPr>
      <w:r>
        <w:rPr>
          <w:rFonts w:hint="eastAsia"/>
          <w:highlight w:val="none"/>
          <w:lang w:val="en-US" w:eastAsia="zh-CN"/>
        </w:rPr>
        <w:t>（2）</w:t>
      </w:r>
      <w:r>
        <w:rPr>
          <w:rFonts w:hint="eastAsia"/>
          <w:highlight w:val="none"/>
        </w:rPr>
        <w:t>节水措施</w:t>
      </w:r>
    </w:p>
    <w:p w14:paraId="4D39B6C9">
      <w:pPr>
        <w:pStyle w:val="159"/>
        <w:ind w:firstLine="480"/>
        <w:rPr>
          <w:rFonts w:hint="eastAsia"/>
          <w:highlight w:val="none"/>
        </w:rPr>
      </w:pPr>
      <w:bookmarkStart w:id="456" w:name="bookMark940"/>
      <w:bookmarkEnd w:id="456"/>
      <w:r>
        <w:rPr>
          <w:rFonts w:hint="eastAsia"/>
          <w:highlight w:val="none"/>
        </w:rPr>
        <w:t>1）现场搅拌用水、养护用水采取有效的节水措施，严禁无措施浇水养护混凝土。</w:t>
      </w:r>
    </w:p>
    <w:p w14:paraId="043D543A">
      <w:pPr>
        <w:pStyle w:val="159"/>
        <w:ind w:firstLine="480"/>
        <w:rPr>
          <w:rFonts w:hint="eastAsia" w:ascii="宋体"/>
          <w:szCs w:val="24"/>
          <w:highlight w:val="none"/>
        </w:rPr>
      </w:pPr>
      <w:r>
        <w:rPr>
          <w:rFonts w:hint="eastAsia" w:ascii="宋体"/>
          <w:szCs w:val="24"/>
          <w:highlight w:val="none"/>
        </w:rPr>
        <w:t>2）现场机具、设备、车辆冲洗用水设立循环用水装置。施工现场办公区、生活区的生活用水采用节水系统和节水器具，提高节水器具配置比率。</w:t>
      </w:r>
    </w:p>
    <w:p w14:paraId="1DC61E23">
      <w:pPr>
        <w:pStyle w:val="159"/>
        <w:ind w:firstLine="480"/>
        <w:rPr>
          <w:rFonts w:hint="eastAsia" w:ascii="宋体"/>
          <w:szCs w:val="24"/>
          <w:highlight w:val="none"/>
        </w:rPr>
      </w:pPr>
      <w:r>
        <w:rPr>
          <w:rFonts w:hint="eastAsia" w:ascii="宋体"/>
          <w:szCs w:val="24"/>
          <w:highlight w:val="none"/>
        </w:rPr>
        <w:t>3）施工现场建立可再利用水的收集处理系统，使水资源得到梯级循环利用。</w:t>
      </w:r>
    </w:p>
    <w:p w14:paraId="58295841">
      <w:pPr>
        <w:pStyle w:val="159"/>
        <w:ind w:firstLine="480"/>
        <w:rPr>
          <w:rFonts w:hint="eastAsia" w:ascii="宋体"/>
          <w:szCs w:val="24"/>
          <w:highlight w:val="none"/>
        </w:rPr>
      </w:pPr>
      <w:r>
        <w:rPr>
          <w:rFonts w:hint="eastAsia" w:ascii="宋体"/>
          <w:szCs w:val="24"/>
          <w:highlight w:val="none"/>
        </w:rPr>
        <w:t>4）施工现场分别对生活用水与工程用水确定用水定额指标，并分别计量管理。</w:t>
      </w:r>
    </w:p>
    <w:p w14:paraId="5EEF93BD">
      <w:pPr>
        <w:bidi w:val="0"/>
        <w:ind w:firstLine="480" w:firstLineChars="200"/>
        <w:rPr>
          <w:rFonts w:hint="eastAsia"/>
          <w:highlight w:val="none"/>
          <w:lang w:val="en-US" w:eastAsia="zh-CN"/>
        </w:rPr>
      </w:pPr>
      <w:r>
        <w:rPr>
          <w:rFonts w:hint="eastAsia" w:ascii="宋体"/>
          <w:szCs w:val="24"/>
          <w:highlight w:val="none"/>
          <w:lang w:val="en-US" w:eastAsia="zh-CN"/>
        </w:rPr>
        <w:t>5</w:t>
      </w:r>
      <w:r>
        <w:rPr>
          <w:rFonts w:hint="eastAsia" w:ascii="宋体"/>
          <w:szCs w:val="24"/>
          <w:highlight w:val="none"/>
        </w:rPr>
        <w:t>）对混凝土搅拌站点等用水集中的区域和工艺点进行专项计量考核。</w:t>
      </w:r>
    </w:p>
    <w:p w14:paraId="506BF31D">
      <w:pPr>
        <w:bidi w:val="0"/>
        <w:ind w:firstLine="480" w:firstLineChars="20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节能措施</w:t>
      </w:r>
    </w:p>
    <w:p w14:paraId="1B04CCDD">
      <w:pPr>
        <w:bidi w:val="0"/>
        <w:ind w:firstLine="480" w:firstLineChars="200"/>
        <w:rPr>
          <w:highlight w:val="none"/>
        </w:rPr>
      </w:pPr>
      <w:r>
        <w:rPr>
          <w:highlight w:val="none"/>
          <w:lang w:val="en-US" w:eastAsia="zh-CN"/>
        </w:rPr>
        <w:t>1）建立施工机械设备管理制度，开展用电、用油计量，完善设备档案，及时做</w:t>
      </w:r>
      <w:r>
        <w:rPr>
          <w:rFonts w:hint="default"/>
          <w:highlight w:val="none"/>
          <w:lang w:val="en-US" w:eastAsia="zh-CN"/>
        </w:rPr>
        <w:t xml:space="preserve">好维修保养工作，使机械设备保持低耗、高效的状态。 </w:t>
      </w:r>
    </w:p>
    <w:p w14:paraId="050BFDC2">
      <w:pPr>
        <w:bidi w:val="0"/>
        <w:ind w:firstLine="480" w:firstLineChars="200"/>
        <w:rPr>
          <w:highlight w:val="none"/>
        </w:rPr>
      </w:pPr>
      <w:r>
        <w:rPr>
          <w:rFonts w:hint="default"/>
          <w:highlight w:val="none"/>
          <w:lang w:val="en-US" w:eastAsia="zh-CN"/>
        </w:rPr>
        <w:t xml:space="preserve">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 </w:t>
      </w:r>
    </w:p>
    <w:p w14:paraId="346E463B">
      <w:pPr>
        <w:bidi w:val="0"/>
        <w:ind w:firstLine="480" w:firstLineChars="200"/>
        <w:rPr>
          <w:highlight w:val="none"/>
        </w:rPr>
      </w:pPr>
      <w:r>
        <w:rPr>
          <w:rFonts w:hint="default"/>
          <w:highlight w:val="none"/>
          <w:lang w:val="en-US" w:eastAsia="zh-CN"/>
        </w:rPr>
        <w:t>3）合理安排工序，提高各种机械的使用率和满载率，降低各种设备的单位耗能。</w:t>
      </w:r>
    </w:p>
    <w:p w14:paraId="4E60704A">
      <w:pPr>
        <w:bidi w:val="0"/>
        <w:ind w:firstLine="480" w:firstLineChars="200"/>
        <w:rPr>
          <w:rFonts w:hint="eastAsia"/>
          <w:highlight w:val="none"/>
        </w:rPr>
      </w:pPr>
      <w:r>
        <w:rPr>
          <w:rFonts w:hint="eastAsia"/>
          <w:highlight w:val="none"/>
          <w:lang w:val="en-US" w:eastAsia="zh-CN"/>
        </w:rPr>
        <w:t>（4）</w:t>
      </w:r>
      <w:r>
        <w:rPr>
          <w:rFonts w:hint="eastAsia"/>
          <w:highlight w:val="none"/>
        </w:rPr>
        <w:t>节地与施工用地保护措施</w:t>
      </w:r>
    </w:p>
    <w:p w14:paraId="582F4229">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bookmarkStart w:id="457" w:name="bookMark944"/>
      <w:bookmarkEnd w:id="457"/>
      <w:bookmarkStart w:id="458" w:name="_Toc16925"/>
      <w:r>
        <w:rPr>
          <w:rFonts w:ascii="CIDFont" w:hAnsi="CIDFont" w:eastAsia="CIDFont" w:cs="CIDFont"/>
          <w:color w:val="000000"/>
          <w:kern w:val="0"/>
          <w:sz w:val="24"/>
          <w:szCs w:val="24"/>
          <w:highlight w:val="none"/>
          <w:lang w:val="en-US" w:eastAsia="zh-CN" w:bidi="ar"/>
        </w:rPr>
        <w:t>挡土墙施工所需要的材料、设备均放置在红线范围内，减少临时用地使用，红线外</w:t>
      </w:r>
      <w:r>
        <w:rPr>
          <w:rFonts w:hint="default" w:ascii="CIDFont" w:hAnsi="CIDFont" w:eastAsia="CIDFont" w:cs="CIDFont"/>
          <w:color w:val="000000"/>
          <w:kern w:val="0"/>
          <w:sz w:val="24"/>
          <w:szCs w:val="24"/>
          <w:highlight w:val="none"/>
          <w:lang w:val="en-US" w:eastAsia="zh-CN" w:bidi="ar"/>
        </w:rPr>
        <w:t>临时占地应尽量使用荒地、废地，少占用农田和耕地，工程完工后，及时对红线外占地恢复原地形、地貌，使施工活动对周边环境的影响降至最低。</w:t>
      </w:r>
    </w:p>
    <w:p w14:paraId="5C0AFC14">
      <w:pPr>
        <w:pStyle w:val="5"/>
        <w:bidi w:val="0"/>
        <w:ind w:left="864" w:leftChars="0" w:hanging="864" w:firstLineChars="0"/>
        <w:rPr>
          <w:rFonts w:hint="default"/>
          <w:lang w:val="en-US" w:eastAsia="zh-CN"/>
        </w:rPr>
      </w:pPr>
      <w:bookmarkStart w:id="459" w:name="_Toc19095"/>
      <w:bookmarkStart w:id="460" w:name="_Toc1240"/>
      <w:bookmarkStart w:id="461" w:name="_Toc17393"/>
      <w:bookmarkStart w:id="462" w:name="_Toc17202"/>
      <w:bookmarkStart w:id="463" w:name="_Toc10077"/>
      <w:bookmarkStart w:id="464" w:name="_Toc24092"/>
      <w:r>
        <w:rPr>
          <w:rFonts w:hint="default"/>
          <w:lang w:val="en-US" w:eastAsia="zh-CN"/>
        </w:rPr>
        <w:t>环境保护管理</w:t>
      </w:r>
      <w:bookmarkEnd w:id="459"/>
      <w:bookmarkEnd w:id="460"/>
      <w:bookmarkEnd w:id="461"/>
      <w:bookmarkEnd w:id="462"/>
      <w:bookmarkEnd w:id="463"/>
      <w:bookmarkEnd w:id="464"/>
    </w:p>
    <w:p w14:paraId="3F939F41">
      <w:pPr>
        <w:rPr>
          <w:rFonts w:hint="default"/>
          <w:b/>
          <w:bCs/>
          <w:highlight w:val="none"/>
          <w:lang w:val="en-US" w:eastAsia="zh-CN"/>
        </w:rPr>
      </w:pPr>
      <w:r>
        <w:rPr>
          <w:rFonts w:hint="default"/>
          <w:b/>
          <w:bCs/>
          <w:highlight w:val="none"/>
          <w:lang w:val="en-US" w:eastAsia="zh-CN"/>
        </w:rPr>
        <w:t>1、自然生态环境保护措施</w:t>
      </w:r>
    </w:p>
    <w:p w14:paraId="23D779F1">
      <w:pPr>
        <w:rPr>
          <w:rFonts w:hint="default"/>
          <w:highlight w:val="none"/>
          <w:lang w:val="en-US" w:eastAsia="zh-CN"/>
        </w:rPr>
      </w:pPr>
      <w:r>
        <w:rPr>
          <w:rFonts w:hint="default"/>
          <w:highlight w:val="none"/>
          <w:lang w:val="en-US" w:eastAsia="zh-CN"/>
        </w:rPr>
        <w:t>（1）施工现场保护</w:t>
      </w:r>
    </w:p>
    <w:p w14:paraId="0706C11F">
      <w:pPr>
        <w:rPr>
          <w:rFonts w:hint="default"/>
          <w:highlight w:val="none"/>
          <w:lang w:val="en-US" w:eastAsia="zh-CN"/>
        </w:rPr>
      </w:pPr>
      <w:r>
        <w:rPr>
          <w:rFonts w:hint="default"/>
          <w:highlight w:val="none"/>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4A67F175">
      <w:pPr>
        <w:rPr>
          <w:rFonts w:hint="default"/>
          <w:highlight w:val="none"/>
          <w:lang w:val="en-US" w:eastAsia="zh-CN"/>
        </w:rPr>
      </w:pPr>
      <w:r>
        <w:rPr>
          <w:rFonts w:hint="default"/>
          <w:highlight w:val="none"/>
          <w:lang w:val="en-US" w:eastAsia="zh-CN"/>
        </w:rPr>
        <w:t>（2）施工期间保护</w:t>
      </w:r>
    </w:p>
    <w:p w14:paraId="2263C97E">
      <w:pPr>
        <w:rPr>
          <w:rFonts w:hint="default"/>
          <w:highlight w:val="none"/>
          <w:lang w:val="en-US" w:eastAsia="zh-CN"/>
        </w:rPr>
      </w:pPr>
      <w:r>
        <w:rPr>
          <w:rFonts w:hint="default"/>
          <w:highlight w:val="none"/>
          <w:lang w:val="en-US" w:eastAsia="zh-CN"/>
        </w:rPr>
        <w:t>施工期间对施工人员加强保护自然资源及野生动植物的教育，严禁随意砍伐和偷猎，限制施工人员和车辆的活动范围。</w:t>
      </w:r>
    </w:p>
    <w:p w14:paraId="67F3379F">
      <w:pPr>
        <w:rPr>
          <w:rFonts w:hint="default"/>
          <w:highlight w:val="none"/>
          <w:lang w:val="en-US" w:eastAsia="zh-CN"/>
        </w:rPr>
      </w:pPr>
      <w:r>
        <w:rPr>
          <w:rFonts w:hint="default"/>
          <w:highlight w:val="none"/>
          <w:lang w:val="en-US" w:eastAsia="zh-CN"/>
        </w:rPr>
        <w:t>（3）临建选址保护</w:t>
      </w:r>
    </w:p>
    <w:p w14:paraId="2B3BBD78">
      <w:pPr>
        <w:rPr>
          <w:rFonts w:hint="default"/>
          <w:highlight w:val="none"/>
          <w:lang w:val="en-US" w:eastAsia="zh-CN"/>
        </w:rPr>
      </w:pPr>
      <w:r>
        <w:rPr>
          <w:rFonts w:hint="default"/>
          <w:highlight w:val="none"/>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359F86B1">
      <w:pPr>
        <w:rPr>
          <w:rFonts w:hint="default"/>
          <w:b/>
          <w:bCs/>
          <w:highlight w:val="none"/>
          <w:lang w:val="en-US" w:eastAsia="zh-CN"/>
        </w:rPr>
      </w:pPr>
      <w:bookmarkStart w:id="465" w:name="_Toc56438292"/>
      <w:bookmarkStart w:id="466" w:name="_Toc61441675"/>
      <w:r>
        <w:rPr>
          <w:rFonts w:hint="default"/>
          <w:b/>
          <w:bCs/>
          <w:highlight w:val="none"/>
          <w:lang w:val="en-US" w:eastAsia="zh-CN"/>
        </w:rPr>
        <w:t>2、防止大气污染措施</w:t>
      </w:r>
      <w:bookmarkEnd w:id="465"/>
      <w:bookmarkEnd w:id="466"/>
    </w:p>
    <w:p w14:paraId="569DD3DB">
      <w:pPr>
        <w:rPr>
          <w:rFonts w:hint="default"/>
          <w:highlight w:val="none"/>
          <w:lang w:val="en-US" w:eastAsia="zh-CN"/>
        </w:rPr>
      </w:pPr>
      <w:r>
        <w:rPr>
          <w:rFonts w:hint="default"/>
          <w:highlight w:val="none"/>
          <w:lang w:val="en-US" w:eastAsia="zh-CN"/>
        </w:rPr>
        <w:t>（1）洒水降尘</w:t>
      </w:r>
    </w:p>
    <w:p w14:paraId="5E82B1FB">
      <w:pPr>
        <w:rPr>
          <w:rFonts w:hint="default"/>
          <w:highlight w:val="none"/>
          <w:lang w:val="en-US" w:eastAsia="zh-CN"/>
        </w:rPr>
      </w:pPr>
      <w:r>
        <w:rPr>
          <w:rFonts w:hint="default"/>
          <w:highlight w:val="none"/>
          <w:lang w:val="en-US" w:eastAsia="zh-CN"/>
        </w:rPr>
        <w:t>临时运输道路经常洒水湿润，减少道路扬尘。对产生尘埃运输车辆加以覆盖，在居民区等人员密集区域附近采取喷雾降尘措施、配备降尘雾炮以有效避免周边大气的污染。</w:t>
      </w:r>
    </w:p>
    <w:p w14:paraId="0763EDC8">
      <w:pPr>
        <w:rPr>
          <w:rFonts w:hint="default"/>
          <w:highlight w:val="none"/>
          <w:lang w:val="en-US" w:eastAsia="zh-CN"/>
        </w:rPr>
      </w:pPr>
      <w:r>
        <w:rPr>
          <w:rFonts w:hint="default"/>
          <w:highlight w:val="none"/>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5A95EDFC">
      <w:pPr>
        <w:rPr>
          <w:rFonts w:hint="default"/>
          <w:highlight w:val="none"/>
          <w:lang w:val="en-US" w:eastAsia="zh-CN"/>
        </w:rPr>
      </w:pPr>
      <w:r>
        <w:rPr>
          <w:rFonts w:hint="default"/>
          <w:highlight w:val="none"/>
          <w:lang w:val="en-US" w:eastAsia="zh-CN"/>
        </w:rPr>
        <w:t>（2）覆盖防尘</w:t>
      </w:r>
    </w:p>
    <w:p w14:paraId="78277D01">
      <w:pPr>
        <w:rPr>
          <w:rFonts w:hint="default"/>
          <w:highlight w:val="none"/>
          <w:lang w:val="en-US" w:eastAsia="zh-CN"/>
        </w:rPr>
      </w:pPr>
      <w:r>
        <w:rPr>
          <w:rFonts w:hint="default"/>
          <w:highlight w:val="none"/>
          <w:lang w:val="en-US" w:eastAsia="zh-CN"/>
        </w:rPr>
        <w:t>对施工现场裸露时间较长的土体进行绿化、对裸露时间较短的土体利用土工织物进行覆盖，避免在风力的作用下造成项目周边的空气扬尘。</w:t>
      </w:r>
    </w:p>
    <w:p w14:paraId="56264EBA">
      <w:pPr>
        <w:rPr>
          <w:rFonts w:hint="default"/>
          <w:highlight w:val="none"/>
          <w:lang w:val="en-US" w:eastAsia="zh-CN"/>
        </w:rPr>
      </w:pPr>
      <w:r>
        <w:rPr>
          <w:rFonts w:hint="default"/>
          <w:highlight w:val="none"/>
          <w:lang w:val="en-US" w:eastAsia="zh-CN"/>
        </w:rPr>
        <w:t>（3）材料运输防污染</w:t>
      </w:r>
    </w:p>
    <w:p w14:paraId="1A18D5BA">
      <w:pPr>
        <w:rPr>
          <w:rFonts w:hint="default"/>
          <w:highlight w:val="none"/>
          <w:lang w:val="en-US" w:eastAsia="zh-CN"/>
        </w:rPr>
      </w:pPr>
      <w:r>
        <w:rPr>
          <w:rFonts w:hint="default"/>
          <w:highlight w:val="none"/>
          <w:lang w:val="en-US" w:eastAsia="zh-CN"/>
        </w:rPr>
        <w:t>尽量缩短土石料的运输距离，汽车运输砂土、水泥、碎石等易起尘的物料要加盖蓬布、控制车速，防止物料洒落和产生扬尘，卸车时尽量减小落差。</w:t>
      </w:r>
    </w:p>
    <w:p w14:paraId="424A1E49">
      <w:pPr>
        <w:rPr>
          <w:rFonts w:hint="default"/>
          <w:b/>
          <w:bCs/>
          <w:highlight w:val="none"/>
          <w:lang w:val="en-US" w:eastAsia="zh-CN"/>
        </w:rPr>
      </w:pPr>
      <w:bookmarkStart w:id="467" w:name="_Toc61441676"/>
      <w:bookmarkStart w:id="468" w:name="_Toc56438293"/>
      <w:r>
        <w:rPr>
          <w:rFonts w:hint="default"/>
          <w:b/>
          <w:bCs/>
          <w:highlight w:val="none"/>
          <w:lang w:val="en-US" w:eastAsia="zh-CN"/>
        </w:rPr>
        <w:t>3、防止噪声的措施</w:t>
      </w:r>
      <w:bookmarkEnd w:id="467"/>
      <w:bookmarkEnd w:id="468"/>
    </w:p>
    <w:p w14:paraId="231A9EFF">
      <w:pPr>
        <w:rPr>
          <w:rFonts w:hint="default"/>
          <w:highlight w:val="none"/>
          <w:lang w:val="en-US" w:eastAsia="zh-CN"/>
        </w:rPr>
      </w:pPr>
      <w:r>
        <w:rPr>
          <w:rFonts w:hint="default"/>
          <w:highlight w:val="none"/>
          <w:lang w:val="en-US" w:eastAsia="zh-CN"/>
        </w:rPr>
        <w:t>施工噪声主要包括施工现场、机械作业时和车辆运输时产生的噪声。</w:t>
      </w:r>
    </w:p>
    <w:p w14:paraId="591B7930">
      <w:pPr>
        <w:rPr>
          <w:rFonts w:hint="default"/>
          <w:highlight w:val="none"/>
          <w:lang w:val="en-US" w:eastAsia="zh-CN"/>
        </w:rPr>
      </w:pPr>
      <w:r>
        <w:rPr>
          <w:rFonts w:hint="default"/>
          <w:highlight w:val="none"/>
          <w:lang w:val="en-US" w:eastAsia="zh-CN"/>
        </w:rPr>
        <w:t>（1）建立制度、提高意识</w:t>
      </w:r>
    </w:p>
    <w:p w14:paraId="60949270">
      <w:pPr>
        <w:rPr>
          <w:rFonts w:hint="default"/>
          <w:highlight w:val="none"/>
          <w:lang w:val="en-US" w:eastAsia="zh-CN"/>
        </w:rPr>
      </w:pPr>
      <w:r>
        <w:rPr>
          <w:rFonts w:hint="default"/>
          <w:highlight w:val="none"/>
          <w:lang w:val="en-US" w:eastAsia="zh-CN"/>
        </w:rPr>
        <w:t>施工现场提倡文明施工，建立健全控制人为噪声的管理制度。尽量减少人为的大声喧哗，增加全体施工人员防噪声扰民的自觉意识。</w:t>
      </w:r>
    </w:p>
    <w:p w14:paraId="1034ECC5">
      <w:pPr>
        <w:rPr>
          <w:rFonts w:hint="default"/>
          <w:highlight w:val="none"/>
          <w:lang w:val="en-US" w:eastAsia="zh-CN"/>
        </w:rPr>
      </w:pPr>
      <w:r>
        <w:rPr>
          <w:rFonts w:hint="default"/>
          <w:highlight w:val="none"/>
          <w:lang w:val="en-US" w:eastAsia="zh-CN"/>
        </w:rPr>
        <w:t>（2）选择低噪声机械</w:t>
      </w:r>
    </w:p>
    <w:p w14:paraId="5E3CC073">
      <w:pPr>
        <w:rPr>
          <w:rFonts w:hint="default"/>
          <w:highlight w:val="none"/>
          <w:lang w:val="en-US" w:eastAsia="zh-CN"/>
        </w:rPr>
      </w:pPr>
      <w:r>
        <w:rPr>
          <w:rFonts w:hint="default"/>
          <w:highlight w:val="none"/>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04BE98FE">
      <w:pPr>
        <w:rPr>
          <w:rFonts w:hint="default"/>
          <w:highlight w:val="none"/>
          <w:lang w:val="en-US" w:eastAsia="zh-CN"/>
        </w:rPr>
      </w:pPr>
      <w:r>
        <w:rPr>
          <w:rFonts w:hint="default"/>
          <w:highlight w:val="none"/>
          <w:lang w:val="en-US" w:eastAsia="zh-CN"/>
        </w:rPr>
        <w:t>（3）夜间施工降噪</w:t>
      </w:r>
    </w:p>
    <w:p w14:paraId="56BECE4B">
      <w:pPr>
        <w:rPr>
          <w:rFonts w:hint="default"/>
          <w:highlight w:val="none"/>
          <w:lang w:val="en-US" w:eastAsia="zh-CN"/>
        </w:rPr>
      </w:pPr>
      <w:r>
        <w:rPr>
          <w:rFonts w:hint="default"/>
          <w:highlight w:val="none"/>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73E7F520">
      <w:pPr>
        <w:rPr>
          <w:rFonts w:hint="default"/>
          <w:highlight w:val="none"/>
          <w:lang w:val="en-US" w:eastAsia="zh-CN"/>
        </w:rPr>
      </w:pPr>
      <w:r>
        <w:rPr>
          <w:rFonts w:hint="default"/>
          <w:highlight w:val="none"/>
          <w:lang w:val="en-US" w:eastAsia="zh-CN"/>
        </w:rPr>
        <w:t>（4）机械降噪措施</w:t>
      </w:r>
    </w:p>
    <w:p w14:paraId="469C18E4">
      <w:pPr>
        <w:rPr>
          <w:rFonts w:hint="default"/>
          <w:highlight w:val="none"/>
          <w:lang w:val="en-US" w:eastAsia="zh-CN"/>
        </w:rPr>
      </w:pPr>
      <w:r>
        <w:rPr>
          <w:rFonts w:hint="default"/>
          <w:highlight w:val="none"/>
          <w:lang w:val="en-US" w:eastAsia="zh-CN"/>
        </w:rPr>
        <w:t>①产生强噪声的成品、半成品加工、制作作业，应尽量在加工场区完成，减少因施工现场加工制作产生的噪声。</w:t>
      </w:r>
    </w:p>
    <w:p w14:paraId="090A728C">
      <w:pPr>
        <w:rPr>
          <w:rFonts w:hint="default"/>
          <w:highlight w:val="none"/>
          <w:lang w:val="en-US" w:eastAsia="zh-CN"/>
        </w:rPr>
      </w:pPr>
      <w:r>
        <w:rPr>
          <w:rFonts w:hint="default"/>
          <w:highlight w:val="none"/>
          <w:lang w:val="en-US" w:eastAsia="zh-CN"/>
        </w:rPr>
        <w:t>②尽量选用低噪声或备有消声降噪的机械棚，以减少强噪声的扩散。</w:t>
      </w:r>
    </w:p>
    <w:p w14:paraId="03543C0F">
      <w:pPr>
        <w:rPr>
          <w:rFonts w:hint="default"/>
          <w:b/>
          <w:bCs/>
          <w:highlight w:val="none"/>
          <w:lang w:val="en-US" w:eastAsia="zh-CN"/>
        </w:rPr>
      </w:pPr>
      <w:bookmarkStart w:id="469" w:name="_Toc61441677"/>
      <w:bookmarkStart w:id="470" w:name="_Toc56438294"/>
      <w:r>
        <w:rPr>
          <w:rFonts w:hint="default"/>
          <w:b/>
          <w:bCs/>
          <w:highlight w:val="none"/>
          <w:lang w:val="en-US" w:eastAsia="zh-CN"/>
        </w:rPr>
        <w:t>4、防止水污染的措施</w:t>
      </w:r>
      <w:bookmarkEnd w:id="469"/>
      <w:bookmarkEnd w:id="470"/>
    </w:p>
    <w:p w14:paraId="07D99D80">
      <w:pPr>
        <w:rPr>
          <w:rFonts w:hint="default"/>
          <w:highlight w:val="none"/>
          <w:lang w:val="en-US" w:eastAsia="zh-CN"/>
        </w:rPr>
      </w:pPr>
      <w:r>
        <w:rPr>
          <w:rFonts w:hint="default"/>
          <w:highlight w:val="none"/>
          <w:lang w:val="en-US" w:eastAsia="zh-CN"/>
        </w:rPr>
        <w:t>（1）施工过程当中对产生的裸土进行绿化或土工织物覆盖，以免在雨天造成水土流失，将土体冲入河流。</w:t>
      </w:r>
    </w:p>
    <w:p w14:paraId="1354BCBC">
      <w:pPr>
        <w:rPr>
          <w:rFonts w:hint="default"/>
          <w:highlight w:val="none"/>
          <w:lang w:val="en-US" w:eastAsia="zh-CN"/>
        </w:rPr>
      </w:pPr>
      <w:r>
        <w:rPr>
          <w:rFonts w:hint="default"/>
          <w:highlight w:val="none"/>
          <w:lang w:val="en-US" w:eastAsia="zh-CN"/>
        </w:rPr>
        <w:t>（2）施工作业产生的污水必须经过沉淀池沉淀，并经净化处理，符合要求后排放。</w:t>
      </w:r>
    </w:p>
    <w:p w14:paraId="02AE4344">
      <w:pPr>
        <w:rPr>
          <w:rFonts w:hint="default"/>
          <w:highlight w:val="none"/>
          <w:lang w:val="en-US" w:eastAsia="zh-CN"/>
        </w:rPr>
      </w:pPr>
      <w:r>
        <w:rPr>
          <w:rFonts w:hint="default"/>
          <w:highlight w:val="none"/>
          <w:lang w:val="en-US" w:eastAsia="zh-CN"/>
        </w:rPr>
        <w:t>（3）施工现场土方内利用土工织物或防水彩条布进行覆盖，避免造成周边的泥土对水体的污染。</w:t>
      </w:r>
    </w:p>
    <w:p w14:paraId="75BD7FB1">
      <w:pPr>
        <w:rPr>
          <w:rFonts w:hint="default"/>
          <w:b/>
          <w:bCs/>
          <w:highlight w:val="none"/>
          <w:lang w:val="en-US" w:eastAsia="zh-CN"/>
        </w:rPr>
      </w:pPr>
      <w:bookmarkStart w:id="471" w:name="_Toc56438295"/>
      <w:bookmarkStart w:id="472" w:name="_Toc61441678"/>
      <w:r>
        <w:rPr>
          <w:rFonts w:hint="default"/>
          <w:b/>
          <w:bCs/>
          <w:highlight w:val="none"/>
          <w:lang w:val="en-US" w:eastAsia="zh-CN"/>
        </w:rPr>
        <w:t>5、土壤防污染措施</w:t>
      </w:r>
      <w:bookmarkEnd w:id="471"/>
      <w:bookmarkEnd w:id="472"/>
    </w:p>
    <w:p w14:paraId="278C5AEF">
      <w:pPr>
        <w:rPr>
          <w:rFonts w:hint="default"/>
          <w:highlight w:val="none"/>
          <w:lang w:val="en-US" w:eastAsia="zh-CN"/>
        </w:rPr>
      </w:pPr>
      <w:r>
        <w:rPr>
          <w:rFonts w:hint="eastAsia"/>
          <w:highlight w:val="none"/>
          <w:lang w:val="en-US" w:eastAsia="zh-CN"/>
        </w:rPr>
        <w:t>（1）</w:t>
      </w:r>
      <w:r>
        <w:rPr>
          <w:rFonts w:hint="default"/>
          <w:highlight w:val="none"/>
          <w:lang w:val="en-US" w:eastAsia="zh-CN"/>
        </w:rPr>
        <w:t>尽量做到对施工过程中产生的建筑垃圾进行再利用，入无法利用，则要进行无害化处理后按照当地环保部门的批示在指定地点掩埋。</w:t>
      </w:r>
    </w:p>
    <w:p w14:paraId="7550B177">
      <w:pPr>
        <w:rPr>
          <w:rFonts w:hint="default"/>
          <w:highlight w:val="none"/>
          <w:lang w:val="en-US" w:eastAsia="zh-CN"/>
        </w:rPr>
      </w:pPr>
      <w:r>
        <w:rPr>
          <w:rFonts w:hint="eastAsia"/>
          <w:highlight w:val="none"/>
          <w:lang w:val="en-US" w:eastAsia="zh-CN"/>
        </w:rPr>
        <w:t>（2）</w:t>
      </w:r>
      <w:r>
        <w:rPr>
          <w:rFonts w:hint="default"/>
          <w:highlight w:val="none"/>
          <w:lang w:val="en-US" w:eastAsia="zh-CN"/>
        </w:rPr>
        <w:t>施工现场修建的油料存放场地需进行防渗、方漏处理，避免油料等的渗漏对周边土壤造成污染。若发生意外而导致对周边土壤造成污染时需要对被污染土壤进行清理。</w:t>
      </w:r>
    </w:p>
    <w:p w14:paraId="53D2703D">
      <w:pPr>
        <w:rPr>
          <w:rFonts w:hint="default"/>
          <w:highlight w:val="none"/>
          <w:lang w:val="en-US" w:eastAsia="zh-CN"/>
        </w:rPr>
      </w:pPr>
      <w:r>
        <w:rPr>
          <w:rFonts w:hint="eastAsia"/>
          <w:highlight w:val="none"/>
          <w:lang w:val="en-US" w:eastAsia="zh-CN"/>
        </w:rPr>
        <w:t>（3）</w:t>
      </w:r>
      <w:r>
        <w:rPr>
          <w:rFonts w:hint="default"/>
          <w:highlight w:val="none"/>
          <w:lang w:val="en-US" w:eastAsia="zh-CN"/>
        </w:rPr>
        <w:t>在驻地设垃圾池，分类收集，进行集中处理，可降解的实行降解措施，不可降解的集中掩埋，防止污染环境。</w:t>
      </w:r>
    </w:p>
    <w:p w14:paraId="482E518A">
      <w:pPr>
        <w:rPr>
          <w:rFonts w:hint="default"/>
          <w:highlight w:val="none"/>
          <w:lang w:val="en-US" w:eastAsia="zh-CN"/>
        </w:rPr>
      </w:pPr>
      <w:r>
        <w:rPr>
          <w:rFonts w:hint="eastAsia"/>
          <w:highlight w:val="none"/>
          <w:lang w:val="en-US" w:eastAsia="zh-CN"/>
        </w:rPr>
        <w:t>（4）</w:t>
      </w:r>
      <w:r>
        <w:rPr>
          <w:rFonts w:hint="default"/>
          <w:highlight w:val="none"/>
          <w:lang w:val="en-US" w:eastAsia="zh-CN"/>
        </w:rPr>
        <w:t>工程施工完成后，根据环保及设计要求，要对所有生活区、生产区临时设施所占用地进行复耕，拆除建筑物、铲除硬化地面及建筑垃圾。</w:t>
      </w:r>
    </w:p>
    <w:p w14:paraId="0E4EB05C">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p>
    <w:p w14:paraId="0AAD9C7E">
      <w:pPr>
        <w:pStyle w:val="3"/>
        <w:bidi w:val="0"/>
        <w:ind w:left="575" w:leftChars="0" w:hanging="575" w:firstLineChars="0"/>
        <w:rPr>
          <w:rFonts w:hint="default"/>
          <w:lang w:val="en-US" w:eastAsia="zh-CN"/>
        </w:rPr>
      </w:pPr>
      <w:bookmarkStart w:id="473" w:name="_Toc11819"/>
      <w:bookmarkStart w:id="474" w:name="_Toc15877"/>
      <w:bookmarkStart w:id="475" w:name="_Toc2611"/>
      <w:bookmarkStart w:id="476" w:name="_Toc11178"/>
      <w:r>
        <w:rPr>
          <w:rFonts w:hint="eastAsia"/>
          <w:lang w:val="en-US" w:eastAsia="zh-CN"/>
        </w:rPr>
        <w:t>文明施工</w:t>
      </w:r>
      <w:bookmarkEnd w:id="458"/>
      <w:bookmarkEnd w:id="473"/>
      <w:bookmarkEnd w:id="474"/>
      <w:bookmarkEnd w:id="475"/>
      <w:bookmarkEnd w:id="476"/>
    </w:p>
    <w:p w14:paraId="09F3AC96">
      <w:pPr>
        <w:pStyle w:val="4"/>
        <w:bidi w:val="0"/>
        <w:ind w:left="720" w:leftChars="0" w:hanging="720" w:firstLineChars="0"/>
        <w:rPr>
          <w:rFonts w:hint="default"/>
          <w:lang w:val="en-US" w:eastAsia="zh-CN"/>
        </w:rPr>
      </w:pPr>
      <w:r>
        <w:rPr>
          <w:rFonts w:hint="eastAsia"/>
          <w:lang w:val="en-US" w:eastAsia="zh-CN"/>
        </w:rPr>
        <w:t>文明施工组织机构</w:t>
      </w:r>
    </w:p>
    <w:p w14:paraId="4DBA950F">
      <w:pPr>
        <w:bidi w:val="0"/>
        <w:ind w:firstLine="480" w:firstLineChars="200"/>
        <w:rPr>
          <w:rFonts w:hint="eastAsia" w:eastAsia="宋体"/>
          <w:highlight w:val="none"/>
          <w:lang w:eastAsia="zh-CN"/>
        </w:rPr>
      </w:pPr>
      <w:r>
        <w:rPr>
          <w:rFonts w:hint="eastAsia" w:ascii="仿宋" w:hAnsi="仿宋"/>
          <w:bCs/>
          <w:kern w:val="44"/>
          <w:szCs w:val="32"/>
          <w:highlight w:val="none"/>
          <w:lang w:val="en-US" w:eastAsia="zh-CN"/>
        </w:rPr>
        <w:t>为</w:t>
      </w:r>
      <w:r>
        <w:rPr>
          <w:rFonts w:hint="eastAsia" w:ascii="仿宋" w:hAnsi="仿宋"/>
          <w:bCs/>
          <w:kern w:val="44"/>
          <w:szCs w:val="32"/>
          <w:highlight w:val="none"/>
        </w:rPr>
        <w:t>实现项目施工标准化管理，规范现场管理，保障安全生产，促进文明施工，按照标准化建设要求，结合项目建设实际，特成立文明</w:t>
      </w:r>
      <w:r>
        <w:rPr>
          <w:rFonts w:hint="eastAsia" w:ascii="仿宋" w:hAnsi="仿宋"/>
          <w:bCs/>
          <w:kern w:val="44"/>
          <w:szCs w:val="32"/>
          <w:highlight w:val="none"/>
          <w:lang w:val="en-US" w:eastAsia="zh-CN"/>
        </w:rPr>
        <w:t>施工</w:t>
      </w:r>
      <w:r>
        <w:rPr>
          <w:rFonts w:hint="eastAsia" w:ascii="仿宋" w:hAnsi="仿宋"/>
          <w:bCs/>
          <w:kern w:val="44"/>
          <w:szCs w:val="32"/>
          <w:highlight w:val="none"/>
        </w:rPr>
        <w:t>领导小组</w:t>
      </w:r>
      <w:r>
        <w:rPr>
          <w:rFonts w:hint="eastAsia" w:ascii="仿宋" w:hAnsi="仿宋"/>
          <w:bCs/>
          <w:kern w:val="44"/>
          <w:szCs w:val="32"/>
          <w:highlight w:val="none"/>
          <w:lang w:eastAsia="zh-CN"/>
        </w:rPr>
        <w:t>。</w:t>
      </w:r>
    </w:p>
    <w:p w14:paraId="2741D9F9">
      <w:pPr>
        <w:bidi w:val="0"/>
        <w:jc w:val="center"/>
        <w:rPr>
          <w:rFonts w:hint="eastAsia" w:eastAsia="宋体"/>
          <w:highlight w:val="none"/>
          <w:lang w:eastAsia="zh-CN"/>
        </w:rPr>
      </w:pPr>
      <w:r>
        <w:rPr>
          <w:rFonts w:hint="eastAsia"/>
          <w:highlight w:val="none"/>
        </w:rPr>
        <w:drawing>
          <wp:inline distT="0" distB="0" distL="114300" distR="114300">
            <wp:extent cx="4884420" cy="3716655"/>
            <wp:effectExtent l="0" t="0" r="0" b="0"/>
            <wp:docPr id="41" name="图片 41" descr="组织流程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织流程图--(2)(3)"/>
                    <pic:cNvPicPr>
                      <a:picLocks noChangeAspect="1"/>
                    </pic:cNvPicPr>
                  </pic:nvPicPr>
                  <pic:blipFill>
                    <a:blip r:embed="rId79"/>
                    <a:stretch>
                      <a:fillRect/>
                    </a:stretch>
                  </pic:blipFill>
                  <pic:spPr>
                    <a:xfrm>
                      <a:off x="0" y="0"/>
                      <a:ext cx="4884420" cy="3716655"/>
                    </a:xfrm>
                    <a:prstGeom prst="rect">
                      <a:avLst/>
                    </a:prstGeom>
                  </pic:spPr>
                </pic:pic>
              </a:graphicData>
            </a:graphic>
          </wp:inline>
        </w:drawing>
      </w:r>
    </w:p>
    <w:p w14:paraId="4F7ADBA8">
      <w:pPr>
        <w:pStyle w:val="41"/>
        <w:bidi w:val="0"/>
        <w:rPr>
          <w:rFonts w:hint="default"/>
          <w:highlight w:val="none"/>
          <w:lang w:val="en-US" w:eastAsia="zh-CN"/>
        </w:rPr>
      </w:pPr>
      <w:r>
        <w:rPr>
          <w:rFonts w:hint="eastAsia"/>
          <w:highlight w:val="none"/>
          <w:lang w:val="en-US" w:eastAsia="zh-CN"/>
        </w:rPr>
        <w:t xml:space="preserve">图10-3 </w:t>
      </w:r>
      <w:r>
        <w:rPr>
          <w:rFonts w:hint="eastAsia"/>
          <w:highlight w:val="none"/>
        </w:rPr>
        <w:t>文明施工管理组织机构</w:t>
      </w:r>
    </w:p>
    <w:p w14:paraId="06D99A1C">
      <w:pPr>
        <w:pStyle w:val="4"/>
        <w:bidi w:val="0"/>
        <w:ind w:left="720" w:leftChars="0" w:hanging="720" w:firstLineChars="0"/>
        <w:rPr>
          <w:rFonts w:hint="default"/>
          <w:lang w:val="en-US" w:eastAsia="zh-CN"/>
        </w:rPr>
      </w:pPr>
      <w:r>
        <w:rPr>
          <w:rFonts w:hint="eastAsia"/>
        </w:rPr>
        <w:t>文明施工保证体系</w:t>
      </w:r>
    </w:p>
    <w:p w14:paraId="39896CCA">
      <w:pPr>
        <w:pStyle w:val="43"/>
        <w:rPr>
          <w:highlight w:val="none"/>
        </w:rPr>
      </w:pPr>
      <w:r>
        <w:rPr>
          <w:highlight w:val="none"/>
        </w:rPr>
        <mc:AlternateContent>
          <mc:Choice Requires="wpg">
            <w:drawing>
              <wp:inline distT="0" distB="0" distL="0" distR="0">
                <wp:extent cx="4109085" cy="3856355"/>
                <wp:effectExtent l="6350" t="6350" r="12065" b="10795"/>
                <wp:docPr id="42" name="Group 2503"/>
                <wp:cNvGraphicFramePr/>
                <a:graphic xmlns:a="http://schemas.openxmlformats.org/drawingml/2006/main">
                  <a:graphicData uri="http://schemas.microsoft.com/office/word/2010/wordprocessingGroup">
                    <wpg:wgp>
                      <wpg:cNvGrpSpPr/>
                      <wpg:grpSpPr>
                        <a:xfrm>
                          <a:off x="0" y="0"/>
                          <a:ext cx="4109085" cy="3856355"/>
                          <a:chOff x="0" y="0"/>
                          <a:chExt cx="7901" cy="5079"/>
                        </a:xfrm>
                      </wpg:grpSpPr>
                      <wps:wsp>
                        <wps:cNvPr id="43"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wps:txbx>
                        <wps:bodyPr rot="0" vert="horz" wrap="square" lIns="0" tIns="0" rIns="0" bIns="0" anchor="ctr" anchorCtr="0" upright="1">
                          <a:noAutofit/>
                        </wps:bodyPr>
                      </wps:wsp>
                      <wps:wsp>
                        <wps:cNvPr id="45"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46"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47"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4EFF3C13">
                              <w:pPr>
                                <w:pStyle w:val="55"/>
                              </w:pPr>
                              <w:r>
                                <w:rPr>
                                  <w:rFonts w:hint="eastAsia"/>
                                </w:rPr>
                                <w:t>思想保证</w:t>
                              </w:r>
                            </w:p>
                          </w:txbxContent>
                        </wps:txbx>
                        <wps:bodyPr rot="0" vert="horz" wrap="square" lIns="0" tIns="0" rIns="0" bIns="0" anchor="ctr" anchorCtr="0" upright="1">
                          <a:noAutofit/>
                        </wps:bodyPr>
                      </wps:wsp>
                      <wps:wsp>
                        <wps:cNvPr id="6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111"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15F6CE71">
                              <w:pPr>
                                <w:pStyle w:val="55"/>
                              </w:pPr>
                              <w:r>
                                <w:rPr>
                                  <w:rFonts w:hint="eastAsia"/>
                                </w:rPr>
                                <w:t>组织保证</w:t>
                              </w:r>
                            </w:p>
                          </w:txbxContent>
                        </wps:txbx>
                        <wps:bodyPr rot="0" vert="horz" wrap="square" lIns="0" tIns="0" rIns="0" bIns="0" anchor="ctr" anchorCtr="0" upright="1">
                          <a:noAutofit/>
                        </wps:bodyPr>
                      </wps:wsp>
                      <wps:wsp>
                        <wps:cNvPr id="62"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4A0724CE">
                              <w:pPr>
                                <w:pStyle w:val="55"/>
                              </w:pPr>
                              <w:r>
                                <w:rPr>
                                  <w:rFonts w:hint="eastAsia"/>
                                </w:rPr>
                                <w:t>成立</w:t>
                              </w:r>
                              <w:r>
                                <w:rPr>
                                  <w:rFonts w:hint="eastAsia"/>
                                  <w:lang w:val="en-US" w:eastAsia="zh-CN"/>
                                </w:rPr>
                                <w:t>文明施工</w:t>
                              </w:r>
                              <w:r>
                                <w:rPr>
                                  <w:rFonts w:hint="eastAsia"/>
                                </w:rPr>
                                <w:t>领导小组</w:t>
                              </w:r>
                            </w:p>
                          </w:txbxContent>
                        </wps:txbx>
                        <wps:bodyPr rot="0" vert="horz" wrap="square" lIns="108000" tIns="0" rIns="0" bIns="0" anchor="ctr" anchorCtr="0" upright="1">
                          <a:noAutofit/>
                        </wps:bodyPr>
                      </wps:wsp>
                      <wps:wsp>
                        <wps:cNvPr id="66"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37ABD7C1">
                              <w:pPr>
                                <w:pStyle w:val="55"/>
                              </w:pPr>
                              <w:r>
                                <w:rPr>
                                  <w:rFonts w:hint="eastAsia"/>
                                  <w:lang w:val="en-US" w:eastAsia="zh-CN"/>
                                </w:rPr>
                                <w:t>文明施工</w:t>
                              </w:r>
                              <w:r>
                                <w:rPr>
                                  <w:rFonts w:hint="eastAsia"/>
                                </w:rPr>
                                <w:t>知识宣传教育</w:t>
                              </w:r>
                            </w:p>
                          </w:txbxContent>
                        </wps:txbx>
                        <wps:bodyPr rot="0" vert="horz" wrap="square" lIns="108000" tIns="0" rIns="0" bIns="0" anchor="ctr" anchorCtr="0" upright="1">
                          <a:noAutofit/>
                        </wps:bodyPr>
                      </wps:wsp>
                      <wps:wsp>
                        <wps:cNvPr id="85"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0F55C4E5">
                              <w:pPr>
                                <w:pStyle w:val="55"/>
                              </w:pPr>
                              <w:r>
                                <w:rPr>
                                  <w:rFonts w:hint="eastAsia"/>
                                </w:rPr>
                                <w:t>制定目标责任制</w:t>
                              </w:r>
                            </w:p>
                            <w:p w14:paraId="5E4A9E50">
                              <w:pPr>
                                <w:pStyle w:val="55"/>
                              </w:pPr>
                            </w:p>
                          </w:txbxContent>
                        </wps:txbx>
                        <wps:bodyPr rot="0" vert="horz" wrap="square" lIns="108000" tIns="0" rIns="0" bIns="0" anchor="ctr" anchorCtr="0" upright="1">
                          <a:noAutofit/>
                        </wps:bodyPr>
                      </wps:wsp>
                      <wps:wsp>
                        <wps:cNvPr id="11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86"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11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87"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122"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7225D39B">
                              <w:pPr>
                                <w:pStyle w:val="55"/>
                              </w:pPr>
                              <w:r>
                                <w:rPr>
                                  <w:rFonts w:hint="eastAsia"/>
                                </w:rPr>
                                <w:t>技术保证</w:t>
                              </w:r>
                            </w:p>
                          </w:txbxContent>
                        </wps:txbx>
                        <wps:bodyPr rot="0" vert="horz" wrap="square" lIns="0" tIns="0" rIns="0" bIns="0" anchor="ctr" anchorCtr="0" upright="1">
                          <a:noAutofit/>
                        </wps:bodyPr>
                      </wps:wsp>
                      <wps:wsp>
                        <wps:cNvPr id="123"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125"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2133FD85">
                              <w:pPr>
                                <w:pStyle w:val="55"/>
                              </w:pPr>
                              <w:r>
                                <w:rPr>
                                  <w:rFonts w:hint="eastAsia"/>
                                </w:rPr>
                                <w:t>制定</w:t>
                              </w:r>
                              <w:r>
                                <w:rPr>
                                  <w:rFonts w:hint="eastAsia"/>
                                  <w:lang w:val="en-US" w:eastAsia="zh-CN"/>
                                </w:rPr>
                                <w:t>文明施工</w:t>
                              </w:r>
                              <w:r>
                                <w:rPr>
                                  <w:rFonts w:hint="eastAsia"/>
                                </w:rPr>
                                <w:t>实施方案</w:t>
                              </w:r>
                            </w:p>
                          </w:txbxContent>
                        </wps:txbx>
                        <wps:bodyPr rot="0" vert="horz" wrap="square" lIns="108000" tIns="0" rIns="0" bIns="0" anchor="ctr" anchorCtr="0" upright="1">
                          <a:noAutofit/>
                        </wps:bodyPr>
                      </wps:wsp>
                      <wps:wsp>
                        <wps:cNvPr id="129"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576668E2">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131"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133"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134"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135"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1AE9498B">
                              <w:pPr>
                                <w:pStyle w:val="55"/>
                              </w:pPr>
                              <w:r>
                                <w:rPr>
                                  <w:rFonts w:hint="eastAsia"/>
                                </w:rPr>
                                <w:t>制度保证</w:t>
                              </w:r>
                            </w:p>
                          </w:txbxContent>
                        </wps:txbx>
                        <wps:bodyPr rot="0" vert="horz" wrap="square" lIns="0" tIns="0" rIns="0" bIns="0" anchor="ctr" anchorCtr="0" upright="1">
                          <a:noAutofit/>
                        </wps:bodyPr>
                      </wps:wsp>
                      <wps:wsp>
                        <wps:cNvPr id="136"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65EE4CD">
                              <w:pPr>
                                <w:pStyle w:val="55"/>
                              </w:pPr>
                              <w:r>
                                <w:rPr>
                                  <w:rFonts w:hint="eastAsia"/>
                                </w:rPr>
                                <w:t>公司、项目部相关规章制度</w:t>
                              </w:r>
                            </w:p>
                          </w:txbxContent>
                        </wps:txbx>
                        <wps:bodyPr rot="0" vert="horz" wrap="square" lIns="108000" tIns="0" rIns="0" bIns="0" anchor="ctr" anchorCtr="0" upright="1">
                          <a:noAutofit/>
                        </wps:bodyPr>
                      </wps:wsp>
                      <wps:wsp>
                        <wps:cNvPr id="137"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7D045E22">
                              <w:pPr>
                                <w:pStyle w:val="55"/>
                              </w:pPr>
                              <w:r>
                                <w:rPr>
                                  <w:rFonts w:hint="eastAsia"/>
                                </w:rPr>
                                <w:t>国家、相关部委相关法律、法规</w:t>
                              </w:r>
                            </w:p>
                          </w:txbxContent>
                        </wps:txbx>
                        <wps:bodyPr rot="0" vert="horz" wrap="square" lIns="108000" tIns="0" rIns="0" bIns="0" anchor="ctr" anchorCtr="0" upright="1">
                          <a:noAutofit/>
                        </wps:bodyPr>
                      </wps:wsp>
                      <wps:wsp>
                        <wps:cNvPr id="138"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139"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140"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145"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1F87DEFE">
                              <w:pPr>
                                <w:pStyle w:val="55"/>
                              </w:pPr>
                              <w:r>
                                <w:rPr>
                                  <w:rFonts w:hint="eastAsia"/>
                                </w:rPr>
                                <w:t>施工保证</w:t>
                              </w:r>
                            </w:p>
                          </w:txbxContent>
                        </wps:txbx>
                        <wps:bodyPr rot="0" vert="horz" wrap="square" lIns="0" tIns="0" rIns="0" bIns="0" anchor="ctr" anchorCtr="0" upright="1">
                          <a:noAutofit/>
                        </wps:bodyPr>
                      </wps:wsp>
                      <wps:wsp>
                        <wps:cNvPr id="141"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14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682983E1">
                              <w:pPr>
                                <w:pStyle w:val="55"/>
                              </w:pPr>
                              <w:r>
                                <w:rPr>
                                  <w:rFonts w:hint="eastAsia"/>
                                  <w:lang w:val="en-US" w:eastAsia="zh-CN"/>
                                </w:rPr>
                                <w:t>文明</w:t>
                              </w:r>
                              <w:r>
                                <w:rPr>
                                  <w:rFonts w:hint="eastAsia"/>
                                </w:rPr>
                                <w:t>施工工艺保证</w:t>
                              </w:r>
                            </w:p>
                          </w:txbxContent>
                        </wps:txbx>
                        <wps:bodyPr rot="0" vert="horz" wrap="square" lIns="108000" tIns="0" rIns="0" bIns="0" anchor="ctr" anchorCtr="0" upright="1">
                          <a:noAutofit/>
                        </wps:bodyPr>
                      </wps:wsp>
                      <wps:wsp>
                        <wps:cNvPr id="15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4ADEEA52">
                              <w:pPr>
                                <w:pStyle w:val="55"/>
                              </w:pPr>
                              <w:r>
                                <w:rPr>
                                  <w:rFonts w:hint="eastAsia"/>
                                </w:rPr>
                                <w:t>落实岗位责任制</w:t>
                              </w:r>
                            </w:p>
                          </w:txbxContent>
                        </wps:txbx>
                        <wps:bodyPr rot="0" vert="horz" wrap="square" lIns="108000" tIns="0" rIns="0" bIns="0" anchor="ctr" anchorCtr="0" upright="1">
                          <a:noAutofit/>
                        </wps:bodyPr>
                      </wps:wsp>
                      <wps:wsp>
                        <wps:cNvPr id="151" name="Text Box 2536"/>
                        <wps:cNvSpPr txBox="1">
                          <a:spLocks noChangeArrowheads="1"/>
                        </wps:cNvSpPr>
                        <wps:spPr bwMode="auto">
                          <a:xfrm>
                            <a:off x="3045" y="4342"/>
                            <a:ext cx="3040" cy="302"/>
                          </a:xfrm>
                          <a:prstGeom prst="rect">
                            <a:avLst/>
                          </a:prstGeom>
                          <a:solidFill>
                            <a:schemeClr val="accent6">
                              <a:lumMod val="40000"/>
                              <a:lumOff val="60000"/>
                            </a:schemeClr>
                          </a:solidFill>
                          <a:ln w="12700">
                            <a:solidFill>
                              <a:srgbClr val="0000C8"/>
                            </a:solidFill>
                            <a:miter lim="800000"/>
                          </a:ln>
                        </wps:spPr>
                        <wps:txbx>
                          <w:txbxContent>
                            <w:p w14:paraId="2B6A1FF6">
                              <w:pPr>
                                <w:pStyle w:val="55"/>
                              </w:pPr>
                              <w:r>
                                <w:rPr>
                                  <w:rFonts w:hint="eastAsia"/>
                                </w:rPr>
                                <w:t>物资设备保证</w:t>
                              </w:r>
                            </w:p>
                          </w:txbxContent>
                        </wps:txbx>
                        <wps:bodyPr rot="0" vert="horz" wrap="square" lIns="108000" tIns="0" rIns="0" bIns="0" anchor="ctr" anchorCtr="0" upright="1">
                          <a:noAutofit/>
                        </wps:bodyPr>
                      </wps:wsp>
                      <wps:wsp>
                        <wps:cNvPr id="15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15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15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15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15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6439A43">
                              <w:pPr>
                                <w:pStyle w:val="55"/>
                              </w:pPr>
                              <w:r>
                                <w:rPr>
                                  <w:rFonts w:hint="eastAsia"/>
                                </w:rPr>
                                <w:t>制定</w:t>
                              </w:r>
                              <w:r>
                                <w:rPr>
                                  <w:rFonts w:hint="eastAsia"/>
                                  <w:lang w:val="en-US" w:eastAsia="zh-CN"/>
                                </w:rPr>
                                <w:t>文明施工</w:t>
                              </w:r>
                              <w:r>
                                <w:rPr>
                                  <w:rFonts w:hint="eastAsia"/>
                                </w:rPr>
                                <w:t>技术措施</w:t>
                              </w:r>
                            </w:p>
                          </w:txbxContent>
                        </wps:txbx>
                        <wps:bodyPr rot="0" vert="horz" wrap="square" lIns="108000" tIns="0" rIns="0" bIns="0" anchor="ctr" anchorCtr="0" upright="1">
                          <a:noAutofit/>
                        </wps:bodyPr>
                      </wps:wsp>
                      <wps:wsp>
                        <wps:cNvPr id="15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15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0F04E3E">
                              <w:pPr>
                                <w:pStyle w:val="55"/>
                              </w:pPr>
                              <w:r>
                                <w:rPr>
                                  <w:rFonts w:hint="eastAsia"/>
                                </w:rPr>
                                <w:t>监督、检查、改进</w:t>
                              </w:r>
                            </w:p>
                          </w:txbxContent>
                        </wps:txbx>
                        <wps:bodyPr rot="0" vert="horz" wrap="square" lIns="108000" tIns="0" rIns="0" bIns="0" anchor="ctr" anchorCtr="0" upright="1">
                          <a:noAutofit/>
                        </wps:bodyPr>
                      </wps:wsp>
                      <wps:wsp>
                        <wps:cNvPr id="142"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143"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144"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146"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16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16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16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147"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148"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171"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172"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173"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174"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175"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176"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177"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178"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179"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182"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183"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184"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18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186"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185"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188"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03.65pt;width:323.55pt;" coordsize="7901,5079" o:gfxdata="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DWsXF21gAAAAUBAAAP&#10;AAAAAAAAAAEAIAAAACIAAABkcnMvZG93bnJldi54bWxQSwECFAAUAAAACACHTuJAA5YAQR4KAAB6&#10;iwAADgAAAAAAAAABACAAAAAlAQAAZHJzL2Uyb0RvYy54bWxQSwUGAAAAAAYABgBZAQAAt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vdKJ8L0AAADb&#10;AAAADwAAAGRycy9kb3ducmV2LnhtbEWPS2/CMBCE75X4D9YicanAIY1QSTEcWlH1yiM9r+JtHGGv&#10;o9g8yq/HSEgcRzPzjWaxujgrTtSH1rOC6SQDQVx73XKjYL9bj99BhIis0XomBf8UYLUcvCyw1P7M&#10;GzptYyMShEOJCkyMXSllqA05DBPfESfvz/cOY5J9I3WP5wR3VuZZNpMOW04LBjv6NFQftken4Fjk&#10;9vBaFbaS+b69fv/aufmqlBoNp9kHiEiX+Aw/2j9aQfEG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0onwvQAA&#10;ANs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mXcgtbwAAADb&#10;AAAADwAAAGRycy9kb3ducmV2LnhtbEWPQWsCMRSE74X+h/AKvdXsShVZjaKCtDdx14u35+a5Wdy8&#10;LElc7b9vCgWPw8x8wyxWD9uJgXxoHSvIRxkI4trplhsFx2r3MQMRIrLGzjEp+KEAq+XrywIL7e58&#10;oKGMjUgQDgUqMDH2hZShNmQxjFxPnLyL8xZjkr6R2uM9wW0nx1k2lRZbTgsGe9oaqq/lzSoozekw&#10;8PYsd+vN2H9V10u0+V6p97c8m4OI9IjP8H/7Wyv4nMD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ILW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aaW+wrsAAADb&#10;AAAADwAAAGRycy9kb3ducmV2LnhtbEWPQYvCMBSE7wv+h/AEb2taEZFqFBVEb4t1L3t7Ns+m2LyU&#10;JFb995uFBY/DzHzDLNdP24qefGgcK8jHGQjiyumGawXf5/3nHESIyBpbx6TgRQHWq8HHEgvtHnyi&#10;voy1SBAOBSowMXaFlKEyZDGMXUecvKvzFmOSvpba4yPBbSsnWTaTFhtOCwY72hmqbuXdKijNz6nn&#10;3UXuN9uJP5xv12jzL6VGwzxbgIj0jO/wf/uoFUxn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W+w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BukbWbwAAADb&#10;AAAADwAAAGRycy9kb3ducmV2LnhtbEWPQWsCMRSE74X+h/AKvdXsSlFZjaKCtDdx14u35+a5Wdy8&#10;LElc7b9vCgWPw8x8wyxWD9uJgXxoHSvIRxkI4trplhsFx2r3MQMRIrLGzjEp+KEAq+XrywIL7e58&#10;oKGMjUgQDgUqMDH2hZShNmQxjFxPnLyL8xZjkr6R2uM9wW0nx1k2kRZbTgsGe9oaqq/lzSoozekw&#10;8PYsd+vN2H9V10u0+V6p97c8m4OI9IjP8H/7Wyv4nM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G1m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BrVL57gAAADb&#10;AAAADwAAAGRycy9kb3ducmV2LnhtbEVPy4rCMBTdC/MP4Q7MRjS1iDgdo4sRB7dqO+tLc22KyU1p&#10;4vPrzUJweTjvxermrLhQH1rPCibjDARx7XXLjYLysBnNQYSIrNF6JgV3CrBafgwWWGh/5R1d9rER&#10;KYRDgQpMjF0hZagNOQxj3xEn7uh7hzHBvpG6x2sKd1bmWTaTDltODQY7+jVUn/Znp+A8ze1pWE1t&#10;JfOyffz922+zrpT6+pxkPyAi3eJb/HJvtYJ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VL57gAAADb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4EFF3C13">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rfl61rsAAADb&#10;AAAADwAAAGRycy9kb3ducmV2LnhtbEWPQYvCMBSE78L+h/AWvGlaDyLdRlFB1ptYvXh72zybYvNS&#10;kmzVf79ZEDwOM/MNU64ethMD+dA6VpBPMxDEtdMtNwrOp91kASJEZI2dY1LwpACr5ceoxEK7Ox9p&#10;qGIjEoRDgQpMjH0hZagNWQxT1xMn7+q8xZikb6T2eE9w28lZls2lxZbTgsGetobqW/VrFVTmchx4&#10;+yN3683Mf59u12jzg1Ljzzz7AhHpEd/hV3uvFcxz+P+Sf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l61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GUlBSLsAAADc&#10;AAAADwAAAGRycy9kb3ducmV2LnhtbEVPS2sCMRC+C/6HMIVeRLO7SNGt0YOlxat21/OwGTeLyWTZ&#10;xEf7641Q6G0+vuesNndnxZWG0HlWkM8yEMSN1x23Cqrvz+kCRIjIGq1nUvBDATbr8WiFpfY33tP1&#10;EFuRQjiUqMDE2JdShsaQwzDzPXHiTn5wGBMcWqkHvKVwZ2WRZW/SYcepwWBPW0PN+XBxCi7zwp4n&#10;9dzWsqi636+jXZqPWqnXlzx7BxHpHv/Ff+6dTvPzHJ7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lBS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5F6CE71">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XSvkobsAAADb&#10;AAAADwAAAGRycy9kb3ducmV2LnhtbEWPQYvCMBSE7wv7H8Jb2NuatgdZqlFUEL0tVi/ens2zKTYv&#10;JYlV/70RFjwOM/MNM53fbScG8qF1rCAfZSCIa6dbbhQc9uufXxAhImvsHJOCBwWYzz4/plhqd+Md&#10;DVVsRIJwKFGBibEvpQy1IYth5Hri5J2dtxiT9I3UHm8JbjtZZNlYWmw5LRjsaWWovlRXq6Ayx93A&#10;q5NcL5aF3+wv52jzP6W+v/JsAiLSPb7D/+2tVjAu4PUl/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kob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xY6hW7wAAADb&#10;AAAADwAAAGRycy9kb3ducmV2LnhtbEWPzW7CMBCE70h9B2srcUFgQ1WEAoZDEdBbm8ADrOLNjxqv&#10;o9hJ4O1xpUo9jmbmG83ucLeNGKjztWMNy4UCQZw7U3Op4XY9zTcgfEA22DgmDQ/ycNi/THaYGDdy&#10;SkMWShEh7BPUUIXQJlL6vCKLfuFa4ugVrrMYouxKaTocI9w2cqXUWlqsOS5U2NJHRflP1lsN4X1W&#10;9Ko8Yt2mjXd5X3yfL19aT1+Xagsi0D38h//an0bD+g1+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oVu8AAAA&#10;2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0724CE">
                        <w:pPr>
                          <w:pStyle w:val="55"/>
                        </w:pPr>
                        <w:r>
                          <w:rPr>
                            <w:rFonts w:hint="eastAsia"/>
                          </w:rPr>
                          <w:t>成立</w:t>
                        </w:r>
                        <w:r>
                          <w:rPr>
                            <w:rFonts w:hint="eastAsia"/>
                            <w:lang w:val="en-US" w:eastAsia="zh-CN"/>
                          </w:rPr>
                          <w:t>文明施工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1fkCw7sAAADb&#10;AAAADwAAAGRycy9kb3ducmV2LnhtbEWPW4vCMBSE3wX/QzgL+yJrUmGLVGMfVry8edsfcGhOL9ic&#10;lCZV998bYcHHYWa+YZb5w7biRr1vHGtIpgoEceFMw5WG38vmaw7CB2SDrWPS8Ece8tV4tMTMuDuf&#10;6HYOlYgQ9hlqqEPoMil9UZNFP3UdcfRK11sMUfaVND3eI9y2cqZUKi02HBdq7OinpuJ6HqyG8D0p&#10;B1WtselOrXfFUB63u4PWnx+JWoAI9Ajv8H97bzSkK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Cw7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37ABD7C1">
                        <w:pPr>
                          <w:pStyle w:val="55"/>
                        </w:pPr>
                        <w:r>
                          <w:rPr>
                            <w:rFonts w:hint="eastAsia"/>
                            <w:lang w:val="en-US" w:eastAsia="zh-CN"/>
                          </w:rPr>
                          <w:t>文明施工</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lSd6TrsAAADb&#10;AAAADwAAAGRycy9kb3ducmV2LnhtbEWP3YrCMBSE74V9h3AWvBFNXFCkNvViF929U6sPcGhOf7A5&#10;KU3qz9tvBMHLYWa+YdLN3bbiSr1vHGuYzxQI4sKZhisN59N2ugLhA7LB1jFpeJCHTfYxSjEx7sZH&#10;uuahEhHCPkENdQhdIqUvarLoZ64jjl7peoshyr6SpsdbhNtWfim1lBYbjgs1dvRdU3HJB6shLCbl&#10;oKofbLpj610xlIfd717r8edcrUEEuod3+NX+MxpWC3h+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6Tr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0F55C4E5">
                        <w:pPr>
                          <w:pStyle w:val="55"/>
                        </w:pPr>
                        <w:r>
                          <w:rPr>
                            <w:rFonts w:hint="eastAsia"/>
                          </w:rPr>
                          <w:t>制定目标责任制</w:t>
                        </w:r>
                      </w:p>
                      <w:p w14:paraId="5E4A9E50">
                        <w:pPr>
                          <w:pStyle w:val="55"/>
                        </w:pPr>
                      </w:p>
                    </w:txbxContent>
                  </v:textbox>
                </v:shape>
                <v:line id="Line 2515" o:spid="_x0000_s1026" o:spt="20" style="position:absolute;left:2707;top:158;height:447;width:0;" filled="f" stroked="t" coordsize="21600,21600" o:gfxdata="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3z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khwEWLsAAADb&#10;AAAADwAAAGRycy9kb3ducmV2LnhtbEWPQYvCMBSE78L+h/AEb5rWg0i3UVZB9CbWveztbfNsis1L&#10;SbJV/70RhD0OM/MNU67vthMD+dA6VpDPMhDEtdMtNwq+z7vpEkSIyBo7x6TgQQHWq49RiYV2Nz7R&#10;UMVGJAiHAhWYGPtCylAbshhmridO3sV5izFJ30jt8ZbgtpPzLFtIiy2nBYM9bQ3V1+rPKqjMz2ng&#10;7a/cfW3mfn++XqLNj0pNxnn2CSLSPf6H3+2DVrBc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EWL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Tq3u0rkAAADc&#10;AAAADwAAAGRycy9kb3ducmV2LnhtbEVPTYvCMBC9L/gfwgje1rQeZK1GUUF2b4vVi7exGZtiMylJ&#10;rPrvzcKCt3m8z1msHrYVPfnQOFaQjzMQxJXTDdcKjofd5xeIEJE1to5JwZMCrJaDjwUW2t15T30Z&#10;a5FCOBSowMTYFVKGypDFMHYdceIuzluMCfpaao/3FG5bOcmyqbTYcGow2NHWUHUtb1ZBaU77nrdn&#10;uVtvJv77cL1Em/8qNRrm2RxEpEd8i//dPzrNz2f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t7tK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VChw7sAAADb&#10;AAAADwAAAGRycy9kb3ducmV2LnhtbEWPQYvCMBSE7wv+h/AEb2taD65Uo6ggeluse9nbs3k2xeal&#10;JLHqv98sCB6HmfmGWawethU9+dA4VpCPMxDEldMN1wp+TrvPGYgQkTW2jknBkwKsloOPBRba3flI&#10;fRlrkSAcClRgYuwKKUNlyGIYu444eRfnLcYkfS21x3uC21ZOsmwqLTacFgx2tDVUXcubVVCa32PP&#10;27PcrTcTvz9dL9Hm30qNhnk2BxHpEd/hV/ugFcy+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hw7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J/cVgroAAADc&#10;AAAADwAAAGRycy9kb3ducmV2LnhtbEVPS2sCMRC+C/6HMIIXqVmDFF2NHhSl11rX87CZbhaTybKJ&#10;j/bXN4VCb/PxPWe9fXon7tTHNrCG2bQAQVwH03Kj4fxxeFmAiAnZoAtMGr4ownYzHKyxNOHB73Q/&#10;pUbkEI4larApdaWUsbbkMU5DR5y5z9B7TBn2jTQ9PnK4d1IVxav02HJusNjRzlJ9Pd28httcueuk&#10;mrtKqnP7fby4pd1XWo9Hs2IFItEz/Yv/3G8mz1cK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xWC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7225D39B">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4SkThboAAADc&#10;AAAADwAAAGRycy9kb3ducmV2LnhtbEVPTWvCQBC9C/0PyxS8mU0ilJK6SiuI3sToxduYHbPB7GzY&#10;3Ub777tCobd5vM9ZrB62FyP50DlWUGQ5COLG6Y5bBafjZvYOIkRkjb1jUvBDAVbLl8kCK+3ufKCx&#10;jq1IIRwqVGBiHCopQ2PIYsjcQJy4q/MWY4K+ldrjPYXbXpZ5/iYtdpwaDA60NtTc6m+roDbnw8jr&#10;i9x8fpV+e7xdoy32Sk1fi/wDRKRH/Bf/uXc6zS/n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ROF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VwuWSboAAADc&#10;AAAADwAAAGRycy9kb3ducmV2LnhtbEVP24rCMBB9X9h/CLOwL4smFipSjT4o7vq23j5gaKYXbCal&#10;SW33782C4NscznVWm9E24k6drx1rmE0VCOLcmZpLDdfLfrIA4QOywcYxafgjD5v1+9sKM+MGPtH9&#10;HEoRQ9hnqKEKoc2k9HlFFv3UtcSRK1xnMUTYldJ0OMRw28hEqbm0WHNsqLClbUX57dxbDSH9KnpV&#10;7rBuT413eV8cv39+tf78mKkliEBjeImf7oOJ85MU/p+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5ZJ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133FD85">
                        <w:pPr>
                          <w:pStyle w:val="55"/>
                        </w:pPr>
                        <w:r>
                          <w:rPr>
                            <w:rFonts w:hint="eastAsia"/>
                          </w:rPr>
                          <w:t>制定</w:t>
                        </w:r>
                        <w:r>
                          <w:rPr>
                            <w:rFonts w:hint="eastAsia"/>
                            <w:lang w:val="en-US" w:eastAsia="zh-CN"/>
                          </w:rPr>
                          <w:t>文明施工</w:t>
                        </w:r>
                        <w:r>
                          <w:rPr>
                            <w:rFonts w:hint="eastAsia"/>
                          </w:rPr>
                          <w:t>实施方案</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1kacTLoAAADc&#10;AAAADwAAAGRycy9kb3ducmV2LnhtbEVP24rCMBB9F/yHMMK+iCYKilbTPuyi65uX3Q8YmukFm0lp&#10;UnX/fiMIvs3hXGebPWwjbtT52rGG2VSBIM6dqbnU8Puzm6xA+IBssHFMGv7IQ5YOB1tMjLvzmW6X&#10;UIoYwj5BDVUIbSKlzyuy6KeuJY5c4TqLIcKulKbDewy3jZwrtZQWa44NFbb0WVF+vfRWQ1iMi16V&#10;X1i358a7vC9O+++j1h+jmdqACPQIb/HLfTBx/nwNz2fiB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px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576668E2">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26+tLkAAADc&#10;AAAADwAAAGRycy9kb3ducmV2LnhtbEVPTYvCMBC9L/gfwgje1rQK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uvr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ZPCFWLkAAADc&#10;AAAADwAAAGRycy9kb3ducmV2LnhtbEVPTYvCMBC9C/6HMMLeNK2C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whVi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6xkdLLsAAADc&#10;AAAADwAAAGRycy9kb3ducmV2LnhtbEVPTWsCMRC9F/ofwhR6q9m1IrIaRQVpb+KuF2/jZtwsbiZL&#10;Elf775tCwds83ucsVg/biYF8aB0ryEcZCOLa6ZYbBcdq9zEDESKyxs4xKfihAKvl68sCC+3ufKCh&#10;jI1IIRwKVGBi7AspQ23IYhi5njhxF+ctxgR9I7XHewq3nRxn2VRabDk1GOxpa6i+ljeroDSnw8Db&#10;s9ytN2P/VV0v0eZ7pd7f8mwOItIjPsX/7m+d5n9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kdL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LccbK7sAAADc&#10;AAAADwAAAGRycy9kb3ducmV2LnhtbEVPS2sCMRC+C/6HMIVeRLNurejW6MFS8Vrreh4242YxmSyb&#10;+Ki/vhEK3ubje85idXNWXKgLjWcF41EGgrjyuuFawf7nazgDESKyRuuZFPxSgNWy31tgof2Vv+my&#10;i7VIIRwKVGBibAspQ2XIYRj5ljhxR985jAl2tdQdXlO4szLPsql02HBqMNjS2lB12p2dgvMkt6dB&#10;ObGlzPfNfXOwc/NZKvX6Ms4+QES6xaf4373Vaf7bOz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cbK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AE9498B">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IgCe47sAAADc&#10;AAAADwAAAGRycy9kb3ducmV2LnhtbEVPzWrCQBC+F3yHZYReiu5aqUh09WBp9WYTfYAhO/nB7GzI&#10;bhL79m6h4G0+vt/Z7u+2EQN1vnasYTFXIIhzZ2ouNVwvX7M1CB+QDTaOScMvedjvJi9bTIwbOaUh&#10;C6WIIewT1FCF0CZS+rwii37uWuLIFa6zGCLsSmk6HGO4beS7UitpsebYUGFLh4ryW9ZbDeHjrehV&#10;+Yl1mzbe5X3x8308a/06XagNiED38BT/u08mzl+u4O+ZeIH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e4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165EE4CD">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TUw7eLsAAADc&#10;AAAADwAAAGRycy9kb3ducmV2LnhtbEVPyW7CMBC9I/UfrKnUC2psWkFRiuEA6nKDBD5gFE8WNR5H&#10;sZPA3+NKlXqbp7fOZne1rRip941jDYtEgSAunGm40nA5fzyvQfiAbLB1TBpu5GG3fZhtMDVu4ozG&#10;PFQihrBPUUMdQpdK6YuaLPrEdcSRK11vMUTYV9L0OMVw28oXpVbSYsOxocaO9jUVP/lgNYTlvBxU&#10;dcCmy1rviqE8fX4dtX56XKh3EIGu4V/85/42cf7rG/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7e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7D045E22">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alQXKb0AAADc&#10;AAAADwAAAGRycy9kb3ducmV2LnhtbEWPQW/CMAyF75P2HyJP2m2kZRJ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Bc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BRiysrsAAADc&#10;AAAADwAAAGRycy9kb3ducmV2LnhtbEVPTWsCMRC9F/ofwhR6q9m1ILoaRQVpb+KuF2/jZtwsbiZL&#10;Elf775tCwds83ucsVg/biYF8aB0ryEcZCOLa6ZYbBcdq9zEFESKyxs4xKfihAKvl68sCC+3ufKCh&#10;jI1IIRwKVGBi7AspQ23IYhi5njhxF+ctxgR9I7XHewq3nRxn2URabDk1GOxpa6i+ljeroDSnw8Db&#10;s9ytN2P/VV0v0eZ7pd7f8mwOItIjPsX/7m+d5n/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ys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zCRoUr0AAADc&#10;AAAADwAAAGRycy9kb3ducmV2LnhtbEWPQW/CMAyF75P2HyJP2m2kRRNCHQEBEtpuiLLLbl5jmorG&#10;qZKssH+PD0jcbL3n9z4vVlffq5Fi6gIbKCcFKOIm2I5bA9/H3dscVMrIFvvAZOCfEqyWz08LrGy4&#10;8IHGOrdKQjhVaMDlPFRap8aRxzQJA7FopxA9Zlljq23Ei4T7Xk+LYqY9diwNDgfaOmrO9Z83ULuf&#10;w8jbX71bb6bx83g+ZV/ujXl9KYsPUJmu+WG+X39ZwX8X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GhS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dcFoVrsAAADc&#10;AAAADwAAAGRycy9kb3ducmV2LnhtbEVPS2sCMRC+C/6HMIIX0azLKnVr9NBi6bXq9jxsppvFZLJs&#10;4qP+elMoeJuP7znr7c1ZcaE+tJ4VzGcZCOLa65YbBcfDbvoCIkRkjdYzKfilANvNcLDGUvsrf9Fl&#10;HxuRQjiUqMDE2JVShtqQwzDzHXHifnzvMCbYN1L3eE3hzso8y5bSYcupwWBHb4bq0/7sFJyL3J4m&#10;VWErmR/b+8e3XZn3SqnxaJ69goh0i0/xv/tTp/nFAv6eSR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FoV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F87DEFE">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o2jNybkAAADc&#10;AAAADwAAAGRycy9kb3ducmV2LnhtbEVPTYvCMBC9L/gfwgje1rQi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ozcm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C5l57LsAAADc&#10;AAAADwAAAGRycy9kb3ducmV2LnhtbEVPyW7CMBC9I/UfrKnUC2psqoJKiuEA6nKDBD5gFE8WNR5H&#10;sZPA3+NKlXqbp7fOZne1rRip941jDYtEgSAunGm40nA5fzy/gfAB2WDrmDTcyMNu+zDbYGrcxBmN&#10;eahEDGGfooY6hC6V0hc1WfSJ64gjV7reYoiwr6TpcYrhtpUvSq2kxYZjQ40d7WsqfvLBagjLeTmo&#10;6oBNl7XeFUN5+vw6av30uFDvIAJdw7/4z/1t4vzXNf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l57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682983E1">
                        <w:pPr>
                          <w:pStyle w:val="55"/>
                        </w:pPr>
                        <w:r>
                          <w:rPr>
                            <w:rFonts w:hint="eastAsia"/>
                            <w:lang w:val="en-US" w:eastAsia="zh-CN"/>
                          </w:rPr>
                          <w:t>文明</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H3pGrLwAAADc&#10;AAAADwAAAGRycy9kb3ducmV2LnhtbEWPy24CMQxF95X4h8hIbCpIQAKhgcACRNtdeX2ANfE8xMQZ&#10;TTI8/h4vKnVn617fe7zePn2j7tTFOrCF6cSAIs6Dq7m0cL0cxktQMSE7bAKThRdF2G4GH2vMXHjw&#10;ie7nVCoJ4ZihhSqlNtM65hV5jJPQEotWhM5jkrUrtevwIeG+0TNjFtpjzdJQYUu7ivLbufcW0vyz&#10;6E25x7o9NTHkfXH8+v61djScmhWoRM/0b/67/nGCPxd8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6Rqy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DEEA52">
                        <w:pPr>
                          <w:pStyle w:val="55"/>
                        </w:pPr>
                        <w:r>
                          <w:rPr>
                            <w:rFonts w:hint="eastAsia"/>
                          </w:rPr>
                          <w:t>落实岗位责任制</w:t>
                        </w:r>
                      </w:p>
                    </w:txbxContent>
                  </v:textbox>
                </v:shape>
                <v:shape id="Text Box 2536" o:spid="_x0000_s1026" o:spt="202" type="#_x0000_t202" style="position:absolute;left:3045;top:4342;height:302;width:3040;v-text-anchor:middle;" fillcolor="#C5E0B4 [1305]" filled="t" stroked="t" coordsize="21600,21600" o:gfxdata="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uM3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B6A1FF6">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1mPFY7oAAADc&#10;AAAADwAAAGRycy9kb3ducmV2LnhtbEVPTWvCQBC9C/0PyxS8mU0Clp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8Vj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S9g+LsAAADc&#10;AAAADwAAAGRycy9kb3ducmV2LnhtbEVPTWsCMRC9F/ofwhR6q9m1KL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g+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Nsb4jLsAAADc&#10;AAAADwAAAGRycy9kb3ducmV2LnhtbEVPTWsCMRC9F/ofwhR6q9mVK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b4j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WYpdF7kAAADc&#10;AAAADwAAAGRycy9kb3ducmV2LnhtbEVPTYvCMBC9C/6HMMLeNK2g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XR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997Q7oAAADc&#10;AAAADwAAAGRycy9kb3ducmV2LnhtbEVP24rCMBB9X9h/CLOwL4smLrRINfqgqPu23j5gaKYXbCal&#10;SW39e7Ow4NscznWW69E24k6drx1rmE0VCOLcmZpLDdfLbjIH4QOywcYxaXiQh/Xq/W2JmXEDn+h+&#10;DqWIIewz1FCF0GZS+rwii37qWuLIFa6zGCLsSmk6HGK4beS3Uqm0WHNsqLClTUX57dxbDSH5KnpV&#10;brFuT413eV8c94dfrT8/ZmoBItAYXuJ/94+J85MU/p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tD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06439A43">
                        <w:pPr>
                          <w:pStyle w:val="55"/>
                        </w:pPr>
                        <w:r>
                          <w:rPr>
                            <w:rFonts w:hint="eastAsia"/>
                          </w:rPr>
                          <w:t>制定</w:t>
                        </w:r>
                        <w:r>
                          <w:rPr>
                            <w:rFonts w:hint="eastAsia"/>
                            <w:lang w:val="en-US" w:eastAsia="zh-CN"/>
                          </w:rPr>
                          <w:t>文明施工</w:t>
                        </w:r>
                        <w:r>
                          <w:rPr>
                            <w:rFonts w:hint="eastAsia"/>
                          </w:rPr>
                          <w:t>技术措施</w:t>
                        </w:r>
                      </w:p>
                    </w:txbxContent>
                  </v:textbox>
                </v:shape>
                <v:line id="Line 2542" o:spid="_x0000_s1026" o:spt="20" style="position:absolute;left:2707;top:2426;height:0;width:338;" filled="f" stroked="t" coordsize="21600,21600" o:gfxdata="UEsDBAoAAAAAAIdO4kAAAAAAAAAAAAAAAAAEAAAAZHJzL1BLAwQUAAAACACHTuJAxhRm+7sAAADc&#10;AAAADwAAAGRycy9kb3ducmV2LnhtbEVPTWsCMRC9F/ofwhR6q9kVq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Rm+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4QxKqrwAAADc&#10;AAAADwAAAGRycy9kb3ducmV2LnhtbEWPy24CMQxF95X4h8hIbCpIQAKhgcACRNtdeX2ANfE8xMQZ&#10;TTI8/h4vKnVn617fe7zePn2j7tTFOrCF6cSAIs6Dq7m0cL0cxktQMSE7bAKThRdF2G4GH2vMXHjw&#10;ie7nVCoJ4ZihhSqlNtM65hV5jJPQEotWhM5jkrUrtevwIeG+0TNjFtpjzdJQYUu7ivLbufcW0vyz&#10;6E25x7o9NTHkfXH8+v61djScmhWoRM/0b/67/nGCPxda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Sq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0F04E3E">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U7pTvroAAADc&#10;AAAADwAAAGRycy9kb3ducmV2LnhtbEVPTWvCQBC9C/0PyxS8mU2ClJ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O+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PPb2JbsAAADc&#10;AAAADwAAAGRycy9kb3ducmV2LnhtbEVPTWsCMRC9F/ofwhR6q9m1I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2Jb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Fc6/c7kAAADc&#10;AAAADwAAAGRycy9kb3ducmV2LnhtbEVPy6rCMBDdC/5DGOHuNPWiotXo4oIirnzidmimTbGZlCY+&#10;rl9vBMHdHM5zZouHrcSNGl86VtDvJSCIM6dLLhQcD8vuGIQPyBorx6Tgnzws5u3WDFPt7ryj2z4U&#10;IoawT1GBCaFOpfSZIYu+52riyOWusRgibAqpG7zHcFvJ3yQZSYslxwaDNf0Zyi77q1WwxedzmF+P&#10;lVmdN6dJLk98GS2V+un0kymIQI/wFX/cax3nDw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Ov3O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lCEn7wAAADc&#10;AAAADwAAAGRycy9kb3ducmV2LnhtbEVPTWvCQBC9F/wPywje6sbShhpdPQiW0lNNFa9DdpINZmdD&#10;djUxv74rFHqbx/uc9XawjbhR52vHChbzBARx4XTNlYLjz/75HYQPyBobx6TgTh62m8nTGjPtej7Q&#10;LQ+ViCHsM1RgQmgzKX1hyKKfu5Y4cqXrLIYIu0rqDvsYbhv5kiSptFhzbDDY0s5QccmvVsE3juNb&#10;eT025uP8dVqW8sSXdK/UbLpIViACDeFf/Of+1HH+awqPZ+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hJ+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d0OqRbkAAADc&#10;AAAADwAAAGRycy9kb3ducmV2LnhtbEVPTYvCMBC9C/sfwizsTdO6IN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DqkW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KoyMbkAAADc&#10;AAAADwAAAGRycy9kb3ducmV2LnhtbEVPTYvCMBC9C/sfwizsTdPKIt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qMjG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l+aXqrkAAADc&#10;AAAADwAAAGRycy9kb3ducmV2LnhtbEVPTYvCMBC9C/sfwizsTdMKK9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ml6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Q83wJrsAAADc&#10;AAAADwAAAGRycy9kb3ducmV2LnhtbEVPTWsCMRC9F/ofwhR6q9mVo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3wJ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MlJkVL0AAADc&#10;AAAADwAAAGRycy9kb3ducmV2LnhtbEWPQW/CMAyF75P2HyJP2m2kRRN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mR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QQHdLkAAADc&#10;AAAADwAAAGRycy9kb3ducmV2LnhtbEVPTYvCMBC9L/gfwgje1rQeXKlGUUF2b4vVi7exGZtiMylJ&#10;rPrvzcKCt3m8z1msHrYVPfnQOFaQjzMQxJXTDdcKjofd5wxEiMgaW8ek4EkBVsvBxwIL7e68p76M&#10;tUghHApUYGLsCilDZchiGLuOOHEX5y3GBH0ttcd7CretnGTZVFpsODUY7GhrqLqWN6ugNKd9z9uz&#10;3K03E/99uF6izX+VGg3zbA4i0iO+xf/uH53mf+X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EB3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ndaZA7sAAADc&#10;AAAADwAAAGRycy9kb3ducmV2LnhtbEVPPW/CMBDdkfofrKvERpxkoFWKQS0Sgg0RWNiO+Igj4nNk&#10;u4H++xqpUrd7ep+3WD1sL0byoXOsoMhyEMSN0x23Ck7HzewdRIjIGnvHpOCHAqyWL5MFVtrd+UBj&#10;HVuRQjhUqMDEOFRShsaQxZC5gThxV+ctxgR9K7XHewq3vSzzfC4tdpwaDA60NtTc6m+roDbnw8jr&#10;i9x8fpV+e7xdoy32Sk1fi/wDRKRH/Bf/uXc6zX8r4fl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aZA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8po8mLsAAADc&#10;AAAADwAAAGRycy9kb3ducmV2LnhtbEVPTWsCMRC9F/ofwhR6q9m1oL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o8m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fXOk7LsAAADc&#10;AAAADwAAAGRycy9kb3ducmV2LnhtbEVPTWsCMRC9F/ofwhR6q9mVo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Ok7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Ej8Bd7sAAADc&#10;AAAADwAAAGRycy9kb3ducmV2LnhtbEVPTWsCMRC9F/ofwhR6q9kVq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8Bd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4u2fALoAAADc&#10;AAAADwAAAGRycy9kb3ducmV2LnhtbEVPTYvCMBC9C/6HMMLeNK0HXbpGUUHcm1i9eJttxqbYTEoS&#10;q/vvN4Kwt3m8z1msnrYVPfnQOFaQTzIQxJXTDdcKzqfd+BNEiMgaW8ek4JcCrJbDwQIL7R58pL6M&#10;tUghHApUYGLsCilDZchimLiOOHFX5y3GBH0ttcdHCretnGbZTFpsODUY7GhrqLqVd6ugNJdjz9sf&#10;uVtvpn5/ul2jzQ9KfYzy7AtEpGf8F7/d3zrNn8/g9Uy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Z8A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jaE6m7oAAADc&#10;AAAADwAAAGRycy9kb3ducmV2LnhtbEVPTYvCMBC9C/sfwizsTdN6WKVrFBXEvYnVi7fZZmyKzaQk&#10;sbr/3giCt3m8z5kt7rYVPfnQOFaQjzIQxJXTDdcKjofNcAoiRGSNrWNS8E8BFvOPwQwL7W68p76M&#10;tUghHApUYGLsCilDZchiGLmOOHFn5y3GBH0ttcdbCretHGfZt7TYcGow2NHaUHUpr1ZBaU77ntd/&#10;crNcjf32cDlHm++U+vrMsx8Qke7xLX65f3WaP5n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Tqb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D6u6b0AAADc&#10;AAAADwAAAGRycy9kb3ducmV2LnhtbEWPQW/CMAyF75P2HyJP2m2k5TBQR0CAhLYbouyym9eYpqJx&#10;qiQr7N/jAxI3W+/5vc+L1dX3aqSYusAGykkBirgJtuPWwPdx9zYHlTKyxT4wGfinBKvl89MCKxsu&#10;fKCxzq2SEE4VGnA5D5XWqXHkMU3CQCzaKUSPWdbYahvxIuG+19OieNceO5YGhwNtHTXn+s8bqN3P&#10;YeTtr96tN9P4eTyfsi/3xry+lMUHqEzX/DDfr7+s4M+EVp6RCf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q7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k3ILcrsAAADc&#10;AAAADwAAAGRycy9kb3ducmV2LnhtbEVPPW/CMBDdK/U/WFepW3HCUCBgECChdkMkLGxHfMQR8Tmy&#10;TaD/vq5Uie2e3uctVg/biYF8aB0ryEcZCOLa6ZYbBcdq9zEFESKyxs4xKfihAKvl68sCC+3ufKCh&#10;jI1IIRwKVGBi7AspQ23IYhi5njhxF+ctxgR9I7XHewq3nRxn2ae02HJqMNjT1lB9LW9WQWlOh4G3&#10;Z7lbb8b+q7peos33Sr2/5dkcRKRHfIr/3d86zZ/M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ILc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qAPpJLkAAADc&#10;AAAADwAAAGRycy9kb3ducmV2LnhtbEVPTYvCMBC9C/6HMII3TduDSNcou4K4N7F68TbbjE2xmZQk&#10;Vvffm4UFb/N4n7PaPG0nBvKhdawgn2cgiGunW24UnE+72RJEiMgaO8ek4JcCbNbj0QpL7R58pKGK&#10;jUghHEpUYGLsSylDbchimLueOHFX5y3GBH0jtcdHCredLLJsIS22nBoM9rQ1VN+qu1VQmctx4O2P&#10;3H1+FX5/ul2jzQ9KTSd59gEi0jO+xf/ub53mLwv4eyZd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D6S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x09Mv7kAAADc&#10;AAAADwAAAGRycy9kb3ducmV2LnhtbEVPTYvCMBC9C/sfwizsTdO6IN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PTL+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SKbUy7kAAADc&#10;AAAADwAAAGRycy9kb3ducmV2LnhtbEVPTYvCMBC9C/sfwizsTdPKIt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1M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N53SyL0AAADc&#10;AAAADwAAAGRycy9kb3ducmV2LnhtbEWPQWvDMAyF74P9B6PCbquTHkbJ6oa2ULbbaLrLbmqsxiGx&#10;HGwv7f79dBjsJvGe3vu0qe9+VDPF1Ac2UC4LUMRtsD13Bj7Px+c1qJSRLY6BycAPJai3jw8brGy4&#10;8YnmJndKQjhVaMDlPFVap9aRx7QME7Fo1xA9Zlljp23Em4T7Ua+K4kV77FkaHE50cNQOzbc30Liv&#10;08yHiz7u9qv4dh6u2ZcfxjwtyuIVVKZ7/jf/Xb9bwV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L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1zjvJ7kAAADc&#10;AAAADwAAAGRycy9kb3ducmV2LnhtbEVPTYvCMBC9C/sfwgjeNK0HkW6jrILoTax72dtsMzbFZlKS&#10;bNV/bwRhb/N4n1Ou77YTA/nQOlaQzzIQxLXTLTcKvs+76RJEiMgaO8ek4EEB1quPUYmFdjc+0VDF&#10;RqQQDgUqMDH2hZShNmQxzFxPnLiL8xZjgr6R2uMthdtOzrNsIS22nBoM9rQ1VF+rP6ugMj+ngbe/&#10;cve1mfv9+XqJNj8qNRnn2SeISPf4L367DzrNXy7g9Uy6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7y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J+pxULkAAADc&#10;AAAADwAAAGRycy9kb3ducmV2LnhtbEVPTYvCMBC9C/sfwizsTdMKK9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cV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YHl9Ur0AAADc&#10;AAAADwAAAGRycy9kb3ducmV2LnhtbEWPT2/CMAzF75P2HSJP4jJBSoUm6AgcQJu4jlHOVuM1FYlT&#10;NeHvp58Pk3az9Z7f+3m5vgWvLjSkLrKB6aQARdxE23Fr4PD9MZ6DShnZoo9MBu6UYL16flpiZeOV&#10;v+iyz62SEE4VGnA595XWqXEUME1iTyzaTxwCZlmHVtsBrxIevC6L4k0H7FgaHPa0cdSc9udg4Dwr&#10;/em1nvlal4fu8Xn0C7etjRm9TIt3UJlu+d/8d72z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X1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v:textbox>
                </v:shape>
                <w10:wrap type="none"/>
                <w10:anchorlock/>
              </v:group>
            </w:pict>
          </mc:Fallback>
        </mc:AlternateContent>
      </w:r>
    </w:p>
    <w:p w14:paraId="4BC59E55">
      <w:pPr>
        <w:pStyle w:val="41"/>
        <w:bidi w:val="0"/>
        <w:rPr>
          <w:highlight w:val="none"/>
        </w:rPr>
      </w:pPr>
      <w:r>
        <w:rPr>
          <w:rFonts w:hint="eastAsia"/>
          <w:highlight w:val="none"/>
        </w:rPr>
        <w:t>图</w:t>
      </w:r>
      <w:r>
        <w:rPr>
          <w:rFonts w:hint="eastAsia"/>
          <w:highlight w:val="none"/>
          <w:lang w:val="en-US" w:eastAsia="zh-CN"/>
        </w:rPr>
        <w:t>10</w:t>
      </w:r>
      <w:r>
        <w:rPr>
          <w:rFonts w:hint="eastAsia"/>
          <w:highlight w:val="none"/>
        </w:rPr>
        <w:t>-</w:t>
      </w:r>
      <w:r>
        <w:rPr>
          <w:rFonts w:hint="eastAsia"/>
          <w:highlight w:val="none"/>
          <w:lang w:val="en-US" w:eastAsia="zh-CN"/>
        </w:rPr>
        <w:t>4</w:t>
      </w:r>
      <w:r>
        <w:rPr>
          <w:rFonts w:hint="eastAsia"/>
          <w:highlight w:val="none"/>
        </w:rPr>
        <w:t>文明施工保证体系框图</w:t>
      </w:r>
    </w:p>
    <w:p w14:paraId="4395DCEE">
      <w:pPr>
        <w:pStyle w:val="4"/>
        <w:bidi w:val="0"/>
        <w:ind w:left="720" w:leftChars="0" w:hanging="720" w:firstLineChars="0"/>
        <w:rPr>
          <w:rFonts w:hint="default"/>
          <w:lang w:val="en-US" w:eastAsia="zh-CN"/>
        </w:rPr>
      </w:pPr>
      <w:r>
        <w:rPr>
          <w:rFonts w:hint="eastAsia"/>
          <w:lang w:val="en-US" w:eastAsia="zh-CN"/>
        </w:rPr>
        <w:t>文明施工保证措施</w:t>
      </w:r>
    </w:p>
    <w:p w14:paraId="04C24F97">
      <w:pPr>
        <w:pStyle w:val="5"/>
        <w:bidi w:val="0"/>
        <w:ind w:left="864" w:leftChars="0" w:hanging="864" w:firstLineChars="0"/>
      </w:pPr>
      <w:r>
        <w:t>施工驻地文明施工保证措施</w:t>
      </w:r>
    </w:p>
    <w:p w14:paraId="3C40D638">
      <w:pPr>
        <w:pStyle w:val="42"/>
        <w:bidi w:val="0"/>
        <w:rPr>
          <w:rFonts w:hint="eastAsia"/>
          <w:highlight w:val="none"/>
          <w:lang w:val="en-US" w:eastAsia="zh-CN"/>
        </w:rPr>
      </w:pPr>
      <w:r>
        <w:rPr>
          <w:rFonts w:hint="eastAsia"/>
          <w:highlight w:val="none"/>
        </w:rPr>
        <w:t>表</w:t>
      </w:r>
      <w:r>
        <w:rPr>
          <w:rFonts w:hint="eastAsia"/>
          <w:highlight w:val="none"/>
          <w:lang w:val="en-US" w:eastAsia="zh-CN"/>
        </w:rPr>
        <w:t>10</w:t>
      </w:r>
      <w:r>
        <w:rPr>
          <w:rFonts w:hint="eastAsia"/>
          <w:highlight w:val="none"/>
        </w:rPr>
        <w:t>-1施工驻地文明施工保证措施</w:t>
      </w:r>
    </w:p>
    <w:tbl>
      <w:tblPr>
        <w:tblStyle w:val="136"/>
        <w:tblpPr w:leftFromText="180" w:rightFromText="180" w:vertAnchor="text" w:tblpXSpec="center" w:tblpY="1"/>
        <w:tblW w:w="83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570"/>
        <w:gridCol w:w="945"/>
        <w:gridCol w:w="6854"/>
      </w:tblGrid>
      <w:tr w14:paraId="72F2627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tblHeader/>
          <w:jc w:val="center"/>
        </w:trPr>
        <w:tc>
          <w:tcPr>
            <w:tcW w:w="570" w:type="dxa"/>
            <w:shd w:val="clear" w:color="auto" w:fill="auto"/>
            <w:vAlign w:val="center"/>
          </w:tcPr>
          <w:p w14:paraId="5075286C">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945" w:type="dxa"/>
            <w:shd w:val="clear" w:color="auto" w:fill="auto"/>
            <w:vAlign w:val="center"/>
          </w:tcPr>
          <w:p w14:paraId="47E73C7A">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720E8608">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6854" w:type="dxa"/>
            <w:shd w:val="clear" w:color="auto" w:fill="auto"/>
            <w:vAlign w:val="center"/>
          </w:tcPr>
          <w:p w14:paraId="49116402">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3B87D96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10139590">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945" w:type="dxa"/>
            <w:shd w:val="clear" w:color="auto" w:fill="auto"/>
            <w:vAlign w:val="center"/>
          </w:tcPr>
          <w:p w14:paraId="6D040025">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w:t>
            </w:r>
          </w:p>
        </w:tc>
        <w:tc>
          <w:tcPr>
            <w:tcW w:w="6854" w:type="dxa"/>
            <w:shd w:val="clear" w:color="auto" w:fill="auto"/>
            <w:vAlign w:val="center"/>
          </w:tcPr>
          <w:p w14:paraId="7674E63B">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7CD74C4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0666BF47">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做好生活区场地硬化、绿化；按规范要求建设专项生活办公区水电供应设施及排水设施，严禁电线私拉乱接、使用大功率用电设备，严禁乱排污水；做好安全消防设施。</w:t>
            </w:r>
          </w:p>
          <w:p w14:paraId="0C288839">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1E4C9C2D">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定期进行生活区文明施工检查，开展文明施工宣传。在宣传教育栏中对生活区文明情况进行奖罚公告、督促整改，创造一个和谐、有序、文明的生活环境。</w:t>
            </w:r>
          </w:p>
        </w:tc>
      </w:tr>
      <w:tr w14:paraId="2D26C08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7E292366">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945" w:type="dxa"/>
            <w:shd w:val="clear" w:color="auto" w:fill="auto"/>
            <w:vAlign w:val="center"/>
          </w:tcPr>
          <w:p w14:paraId="3EC2BF27">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w:t>
            </w:r>
          </w:p>
        </w:tc>
        <w:tc>
          <w:tcPr>
            <w:tcW w:w="6854" w:type="dxa"/>
            <w:shd w:val="clear" w:color="auto" w:fill="auto"/>
            <w:vAlign w:val="center"/>
          </w:tcPr>
          <w:p w14:paraId="462D7AC2">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按批准的施工组织设计平面布置图，建设规范化、标准化的项目部大门、门卫、围墙、围挡、旗杆、旗帜、宣传教育栏、洗车台、停车场、门厅、会议室、办公室等办公区临建设施。</w:t>
            </w:r>
          </w:p>
          <w:p w14:paraId="495019A4">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6610BE81">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在门厅设立宣传教育栏、办公区平面布置图及其它标识标牌，在办公区周围插设宣传旗，切实起到教育、宣传作用。</w:t>
            </w:r>
          </w:p>
          <w:p w14:paraId="3C670F8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办公室或值班室，墙面悬挂现场总平面布置图、施工形象进度图、组织机构、工作职责、工作制度。</w:t>
            </w:r>
          </w:p>
          <w:p w14:paraId="713E153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办公区设施设专人维护，办公区（办公室、会议室、门厅等）由专人清洁，做到办公室整洁、物品有序，给员工提供一个良好的办公环境。</w:t>
            </w:r>
          </w:p>
          <w:p w14:paraId="20DB0BB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门卫室做好外来人员、车辆登记，并做到车辆停放规范。</w:t>
            </w:r>
          </w:p>
          <w:p w14:paraId="47186CCE">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文明施工管理员每天对办公区进行检查，并在宣传教育栏中进行奖罚公告、督促整改，创造一个和谐、有序办公环境。</w:t>
            </w:r>
          </w:p>
          <w:p w14:paraId="30A43D0A">
            <w:pPr>
              <w:pStyle w:val="55"/>
              <w:spacing w:line="240" w:lineRule="auto"/>
              <w:jc w:val="left"/>
              <w:rPr>
                <w:rFonts w:hint="eastAsia" w:ascii="宋体" w:hAnsi="宋体" w:eastAsia="宋体" w:cs="宋体"/>
                <w:b w:val="0"/>
                <w:bCs/>
                <w:spacing w:val="-6"/>
                <w:kern w:val="0"/>
                <w:sz w:val="20"/>
                <w:szCs w:val="20"/>
                <w:highlight w:val="none"/>
              </w:rPr>
            </w:pPr>
            <w:r>
              <w:rPr>
                <w:rFonts w:hint="eastAsia" w:ascii="宋体" w:hAnsi="宋体" w:eastAsia="宋体" w:cs="宋体"/>
                <w:b w:val="0"/>
                <w:bCs/>
                <w:kern w:val="0"/>
                <w:sz w:val="20"/>
                <w:szCs w:val="20"/>
                <w:highlight w:val="none"/>
              </w:rPr>
              <w:t>做好办公区场地硬化、绿化，按规范要求建设专项生活办公区水电供应设施及排水设施，严禁电线私拉乱接、使用大功率用电设备，严禁乱排污水；做好安全消防设施。</w:t>
            </w:r>
          </w:p>
        </w:tc>
      </w:tr>
    </w:tbl>
    <w:p w14:paraId="6A032F74">
      <w:pPr>
        <w:pStyle w:val="5"/>
        <w:bidi w:val="0"/>
        <w:ind w:left="864" w:leftChars="0" w:hanging="864" w:firstLineChars="0"/>
        <w:rPr>
          <w:rFonts w:hint="default"/>
          <w:lang w:val="en-US" w:eastAsia="zh-CN"/>
        </w:rPr>
      </w:pPr>
      <w:r>
        <w:rPr>
          <w:rFonts w:hint="eastAsia"/>
        </w:rPr>
        <w:t>施工现场文明施工措施</w:t>
      </w:r>
    </w:p>
    <w:p w14:paraId="4526F4C7">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w:t>
      </w:r>
      <w:r>
        <w:rPr>
          <w:rFonts w:hint="eastAsia"/>
          <w:highlight w:val="none"/>
        </w:rPr>
        <w:t>施工现场文明施工保证措施</w:t>
      </w:r>
    </w:p>
    <w:tbl>
      <w:tblPr>
        <w:tblStyle w:val="136"/>
        <w:tblpPr w:leftFromText="180" w:rightFromText="180" w:vertAnchor="text" w:tblpXSpec="center" w:tblpY="1"/>
        <w:tblW w:w="8590"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3"/>
        <w:gridCol w:w="872"/>
        <w:gridCol w:w="7075"/>
      </w:tblGrid>
      <w:tr w14:paraId="0E9A433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360" w:hRule="atLeast"/>
          <w:tblHeader/>
          <w:jc w:val="center"/>
        </w:trPr>
        <w:tc>
          <w:tcPr>
            <w:tcW w:w="643" w:type="dxa"/>
            <w:shd w:val="clear" w:color="auto" w:fill="auto"/>
            <w:vAlign w:val="center"/>
          </w:tcPr>
          <w:p w14:paraId="1F08AF7C">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872" w:type="dxa"/>
            <w:shd w:val="clear" w:color="auto" w:fill="auto"/>
            <w:vAlign w:val="center"/>
          </w:tcPr>
          <w:p w14:paraId="69EF7DC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14E7B7B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7075" w:type="dxa"/>
            <w:shd w:val="clear" w:color="auto" w:fill="auto"/>
            <w:vAlign w:val="center"/>
          </w:tcPr>
          <w:p w14:paraId="13B8259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248472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2465F933">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872" w:type="dxa"/>
            <w:shd w:val="clear" w:color="auto" w:fill="auto"/>
            <w:vAlign w:val="center"/>
          </w:tcPr>
          <w:p w14:paraId="1457820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w:t>
            </w:r>
          </w:p>
        </w:tc>
        <w:tc>
          <w:tcPr>
            <w:tcW w:w="7075" w:type="dxa"/>
            <w:shd w:val="clear" w:color="auto" w:fill="auto"/>
            <w:vAlign w:val="center"/>
          </w:tcPr>
          <w:p w14:paraId="6BA1241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生产区工地大门、洗车台、钢筋加工区、混凝土生产区、仓库、钢结构及模板加工区、材料堆放区、设备维修车间、试验室、消防通道等临建设施，合理规划设置垃圾箱、废料分类区、吸烟区、流动厕所、饮水休息区。</w:t>
            </w:r>
          </w:p>
          <w:p w14:paraId="54366B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3CEFE6A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建立文明施工责任区，划分区域明确责任人，挂牌监督。</w:t>
            </w:r>
          </w:p>
          <w:p w14:paraId="18DCFCA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每天设专职文明施工管理员进行巡逻检查，督促日常文明施工工作。</w:t>
            </w:r>
          </w:p>
          <w:p w14:paraId="7689765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3A55495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每月召开文明施工例会，对现场文明施工问题及整改落实情况进行通报，并进行各区域的奖罚通告，同时讨论研究下个月文明施工改进措施、实施细则等。</w:t>
            </w:r>
          </w:p>
          <w:p w14:paraId="616C07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生产区现场做好文明施工宣传标识牌、安全警示标志标语布置，所有标识标牌要按照规定的材料、式样、颜色、内容等标准格式统一加工制作。</w:t>
            </w:r>
          </w:p>
          <w:p w14:paraId="356604B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对进场的材料、机具、标识标牌、配电箱、消防器材等严格按布置图位置进行堆放、设置，堆放设置要做到整齐有序。</w:t>
            </w:r>
          </w:p>
          <w:p w14:paraId="7762AC1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材料挂设标识牌，注明名称、品种、规格、检验状态，检验合格与不合格材料分别堆放，不合格不入库；半成品、成品要整齐堆放，分别挂设标识牌，注明名称、品种、规格、使用部位、图形等，做好防雨防潮。每天由专职文明施工管理员负责检查。</w:t>
            </w:r>
          </w:p>
          <w:p w14:paraId="6A61BD7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装运建筑材料、土石方、建筑垃圾过程中，采取覆盖措施，以免发生洒漏；混凝土、砂浆运输车辆要做好封闭工作，以免发生洒漏。</w:t>
            </w:r>
          </w:p>
          <w:p w14:paraId="23DA370D">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生产加工产生的废物材料、建筑垃圾要分类堆放，及时清运到指定地点，不随意倾倒，工具杂物要做到“人走场清”。</w:t>
            </w:r>
          </w:p>
          <w:p w14:paraId="5C1E5C6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生产区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严禁乱排污水；完善安全消防设施；设专人进行管线设施维护。</w:t>
            </w:r>
          </w:p>
          <w:p w14:paraId="3B0FA11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做好生产区场地硬化、绿化；作业场地内无积水，废水处理须规范，油、污水未经处理不排放；设专人清洁生产区，保证道路晴天不扬尘，雨天不泥泞。</w:t>
            </w:r>
          </w:p>
          <w:p w14:paraId="3C2A672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浇筑混凝土、钻孔桩施工、锚碇施工等过程中，采取相应的措施，减少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、扬尘，减少对周边居民及生态环境的影响。</w:t>
            </w:r>
          </w:p>
          <w:p w14:paraId="497ADEF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合理规划化学物品库和易燃易爆物品库，保证化学物品和易燃易爆物品合理存放，严格管理，以免污染环境；化学物品和易燃易爆物品领用时做好登记手续，搬运、装卸、使用时必须符合国家现行有关规定的要求。</w:t>
            </w:r>
          </w:p>
        </w:tc>
      </w:tr>
      <w:tr w14:paraId="23DA56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42A3B489">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872" w:type="dxa"/>
            <w:shd w:val="clear" w:color="auto" w:fill="auto"/>
            <w:vAlign w:val="center"/>
          </w:tcPr>
          <w:p w14:paraId="71FC245E">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施工区</w:t>
            </w:r>
          </w:p>
        </w:tc>
        <w:tc>
          <w:tcPr>
            <w:tcW w:w="7075" w:type="dxa"/>
            <w:shd w:val="clear" w:color="auto" w:fill="auto"/>
            <w:vAlign w:val="center"/>
          </w:tcPr>
          <w:p w14:paraId="341165C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按批准的施工组织设计平面布置图，建设施工便桥、操作平台，合理规划设置垃圾箱、废料堆积区、吸烟区、流动厕所、饮水休息区。</w:t>
            </w:r>
          </w:p>
          <w:p w14:paraId="0525476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在施工现场设置周正醒目标牌，即工程概况牌、工程责任人牌、安全制度牌、消防保卫制度牌、环境保护制度牌、文明施工牌、工艺流程图。</w:t>
            </w:r>
          </w:p>
          <w:p w14:paraId="4C8CDF1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施工便桥、周围安装安全警示灯，布置安全警示标识；</w:t>
            </w:r>
          </w:p>
          <w:p w14:paraId="7A66B95F">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生产加工产生的废物材料要分类堆放处理，泥浆、混凝土、土石方等建筑垃圾要及时清运到指定地点，不随意倾倒，工具杂物要做到“人走场清”。</w:t>
            </w:r>
          </w:p>
          <w:p w14:paraId="6DCB2DE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装运建筑垃圾过程中，采取覆盖措施，以免发生洒漏；混凝土、砂浆、泥浆运输车辆要做好封闭工作，以免发生洒漏。</w:t>
            </w:r>
          </w:p>
          <w:p w14:paraId="7DEF594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施工便桥设置专人维护、洒水、清洁，确保便桥整洁、不扬尘；采取相应的措施，减少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污染，减少对周边生态环境的影响。</w:t>
            </w:r>
          </w:p>
          <w:p w14:paraId="5B5E6D44">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现场做好文明施工宣传标识牌、安全警示标志标语布置，标识牌布置要齐全、美观、整齐，所有标识标牌要按照规定的材料、式样、颜色、内容等标准格式统一加工制作。</w:t>
            </w:r>
          </w:p>
          <w:p w14:paraId="513CE33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按国家现行有关规定做好现场化学物品和易燃易爆物品的存放、管理工作，以免污染环境；化学物品和易燃易爆物品领用时做好登记手续，搬运、装卸、使用时必须符合国家现行有关规定的要求。</w:t>
            </w:r>
          </w:p>
          <w:p w14:paraId="477E733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明确该区域文明施工责任人，挂牌监督；每天设专职文明施工管理员进行巡逻检查，督促日常文明施工工作。</w:t>
            </w:r>
          </w:p>
          <w:p w14:paraId="2962A2D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4946719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每月召开文明施工例会，对现场文明施工问题及整改落实情况进行通报，并进行各区域的奖罚通告，同时讨论研究下个月文明施工工作细则、实施细则等。</w:t>
            </w:r>
          </w:p>
          <w:p w14:paraId="3B77494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做到给水不漏，排水顺畅，严禁乱排污水；完善安全消防设施；设专人进行管线设施维护。</w:t>
            </w:r>
          </w:p>
        </w:tc>
      </w:tr>
    </w:tbl>
    <w:p w14:paraId="7F9A171E">
      <w:pPr>
        <w:pStyle w:val="5"/>
        <w:bidi w:val="0"/>
        <w:ind w:left="864" w:leftChars="0" w:hanging="864" w:firstLineChars="0"/>
        <w:rPr>
          <w:rFonts w:hint="default"/>
          <w:lang w:val="en-US" w:eastAsia="zh-CN"/>
        </w:rPr>
      </w:pPr>
      <w:r>
        <w:rPr>
          <w:rFonts w:hint="eastAsia"/>
        </w:rPr>
        <w:t>现场机械文明施工措施</w:t>
      </w:r>
    </w:p>
    <w:p w14:paraId="22E152E0">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3</w:t>
      </w:r>
      <w:r>
        <w:rPr>
          <w:rFonts w:hint="eastAsia"/>
          <w:highlight w:val="none"/>
        </w:rPr>
        <w:t>现场机械文明施工保证措施</w:t>
      </w:r>
    </w:p>
    <w:tbl>
      <w:tblPr>
        <w:tblStyle w:val="136"/>
        <w:tblpPr w:leftFromText="180" w:rightFromText="180" w:vertAnchor="text" w:tblpXSpec="center" w:tblpY="1"/>
        <w:tblW w:w="84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5"/>
        <w:gridCol w:w="7824"/>
      </w:tblGrid>
      <w:tr w14:paraId="07311F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08" w:hRule="atLeast"/>
          <w:jc w:val="center"/>
        </w:trPr>
        <w:tc>
          <w:tcPr>
            <w:tcW w:w="645" w:type="dxa"/>
            <w:shd w:val="clear" w:color="auto" w:fill="auto"/>
            <w:vAlign w:val="center"/>
          </w:tcPr>
          <w:p w14:paraId="670701C8">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7824" w:type="dxa"/>
            <w:shd w:val="clear" w:color="auto" w:fill="auto"/>
            <w:vAlign w:val="center"/>
          </w:tcPr>
          <w:p w14:paraId="7CF9AF5B">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7CA72C2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48D488A6">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7824" w:type="dxa"/>
            <w:shd w:val="clear" w:color="auto" w:fill="auto"/>
            <w:vAlign w:val="center"/>
          </w:tcPr>
          <w:p w14:paraId="65827205">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配备专职的车辆、机械管理员，负责现场的车辆、机械的管理及调度；</w:t>
            </w:r>
          </w:p>
          <w:p w14:paraId="3809EC9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配备专业人员，负责现场的车辆、机械的维修、保养，使车辆、机械保持良好的状况。</w:t>
            </w:r>
          </w:p>
        </w:tc>
      </w:tr>
      <w:tr w14:paraId="1312CCC7">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7F45C911">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7824" w:type="dxa"/>
            <w:shd w:val="clear" w:color="auto" w:fill="auto"/>
            <w:vAlign w:val="center"/>
          </w:tcPr>
          <w:p w14:paraId="5FF2B1A8">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统一车辆、机械的颜色、标记、标识，并制定相应的机械操作规程。</w:t>
            </w:r>
          </w:p>
        </w:tc>
      </w:tr>
      <w:tr w14:paraId="3F6AEF3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5F40B72">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3</w:t>
            </w:r>
          </w:p>
        </w:tc>
        <w:tc>
          <w:tcPr>
            <w:tcW w:w="7824" w:type="dxa"/>
            <w:shd w:val="clear" w:color="auto" w:fill="auto"/>
            <w:vAlign w:val="center"/>
          </w:tcPr>
          <w:p w14:paraId="5275D9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车辆、机械经常清洗，停放有序；</w:t>
            </w:r>
          </w:p>
          <w:p w14:paraId="2A597C90">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定期对驾驶人员进行遵章守纪、交通法规、文明施工教育，保证文明行驶，礼让三先，确保交通安全。</w:t>
            </w:r>
          </w:p>
        </w:tc>
      </w:tr>
      <w:tr w14:paraId="4219135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3B23CF4">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4</w:t>
            </w:r>
          </w:p>
        </w:tc>
        <w:tc>
          <w:tcPr>
            <w:tcW w:w="7824" w:type="dxa"/>
            <w:shd w:val="clear" w:color="auto" w:fill="auto"/>
            <w:vAlign w:val="center"/>
          </w:tcPr>
          <w:p w14:paraId="0BC76C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清洗车辆机械排出的污水有排放措施，不随地流淌；</w:t>
            </w:r>
          </w:p>
          <w:p w14:paraId="6C862B9E">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机械应防止严重漏油，运行中产生的油污水不随意污染道路及水源。</w:t>
            </w:r>
          </w:p>
        </w:tc>
      </w:tr>
      <w:tr w14:paraId="1106D8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2387FC4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5</w:t>
            </w:r>
          </w:p>
        </w:tc>
        <w:tc>
          <w:tcPr>
            <w:tcW w:w="7824" w:type="dxa"/>
            <w:shd w:val="clear" w:color="auto" w:fill="auto"/>
            <w:vAlign w:val="center"/>
          </w:tcPr>
          <w:p w14:paraId="18E5F5E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拌和站、砂浆机等机械须配备防尘装置，在拌和站旁设置沉淀池，不将污水直接排放。</w:t>
            </w:r>
          </w:p>
        </w:tc>
      </w:tr>
      <w:tr w14:paraId="73F9508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12206EC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6</w:t>
            </w:r>
          </w:p>
        </w:tc>
        <w:tc>
          <w:tcPr>
            <w:tcW w:w="7824" w:type="dxa"/>
            <w:shd w:val="clear" w:color="auto" w:fill="auto"/>
            <w:vAlign w:val="center"/>
          </w:tcPr>
          <w:p w14:paraId="14D2736B">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合理规划使用施工场地内各种车辆、机械、设备，减少噪音累加，尽量采用</w:t>
            </w:r>
            <w:r>
              <w:rPr>
                <w:rFonts w:hint="eastAsia" w:cs="宋体"/>
                <w:b w:val="0"/>
                <w:bCs/>
                <w:kern w:val="0"/>
                <w:sz w:val="20"/>
                <w:szCs w:val="20"/>
                <w:highlight w:val="none"/>
                <w:lang w:eastAsia="zh-CN"/>
              </w:rPr>
              <w:t>低噪音</w:t>
            </w:r>
            <w:r>
              <w:rPr>
                <w:rFonts w:hint="eastAsia" w:ascii="宋体" w:hAnsi="宋体" w:eastAsia="宋体" w:cs="宋体"/>
                <w:b w:val="0"/>
                <w:bCs/>
                <w:kern w:val="0"/>
                <w:sz w:val="20"/>
                <w:szCs w:val="20"/>
                <w:highlight w:val="none"/>
              </w:rPr>
              <w:t>设备，控制噪音污染。</w:t>
            </w:r>
          </w:p>
        </w:tc>
      </w:tr>
      <w:tr w14:paraId="76A0C93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6465B5E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7</w:t>
            </w:r>
          </w:p>
        </w:tc>
        <w:tc>
          <w:tcPr>
            <w:tcW w:w="7824" w:type="dxa"/>
            <w:shd w:val="clear" w:color="auto" w:fill="auto"/>
            <w:vAlign w:val="center"/>
          </w:tcPr>
          <w:p w14:paraId="72D26CF9">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装运材料、土石方、垃圾等车辆，采取覆盖措施，确保行驶途中不污染道路和环境；</w:t>
            </w:r>
          </w:p>
          <w:p w14:paraId="3DF494C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混凝土、砂浆运输车辆要做好封闭工作，以免发生洒漏；</w:t>
            </w:r>
          </w:p>
          <w:p w14:paraId="29D64C0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装运材料、垃圾时，应做好覆盖或封闭工作，确保不污染防城港市地域环境。</w:t>
            </w:r>
          </w:p>
        </w:tc>
      </w:tr>
    </w:tbl>
    <w:p w14:paraId="304BBEDD">
      <w:pPr>
        <w:pStyle w:val="5"/>
        <w:bidi w:val="0"/>
        <w:ind w:left="864" w:leftChars="0" w:hanging="864" w:firstLineChars="0"/>
        <w:rPr>
          <w:rFonts w:hint="default"/>
          <w:lang w:val="en-US" w:eastAsia="zh-CN"/>
        </w:rPr>
      </w:pPr>
      <w:bookmarkStart w:id="477" w:name="_Toc6274"/>
      <w:bookmarkStart w:id="478" w:name="_Toc502086831"/>
      <w:bookmarkStart w:id="479" w:name="_Toc26763"/>
      <w:bookmarkStart w:id="480" w:name="_Toc492222637"/>
      <w:bookmarkStart w:id="481" w:name="_Toc27527"/>
      <w:r>
        <w:rPr>
          <w:rFonts w:hint="eastAsia"/>
        </w:rPr>
        <w:t>施工人员文明施工措施</w:t>
      </w:r>
      <w:bookmarkEnd w:id="477"/>
      <w:bookmarkEnd w:id="478"/>
      <w:bookmarkEnd w:id="479"/>
      <w:bookmarkEnd w:id="480"/>
      <w:bookmarkEnd w:id="481"/>
    </w:p>
    <w:p w14:paraId="05987A57">
      <w:pPr>
        <w:pStyle w:val="42"/>
        <w:bidi w:val="0"/>
        <w:rPr>
          <w:highlight w:val="none"/>
        </w:rPr>
      </w:pPr>
      <w:r>
        <w:rPr>
          <w:rFonts w:hint="eastAsia"/>
          <w:highlight w:val="none"/>
        </w:rPr>
        <w:t>表</w:t>
      </w:r>
      <w:r>
        <w:rPr>
          <w:rFonts w:hint="eastAsia"/>
          <w:highlight w:val="none"/>
          <w:lang w:val="en-US" w:eastAsia="zh-CN"/>
        </w:rPr>
        <w:t xml:space="preserve">10-4 </w:t>
      </w:r>
      <w:r>
        <w:rPr>
          <w:rFonts w:hint="eastAsia"/>
          <w:highlight w:val="none"/>
        </w:rPr>
        <w:t>施工人员文明施工保证措施</w:t>
      </w:r>
    </w:p>
    <w:tbl>
      <w:tblPr>
        <w:tblStyle w:val="136"/>
        <w:tblpPr w:leftFromText="180" w:rightFromText="180" w:vertAnchor="text" w:tblpXSpec="center" w:tblpY="1"/>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autofit"/>
        <w:tblCellMar>
          <w:top w:w="0" w:type="dxa"/>
          <w:left w:w="108" w:type="dxa"/>
          <w:bottom w:w="0" w:type="dxa"/>
          <w:right w:w="108" w:type="dxa"/>
        </w:tblCellMar>
      </w:tblPr>
      <w:tblGrid>
        <w:gridCol w:w="634"/>
        <w:gridCol w:w="7886"/>
      </w:tblGrid>
      <w:tr w14:paraId="5C80159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70" w:hRule="atLeast"/>
          <w:jc w:val="center"/>
        </w:trPr>
        <w:tc>
          <w:tcPr>
            <w:tcW w:w="372" w:type="pct"/>
            <w:shd w:val="clear" w:color="auto" w:fill="auto"/>
            <w:vAlign w:val="center"/>
          </w:tcPr>
          <w:p w14:paraId="3D4D0724">
            <w:pPr>
              <w:pStyle w:val="55"/>
              <w:rPr>
                <w:b w:val="0"/>
                <w:bCs/>
                <w:kern w:val="0"/>
                <w:highlight w:val="none"/>
              </w:rPr>
            </w:pPr>
            <w:r>
              <w:rPr>
                <w:rFonts w:hint="eastAsia"/>
                <w:b w:val="0"/>
                <w:bCs/>
                <w:kern w:val="0"/>
                <w:highlight w:val="none"/>
              </w:rPr>
              <w:t>序号</w:t>
            </w:r>
          </w:p>
        </w:tc>
        <w:tc>
          <w:tcPr>
            <w:tcW w:w="4627" w:type="pct"/>
            <w:shd w:val="clear" w:color="auto" w:fill="auto"/>
            <w:vAlign w:val="center"/>
          </w:tcPr>
          <w:p w14:paraId="6B9FFE8A">
            <w:pPr>
              <w:pStyle w:val="55"/>
              <w:rPr>
                <w:b w:val="0"/>
                <w:bCs/>
                <w:kern w:val="0"/>
                <w:highlight w:val="none"/>
              </w:rPr>
            </w:pPr>
            <w:r>
              <w:rPr>
                <w:rFonts w:hint="eastAsia"/>
                <w:b w:val="0"/>
                <w:bCs/>
                <w:kern w:val="0"/>
                <w:highlight w:val="none"/>
              </w:rPr>
              <w:t>主要保证措施</w:t>
            </w:r>
          </w:p>
        </w:tc>
      </w:tr>
      <w:tr w14:paraId="2F7A6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E4E6664">
            <w:pPr>
              <w:pStyle w:val="55"/>
              <w:rPr>
                <w:b w:val="0"/>
                <w:bCs/>
                <w:kern w:val="0"/>
                <w:highlight w:val="none"/>
              </w:rPr>
            </w:pPr>
            <w:r>
              <w:rPr>
                <w:rFonts w:hint="eastAsia"/>
                <w:b w:val="0"/>
                <w:bCs/>
                <w:kern w:val="0"/>
                <w:highlight w:val="none"/>
              </w:rPr>
              <w:t>1</w:t>
            </w:r>
          </w:p>
        </w:tc>
        <w:tc>
          <w:tcPr>
            <w:tcW w:w="4627" w:type="pct"/>
            <w:shd w:val="clear" w:color="auto" w:fill="auto"/>
            <w:vAlign w:val="center"/>
          </w:tcPr>
          <w:p w14:paraId="2BEF12BA">
            <w:pPr>
              <w:pStyle w:val="55"/>
              <w:jc w:val="left"/>
              <w:rPr>
                <w:b w:val="0"/>
                <w:bCs/>
                <w:kern w:val="0"/>
                <w:highlight w:val="none"/>
              </w:rPr>
            </w:pPr>
            <w:r>
              <w:rPr>
                <w:rFonts w:hint="eastAsia"/>
                <w:b w:val="0"/>
                <w:bCs/>
                <w:kern w:val="0"/>
                <w:highlight w:val="none"/>
              </w:rPr>
              <w:t>施工人员应按要求分类着装，佩戴安全帽；</w:t>
            </w:r>
          </w:p>
          <w:p w14:paraId="5543A50A">
            <w:pPr>
              <w:pStyle w:val="55"/>
              <w:jc w:val="left"/>
              <w:rPr>
                <w:b w:val="0"/>
                <w:bCs/>
                <w:kern w:val="0"/>
                <w:highlight w:val="none"/>
              </w:rPr>
            </w:pPr>
            <w:r>
              <w:rPr>
                <w:rFonts w:hint="eastAsia"/>
                <w:b w:val="0"/>
                <w:bCs/>
                <w:kern w:val="0"/>
                <w:highlight w:val="none"/>
              </w:rPr>
              <w:t>各种岗位人员佩戴胸卡，质量检查人员、安全监督人员佩戴红色袖标；</w:t>
            </w:r>
          </w:p>
          <w:p w14:paraId="617AB4EB">
            <w:pPr>
              <w:pStyle w:val="55"/>
              <w:jc w:val="left"/>
              <w:rPr>
                <w:b w:val="0"/>
                <w:bCs/>
                <w:kern w:val="0"/>
                <w:highlight w:val="none"/>
              </w:rPr>
            </w:pPr>
            <w:r>
              <w:rPr>
                <w:rFonts w:hint="eastAsia"/>
                <w:b w:val="0"/>
                <w:bCs/>
                <w:kern w:val="0"/>
                <w:highlight w:val="none"/>
              </w:rPr>
              <w:t>坚守岗位，职责清楚。</w:t>
            </w:r>
          </w:p>
        </w:tc>
      </w:tr>
      <w:tr w14:paraId="28E9939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521A28E">
            <w:pPr>
              <w:pStyle w:val="55"/>
              <w:rPr>
                <w:b w:val="0"/>
                <w:bCs/>
                <w:kern w:val="0"/>
                <w:highlight w:val="none"/>
              </w:rPr>
            </w:pPr>
            <w:r>
              <w:rPr>
                <w:rFonts w:hint="eastAsia"/>
                <w:b w:val="0"/>
                <w:bCs/>
                <w:kern w:val="0"/>
                <w:highlight w:val="none"/>
              </w:rPr>
              <w:t>2</w:t>
            </w:r>
          </w:p>
        </w:tc>
        <w:tc>
          <w:tcPr>
            <w:tcW w:w="4627" w:type="pct"/>
            <w:shd w:val="clear" w:color="auto" w:fill="auto"/>
            <w:vAlign w:val="center"/>
          </w:tcPr>
          <w:p w14:paraId="1221220A">
            <w:pPr>
              <w:pStyle w:val="55"/>
              <w:jc w:val="left"/>
              <w:rPr>
                <w:b w:val="0"/>
                <w:bCs/>
                <w:kern w:val="0"/>
                <w:highlight w:val="none"/>
              </w:rPr>
            </w:pPr>
            <w:r>
              <w:rPr>
                <w:rFonts w:hint="eastAsia"/>
                <w:b w:val="0"/>
                <w:bCs/>
                <w:kern w:val="0"/>
                <w:highlight w:val="none"/>
              </w:rPr>
              <w:t>进入场区人员在区域内活动要举止大方、</w:t>
            </w:r>
            <w:r>
              <w:rPr>
                <w:rFonts w:hint="eastAsia"/>
                <w:b w:val="0"/>
                <w:bCs/>
                <w:kern w:val="0"/>
                <w:highlight w:val="none"/>
                <w:lang w:eastAsia="zh-CN"/>
              </w:rPr>
              <w:t>仪容</w:t>
            </w:r>
            <w:r>
              <w:rPr>
                <w:rFonts w:hint="eastAsia"/>
                <w:b w:val="0"/>
                <w:bCs/>
                <w:kern w:val="0"/>
                <w:highlight w:val="none"/>
              </w:rPr>
              <w:t>整洁、文明礼貌；</w:t>
            </w:r>
          </w:p>
          <w:p w14:paraId="77562C54">
            <w:pPr>
              <w:pStyle w:val="55"/>
              <w:jc w:val="left"/>
              <w:rPr>
                <w:b w:val="0"/>
                <w:bCs/>
                <w:kern w:val="0"/>
                <w:highlight w:val="none"/>
              </w:rPr>
            </w:pPr>
            <w:r>
              <w:rPr>
                <w:rFonts w:hint="eastAsia"/>
                <w:b w:val="0"/>
                <w:bCs/>
                <w:kern w:val="0"/>
                <w:highlight w:val="none"/>
              </w:rPr>
              <w:t>定期对全体施工人员进行法律、法规教育，严格遵守社会公德、职业道德、职业纪律；</w:t>
            </w:r>
          </w:p>
          <w:p w14:paraId="3DFE9117">
            <w:pPr>
              <w:pStyle w:val="55"/>
              <w:jc w:val="left"/>
              <w:rPr>
                <w:b w:val="0"/>
                <w:bCs/>
                <w:kern w:val="0"/>
                <w:highlight w:val="none"/>
              </w:rPr>
            </w:pPr>
            <w:r>
              <w:rPr>
                <w:rFonts w:hint="eastAsia"/>
                <w:b w:val="0"/>
                <w:bCs/>
                <w:kern w:val="0"/>
                <w:highlight w:val="none"/>
              </w:rPr>
              <w:t>设专人协调处理好周边的公共关系，发生纠纷按程序逐级追究解决，杜绝打架斗殴。</w:t>
            </w:r>
          </w:p>
        </w:tc>
      </w:tr>
      <w:tr w14:paraId="44BDCD7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6BC3256">
            <w:pPr>
              <w:pStyle w:val="55"/>
              <w:rPr>
                <w:b w:val="0"/>
                <w:bCs/>
                <w:kern w:val="0"/>
                <w:highlight w:val="none"/>
              </w:rPr>
            </w:pPr>
            <w:r>
              <w:rPr>
                <w:rFonts w:hint="eastAsia"/>
                <w:b w:val="0"/>
                <w:bCs/>
                <w:kern w:val="0"/>
                <w:highlight w:val="none"/>
              </w:rPr>
              <w:t>3</w:t>
            </w:r>
          </w:p>
        </w:tc>
        <w:tc>
          <w:tcPr>
            <w:tcW w:w="4627" w:type="pct"/>
            <w:shd w:val="clear" w:color="auto" w:fill="auto"/>
            <w:vAlign w:val="center"/>
          </w:tcPr>
          <w:p w14:paraId="7A3254A0">
            <w:pPr>
              <w:pStyle w:val="55"/>
              <w:jc w:val="left"/>
              <w:rPr>
                <w:b w:val="0"/>
                <w:bCs/>
                <w:kern w:val="0"/>
                <w:highlight w:val="none"/>
              </w:rPr>
            </w:pPr>
            <w:r>
              <w:rPr>
                <w:rFonts w:hint="eastAsia"/>
                <w:b w:val="0"/>
                <w:bCs/>
                <w:kern w:val="0"/>
                <w:highlight w:val="none"/>
              </w:rPr>
              <w:t>工人在上岗前必须经过文明施工教育培训，未经培训的工人，不得使用；</w:t>
            </w:r>
          </w:p>
          <w:p w14:paraId="07BF3903">
            <w:pPr>
              <w:pStyle w:val="55"/>
              <w:jc w:val="left"/>
              <w:rPr>
                <w:b w:val="0"/>
                <w:bCs/>
                <w:kern w:val="0"/>
                <w:highlight w:val="none"/>
              </w:rPr>
            </w:pPr>
            <w:r>
              <w:rPr>
                <w:rFonts w:hint="eastAsia"/>
                <w:b w:val="0"/>
                <w:bCs/>
                <w:kern w:val="0"/>
                <w:highlight w:val="none"/>
              </w:rPr>
              <w:t>所有施工人员每月需要进行施工安全、法纪和文明施工教育，增强文明施工意识，养成良好的作业习惯，如不在吸烟室以外场所吸烟，严禁穿拖鞋、短袖，不酒后作业等。</w:t>
            </w:r>
          </w:p>
        </w:tc>
      </w:tr>
      <w:tr w14:paraId="64B8A10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68FC4BE">
            <w:pPr>
              <w:pStyle w:val="55"/>
              <w:rPr>
                <w:b w:val="0"/>
                <w:bCs/>
                <w:kern w:val="0"/>
                <w:highlight w:val="none"/>
              </w:rPr>
            </w:pPr>
            <w:r>
              <w:rPr>
                <w:rFonts w:hint="eastAsia"/>
                <w:b w:val="0"/>
                <w:bCs/>
                <w:kern w:val="0"/>
                <w:highlight w:val="none"/>
              </w:rPr>
              <w:t>4</w:t>
            </w:r>
          </w:p>
        </w:tc>
        <w:tc>
          <w:tcPr>
            <w:tcW w:w="4627" w:type="pct"/>
            <w:shd w:val="clear" w:color="auto" w:fill="auto"/>
            <w:vAlign w:val="center"/>
          </w:tcPr>
          <w:p w14:paraId="2FAD6DC3">
            <w:pPr>
              <w:pStyle w:val="55"/>
              <w:jc w:val="left"/>
              <w:rPr>
                <w:b w:val="0"/>
                <w:bCs/>
                <w:kern w:val="0"/>
                <w:highlight w:val="none"/>
              </w:rPr>
            </w:pPr>
            <w:r>
              <w:rPr>
                <w:rFonts w:hint="eastAsia"/>
                <w:b w:val="0"/>
                <w:bCs/>
                <w:kern w:val="0"/>
                <w:highlight w:val="none"/>
              </w:rPr>
              <w:t>施工中有计划组织职工学习有关文明施工的规定，争做文明人民；</w:t>
            </w:r>
          </w:p>
          <w:p w14:paraId="0784AAA3">
            <w:pPr>
              <w:pStyle w:val="55"/>
              <w:jc w:val="left"/>
              <w:rPr>
                <w:b w:val="0"/>
                <w:bCs/>
                <w:kern w:val="0"/>
                <w:highlight w:val="none"/>
              </w:rPr>
            </w:pPr>
            <w:r>
              <w:rPr>
                <w:rFonts w:hint="eastAsia"/>
                <w:b w:val="0"/>
                <w:bCs/>
                <w:kern w:val="0"/>
                <w:highlight w:val="none"/>
              </w:rPr>
              <w:t>加强员工文明施工行为考评，并将考评结果纳为月度绩效考核指标。</w:t>
            </w:r>
          </w:p>
        </w:tc>
      </w:tr>
      <w:tr w14:paraId="2801309C">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2C69228F">
            <w:pPr>
              <w:pStyle w:val="55"/>
              <w:rPr>
                <w:b w:val="0"/>
                <w:bCs/>
                <w:kern w:val="0"/>
                <w:highlight w:val="none"/>
              </w:rPr>
            </w:pPr>
            <w:r>
              <w:rPr>
                <w:rFonts w:hint="eastAsia"/>
                <w:b w:val="0"/>
                <w:bCs/>
                <w:kern w:val="0"/>
                <w:highlight w:val="none"/>
              </w:rPr>
              <w:t>5</w:t>
            </w:r>
          </w:p>
        </w:tc>
        <w:tc>
          <w:tcPr>
            <w:tcW w:w="4627" w:type="pct"/>
            <w:shd w:val="clear" w:color="auto" w:fill="auto"/>
            <w:vAlign w:val="center"/>
          </w:tcPr>
          <w:p w14:paraId="5ABDF829">
            <w:pPr>
              <w:pStyle w:val="55"/>
              <w:jc w:val="left"/>
              <w:rPr>
                <w:b w:val="0"/>
                <w:bCs/>
                <w:kern w:val="0"/>
                <w:highlight w:val="none"/>
              </w:rPr>
            </w:pPr>
            <w:r>
              <w:rPr>
                <w:rFonts w:hint="eastAsia"/>
                <w:b w:val="0"/>
                <w:bCs/>
                <w:kern w:val="0"/>
                <w:highlight w:val="none"/>
              </w:rPr>
              <w:t>建立文明施工档案，做好文明施工宣传，对违反文明施工人员进行教育、纠偏、处罚，严重者清除出场；在文明施工中表现优秀的给予褒奖。</w:t>
            </w:r>
          </w:p>
        </w:tc>
      </w:tr>
    </w:tbl>
    <w:p w14:paraId="00A9E778">
      <w:pPr>
        <w:pStyle w:val="5"/>
        <w:bidi w:val="0"/>
        <w:ind w:left="864" w:leftChars="0" w:hanging="864" w:firstLineChars="0"/>
        <w:rPr>
          <w:rFonts w:hint="default"/>
          <w:lang w:val="en-US" w:eastAsia="zh-CN"/>
        </w:rPr>
      </w:pPr>
      <w:r>
        <w:rPr>
          <w:rFonts w:hint="eastAsia"/>
        </w:rPr>
        <w:t>卫生保洁文明施工措施</w:t>
      </w:r>
    </w:p>
    <w:p w14:paraId="08DC96EB">
      <w:pPr>
        <w:bidi w:val="0"/>
        <w:ind w:firstLine="480" w:firstLineChars="200"/>
        <w:rPr>
          <w:highlight w:val="none"/>
        </w:rPr>
      </w:pPr>
      <w:r>
        <w:rPr>
          <w:highlight w:val="none"/>
        </w:rPr>
        <w:t>1</w:t>
      </w:r>
      <w:r>
        <w:rPr>
          <w:rFonts w:hint="eastAsia"/>
          <w:highlight w:val="none"/>
          <w:lang w:eastAsia="zh-CN"/>
        </w:rPr>
        <w:t>、</w:t>
      </w:r>
      <w:r>
        <w:rPr>
          <w:rFonts w:hint="eastAsia"/>
          <w:highlight w:val="none"/>
        </w:rPr>
        <w:t>保洁人员配置及职责</w:t>
      </w:r>
    </w:p>
    <w:p w14:paraId="30DB7157">
      <w:pPr>
        <w:ind w:firstLine="480"/>
        <w:rPr>
          <w:highlight w:val="none"/>
        </w:rPr>
      </w:pPr>
      <w:r>
        <w:rPr>
          <w:rFonts w:hint="eastAsia"/>
          <w:highlight w:val="none"/>
        </w:rPr>
        <w:t>（1）人员配置：建筑施工现场统一配备专职保洁员，明确卫生职责、健全卫生奖惩体系，实现建筑施工现场“制度健全、设施完备、人员到位、清扫及时”的目标</w:t>
      </w:r>
    </w:p>
    <w:p w14:paraId="6F771A5E">
      <w:pPr>
        <w:ind w:firstLine="480"/>
        <w:rPr>
          <w:highlight w:val="none"/>
        </w:rPr>
      </w:pPr>
      <w:r>
        <w:rPr>
          <w:rFonts w:hint="eastAsia"/>
          <w:highlight w:val="none"/>
        </w:rPr>
        <w:t>（2）主要职责：</w:t>
      </w:r>
    </w:p>
    <w:p w14:paraId="05CAFB85">
      <w:pPr>
        <w:ind w:firstLine="480"/>
        <w:rPr>
          <w:highlight w:val="none"/>
        </w:rPr>
      </w:pPr>
      <w:r>
        <w:rPr>
          <w:rFonts w:hint="eastAsia"/>
          <w:highlight w:val="none"/>
        </w:rPr>
        <w:t>①确保施工现场围墙外5米内以及围墙内场地平整，无积水、无生活垃圾、杂草，废弃物；</w:t>
      </w:r>
    </w:p>
    <w:p w14:paraId="13E15E8B">
      <w:pPr>
        <w:ind w:firstLine="480"/>
        <w:rPr>
          <w:highlight w:val="none"/>
        </w:rPr>
      </w:pPr>
      <w:r>
        <w:rPr>
          <w:rFonts w:hint="eastAsia"/>
          <w:highlight w:val="none"/>
        </w:rPr>
        <w:t>②确保办公区走廊、楼梯、栏杆、楼道、痰盂、垃圾桶清洁，无灰尘、烟头、痰迹、无卫生死角；</w:t>
      </w:r>
    </w:p>
    <w:p w14:paraId="73147760">
      <w:pPr>
        <w:ind w:firstLine="480"/>
        <w:rPr>
          <w:highlight w:val="none"/>
        </w:rPr>
      </w:pPr>
      <w:r>
        <w:rPr>
          <w:rFonts w:hint="eastAsia"/>
          <w:highlight w:val="none"/>
        </w:rPr>
        <w:t>③确保生活区清洁卫生，生活垃圾日产日清；</w:t>
      </w:r>
    </w:p>
    <w:p w14:paraId="443AD20D">
      <w:pPr>
        <w:ind w:firstLine="480"/>
        <w:rPr>
          <w:highlight w:val="none"/>
        </w:rPr>
      </w:pPr>
      <w:r>
        <w:rPr>
          <w:rFonts w:hint="eastAsia"/>
          <w:highlight w:val="none"/>
        </w:rPr>
        <w:t>④确保施工区材料堆放整齐、粉状材料覆盖、建筑垃圾及时清理，无卫生死角；</w:t>
      </w:r>
    </w:p>
    <w:p w14:paraId="63AF7C9A">
      <w:pPr>
        <w:ind w:firstLine="480"/>
        <w:rPr>
          <w:highlight w:val="none"/>
        </w:rPr>
      </w:pPr>
      <w:r>
        <w:rPr>
          <w:rFonts w:hint="eastAsia"/>
          <w:highlight w:val="none"/>
        </w:rPr>
        <w:t>⑤确保宿舍周围干净整洁，无污水、生活垃圾、杂物、无卫生死角。宿舍内物品摆放整齐有序、干净整洁；</w:t>
      </w:r>
    </w:p>
    <w:p w14:paraId="5B214A78">
      <w:pPr>
        <w:ind w:firstLine="480"/>
        <w:rPr>
          <w:highlight w:val="none"/>
        </w:rPr>
      </w:pPr>
      <w:r>
        <w:rPr>
          <w:rFonts w:hint="eastAsia"/>
          <w:highlight w:val="none"/>
        </w:rPr>
        <w:t>⑥确保食堂灶台、室内</w:t>
      </w:r>
      <w:r>
        <w:rPr>
          <w:rFonts w:hint="eastAsia"/>
          <w:highlight w:val="none"/>
          <w:lang w:eastAsia="zh-CN"/>
        </w:rPr>
        <w:t>墙面</w:t>
      </w:r>
      <w:r>
        <w:rPr>
          <w:rFonts w:hint="eastAsia"/>
          <w:highlight w:val="none"/>
        </w:rPr>
        <w:t>瓷砖无油垢，通风口、泔水桶加盖、密闭，泔水桶内外清洁，周边无杂物、积水，餐桌、椅保持整洁，地面保持清洁；</w:t>
      </w:r>
    </w:p>
    <w:p w14:paraId="2E301DE8">
      <w:pPr>
        <w:bidi w:val="0"/>
        <w:ind w:firstLine="480" w:firstLineChars="200"/>
        <w:rPr>
          <w:highlight w:val="none"/>
        </w:rPr>
      </w:pPr>
      <w:r>
        <w:rPr>
          <w:rFonts w:hint="eastAsia"/>
          <w:highlight w:val="none"/>
        </w:rPr>
        <w:t>⑦确保厕所洗手池、地面、便池清洁干净，定期消毒，喷洒药物，厕所内无积水、无尿碱、无污垢、无异味，无蚊蝇、无卫生死角。</w:t>
      </w:r>
    </w:p>
    <w:p w14:paraId="2B3AE8B5">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饮食卫生保障措施</w:t>
      </w:r>
    </w:p>
    <w:p w14:paraId="4EA5B17B">
      <w:pPr>
        <w:ind w:firstLine="480"/>
        <w:rPr>
          <w:highlight w:val="none"/>
        </w:rPr>
      </w:pPr>
      <w:r>
        <w:rPr>
          <w:highlight w:val="none"/>
        </w:rPr>
        <w:t>1</w:t>
      </w:r>
      <w:r>
        <w:rPr>
          <w:rFonts w:hint="eastAsia"/>
          <w:highlight w:val="none"/>
        </w:rPr>
        <w:t>）采购运输</w:t>
      </w:r>
    </w:p>
    <w:p w14:paraId="781FC644">
      <w:pPr>
        <w:ind w:firstLine="480"/>
        <w:rPr>
          <w:highlight w:val="none"/>
        </w:rPr>
      </w:pPr>
      <w:r>
        <w:rPr>
          <w:rFonts w:hint="eastAsia"/>
          <w:highlight w:val="none"/>
        </w:rPr>
        <w:t>①采购外地食品应向供货单位索取县以上食品卫生监督机构开具的检验合格证或检验单。认为必要时，请当地食品卫生监督机构进行复验。</w:t>
      </w:r>
    </w:p>
    <w:p w14:paraId="713F77AA">
      <w:pPr>
        <w:ind w:firstLine="480"/>
        <w:rPr>
          <w:highlight w:val="none"/>
        </w:rPr>
      </w:pPr>
      <w:r>
        <w:rPr>
          <w:rFonts w:hint="eastAsia"/>
          <w:highlight w:val="none"/>
        </w:rPr>
        <w:t>②采购食品用的车辆，容器要清洁卫生，做到生熟分开，防尘、防蝇、防潮。</w:t>
      </w:r>
    </w:p>
    <w:p w14:paraId="54DC30F3">
      <w:pPr>
        <w:ind w:firstLine="480"/>
        <w:rPr>
          <w:highlight w:val="none"/>
        </w:rPr>
      </w:pPr>
      <w:r>
        <w:rPr>
          <w:rFonts w:hint="eastAsia"/>
          <w:highlight w:val="none"/>
        </w:rPr>
        <w:t>③不得采购制售腐败变质、霉变、生虫、有异味或《食品卫生法》规定禁止生产经营的食品。</w:t>
      </w:r>
    </w:p>
    <w:p w14:paraId="11181CA6">
      <w:pPr>
        <w:ind w:firstLine="480"/>
        <w:rPr>
          <w:highlight w:val="none"/>
        </w:rPr>
      </w:pPr>
      <w:r>
        <w:rPr>
          <w:highlight w:val="none"/>
        </w:rPr>
        <w:t>2</w:t>
      </w:r>
      <w:r>
        <w:rPr>
          <w:rFonts w:hint="eastAsia"/>
          <w:highlight w:val="none"/>
        </w:rPr>
        <w:t>）储存、保管</w:t>
      </w:r>
    </w:p>
    <w:p w14:paraId="3BCFDB6D">
      <w:pPr>
        <w:ind w:firstLine="480"/>
        <w:rPr>
          <w:highlight w:val="none"/>
        </w:rPr>
      </w:pPr>
      <w:r>
        <w:rPr>
          <w:rFonts w:hint="eastAsia"/>
          <w:highlight w:val="none"/>
        </w:rPr>
        <w:t>①根据《食品卫生法》的规定，食品不得接触有毒物，不洁物。建筑上用的防冻盐等有害物质，个施工单位要设专人专库存放，严禁防冻盐和食用盐同仓共贮，要建立健全管理制度。</w:t>
      </w:r>
    </w:p>
    <w:p w14:paraId="10BF63B9">
      <w:pPr>
        <w:ind w:firstLine="480"/>
        <w:rPr>
          <w:highlight w:val="none"/>
        </w:rPr>
      </w:pPr>
      <w:r>
        <w:rPr>
          <w:rFonts w:hint="eastAsia"/>
          <w:highlight w:val="none"/>
        </w:rPr>
        <w:t>②贮存食品要隔墙、离地，注意做到通风、防潮、防虫、防鼠，有条件的单位应设冷藏设备。主副食品、原料、半成品、成品要分开存放。</w:t>
      </w:r>
    </w:p>
    <w:p w14:paraId="59DEE388">
      <w:pPr>
        <w:ind w:firstLine="480"/>
        <w:rPr>
          <w:highlight w:val="none"/>
        </w:rPr>
      </w:pPr>
      <w:r>
        <w:rPr>
          <w:rFonts w:hint="eastAsia"/>
          <w:highlight w:val="none"/>
        </w:rPr>
        <w:t>③盛放酱油、盐等副食调料要做到容器物见本色，加盖存放，清洁卫生。</w:t>
      </w:r>
    </w:p>
    <w:p w14:paraId="0E2EA10D">
      <w:pPr>
        <w:ind w:firstLine="480"/>
        <w:rPr>
          <w:highlight w:val="none"/>
        </w:rPr>
      </w:pPr>
      <w:r>
        <w:rPr>
          <w:highlight w:val="none"/>
        </w:rPr>
        <w:t>3</w:t>
      </w:r>
      <w:r>
        <w:rPr>
          <w:rFonts w:hint="eastAsia"/>
          <w:highlight w:val="none"/>
        </w:rPr>
        <w:t>）制售过程卫生</w:t>
      </w:r>
    </w:p>
    <w:p w14:paraId="66095C77">
      <w:pPr>
        <w:ind w:firstLine="480"/>
        <w:rPr>
          <w:highlight w:val="none"/>
        </w:rPr>
      </w:pPr>
      <w:r>
        <w:rPr>
          <w:rFonts w:hint="eastAsia"/>
          <w:highlight w:val="none"/>
        </w:rPr>
        <w:t>①制作食品的原料要新鲜卫生，认真做到不用、不卖腐败变质的食品，各种食品要烧熟煮透，以免食物中毒的发生。</w:t>
      </w:r>
    </w:p>
    <w:p w14:paraId="16356F32">
      <w:pPr>
        <w:ind w:firstLine="480"/>
        <w:rPr>
          <w:highlight w:val="none"/>
        </w:rPr>
      </w:pPr>
      <w:r>
        <w:rPr>
          <w:rFonts w:hint="eastAsia"/>
          <w:highlight w:val="none"/>
        </w:rPr>
        <w:t>②制售过程及刀、墩、案板、盆、筐、水池子、抹布和冰箱等工具要严格做到生熟分开，售饭时要用工具销售直接入口食品，饭票要消毒。</w:t>
      </w:r>
    </w:p>
    <w:p w14:paraId="114AA444">
      <w:pPr>
        <w:ind w:firstLine="480"/>
        <w:rPr>
          <w:highlight w:val="none"/>
        </w:rPr>
      </w:pPr>
      <w:r>
        <w:rPr>
          <w:rFonts w:hint="eastAsia"/>
          <w:highlight w:val="none"/>
        </w:rPr>
        <w:t>③生吃凉拌菜必须洗净消毒，剩饭、菜要回锅彻底加热再食用，一旦发现变质，不得食用。</w:t>
      </w:r>
    </w:p>
    <w:p w14:paraId="54E9F5D1">
      <w:pPr>
        <w:ind w:firstLine="480"/>
        <w:rPr>
          <w:highlight w:val="none"/>
        </w:rPr>
      </w:pPr>
      <w:r>
        <w:rPr>
          <w:rFonts w:hint="eastAsia"/>
          <w:highlight w:val="none"/>
        </w:rPr>
        <w:t>④公共</w:t>
      </w:r>
      <w:r>
        <w:rPr>
          <w:rFonts w:hint="eastAsia"/>
          <w:highlight w:val="none"/>
          <w:lang w:eastAsia="zh-CN"/>
        </w:rPr>
        <w:t>餐具</w:t>
      </w:r>
      <w:r>
        <w:rPr>
          <w:rFonts w:hint="eastAsia"/>
          <w:highlight w:val="none"/>
        </w:rPr>
        <w:t>要消毒洗净，应有上下水洗手和餐具洗涤设备。</w:t>
      </w:r>
    </w:p>
    <w:p w14:paraId="39964736">
      <w:pPr>
        <w:bidi w:val="0"/>
        <w:ind w:firstLine="480" w:firstLineChars="200"/>
        <w:rPr>
          <w:highlight w:val="none"/>
        </w:rPr>
      </w:pPr>
      <w:r>
        <w:rPr>
          <w:rFonts w:hint="eastAsia"/>
          <w:highlight w:val="none"/>
          <w:lang w:val="en-US" w:eastAsia="zh-CN"/>
        </w:rPr>
        <w:t>4）</w:t>
      </w:r>
      <w:r>
        <w:rPr>
          <w:rFonts w:hint="eastAsia"/>
          <w:highlight w:val="none"/>
        </w:rPr>
        <w:t>个人卫生</w:t>
      </w:r>
    </w:p>
    <w:p w14:paraId="54C2EEAC">
      <w:pPr>
        <w:ind w:firstLine="480"/>
        <w:rPr>
          <w:highlight w:val="none"/>
        </w:rPr>
      </w:pPr>
      <w:r>
        <w:rPr>
          <w:rFonts w:hint="eastAsia"/>
          <w:highlight w:val="none"/>
        </w:rPr>
        <w:t>①炊管人员每年要进行一次健康检查，持有健康合格证及卫生知识培训后，方可上岗。凡患有痢疾、肝炎、伤寒、活动性肺结核、渗出性皮肤病及其它有碍食品卫生的疾病，不得参加接触直接入口食品的制售及食品洗涤工作。</w:t>
      </w:r>
    </w:p>
    <w:p w14:paraId="14C3ACAF">
      <w:pPr>
        <w:ind w:firstLine="480"/>
        <w:rPr>
          <w:highlight w:val="none"/>
        </w:rPr>
      </w:pPr>
      <w:r>
        <w:rPr>
          <w:rFonts w:hint="eastAsia"/>
          <w:highlight w:val="none"/>
        </w:rPr>
        <w:t>②炊管人员操作时必须穿戴好工作服、发帽，并保持清洁整齐，做到文明生产，不赤背，不光脚，禁止随地吐痰。</w:t>
      </w:r>
    </w:p>
    <w:p w14:paraId="6C69DF2D">
      <w:pPr>
        <w:ind w:firstLine="480"/>
        <w:rPr>
          <w:highlight w:val="none"/>
        </w:rPr>
      </w:pPr>
      <w:r>
        <w:rPr>
          <w:rFonts w:hint="eastAsia"/>
          <w:highlight w:val="none"/>
        </w:rPr>
        <w:t>③炊管人员必须做好个人卫生，要坚持做到四勤（勤理发、勤洗澡、勤换衣、勤剪指甲）。</w:t>
      </w:r>
    </w:p>
    <w:p w14:paraId="751A141E">
      <w:pPr>
        <w:pStyle w:val="5"/>
        <w:bidi w:val="0"/>
        <w:ind w:left="864" w:leftChars="0" w:hanging="864" w:firstLineChars="0"/>
        <w:rPr>
          <w:rFonts w:hint="default"/>
          <w:lang w:val="en-US" w:eastAsia="zh-CN"/>
        </w:rPr>
      </w:pPr>
      <w:r>
        <w:rPr>
          <w:rFonts w:hint="eastAsia"/>
        </w:rPr>
        <w:t>便民措施</w:t>
      </w:r>
    </w:p>
    <w:p w14:paraId="6F3317E0">
      <w:pPr>
        <w:pStyle w:val="13"/>
        <w:rPr>
          <w:rFonts w:hint="default"/>
          <w:highlight w:val="none"/>
          <w:lang w:val="en-US" w:eastAsia="zh-CN"/>
        </w:rPr>
      </w:pPr>
      <w:r>
        <w:rPr>
          <w:rFonts w:hint="eastAsia"/>
          <w:highlight w:val="none"/>
        </w:rPr>
        <w:t>在本工程的建设中我</w:t>
      </w:r>
      <w:r>
        <w:rPr>
          <w:rFonts w:hint="eastAsia"/>
          <w:highlight w:val="none"/>
          <w:lang w:val="en-US" w:eastAsia="zh-CN"/>
        </w:rPr>
        <w:t>部</w:t>
      </w:r>
      <w:r>
        <w:rPr>
          <w:rFonts w:hint="eastAsia"/>
          <w:highlight w:val="none"/>
        </w:rPr>
        <w:t>将自觉遵守百姓的监督</w:t>
      </w:r>
      <w:r>
        <w:rPr>
          <w:rFonts w:hint="eastAsia"/>
          <w:highlight w:val="none"/>
          <w:lang w:eastAsia="zh-CN"/>
        </w:rPr>
        <w:t>，</w:t>
      </w:r>
      <w:r>
        <w:rPr>
          <w:rFonts w:hint="eastAsia"/>
          <w:highlight w:val="none"/>
        </w:rPr>
        <w:t>加强与百姓的联系是确保工程施工顺利进行的关键因素；同时也是文明施工，提升</w:t>
      </w:r>
      <w:r>
        <w:rPr>
          <w:rFonts w:hint="eastAsia"/>
          <w:highlight w:val="none"/>
          <w:lang w:val="en-US" w:eastAsia="zh-CN"/>
        </w:rPr>
        <w:t>项目</w:t>
      </w:r>
      <w:r>
        <w:rPr>
          <w:rFonts w:hint="eastAsia"/>
          <w:highlight w:val="none"/>
        </w:rPr>
        <w:t>形象的关键。</w:t>
      </w:r>
    </w:p>
    <w:p w14:paraId="48C86C87">
      <w:pPr>
        <w:bidi w:val="0"/>
        <w:ind w:firstLine="480" w:firstLineChars="200"/>
        <w:rPr>
          <w:highlight w:val="none"/>
        </w:rPr>
      </w:pPr>
      <w:r>
        <w:rPr>
          <w:highlight w:val="none"/>
        </w:rPr>
        <w:t>1</w:t>
      </w:r>
      <w:r>
        <w:rPr>
          <w:rFonts w:hint="eastAsia"/>
          <w:highlight w:val="none"/>
          <w:lang w:eastAsia="zh-CN"/>
        </w:rPr>
        <w:t>、</w:t>
      </w:r>
      <w:r>
        <w:rPr>
          <w:rFonts w:hint="eastAsia"/>
          <w:highlight w:val="none"/>
        </w:rPr>
        <w:t>与周边单位、群众的协调措施</w:t>
      </w:r>
    </w:p>
    <w:p w14:paraId="236496E5">
      <w:pPr>
        <w:ind w:firstLine="480"/>
        <w:rPr>
          <w:highlight w:val="none"/>
        </w:rPr>
      </w:pPr>
      <w:r>
        <w:rPr>
          <w:rFonts w:hint="eastAsia"/>
          <w:highlight w:val="none"/>
        </w:rPr>
        <w:t>（1）客观正确对待地方政府和群众的要求；</w:t>
      </w:r>
    </w:p>
    <w:p w14:paraId="120AA8E3">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）尊重当地风俗习惯。要入乡随俗，在施工前要派人搞好社情、乡俗调查，主动搞好与地方的关系，增进团结。</w:t>
      </w:r>
    </w:p>
    <w:p w14:paraId="5EEACAD6">
      <w:pPr>
        <w:ind w:firstLine="480"/>
        <w:rPr>
          <w:highlight w:val="none"/>
        </w:rPr>
      </w:pPr>
      <w:r>
        <w:rPr>
          <w:rFonts w:hint="eastAsia"/>
          <w:highlight w:val="none"/>
        </w:rPr>
        <w:t>（</w:t>
      </w:r>
      <w:r>
        <w:rPr>
          <w:rFonts w:hint="eastAsia"/>
          <w:highlight w:val="none"/>
          <w:lang w:val="en-US" w:eastAsia="zh-CN"/>
        </w:rPr>
        <w:t>3</w:t>
      </w:r>
      <w:r>
        <w:rPr>
          <w:rFonts w:hint="eastAsia"/>
          <w:highlight w:val="none"/>
        </w:rPr>
        <w:t>）关心当地群众利益。关心体谅当地群众，我</w:t>
      </w:r>
      <w:r>
        <w:rPr>
          <w:rFonts w:hint="eastAsia"/>
          <w:highlight w:val="none"/>
          <w:lang w:val="en-US" w:eastAsia="zh-CN"/>
        </w:rPr>
        <w:t>部</w:t>
      </w:r>
      <w:r>
        <w:rPr>
          <w:rFonts w:hint="eastAsia"/>
          <w:highlight w:val="none"/>
        </w:rPr>
        <w:t>能办到的尽量办；对办不到的事情和无法满足的要求在说明情况的同时，要通过一些必要的形式，利用乡镇、村委和执法人员，沟通和当地群众的关系，创造相互理解的气氛。</w:t>
      </w:r>
    </w:p>
    <w:p w14:paraId="543C6C2D">
      <w:pPr>
        <w:ind w:firstLine="480"/>
        <w:rPr>
          <w:highlight w:val="none"/>
        </w:rPr>
      </w:pPr>
      <w:r>
        <w:rPr>
          <w:rFonts w:hint="eastAsia"/>
          <w:highlight w:val="none"/>
        </w:rPr>
        <w:t>（</w:t>
      </w:r>
      <w:r>
        <w:rPr>
          <w:rFonts w:hint="eastAsia"/>
          <w:highlight w:val="none"/>
          <w:lang w:val="en-US" w:eastAsia="zh-CN"/>
        </w:rPr>
        <w:t>4</w:t>
      </w:r>
      <w:r>
        <w:rPr>
          <w:rFonts w:hint="eastAsia"/>
          <w:highlight w:val="none"/>
        </w:rPr>
        <w:t>）尽量减少施工扰民。在项目</w:t>
      </w:r>
      <w:r>
        <w:rPr>
          <w:rFonts w:hint="eastAsia"/>
          <w:highlight w:val="none"/>
          <w:lang w:val="en-US" w:eastAsia="zh-CN"/>
        </w:rPr>
        <w:t>施工</w:t>
      </w:r>
      <w:r>
        <w:rPr>
          <w:rFonts w:hint="eastAsia"/>
          <w:highlight w:val="none"/>
        </w:rPr>
        <w:t>中，要充分考虑到扰民问题，从源头上减少施工扰民。</w:t>
      </w:r>
    </w:p>
    <w:p w14:paraId="4C84D9C5">
      <w:pPr>
        <w:ind w:firstLine="480"/>
        <w:rPr>
          <w:highlight w:val="none"/>
        </w:rPr>
      </w:pPr>
      <w:r>
        <w:rPr>
          <w:rFonts w:hint="eastAsia"/>
          <w:highlight w:val="none"/>
        </w:rPr>
        <w:t>（</w:t>
      </w:r>
      <w:r>
        <w:rPr>
          <w:rFonts w:hint="eastAsia"/>
          <w:highlight w:val="none"/>
          <w:lang w:val="en-US" w:eastAsia="zh-CN"/>
        </w:rPr>
        <w:t>5</w:t>
      </w:r>
      <w:r>
        <w:rPr>
          <w:rFonts w:hint="eastAsia"/>
          <w:highlight w:val="none"/>
        </w:rPr>
        <w:t>）尊重、相信、依靠政府。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针对难点解决问题，促其目标一致，才能顺利实现施工单位计划。</w:t>
      </w:r>
    </w:p>
    <w:p w14:paraId="3E5A3859">
      <w:pPr>
        <w:bidi w:val="0"/>
        <w:ind w:firstLine="480" w:firstLineChars="200"/>
        <w:rPr>
          <w:highlight w:val="none"/>
        </w:rPr>
      </w:pPr>
      <w:bookmarkStart w:id="482" w:name="_Toc502086837"/>
      <w:r>
        <w:rPr>
          <w:rFonts w:hint="eastAsia"/>
          <w:highlight w:val="none"/>
          <w:lang w:val="en-US" w:eastAsia="zh-CN"/>
        </w:rPr>
        <w:t>2、</w:t>
      </w:r>
      <w:r>
        <w:rPr>
          <w:rFonts w:hint="eastAsia"/>
          <w:highlight w:val="none"/>
        </w:rPr>
        <w:t>方便居民措施</w:t>
      </w:r>
      <w:bookmarkEnd w:id="482"/>
    </w:p>
    <w:p w14:paraId="55D92F8D">
      <w:pPr>
        <w:ind w:firstLine="480"/>
        <w:rPr>
          <w:highlight w:val="none"/>
        </w:rPr>
      </w:pPr>
      <w:r>
        <w:rPr>
          <w:rFonts w:hint="eastAsia"/>
          <w:highlight w:val="none"/>
        </w:rPr>
        <w:t>（1）安民宣传。施工前3至5天搞好安民宣传：公布工程性质、施工工期、安全措施，发放宣传材料，向周围的居民做好解释工作。</w:t>
      </w:r>
    </w:p>
    <w:p w14:paraId="25CAC5A2">
      <w:pPr>
        <w:ind w:firstLine="480"/>
        <w:rPr>
          <w:highlight w:val="none"/>
        </w:rPr>
      </w:pPr>
      <w:r>
        <w:rPr>
          <w:rFonts w:hint="eastAsia"/>
          <w:highlight w:val="none"/>
        </w:rPr>
        <w:t>（2）亮牌施工。进行施工位置要设宣传牌，公示本项目部工地负责人、开工竣工日期、联系电话等，方便群众有扰民现象便于联系。</w:t>
      </w:r>
    </w:p>
    <w:p w14:paraId="2EC2CCB3">
      <w:pPr>
        <w:ind w:firstLine="480"/>
        <w:rPr>
          <w:highlight w:val="none"/>
        </w:rPr>
      </w:pPr>
      <w:r>
        <w:rPr>
          <w:rFonts w:hint="eastAsia"/>
          <w:highlight w:val="none"/>
        </w:rPr>
        <w:t>（3）净场作业。工地渣土、淤泥随挖随运，现场用料随用随进，不得在施工现场搅拌灰土、水泥，以减少扬尘。</w:t>
      </w:r>
    </w:p>
    <w:p w14:paraId="061250AC">
      <w:pPr>
        <w:ind w:firstLine="480"/>
        <w:rPr>
          <w:highlight w:val="none"/>
        </w:rPr>
      </w:pPr>
      <w:r>
        <w:rPr>
          <w:rFonts w:hint="eastAsia"/>
          <w:highlight w:val="none"/>
        </w:rPr>
        <w:t>（</w:t>
      </w:r>
      <w:r>
        <w:rPr>
          <w:rFonts w:hint="eastAsia"/>
          <w:highlight w:val="none"/>
          <w:lang w:val="en-US" w:eastAsia="zh-CN"/>
        </w:rPr>
        <w:t>4</w:t>
      </w:r>
      <w:r>
        <w:rPr>
          <w:rFonts w:hint="eastAsia"/>
          <w:highlight w:val="none"/>
        </w:rPr>
        <w:t>）规范占用。施工现场临时占用及临时驻处设活动板房和简易卫生设施，现场堆放做到条块状物料成垛、粉屑状物料成方、机具整齐有序。</w:t>
      </w:r>
    </w:p>
    <w:p w14:paraId="2163FCD9">
      <w:pPr>
        <w:ind w:firstLine="480"/>
        <w:rPr>
          <w:highlight w:val="none"/>
        </w:rPr>
      </w:pPr>
      <w:r>
        <w:rPr>
          <w:rFonts w:hint="eastAsia"/>
          <w:highlight w:val="none"/>
        </w:rPr>
        <w:t>（</w:t>
      </w:r>
      <w:r>
        <w:rPr>
          <w:rFonts w:hint="eastAsia"/>
          <w:highlight w:val="none"/>
          <w:lang w:val="en-US" w:eastAsia="zh-CN"/>
        </w:rPr>
        <w:t>5</w:t>
      </w:r>
      <w:r>
        <w:rPr>
          <w:rFonts w:hint="eastAsia"/>
          <w:highlight w:val="none"/>
        </w:rPr>
        <w:t>）准时竣工。严格按审批时限完工，竣工后3天内清理完现场。</w:t>
      </w:r>
    </w:p>
    <w:p w14:paraId="5D6F92D1">
      <w:pPr>
        <w:ind w:firstLine="480"/>
        <w:rPr>
          <w:highlight w:val="none"/>
        </w:rPr>
      </w:pPr>
      <w:r>
        <w:rPr>
          <w:rFonts w:hint="eastAsia"/>
          <w:highlight w:val="none"/>
        </w:rPr>
        <w:t>（</w:t>
      </w:r>
      <w:r>
        <w:rPr>
          <w:rFonts w:hint="eastAsia"/>
          <w:highlight w:val="none"/>
          <w:lang w:val="en-US" w:eastAsia="zh-CN"/>
        </w:rPr>
        <w:t>6</w:t>
      </w:r>
      <w:r>
        <w:rPr>
          <w:rFonts w:hint="eastAsia"/>
          <w:highlight w:val="none"/>
        </w:rPr>
        <w:t>）当工程施工可能会对道路交通产生干扰时，在醒目位置设警告信号。</w:t>
      </w:r>
    </w:p>
    <w:p w14:paraId="742BF180">
      <w:pPr>
        <w:ind w:firstLine="480"/>
        <w:rPr>
          <w:highlight w:val="none"/>
        </w:rPr>
      </w:pPr>
      <w:r>
        <w:rPr>
          <w:rFonts w:hint="eastAsia"/>
          <w:highlight w:val="none"/>
        </w:rPr>
        <w:t>（</w:t>
      </w:r>
      <w:r>
        <w:rPr>
          <w:rFonts w:hint="eastAsia"/>
          <w:highlight w:val="none"/>
          <w:lang w:val="en-US" w:eastAsia="zh-CN"/>
        </w:rPr>
        <w:t>7</w:t>
      </w:r>
      <w:r>
        <w:rPr>
          <w:rFonts w:hint="eastAsia"/>
          <w:highlight w:val="none"/>
        </w:rPr>
        <w:t>）施工区域架设临时照明线路，照明灯具使用磨砂玻璃罩，沟槽基坑旁边设置警示标志，保证居民出行安全。</w:t>
      </w:r>
    </w:p>
    <w:p w14:paraId="370C509F">
      <w:pPr>
        <w:bidi w:val="0"/>
        <w:ind w:firstLine="480" w:firstLineChars="200"/>
        <w:rPr>
          <w:highlight w:val="none"/>
        </w:rPr>
      </w:pPr>
      <w:bookmarkStart w:id="483" w:name="_Toc502086838"/>
      <w:r>
        <w:rPr>
          <w:rFonts w:hint="eastAsia"/>
          <w:highlight w:val="none"/>
          <w:lang w:val="en-US" w:eastAsia="zh-CN"/>
        </w:rPr>
        <w:t>3、</w:t>
      </w:r>
      <w:r>
        <w:rPr>
          <w:rFonts w:hint="eastAsia"/>
          <w:highlight w:val="none"/>
        </w:rPr>
        <w:t>减少扰民措施</w:t>
      </w:r>
      <w:bookmarkEnd w:id="483"/>
    </w:p>
    <w:p w14:paraId="7874F353">
      <w:pPr>
        <w:ind w:firstLine="480"/>
        <w:rPr>
          <w:highlight w:val="none"/>
        </w:rPr>
      </w:pPr>
      <w:r>
        <w:rPr>
          <w:rFonts w:hint="eastAsia"/>
          <w:highlight w:val="none"/>
        </w:rPr>
        <w:t>（</w:t>
      </w:r>
      <w:r>
        <w:rPr>
          <w:highlight w:val="none"/>
        </w:rPr>
        <w:t>1</w:t>
      </w:r>
      <w:r>
        <w:rPr>
          <w:rFonts w:hint="eastAsia"/>
          <w:highlight w:val="none"/>
        </w:rPr>
        <w:t>）从声源上控制噪声是防止噪声扰民的最根本的措施。控制使用强噪声、强振动的施工机具，尽量采用低噪声的设备和工艺代替高噪声的设备和工艺，如低噪声振捣器、风机、电动空压机等。</w:t>
      </w:r>
    </w:p>
    <w:p w14:paraId="36D0510B">
      <w:pPr>
        <w:ind w:firstLine="480"/>
        <w:rPr>
          <w:highlight w:val="none"/>
        </w:rPr>
      </w:pPr>
      <w:r>
        <w:rPr>
          <w:rFonts w:hint="eastAsia"/>
          <w:highlight w:val="none"/>
        </w:rPr>
        <w:t>（2）严格控制人为噪声：进入施工现场不得高声喊叫、无故甩打模板、乱吹哨，最大限度地减少扰民噪音。</w:t>
      </w:r>
    </w:p>
    <w:p w14:paraId="2E13F040">
      <w:pPr>
        <w:ind w:firstLine="480"/>
        <w:rPr>
          <w:highlight w:val="none"/>
        </w:rPr>
      </w:pPr>
      <w:r>
        <w:rPr>
          <w:rFonts w:hint="eastAsia"/>
          <w:highlight w:val="none"/>
        </w:rPr>
        <w:t>（3）施工中尽可能避免晚10点到次日早6点之间施工，确系特殊情况必须昼夜施工时将尽量采取降低噪声措施，如确因工期或施工技术要求需要夜间施工的，会同建设单位办理有关许可手续，并告知周边单位、居民，求得群众谅解，并建立友好的睦邻关系。</w:t>
      </w:r>
    </w:p>
    <w:p w14:paraId="5BC56CD6">
      <w:pPr>
        <w:ind w:firstLine="480"/>
        <w:rPr>
          <w:highlight w:val="none"/>
        </w:rPr>
      </w:pPr>
      <w:r>
        <w:rPr>
          <w:rFonts w:hint="eastAsia"/>
          <w:highlight w:val="none"/>
        </w:rPr>
        <w:t>（4）施工作业中环保小组有专人负责对沿线进行保洁，运输车辆必须按规定的行驶路线运输作业，路过居民区时应慢速行驶，尽可能的避免震动和噪声，车辆上面要进行覆盖，保持清洁上路，符合不撒、不漏标准，轮胎要清扫冲洗干净。对沿线道路进行洒水，防止尘土飞扬造成对周围环境的污染。</w:t>
      </w:r>
    </w:p>
    <w:p w14:paraId="1A741A53">
      <w:pPr>
        <w:ind w:firstLine="480" w:firstLineChars="200"/>
        <w:rPr>
          <w:rFonts w:hint="eastAsia"/>
          <w:highlight w:val="none"/>
        </w:rPr>
      </w:pPr>
      <w:r>
        <w:rPr>
          <w:rFonts w:hint="eastAsia"/>
          <w:highlight w:val="none"/>
        </w:rPr>
        <w:t>（5）对发电机等机械要采取简易的防噪措施。机动车在工地行驶通过限速等措施避免产生灰尘，通过经常洒水减少扬尘。现场易生粉尘的细料存放及运输要加以遮盖。</w:t>
      </w:r>
    </w:p>
    <w:p w14:paraId="686F6011">
      <w:pPr>
        <w:pStyle w:val="4"/>
        <w:bidi w:val="0"/>
        <w:ind w:left="720" w:leftChars="0" w:hanging="720" w:firstLineChars="0"/>
        <w:rPr>
          <w:rFonts w:hint="eastAsia"/>
          <w:lang w:val="en-US" w:eastAsia="zh-CN"/>
        </w:rPr>
      </w:pPr>
      <w:r>
        <w:rPr>
          <w:rFonts w:hint="eastAsia"/>
          <w:lang w:val="en-US" w:eastAsia="zh-CN"/>
        </w:rPr>
        <w:t>7S管理</w:t>
      </w:r>
    </w:p>
    <w:p w14:paraId="774294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开展“7S”管理活动进行项目质量、安全文明施工的有效控制，总结实践经验，提出创新思路，为项目质量、安全文明施工系统化、标准化的管理服务，提升企业形象与社会效益。</w:t>
      </w:r>
    </w:p>
    <w:p w14:paraId="6D9D0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7S管理要素的实施要求：</w:t>
      </w:r>
    </w:p>
    <w:p w14:paraId="4B0D93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w:t>
      </w:r>
    </w:p>
    <w:p w14:paraId="587C65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整理规则：对施工现场摆放的物品、材料及机械进行分类，从而区分出使用等级。不常用的物品、材料及机械应及时清理出现场或划定区域临时放置。</w:t>
      </w:r>
    </w:p>
    <w:p w14:paraId="7691D3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w:t>
      </w:r>
    </w:p>
    <w:p w14:paraId="0005FD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规则：将施工现场要保留下的物品、材料及机械按照“三定原则”进行科学合理的布置和摆放，并设置明确、有效的标识。（三定原则。定物：就是选择需要的物品、材料保留下来，而将大部分不需要的物品、材料转入库房或进行废弃处理。定位：根据物品、材料的使用频率和使用便利性，决定物品、材料所放置的场地。定量：确定保留在施工场地或其附近的物品、材料的数量。）</w:t>
      </w:r>
    </w:p>
    <w:p w14:paraId="2619D7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3、清扫</w:t>
      </w:r>
    </w:p>
    <w:p w14:paraId="601376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清扫规则：对施工现场进行彻底的清扫，杜绝污染源，及时维修异常的设备将不需要的物品、材料清除掉，或者标识出来放在仓库中。每日清扫时间不少于5~15分钟，每2周至少安排一个清扫日，清扫1小时。</w:t>
      </w:r>
    </w:p>
    <w:p w14:paraId="1B3C8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4、清洁</w:t>
      </w:r>
    </w:p>
    <w:p w14:paraId="2CE01B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清洁规则：在整理、整顿、清扫之后进行认真的维护，重复不间断地保持整理、整顿和清扫，使其制度化。</w:t>
      </w:r>
    </w:p>
    <w:p w14:paraId="00256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5、安全</w:t>
      </w:r>
    </w:p>
    <w:p w14:paraId="43AD71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安全规则：将工作目标充分分解到各部门、各班组、各个人，加强施工组织设计、文明施工、定期安全检查、抽查、安全教育、生产安全施工应急预案的演练、严格落实红袖章三级管控制度和班前五分钟教育培训。</w:t>
      </w:r>
    </w:p>
    <w:p w14:paraId="7687A3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6、节约</w:t>
      </w:r>
    </w:p>
    <w:p w14:paraId="74E8AB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节约规则：提倡节能减排，绿色建筑，推广使用节能材料、设备设施与有利于节能的新工艺、新技术的应用。</w:t>
      </w:r>
    </w:p>
    <w:p w14:paraId="3DB55A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7、素养</w:t>
      </w:r>
    </w:p>
    <w:p w14:paraId="22D2F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素养规则：通过持续开展以上6S的活动，让每个员工都自觉遵守现场文明施工相关管理要求，养成良好的工作习惯、安全意识和爱岗敬业的职业道德。</w:t>
      </w:r>
    </w:p>
    <w:p w14:paraId="29FA1711">
      <w:pPr>
        <w:rPr>
          <w:rFonts w:hint="eastAsia"/>
          <w:highlight w:val="none"/>
        </w:rPr>
      </w:pPr>
      <w:r>
        <w:rPr>
          <w:rFonts w:hint="eastAsia"/>
          <w:highlight w:val="none"/>
        </w:rPr>
        <w:br w:type="page"/>
      </w:r>
    </w:p>
    <w:p w14:paraId="2747FD9E">
      <w:pPr>
        <w:pStyle w:val="2"/>
        <w:bidi w:val="0"/>
        <w:ind w:left="432" w:leftChars="0" w:hanging="432" w:firstLineChars="0"/>
        <w:rPr>
          <w:rFonts w:hint="default" w:ascii="宋体" w:hAnsi="宋体" w:eastAsia="宋体" w:cs="Times New Roman"/>
          <w:lang w:val="en-US"/>
        </w:rPr>
      </w:pPr>
      <w:bookmarkStart w:id="484" w:name="_Toc19891"/>
      <w:bookmarkStart w:id="485" w:name="_Toc3849"/>
      <w:r>
        <w:rPr>
          <w:rFonts w:hint="eastAsia" w:ascii="宋体" w:hAnsi="宋体" w:eastAsia="宋体" w:cs="Times New Roman"/>
          <w:lang w:val="en-US" w:eastAsia="zh-CN"/>
        </w:rPr>
        <w:t>11相关附件</w:t>
      </w:r>
      <w:bookmarkEnd w:id="484"/>
      <w:bookmarkEnd w:id="485"/>
    </w:p>
    <w:p w14:paraId="4A42B81E">
      <w:pPr>
        <w:pStyle w:val="3"/>
        <w:numPr>
          <w:ilvl w:val="1"/>
          <w:numId w:val="0"/>
        </w:numPr>
        <w:bidi w:val="0"/>
        <w:ind w:leftChars="0"/>
        <w:rPr>
          <w:rFonts w:hint="default"/>
          <w:lang w:val="en-US" w:eastAsia="zh-CN"/>
        </w:rPr>
      </w:pPr>
      <w:bookmarkStart w:id="486" w:name="_Toc14336"/>
      <w:bookmarkStart w:id="487" w:name="_Toc7495"/>
      <w:bookmarkStart w:id="488" w:name="_Toc1594"/>
      <w:r>
        <w:rPr>
          <w:rFonts w:hint="eastAsia"/>
          <w:lang w:val="en-US" w:eastAsia="zh-CN"/>
        </w:rPr>
        <w:t>附件1：XGT7525-16塔机立面图</w:t>
      </w:r>
      <w:bookmarkEnd w:id="486"/>
      <w:bookmarkEnd w:id="487"/>
      <w:bookmarkEnd w:id="488"/>
    </w:p>
    <w:p w14:paraId="47CEAEBB">
      <w:pPr>
        <w:jc w:val="center"/>
        <w:rPr>
          <w:highlight w:val="none"/>
        </w:rPr>
      </w:pPr>
      <w:r>
        <w:drawing>
          <wp:inline distT="0" distB="0" distL="114300" distR="114300">
            <wp:extent cx="5272405" cy="4384040"/>
            <wp:effectExtent l="0" t="0" r="4445" b="165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5272405" cy="4384040"/>
                    </a:xfrm>
                    <a:prstGeom prst="rect">
                      <a:avLst/>
                    </a:prstGeom>
                    <a:noFill/>
                    <a:ln>
                      <a:noFill/>
                    </a:ln>
                  </pic:spPr>
                </pic:pic>
              </a:graphicData>
            </a:graphic>
          </wp:inline>
        </w:drawing>
      </w:r>
    </w:p>
    <w:p w14:paraId="09711EF7">
      <w:pPr>
        <w:pStyle w:val="15"/>
        <w:bidi w:val="0"/>
        <w:rPr>
          <w:rFonts w:hint="default"/>
          <w:lang w:val="en-US" w:eastAsia="zh-CN"/>
        </w:rPr>
      </w:pPr>
      <w:r>
        <w:rPr>
          <w:rFonts w:hint="eastAsia"/>
          <w:lang w:val="en-US" w:eastAsia="zh-CN"/>
        </w:rPr>
        <w:t>新渡坪右幅10#塔机立面图</w:t>
      </w:r>
    </w:p>
    <w:p w14:paraId="62DFE800">
      <w:pPr>
        <w:rPr>
          <w:rFonts w:hint="eastAsia"/>
          <w:highlight w:val="none"/>
          <w:lang w:val="en-US" w:eastAsia="zh-CN"/>
        </w:rPr>
      </w:pPr>
    </w:p>
    <w:p w14:paraId="484E24DF">
      <w:pPr>
        <w:pStyle w:val="3"/>
        <w:numPr>
          <w:ilvl w:val="1"/>
          <w:numId w:val="0"/>
        </w:numPr>
        <w:bidi w:val="0"/>
        <w:ind w:leftChars="0"/>
        <w:rPr>
          <w:rFonts w:hint="default"/>
          <w:lang w:val="en-US" w:eastAsia="zh-CN"/>
        </w:rPr>
      </w:pPr>
      <w:bookmarkStart w:id="489" w:name="_Toc24394"/>
      <w:bookmarkStart w:id="490" w:name="_Toc14808"/>
      <w:bookmarkStart w:id="491" w:name="_Toc533"/>
      <w:r>
        <w:rPr>
          <w:rFonts w:hint="eastAsia"/>
          <w:lang w:val="en-US" w:eastAsia="zh-CN"/>
        </w:rPr>
        <w:t>附件2：XGT7525-16型塔机平面布置示意图</w:t>
      </w:r>
      <w:bookmarkEnd w:id="489"/>
      <w:bookmarkEnd w:id="490"/>
      <w:bookmarkEnd w:id="491"/>
    </w:p>
    <w:p w14:paraId="1B1A39F0">
      <w:pPr>
        <w:ind w:left="0" w:leftChars="0" w:firstLine="0" w:firstLineChars="0"/>
        <w:jc w:val="center"/>
        <w:rPr>
          <w:highlight w:val="none"/>
        </w:rPr>
      </w:pPr>
      <w:r>
        <w:drawing>
          <wp:inline distT="0" distB="0" distL="114300" distR="114300">
            <wp:extent cx="5408930" cy="4500880"/>
            <wp:effectExtent l="0" t="0" r="1270" b="1397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12"/>
                    <a:stretch>
                      <a:fillRect/>
                    </a:stretch>
                  </pic:blipFill>
                  <pic:spPr>
                    <a:xfrm>
                      <a:off x="0" y="0"/>
                      <a:ext cx="5408930" cy="4500880"/>
                    </a:xfrm>
                    <a:prstGeom prst="rect">
                      <a:avLst/>
                    </a:prstGeom>
                    <a:noFill/>
                    <a:ln>
                      <a:noFill/>
                    </a:ln>
                  </pic:spPr>
                </pic:pic>
              </a:graphicData>
            </a:graphic>
          </wp:inline>
        </w:drawing>
      </w:r>
    </w:p>
    <w:p w14:paraId="705DD6D6">
      <w:pPr>
        <w:pStyle w:val="15"/>
        <w:bidi w:val="0"/>
        <w:rPr>
          <w:rFonts w:hint="eastAsia"/>
          <w:highlight w:val="none"/>
          <w:lang w:val="en-US" w:eastAsia="zh-CN"/>
        </w:rPr>
      </w:pPr>
      <w:r>
        <w:rPr>
          <w:rFonts w:hint="eastAsia"/>
          <w:highlight w:val="none"/>
          <w:lang w:val="en-US" w:eastAsia="zh-CN"/>
        </w:rPr>
        <w:t>新渡坪右幅10#塔机</w:t>
      </w:r>
      <w:r>
        <w:rPr>
          <w:rFonts w:hint="eastAsia"/>
          <w:b w:val="0"/>
          <w:bCs w:val="0"/>
          <w:i w:val="0"/>
          <w:iCs w:val="0"/>
          <w:highlight w:val="none"/>
          <w:lang w:val="en-US" w:eastAsia="zh-CN"/>
        </w:rPr>
        <w:t>施工平面布置示</w:t>
      </w:r>
      <w:r>
        <w:rPr>
          <w:rFonts w:hint="eastAsia"/>
          <w:highlight w:val="none"/>
          <w:lang w:val="en-US" w:eastAsia="zh-CN"/>
        </w:rPr>
        <w:t>意图</w:t>
      </w:r>
    </w:p>
    <w:p w14:paraId="21FF632E"/>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Impact">
    <w:panose1 w:val="020B0806030902050204"/>
    <w:charset w:val="00"/>
    <w:family w:val="swiss"/>
    <w:pitch w:val="default"/>
    <w:sig w:usb0="00000287" w:usb1="00000000" w:usb2="00000000" w:usb3="00000000" w:csb0="2000009F" w:csb1="DFD7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auto"/>
    <w:pitch w:val="default"/>
    <w:sig w:usb0="E00002FF" w:usb1="420024FF" w:usb2="00000000" w:usb3="00000000" w:csb0="2000019F" w:csb1="00000000"/>
  </w:font>
  <w:font w:name="SJQY">
    <w:altName w:val="Kingsoft UE"/>
    <w:panose1 w:val="02010600030101010101"/>
    <w:charset w:val="86"/>
    <w:family w:val="auto"/>
    <w:pitch w:val="default"/>
    <w:sig w:usb0="00000000"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仿宋_GB2312+3+5">
    <w:altName w:val="仿宋"/>
    <w:panose1 w:val="00000000000000000000"/>
    <w:charset w:val="86"/>
    <w:family w:val="auto"/>
    <w:pitch w:val="default"/>
    <w:sig w:usb0="00000000" w:usb1="00000000" w:usb2="00000010" w:usb3="00000000" w:csb0="00040000" w:csb1="00000000"/>
  </w:font>
  <w:font w:name="仿宋_GB2312+3+3">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6">
    <w:altName w:val="仿宋"/>
    <w:panose1 w:val="00000000000000000000"/>
    <w:charset w:val="86"/>
    <w:family w:val="auto"/>
    <w:pitch w:val="default"/>
    <w:sig w:usb0="00000000" w:usb1="00000000" w:usb2="00000010" w:usb3="00000000" w:csb0="00040000" w:csb1="00000000"/>
  </w:font>
  <w:font w:name="仿宋_GB2312+3+7">
    <w:altName w:val="仿宋"/>
    <w:panose1 w:val="00000000000000000000"/>
    <w:charset w:val="86"/>
    <w:family w:val="auto"/>
    <w:pitch w:val="default"/>
    <w:sig w:usb0="00000000" w:usb1="00000000" w:usb2="00000010" w:usb3="00000000" w:csb0="00040000" w:csb1="00000000"/>
  </w:font>
  <w:font w:name="仿宋_GB2312+3+8">
    <w:altName w:val="仿宋"/>
    <w:panose1 w:val="00000000000000000000"/>
    <w:charset w:val="86"/>
    <w:family w:val="auto"/>
    <w:pitch w:val="default"/>
    <w:sig w:usb0="00000000" w:usb1="00000000" w:usb2="00000010" w:usb3="00000000" w:csb0="00040000" w:csb1="00000000"/>
  </w:font>
  <w:font w:name="仿宋_GB2312+3+9">
    <w:altName w:val="仿宋"/>
    <w:panose1 w:val="00000000000000000000"/>
    <w:charset w:val="86"/>
    <w:family w:val="auto"/>
    <w:pitch w:val="default"/>
    <w:sig w:usb0="00000000" w:usb1="00000000" w:usb2="00000010" w:usb3="00000000" w:csb0="00040000" w:csb1="00000000"/>
  </w:font>
  <w:font w:name="仿宋_GB2312+3+10">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9F73">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CA59">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w:t>
    </w:r>
    <w:r>
      <w:rPr>
        <w:rFonts w:hint="eastAsia" w:ascii="楷体" w:hAnsi="楷体" w:eastAsia="楷体" w:cs="楷体"/>
        <w:b/>
        <w:color w:val="0070C0"/>
        <w:sz w:val="20"/>
        <w:szCs w:val="20"/>
        <w:lang w:val="en-US" w:eastAsia="zh-CN"/>
      </w:rPr>
      <w:t>安装</w:t>
    </w:r>
    <w:r>
      <w:rPr>
        <w:rFonts w:hint="eastAsia" w:ascii="楷体" w:hAnsi="楷体" w:eastAsia="楷体" w:cs="楷体"/>
        <w:b/>
        <w:color w:val="0070C0"/>
        <w:sz w:val="20"/>
        <w:szCs w:val="20"/>
      </w:rPr>
      <w:t>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183A">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8651">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33"/>
      <w:suff w:val="nothing"/>
      <w:lvlText w:val="%1"/>
      <w:lvlJc w:val="left"/>
      <w:pPr>
        <w:tabs>
          <w:tab w:val="left" w:pos="0"/>
        </w:tabs>
        <w:ind w:left="0" w:firstLine="0"/>
      </w:pPr>
      <w:rPr>
        <w:rFonts w:hint="default"/>
      </w:rPr>
    </w:lvl>
  </w:abstractNum>
  <w:abstractNum w:abstractNumId="1">
    <w:nsid w:val="87433435"/>
    <w:multiLevelType w:val="multilevel"/>
    <w:tmpl w:val="87433435"/>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99786C19"/>
    <w:multiLevelType w:val="multilevel"/>
    <w:tmpl w:val="99786C1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suff w:val="nothing"/>
      <w:lvlText w:val="%1.%2.%3."/>
      <w:lvlJc w:val="left"/>
      <w:pPr>
        <w:ind w:left="720" w:hanging="720"/>
      </w:pPr>
      <w:rPr>
        <w:rFonts w:hint="default"/>
      </w:rPr>
    </w:lvl>
    <w:lvl w:ilvl="3" w:tentative="0">
      <w:start w:val="1"/>
      <w:numFmt w:val="decimal"/>
      <w:pStyle w:val="5"/>
      <w:suff w:val="nothing"/>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
    <w:nsid w:val="A71D95D4"/>
    <w:multiLevelType w:val="singleLevel"/>
    <w:tmpl w:val="A71D95D4"/>
    <w:lvl w:ilvl="0" w:tentative="0">
      <w:start w:val="1"/>
      <w:numFmt w:val="decimal"/>
      <w:suff w:val="nothing"/>
      <w:lvlText w:val="（%1）"/>
      <w:lvlJc w:val="left"/>
    </w:lvl>
  </w:abstractNum>
  <w:abstractNum w:abstractNumId="4">
    <w:nsid w:val="26967546"/>
    <w:multiLevelType w:val="singleLevel"/>
    <w:tmpl w:val="26967546"/>
    <w:lvl w:ilvl="0" w:tentative="0">
      <w:start w:val="1"/>
      <w:numFmt w:val="decimal"/>
      <w:suff w:val="nothing"/>
      <w:lvlText w:val="（%1）"/>
      <w:lvlJc w:val="left"/>
    </w:lvl>
  </w:abstractNum>
  <w:abstractNum w:abstractNumId="5">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30"/>
      <w:suff w:val="space"/>
      <w:lvlText w:val="(%5)"/>
      <w:lvlJc w:val="left"/>
      <w:pPr>
        <w:tabs>
          <w:tab w:val="left" w:pos="420"/>
        </w:tabs>
        <w:ind w:left="0" w:firstLine="510"/>
      </w:pPr>
      <w:rPr>
        <w:rFonts w:hint="default" w:ascii="宋体" w:hAnsi="宋体" w:eastAsia="宋体" w:cs="宋体"/>
      </w:rPr>
    </w:lvl>
    <w:lvl w:ilvl="5" w:tentative="0">
      <w:start w:val="1"/>
      <w:numFmt w:val="decimal"/>
      <w:pStyle w:val="134"/>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31"/>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9"/>
      <w:suff w:val="space"/>
      <w:lvlText w:val="图%1.%2-%9"/>
      <w:lvlJc w:val="left"/>
      <w:pPr>
        <w:tabs>
          <w:tab w:val="left" w:pos="420"/>
        </w:tabs>
        <w:ind w:left="0" w:firstLine="0"/>
      </w:pPr>
      <w:rPr>
        <w:rFonts w:hint="default" w:ascii="宋体" w:hAnsi="宋体" w:eastAsia="宋体" w:cs="宋体"/>
      </w:rPr>
    </w:lvl>
  </w:abstractNum>
  <w:abstractNum w:abstractNumId="6">
    <w:nsid w:val="53BC97FD"/>
    <w:multiLevelType w:val="multilevel"/>
    <w:tmpl w:val="53BC97FD"/>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B07CCF4"/>
    <w:multiLevelType w:val="singleLevel"/>
    <w:tmpl w:val="5B07CCF4"/>
    <w:lvl w:ilvl="0" w:tentative="0">
      <w:start w:val="1"/>
      <w:numFmt w:val="bullet"/>
      <w:pStyle w:val="122"/>
      <w:suff w:val="space"/>
      <w:lvlText w:val=""/>
      <w:lvlJc w:val="left"/>
      <w:pPr>
        <w:tabs>
          <w:tab w:val="left" w:pos="420"/>
        </w:tabs>
        <w:ind w:left="0" w:firstLine="624"/>
      </w:pPr>
      <w:rPr>
        <w:rFonts w:hint="default" w:ascii="Wingdings" w:hAnsi="Wingdings"/>
      </w:rPr>
    </w:lvl>
  </w:abstractNum>
  <w:abstractNum w:abstractNumId="8">
    <w:nsid w:val="6D4D45A4"/>
    <w:multiLevelType w:val="singleLevel"/>
    <w:tmpl w:val="6D4D45A4"/>
    <w:lvl w:ilvl="0" w:tentative="0">
      <w:start w:val="1"/>
      <w:numFmt w:val="decimal"/>
      <w:suff w:val="nothing"/>
      <w:lvlText w:val="(%1)"/>
      <w:lvlJc w:val="left"/>
      <w:pPr>
        <w:ind w:left="0" w:leftChars="0" w:firstLine="0" w:firstLineChars="0"/>
      </w:pPr>
      <w:rPr>
        <w:rFonts w:hint="default"/>
      </w:rPr>
    </w:lvl>
  </w:abstractNum>
  <w:abstractNum w:abstractNumId="9">
    <w:nsid w:val="6D6A43CE"/>
    <w:multiLevelType w:val="multilevel"/>
    <w:tmpl w:val="6D6A43CE"/>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7"/>
  </w:num>
  <w:num w:numId="3">
    <w:abstractNumId w:val="5"/>
  </w:num>
  <w:num w:numId="4">
    <w:abstractNumId w:val="0"/>
  </w:num>
  <w:num w:numId="5">
    <w:abstractNumId w:val="9"/>
  </w:num>
  <w:num w:numId="6">
    <w:abstractNumId w:val="6"/>
  </w:num>
  <w:num w:numId="7">
    <w:abstractNumId w:val="1"/>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ODBjZDhlODI0MzFhY2U1ODg0YzczNWIwYmZmODE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C717F"/>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21A3CBD"/>
    <w:rsid w:val="023216F2"/>
    <w:rsid w:val="02405F94"/>
    <w:rsid w:val="028C6A68"/>
    <w:rsid w:val="03031491"/>
    <w:rsid w:val="0333764D"/>
    <w:rsid w:val="03F15ED4"/>
    <w:rsid w:val="041A2AEF"/>
    <w:rsid w:val="047C4BE6"/>
    <w:rsid w:val="0486237A"/>
    <w:rsid w:val="04C32148"/>
    <w:rsid w:val="05774CAC"/>
    <w:rsid w:val="058B4971"/>
    <w:rsid w:val="05A72447"/>
    <w:rsid w:val="05B3487C"/>
    <w:rsid w:val="05E66441"/>
    <w:rsid w:val="06002DDC"/>
    <w:rsid w:val="06323AB9"/>
    <w:rsid w:val="06D66EBD"/>
    <w:rsid w:val="06E62D58"/>
    <w:rsid w:val="078B7694"/>
    <w:rsid w:val="078E37F4"/>
    <w:rsid w:val="07A169A4"/>
    <w:rsid w:val="08263C5B"/>
    <w:rsid w:val="085D0370"/>
    <w:rsid w:val="088A6B37"/>
    <w:rsid w:val="08934BBB"/>
    <w:rsid w:val="08B91299"/>
    <w:rsid w:val="08E46A38"/>
    <w:rsid w:val="08E75619"/>
    <w:rsid w:val="096940A3"/>
    <w:rsid w:val="0AC46982"/>
    <w:rsid w:val="0BC75A7E"/>
    <w:rsid w:val="0BE01A5F"/>
    <w:rsid w:val="0C4F0DDA"/>
    <w:rsid w:val="0CBF197A"/>
    <w:rsid w:val="0CFE6E17"/>
    <w:rsid w:val="0D0F01CD"/>
    <w:rsid w:val="0D450B46"/>
    <w:rsid w:val="0D702283"/>
    <w:rsid w:val="0D716C02"/>
    <w:rsid w:val="0D880067"/>
    <w:rsid w:val="0D8D1B4B"/>
    <w:rsid w:val="0D9A1D38"/>
    <w:rsid w:val="0E4E52A8"/>
    <w:rsid w:val="0E62049E"/>
    <w:rsid w:val="0EE075E5"/>
    <w:rsid w:val="0F101C89"/>
    <w:rsid w:val="0F1467D4"/>
    <w:rsid w:val="0F9A7A42"/>
    <w:rsid w:val="1016277B"/>
    <w:rsid w:val="10AA5667"/>
    <w:rsid w:val="11311F25"/>
    <w:rsid w:val="11A22912"/>
    <w:rsid w:val="11A41D91"/>
    <w:rsid w:val="11A910BA"/>
    <w:rsid w:val="11C06C72"/>
    <w:rsid w:val="12BA538F"/>
    <w:rsid w:val="12D66B6A"/>
    <w:rsid w:val="13343215"/>
    <w:rsid w:val="136458B7"/>
    <w:rsid w:val="1372646B"/>
    <w:rsid w:val="13E30B4C"/>
    <w:rsid w:val="145036C4"/>
    <w:rsid w:val="14BC76F2"/>
    <w:rsid w:val="14DB5AA6"/>
    <w:rsid w:val="14DE0AFB"/>
    <w:rsid w:val="14F56550"/>
    <w:rsid w:val="15C42E81"/>
    <w:rsid w:val="16806CA1"/>
    <w:rsid w:val="16917B1C"/>
    <w:rsid w:val="16A9014A"/>
    <w:rsid w:val="16BF152A"/>
    <w:rsid w:val="16F4799C"/>
    <w:rsid w:val="171514DA"/>
    <w:rsid w:val="171F5781"/>
    <w:rsid w:val="176747AF"/>
    <w:rsid w:val="17DF27C3"/>
    <w:rsid w:val="17E07B9B"/>
    <w:rsid w:val="18144709"/>
    <w:rsid w:val="18D44D2A"/>
    <w:rsid w:val="18FF7F74"/>
    <w:rsid w:val="190D610B"/>
    <w:rsid w:val="191E7BBA"/>
    <w:rsid w:val="19222E21"/>
    <w:rsid w:val="19405608"/>
    <w:rsid w:val="197952B3"/>
    <w:rsid w:val="19801694"/>
    <w:rsid w:val="198D0089"/>
    <w:rsid w:val="19A44E9B"/>
    <w:rsid w:val="19A76092"/>
    <w:rsid w:val="1AA45E9E"/>
    <w:rsid w:val="1BA13662"/>
    <w:rsid w:val="1C520F6B"/>
    <w:rsid w:val="1CD756BC"/>
    <w:rsid w:val="1CFC4D2A"/>
    <w:rsid w:val="1D0E36EF"/>
    <w:rsid w:val="1D6F11B3"/>
    <w:rsid w:val="1D8E4DA9"/>
    <w:rsid w:val="1DBE106F"/>
    <w:rsid w:val="1DD575F2"/>
    <w:rsid w:val="1E1E0A3E"/>
    <w:rsid w:val="1E6A3CB5"/>
    <w:rsid w:val="1ED02A09"/>
    <w:rsid w:val="1F3709E9"/>
    <w:rsid w:val="200D42B2"/>
    <w:rsid w:val="203F7B19"/>
    <w:rsid w:val="210070C5"/>
    <w:rsid w:val="21C428EF"/>
    <w:rsid w:val="22723D99"/>
    <w:rsid w:val="22870996"/>
    <w:rsid w:val="22980D40"/>
    <w:rsid w:val="22BA2054"/>
    <w:rsid w:val="234B7AE2"/>
    <w:rsid w:val="235B6F09"/>
    <w:rsid w:val="242C0807"/>
    <w:rsid w:val="24920B19"/>
    <w:rsid w:val="25C5597D"/>
    <w:rsid w:val="25DE7B87"/>
    <w:rsid w:val="2617492B"/>
    <w:rsid w:val="26C53EFB"/>
    <w:rsid w:val="272324FB"/>
    <w:rsid w:val="27386D9D"/>
    <w:rsid w:val="27D01FA7"/>
    <w:rsid w:val="2831332B"/>
    <w:rsid w:val="2840722C"/>
    <w:rsid w:val="289B1551"/>
    <w:rsid w:val="28BA140C"/>
    <w:rsid w:val="28D87B84"/>
    <w:rsid w:val="29422684"/>
    <w:rsid w:val="29A33021"/>
    <w:rsid w:val="2A3F3258"/>
    <w:rsid w:val="2A754FB7"/>
    <w:rsid w:val="2ABB53C3"/>
    <w:rsid w:val="2AC63C23"/>
    <w:rsid w:val="2ADB43C2"/>
    <w:rsid w:val="2B1D7825"/>
    <w:rsid w:val="2B3E411C"/>
    <w:rsid w:val="2B40408C"/>
    <w:rsid w:val="2B6C2204"/>
    <w:rsid w:val="2BBD2BC9"/>
    <w:rsid w:val="2BCE31D3"/>
    <w:rsid w:val="2BF34B33"/>
    <w:rsid w:val="2C1D1F8F"/>
    <w:rsid w:val="2C2C0D9D"/>
    <w:rsid w:val="2C9B4519"/>
    <w:rsid w:val="2CCC0255"/>
    <w:rsid w:val="2CFA2E2F"/>
    <w:rsid w:val="2D194B04"/>
    <w:rsid w:val="2D265BF9"/>
    <w:rsid w:val="2D8F2D8C"/>
    <w:rsid w:val="2D914BB9"/>
    <w:rsid w:val="2D9F1D37"/>
    <w:rsid w:val="2DC652CD"/>
    <w:rsid w:val="2DF53229"/>
    <w:rsid w:val="2E265B06"/>
    <w:rsid w:val="2E725599"/>
    <w:rsid w:val="2EC56D57"/>
    <w:rsid w:val="2F525233"/>
    <w:rsid w:val="2FC81695"/>
    <w:rsid w:val="30532999"/>
    <w:rsid w:val="306D1AAC"/>
    <w:rsid w:val="30F51354"/>
    <w:rsid w:val="311D75A8"/>
    <w:rsid w:val="31606D41"/>
    <w:rsid w:val="31A510A0"/>
    <w:rsid w:val="31A6792F"/>
    <w:rsid w:val="31F255AF"/>
    <w:rsid w:val="339073AE"/>
    <w:rsid w:val="33B06364"/>
    <w:rsid w:val="34697184"/>
    <w:rsid w:val="34795577"/>
    <w:rsid w:val="34AE751F"/>
    <w:rsid w:val="35AA17FB"/>
    <w:rsid w:val="36591D72"/>
    <w:rsid w:val="36B1156E"/>
    <w:rsid w:val="370F4595"/>
    <w:rsid w:val="373B04F2"/>
    <w:rsid w:val="378064F0"/>
    <w:rsid w:val="37863768"/>
    <w:rsid w:val="37D43BD6"/>
    <w:rsid w:val="37EE37E7"/>
    <w:rsid w:val="383B22E8"/>
    <w:rsid w:val="38F058B8"/>
    <w:rsid w:val="39861813"/>
    <w:rsid w:val="398E7091"/>
    <w:rsid w:val="39A7506D"/>
    <w:rsid w:val="39AE3903"/>
    <w:rsid w:val="39BB05A7"/>
    <w:rsid w:val="39D17B83"/>
    <w:rsid w:val="3A285D28"/>
    <w:rsid w:val="3A4F322C"/>
    <w:rsid w:val="3A6A181A"/>
    <w:rsid w:val="3A882831"/>
    <w:rsid w:val="3AC70F58"/>
    <w:rsid w:val="3AEC61EA"/>
    <w:rsid w:val="3B0C0B24"/>
    <w:rsid w:val="3B0F5ADC"/>
    <w:rsid w:val="3B3140E6"/>
    <w:rsid w:val="3B691C52"/>
    <w:rsid w:val="3BEE6312"/>
    <w:rsid w:val="3C910F67"/>
    <w:rsid w:val="3CCD1C64"/>
    <w:rsid w:val="3CFB349F"/>
    <w:rsid w:val="3D790732"/>
    <w:rsid w:val="3DD35697"/>
    <w:rsid w:val="3E344619"/>
    <w:rsid w:val="3E39568A"/>
    <w:rsid w:val="3EE93BE9"/>
    <w:rsid w:val="3F101FA9"/>
    <w:rsid w:val="3F40009A"/>
    <w:rsid w:val="3F500C15"/>
    <w:rsid w:val="3F6877DA"/>
    <w:rsid w:val="3F8F3AD1"/>
    <w:rsid w:val="3FB4100D"/>
    <w:rsid w:val="3FC368EA"/>
    <w:rsid w:val="40321124"/>
    <w:rsid w:val="40603B42"/>
    <w:rsid w:val="406132A7"/>
    <w:rsid w:val="40B25AEE"/>
    <w:rsid w:val="40C07A63"/>
    <w:rsid w:val="4100432A"/>
    <w:rsid w:val="416226F6"/>
    <w:rsid w:val="420C58B8"/>
    <w:rsid w:val="420F35B4"/>
    <w:rsid w:val="42BE671D"/>
    <w:rsid w:val="42D347BC"/>
    <w:rsid w:val="43690368"/>
    <w:rsid w:val="437C1635"/>
    <w:rsid w:val="43811F71"/>
    <w:rsid w:val="43A93D53"/>
    <w:rsid w:val="43BA2D18"/>
    <w:rsid w:val="43C0303F"/>
    <w:rsid w:val="43D941B5"/>
    <w:rsid w:val="43E17EBF"/>
    <w:rsid w:val="449D2088"/>
    <w:rsid w:val="44A96B47"/>
    <w:rsid w:val="44B1076D"/>
    <w:rsid w:val="44E34182"/>
    <w:rsid w:val="46192E49"/>
    <w:rsid w:val="46F510E6"/>
    <w:rsid w:val="47077063"/>
    <w:rsid w:val="47550DFF"/>
    <w:rsid w:val="476870E2"/>
    <w:rsid w:val="479A6B25"/>
    <w:rsid w:val="47D255EE"/>
    <w:rsid w:val="47E07536"/>
    <w:rsid w:val="48612F4D"/>
    <w:rsid w:val="4A6A2C7C"/>
    <w:rsid w:val="4A6A3D1A"/>
    <w:rsid w:val="4ACB4374"/>
    <w:rsid w:val="4B104CAB"/>
    <w:rsid w:val="4B1101D5"/>
    <w:rsid w:val="4BFC24EE"/>
    <w:rsid w:val="4C0D5206"/>
    <w:rsid w:val="4C6E57AF"/>
    <w:rsid w:val="4C7642AE"/>
    <w:rsid w:val="4CF813E1"/>
    <w:rsid w:val="4CFC50B6"/>
    <w:rsid w:val="4D0B3876"/>
    <w:rsid w:val="4D5A3970"/>
    <w:rsid w:val="4DD530AE"/>
    <w:rsid w:val="4E545090"/>
    <w:rsid w:val="4FB80EBC"/>
    <w:rsid w:val="504B489F"/>
    <w:rsid w:val="504C71AF"/>
    <w:rsid w:val="51125403"/>
    <w:rsid w:val="51A9419B"/>
    <w:rsid w:val="51B1480D"/>
    <w:rsid w:val="52326C6A"/>
    <w:rsid w:val="5286028E"/>
    <w:rsid w:val="5358382C"/>
    <w:rsid w:val="53937294"/>
    <w:rsid w:val="5394300C"/>
    <w:rsid w:val="53DC7594"/>
    <w:rsid w:val="53EC2E48"/>
    <w:rsid w:val="5411535C"/>
    <w:rsid w:val="54624402"/>
    <w:rsid w:val="546F0B02"/>
    <w:rsid w:val="54F0316B"/>
    <w:rsid w:val="551A6081"/>
    <w:rsid w:val="56052390"/>
    <w:rsid w:val="56AF69BC"/>
    <w:rsid w:val="56C043EA"/>
    <w:rsid w:val="577A72FF"/>
    <w:rsid w:val="58001828"/>
    <w:rsid w:val="58F8524D"/>
    <w:rsid w:val="596F7962"/>
    <w:rsid w:val="59DD4B1E"/>
    <w:rsid w:val="59F20A8D"/>
    <w:rsid w:val="5A22609C"/>
    <w:rsid w:val="5A491E32"/>
    <w:rsid w:val="5AC77527"/>
    <w:rsid w:val="5AC90ACD"/>
    <w:rsid w:val="5B8D53A1"/>
    <w:rsid w:val="5BFB3774"/>
    <w:rsid w:val="5C025C75"/>
    <w:rsid w:val="5C462F57"/>
    <w:rsid w:val="5C6D7659"/>
    <w:rsid w:val="5D1B684A"/>
    <w:rsid w:val="5DE423C4"/>
    <w:rsid w:val="5DEF36EF"/>
    <w:rsid w:val="5E522066"/>
    <w:rsid w:val="5E5252BB"/>
    <w:rsid w:val="5E6B7C06"/>
    <w:rsid w:val="5E942425"/>
    <w:rsid w:val="5EDD69E1"/>
    <w:rsid w:val="5EEB4428"/>
    <w:rsid w:val="5F3538F6"/>
    <w:rsid w:val="6039692A"/>
    <w:rsid w:val="603D41DA"/>
    <w:rsid w:val="609A7779"/>
    <w:rsid w:val="60F53F7E"/>
    <w:rsid w:val="61125609"/>
    <w:rsid w:val="616C2E7B"/>
    <w:rsid w:val="61925E12"/>
    <w:rsid w:val="628A4BAD"/>
    <w:rsid w:val="62A44FC8"/>
    <w:rsid w:val="62B52656"/>
    <w:rsid w:val="630E655D"/>
    <w:rsid w:val="63617D35"/>
    <w:rsid w:val="63763539"/>
    <w:rsid w:val="63D95908"/>
    <w:rsid w:val="646F7581"/>
    <w:rsid w:val="65024F8A"/>
    <w:rsid w:val="65892100"/>
    <w:rsid w:val="659A3BB5"/>
    <w:rsid w:val="66223497"/>
    <w:rsid w:val="66537BCF"/>
    <w:rsid w:val="666D5EA9"/>
    <w:rsid w:val="668B1E81"/>
    <w:rsid w:val="66AF0431"/>
    <w:rsid w:val="66B666B5"/>
    <w:rsid w:val="66DD5E8A"/>
    <w:rsid w:val="671D35ED"/>
    <w:rsid w:val="68EA74FF"/>
    <w:rsid w:val="69FA04D3"/>
    <w:rsid w:val="6A835585"/>
    <w:rsid w:val="6A885221"/>
    <w:rsid w:val="6A915604"/>
    <w:rsid w:val="6AE451FC"/>
    <w:rsid w:val="6B022626"/>
    <w:rsid w:val="6B0D3A71"/>
    <w:rsid w:val="6B5D608F"/>
    <w:rsid w:val="6C090214"/>
    <w:rsid w:val="6C1F5711"/>
    <w:rsid w:val="6C273661"/>
    <w:rsid w:val="6C4C3DF0"/>
    <w:rsid w:val="6C6E29DA"/>
    <w:rsid w:val="6D1144C3"/>
    <w:rsid w:val="6D241FA6"/>
    <w:rsid w:val="6E4F1275"/>
    <w:rsid w:val="6E674587"/>
    <w:rsid w:val="6F117CE6"/>
    <w:rsid w:val="6F423C93"/>
    <w:rsid w:val="6F6001CA"/>
    <w:rsid w:val="6FA0258C"/>
    <w:rsid w:val="70754611"/>
    <w:rsid w:val="7097261A"/>
    <w:rsid w:val="70FE7DA0"/>
    <w:rsid w:val="71866606"/>
    <w:rsid w:val="718A3FC6"/>
    <w:rsid w:val="71F201E8"/>
    <w:rsid w:val="72064E7B"/>
    <w:rsid w:val="725270D9"/>
    <w:rsid w:val="72705EF5"/>
    <w:rsid w:val="72F105E7"/>
    <w:rsid w:val="735639FF"/>
    <w:rsid w:val="736A791C"/>
    <w:rsid w:val="73D4718D"/>
    <w:rsid w:val="73E93634"/>
    <w:rsid w:val="742D5F97"/>
    <w:rsid w:val="74600815"/>
    <w:rsid w:val="74EF7ED0"/>
    <w:rsid w:val="74FC2661"/>
    <w:rsid w:val="757C3914"/>
    <w:rsid w:val="75FF12B3"/>
    <w:rsid w:val="7601232C"/>
    <w:rsid w:val="760A60E2"/>
    <w:rsid w:val="76102D56"/>
    <w:rsid w:val="7623121A"/>
    <w:rsid w:val="762A724D"/>
    <w:rsid w:val="76592168"/>
    <w:rsid w:val="76B16156"/>
    <w:rsid w:val="76B45B7C"/>
    <w:rsid w:val="76C26B60"/>
    <w:rsid w:val="770824F7"/>
    <w:rsid w:val="774010E7"/>
    <w:rsid w:val="777E12CB"/>
    <w:rsid w:val="77881EC0"/>
    <w:rsid w:val="77C85586"/>
    <w:rsid w:val="799C5B39"/>
    <w:rsid w:val="79F7766A"/>
    <w:rsid w:val="7A053E04"/>
    <w:rsid w:val="7A1A6619"/>
    <w:rsid w:val="7A1C7734"/>
    <w:rsid w:val="7A600049"/>
    <w:rsid w:val="7A8E22CF"/>
    <w:rsid w:val="7AC3135B"/>
    <w:rsid w:val="7B315ED6"/>
    <w:rsid w:val="7B6612E1"/>
    <w:rsid w:val="7BBC37F0"/>
    <w:rsid w:val="7C4B7C00"/>
    <w:rsid w:val="7C8021FC"/>
    <w:rsid w:val="7CA1665A"/>
    <w:rsid w:val="7CD816F8"/>
    <w:rsid w:val="7D3E7A1B"/>
    <w:rsid w:val="7D4D474C"/>
    <w:rsid w:val="7DC7010A"/>
    <w:rsid w:val="7EFE38AC"/>
    <w:rsid w:val="7F0A0FA4"/>
    <w:rsid w:val="7F411A8C"/>
    <w:rsid w:val="7F6C7A6B"/>
    <w:rsid w:val="7F74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numPr>
        <w:ilvl w:val="0"/>
        <w:numId w:val="1"/>
      </w:numPr>
      <w:spacing w:line="480" w:lineRule="auto"/>
      <w:ind w:left="432" w:hanging="432"/>
      <w:jc w:val="center"/>
      <w:outlineLvl w:val="0"/>
    </w:pPr>
    <w:rPr>
      <w:rFonts w:ascii="宋体" w:hAnsi="宋体" w:eastAsia="宋体"/>
      <w:b/>
      <w:color w:val="000000" w:themeColor="text1"/>
      <w:kern w:val="44"/>
      <w:sz w:val="30"/>
      <w14:textFill>
        <w14:solidFill>
          <w14:schemeClr w14:val="tx1"/>
        </w14:solidFill>
      </w14:textFill>
    </w:rPr>
  </w:style>
  <w:style w:type="paragraph" w:styleId="3">
    <w:name w:val="heading 2"/>
    <w:basedOn w:val="1"/>
    <w:next w:val="1"/>
    <w:link w:val="40"/>
    <w:unhideWhenUsed/>
    <w:qFormat/>
    <w:uiPriority w:val="0"/>
    <w:pPr>
      <w:keepNext/>
      <w:keepLines/>
      <w:numPr>
        <w:ilvl w:val="1"/>
        <w:numId w:val="1"/>
      </w:numPr>
      <w:spacing w:line="360" w:lineRule="auto"/>
      <w:ind w:left="575" w:leftChars="0" w:hanging="575"/>
      <w:jc w:val="left"/>
      <w:outlineLvl w:val="1"/>
    </w:pPr>
    <w:rPr>
      <w:rFonts w:ascii="宋体" w:hAnsi="宋体" w:eastAsia="宋体"/>
      <w:b/>
      <w:color w:val="000000" w:themeColor="text1"/>
      <w:sz w:val="28"/>
      <w14:textFill>
        <w14:solidFill>
          <w14:schemeClr w14:val="tx1"/>
        </w14:solidFill>
      </w14:textFill>
    </w:rPr>
  </w:style>
  <w:style w:type="paragraph" w:styleId="4">
    <w:name w:val="heading 3"/>
    <w:basedOn w:val="1"/>
    <w:next w:val="1"/>
    <w:unhideWhenUsed/>
    <w:qFormat/>
    <w:uiPriority w:val="0"/>
    <w:pPr>
      <w:keepNext/>
      <w:keepLines/>
      <w:numPr>
        <w:ilvl w:val="2"/>
        <w:numId w:val="1"/>
      </w:numPr>
      <w:spacing w:line="360" w:lineRule="auto"/>
      <w:ind w:left="720" w:leftChars="0" w:hanging="720"/>
      <w:outlineLvl w:val="2"/>
    </w:pPr>
    <w:rPr>
      <w:rFonts w:ascii="宋体" w:hAnsi="宋体" w:eastAsia="宋体"/>
      <w:color w:val="000000" w:themeColor="text1"/>
      <w14:textFill>
        <w14:solidFill>
          <w14:schemeClr w14:val="tx1"/>
        </w14:solidFill>
      </w14:textFill>
    </w:rPr>
  </w:style>
  <w:style w:type="paragraph" w:styleId="5">
    <w:name w:val="heading 4"/>
    <w:basedOn w:val="6"/>
    <w:next w:val="1"/>
    <w:unhideWhenUsed/>
    <w:qFormat/>
    <w:uiPriority w:val="0"/>
    <w:pPr>
      <w:keepNext/>
      <w:keepLines/>
      <w:numPr>
        <w:ilvl w:val="3"/>
        <w:numId w:val="1"/>
      </w:numPr>
      <w:tabs>
        <w:tab w:val="left" w:pos="0"/>
      </w:tabs>
      <w:spacing w:line="360" w:lineRule="auto"/>
      <w:ind w:left="864" w:leftChars="0" w:hanging="864"/>
      <w:outlineLvl w:val="3"/>
    </w:pPr>
    <w:rPr>
      <w:rFonts w:ascii="宋体" w:hAnsi="宋体" w:eastAsia="宋体" w:cstheme="majorBidi"/>
      <w:bCs/>
      <w:color w:val="000000" w:themeColor="text1"/>
      <w:szCs w:val="28"/>
      <w14:textFill>
        <w14:solidFill>
          <w14:schemeClr w14:val="tx1"/>
        </w14:solidFill>
      </w14:textFill>
    </w:rPr>
  </w:style>
  <w:style w:type="paragraph" w:styleId="7">
    <w:name w:val="heading 5"/>
    <w:basedOn w:val="1"/>
    <w:next w:val="1"/>
    <w:link w:val="111"/>
    <w:unhideWhenUsed/>
    <w:qFormat/>
    <w:uiPriority w:val="0"/>
    <w:pPr>
      <w:keepNext/>
      <w:keepLines/>
      <w:numPr>
        <w:ilvl w:val="4"/>
        <w:numId w:val="1"/>
      </w:numPr>
      <w:spacing w:line="360" w:lineRule="auto"/>
      <w:ind w:left="1008" w:hanging="1008" w:firstLineChars="0"/>
      <w:outlineLvl w:val="4"/>
    </w:pPr>
    <w:rPr>
      <w:b/>
      <w:bCs/>
      <w:sz w:val="24"/>
      <w:szCs w:val="28"/>
    </w:rPr>
  </w:style>
  <w:style w:type="paragraph" w:styleId="8">
    <w:name w:val="heading 6"/>
    <w:basedOn w:val="1"/>
    <w:next w:val="1"/>
    <w:link w:val="112"/>
    <w:unhideWhenUsed/>
    <w:qFormat/>
    <w:uiPriority w:val="0"/>
    <w:pPr>
      <w:keepNext/>
      <w:keepLines/>
      <w:numPr>
        <w:ilvl w:val="5"/>
        <w:numId w:val="1"/>
      </w:numPr>
      <w:adjustRightInd w:val="0"/>
      <w:snapToGrid w:val="0"/>
      <w:spacing w:before="240" w:after="64" w:line="317" w:lineRule="auto"/>
      <w:ind w:left="1151" w:hanging="1151" w:firstLineChars="0"/>
      <w:jc w:val="left"/>
      <w:outlineLvl w:val="5"/>
    </w:pPr>
    <w:rPr>
      <w:rFonts w:ascii="Arial" w:hAnsi="Arial" w:eastAsia="黑体" w:cs="宋体"/>
      <w:b/>
      <w:snapToGrid w:val="0"/>
      <w:kern w:val="0"/>
      <w:sz w:val="24"/>
      <w:szCs w:val="24"/>
    </w:rPr>
  </w:style>
  <w:style w:type="paragraph" w:styleId="9">
    <w:name w:val="heading 7"/>
    <w:basedOn w:val="1"/>
    <w:next w:val="1"/>
    <w:link w:val="114"/>
    <w:unhideWhenUsed/>
    <w:qFormat/>
    <w:uiPriority w:val="0"/>
    <w:pPr>
      <w:keepNext/>
      <w:keepLines/>
      <w:numPr>
        <w:ilvl w:val="6"/>
        <w:numId w:val="1"/>
      </w:numPr>
      <w:adjustRightInd w:val="0"/>
      <w:snapToGrid w:val="0"/>
      <w:spacing w:before="240" w:after="64" w:line="317" w:lineRule="auto"/>
      <w:ind w:left="1296" w:hanging="1296" w:firstLineChars="0"/>
      <w:jc w:val="left"/>
      <w:outlineLvl w:val="6"/>
    </w:pPr>
    <w:rPr>
      <w:rFonts w:ascii="宋体" w:hAnsi="宋体" w:eastAsia="宋体" w:cs="宋体"/>
      <w:b/>
      <w:snapToGrid w:val="0"/>
      <w:kern w:val="0"/>
      <w:sz w:val="24"/>
      <w:szCs w:val="24"/>
    </w:rPr>
  </w:style>
  <w:style w:type="paragraph" w:styleId="10">
    <w:name w:val="heading 8"/>
    <w:basedOn w:val="1"/>
    <w:next w:val="1"/>
    <w:link w:val="115"/>
    <w:unhideWhenUsed/>
    <w:qFormat/>
    <w:uiPriority w:val="0"/>
    <w:pPr>
      <w:numPr>
        <w:ilvl w:val="7"/>
        <w:numId w:val="1"/>
      </w:numPr>
      <w:tabs>
        <w:tab w:val="left" w:pos="420"/>
      </w:tabs>
      <w:adjustRightInd w:val="0"/>
      <w:snapToGrid w:val="0"/>
      <w:spacing w:after="160" w:line="400" w:lineRule="exact"/>
      <w:ind w:left="1440" w:hanging="1440"/>
      <w:jc w:val="center"/>
      <w:outlineLvl w:val="7"/>
    </w:pPr>
    <w:rPr>
      <w:rFonts w:ascii="宋体" w:hAnsi="宋体" w:eastAsia="宋体" w:cs="宋体"/>
      <w:b/>
      <w:bCs/>
      <w:snapToGrid w:val="0"/>
      <w:kern w:val="0"/>
      <w:szCs w:val="21"/>
    </w:rPr>
  </w:style>
  <w:style w:type="paragraph" w:styleId="11">
    <w:name w:val="heading 9"/>
    <w:basedOn w:val="1"/>
    <w:next w:val="1"/>
    <w:link w:val="116"/>
    <w:unhideWhenUsed/>
    <w:qFormat/>
    <w:uiPriority w:val="0"/>
    <w:pPr>
      <w:numPr>
        <w:ilvl w:val="8"/>
        <w:numId w:val="1"/>
      </w:numPr>
      <w:tabs>
        <w:tab w:val="left" w:pos="420"/>
      </w:tabs>
      <w:adjustRightInd w:val="0"/>
      <w:snapToGrid w:val="0"/>
      <w:ind w:left="1583" w:hanging="1583"/>
      <w:jc w:val="center"/>
      <w:outlineLvl w:val="8"/>
    </w:pPr>
    <w:rPr>
      <w:rFonts w:ascii="宋体" w:hAnsi="宋体" w:eastAsia="宋体" w:cs="宋体"/>
      <w:snapToGrid w:val="0"/>
      <w:kern w:val="0"/>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s>
    </w:pPr>
  </w:style>
  <w:style w:type="paragraph" w:styleId="12">
    <w:name w:val="Normal Indent"/>
    <w:basedOn w:val="1"/>
    <w:next w:val="13"/>
    <w:qFormat/>
    <w:uiPriority w:val="0"/>
    <w:pPr>
      <w:spacing w:line="240" w:lineRule="auto"/>
      <w:ind w:firstLine="0" w:firstLineChars="0"/>
      <w:jc w:val="center"/>
    </w:pPr>
    <w:rPr>
      <w:sz w:val="21"/>
    </w:rPr>
  </w:style>
  <w:style w:type="paragraph" w:styleId="13">
    <w:name w:val="Body Text First Indent"/>
    <w:basedOn w:val="14"/>
    <w:next w:val="1"/>
    <w:link w:val="101"/>
    <w:qFormat/>
    <w:uiPriority w:val="99"/>
    <w:pPr>
      <w:ind w:firstLine="420" w:firstLineChars="100"/>
    </w:pPr>
    <w:rPr>
      <w:kern w:val="2"/>
      <w:sz w:val="21"/>
    </w:rPr>
  </w:style>
  <w:style w:type="paragraph" w:styleId="14">
    <w:name w:val="Body Text"/>
    <w:basedOn w:val="1"/>
    <w:link w:val="100"/>
    <w:qFormat/>
    <w:uiPriority w:val="0"/>
    <w:pPr>
      <w:spacing w:after="120"/>
    </w:pPr>
    <w:rPr>
      <w:kern w:val="0"/>
      <w:sz w:val="20"/>
    </w:rPr>
  </w:style>
  <w:style w:type="paragraph" w:styleId="15">
    <w:name w:val="caption"/>
    <w:basedOn w:val="1"/>
    <w:next w:val="16"/>
    <w:unhideWhenUsed/>
    <w:qFormat/>
    <w:uiPriority w:val="0"/>
    <w:pPr>
      <w:spacing w:line="360" w:lineRule="auto"/>
      <w:jc w:val="center"/>
    </w:pPr>
    <w:rPr>
      <w:rFonts w:ascii="Times New Roman" w:hAnsi="Times New Roman" w:eastAsia="黑体"/>
      <w:sz w:val="21"/>
      <w:szCs w:val="21"/>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annotation text"/>
    <w:basedOn w:val="1"/>
    <w:link w:val="113"/>
    <w:qFormat/>
    <w:uiPriority w:val="0"/>
    <w:pPr>
      <w:jc w:val="left"/>
    </w:pPr>
  </w:style>
  <w:style w:type="paragraph" w:styleId="19">
    <w:name w:val="Body Text Indent"/>
    <w:basedOn w:val="1"/>
    <w:next w:val="1"/>
    <w:qFormat/>
    <w:uiPriority w:val="0"/>
    <w:pPr>
      <w:tabs>
        <w:tab w:val="left" w:pos="360"/>
      </w:tabs>
      <w:ind w:left="600" w:leftChars="257" w:hanging="60" w:hangingChars="25"/>
    </w:pPr>
    <w:rPr>
      <w:rFonts w:ascii="宋体" w:hAnsi="宋体"/>
      <w:kern w:val="0"/>
      <w:sz w:val="24"/>
    </w:rPr>
  </w:style>
  <w:style w:type="paragraph" w:styleId="20">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21">
    <w:name w:val="Plain Text"/>
    <w:basedOn w:val="1"/>
    <w:unhideWhenUsed/>
    <w:qFormat/>
    <w:uiPriority w:val="0"/>
    <w:rPr>
      <w:rFonts w:ascii="宋体" w:hAnsi="Courier New"/>
      <w:sz w:val="19"/>
    </w:rPr>
  </w:style>
  <w:style w:type="paragraph" w:styleId="22">
    <w:name w:val="Balloon Text"/>
    <w:basedOn w:val="1"/>
    <w:link w:val="89"/>
    <w:qFormat/>
    <w:uiPriority w:val="0"/>
    <w:rPr>
      <w:sz w:val="18"/>
      <w:szCs w:val="18"/>
    </w:rPr>
  </w:style>
  <w:style w:type="paragraph" w:styleId="23">
    <w:name w:val="footer"/>
    <w:basedOn w:val="1"/>
    <w:link w:val="144"/>
    <w:qFormat/>
    <w:uiPriority w:val="99"/>
    <w:pPr>
      <w:tabs>
        <w:tab w:val="center" w:pos="4153"/>
        <w:tab w:val="right" w:pos="8306"/>
      </w:tabs>
      <w:snapToGrid w:val="0"/>
      <w:jc w:val="left"/>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style>
  <w:style w:type="paragraph" w:styleId="26">
    <w:name w:val="toc 2"/>
    <w:basedOn w:val="1"/>
    <w:next w:val="1"/>
    <w:qFormat/>
    <w:uiPriority w:val="39"/>
    <w:pPr>
      <w:ind w:left="420" w:leftChars="200"/>
    </w:p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9">
    <w:name w:val="Body Text First Indent 2"/>
    <w:basedOn w:val="19"/>
    <w:next w:val="21"/>
    <w:qFormat/>
    <w:uiPriority w:val="0"/>
    <w:pPr>
      <w:tabs>
        <w:tab w:val="left" w:pos="964"/>
      </w:tabs>
      <w:spacing w:line="240" w:lineRule="atLeast"/>
      <w:ind w:left="964" w:hanging="425"/>
    </w:pPr>
    <w:rPr>
      <w:sz w:val="28"/>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4"/>
      <w:szCs w:val="24"/>
    </w:rPr>
  </w:style>
  <w:style w:type="character" w:styleId="34">
    <w:name w:val="FollowedHyperlink"/>
    <w:basedOn w:val="32"/>
    <w:qFormat/>
    <w:uiPriority w:val="0"/>
    <w:rPr>
      <w:color w:val="954F72" w:themeColor="followedHyperlink"/>
      <w:u w:val="single"/>
      <w14:textFill>
        <w14:solidFill>
          <w14:schemeClr w14:val="folHlink"/>
        </w14:solidFill>
      </w14:textFill>
    </w:rPr>
  </w:style>
  <w:style w:type="character" w:styleId="35">
    <w:name w:val="Emphasis"/>
    <w:basedOn w:val="32"/>
    <w:qFormat/>
    <w:uiPriority w:val="0"/>
    <w:rPr>
      <w:color w:val="CC0000"/>
      <w:sz w:val="24"/>
      <w:szCs w:val="24"/>
    </w:rPr>
  </w:style>
  <w:style w:type="character" w:styleId="36">
    <w:name w:val="Hyperlink"/>
    <w:basedOn w:val="32"/>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styleId="38">
    <w:name w:val="HTML Cite"/>
    <w:basedOn w:val="32"/>
    <w:qFormat/>
    <w:uiPriority w:val="0"/>
    <w:rPr>
      <w:sz w:val="24"/>
      <w:szCs w:val="24"/>
    </w:rPr>
  </w:style>
  <w:style w:type="paragraph" w:customStyle="1" w:styleId="39">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character" w:customStyle="1" w:styleId="40">
    <w:name w:val="标题 2 字符"/>
    <w:link w:val="3"/>
    <w:qFormat/>
    <w:uiPriority w:val="0"/>
    <w:rPr>
      <w:rFonts w:ascii="宋体" w:hAnsi="宋体" w:eastAsia="宋体"/>
      <w:b/>
      <w:color w:val="000000" w:themeColor="text1"/>
      <w:kern w:val="2"/>
      <w:sz w:val="28"/>
      <w:szCs w:val="22"/>
      <w14:textFill>
        <w14:solidFill>
          <w14:schemeClr w14:val="tx1"/>
        </w14:solidFill>
      </w14:textFill>
    </w:rPr>
  </w:style>
  <w:style w:type="paragraph" w:customStyle="1" w:styleId="41">
    <w:name w:val="图名"/>
    <w:basedOn w:val="42"/>
    <w:qFormat/>
    <w:uiPriority w:val="0"/>
    <w:pPr>
      <w:spacing w:line="240" w:lineRule="auto"/>
      <w:ind w:right="0"/>
    </w:pPr>
  </w:style>
  <w:style w:type="paragraph" w:customStyle="1" w:styleId="42">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 w:type="paragraph" w:customStyle="1" w:styleId="43">
    <w:name w:val="图表标题"/>
    <w:basedOn w:val="1"/>
    <w:next w:val="1"/>
    <w:qFormat/>
    <w:uiPriority w:val="0"/>
    <w:pPr>
      <w:widowControl/>
      <w:ind w:firstLine="0" w:firstLineChars="0"/>
      <w:jc w:val="center"/>
    </w:pPr>
    <w:rPr>
      <w:rFonts w:ascii="Times New Roman" w:hAnsi="Times New Roman" w:eastAsia="宋体" w:cs="Times New Roman"/>
      <w:b/>
      <w:color w:val="C00000"/>
      <w:kern w:val="0"/>
      <w:szCs w:val="22"/>
    </w:rPr>
  </w:style>
  <w:style w:type="paragraph" w:customStyle="1" w:styleId="44">
    <w:name w:val="标题3"/>
    <w:basedOn w:val="45"/>
    <w:qFormat/>
    <w:uiPriority w:val="0"/>
    <w:pPr>
      <w:spacing w:line="360" w:lineRule="auto"/>
      <w:ind w:leftChars="100" w:firstLine="100" w:firstLineChars="100"/>
      <w:outlineLvl w:val="2"/>
    </w:pPr>
    <w:rPr>
      <w:rFonts w:ascii="宋体" w:hAnsi="宋体"/>
      <w:color w:val="0000E3"/>
    </w:rPr>
  </w:style>
  <w:style w:type="paragraph" w:customStyle="1" w:styleId="45">
    <w:name w:val="标题2"/>
    <w:basedOn w:val="1"/>
    <w:qFormat/>
    <w:uiPriority w:val="0"/>
    <w:pPr>
      <w:spacing w:before="40" w:after="40"/>
      <w:jc w:val="left"/>
      <w:outlineLvl w:val="1"/>
    </w:pPr>
    <w:rPr>
      <w:rFonts w:ascii="宋体" w:hAnsi="宋体"/>
      <w:b/>
      <w:bCs/>
      <w:color w:val="000000"/>
      <w:szCs w:val="24"/>
    </w:rPr>
  </w:style>
  <w:style w:type="paragraph" w:styleId="46">
    <w:name w:val="List Paragraph"/>
    <w:basedOn w:val="1"/>
    <w:qFormat/>
    <w:uiPriority w:val="34"/>
    <w:pPr>
      <w:ind w:firstLine="420" w:firstLineChars="200"/>
    </w:pPr>
  </w:style>
  <w:style w:type="paragraph" w:customStyle="1" w:styleId="47">
    <w:name w:val="正文B"/>
    <w:basedOn w:val="1"/>
    <w:link w:val="70"/>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48">
    <w:name w:val="正文C"/>
    <w:basedOn w:val="1"/>
    <w:link w:val="7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9">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50">
    <w:name w:val="正文A"/>
    <w:basedOn w:val="1"/>
    <w:qFormat/>
    <w:uiPriority w:val="0"/>
    <w:pPr>
      <w:spacing w:line="360" w:lineRule="auto"/>
    </w:pPr>
    <w:rPr>
      <w:rFonts w:ascii="宋体" w:hAnsi="宋体" w:eastAsia="宋体" w:cs="宋体"/>
      <w:color w:val="FF0000"/>
      <w:kern w:val="0"/>
      <w:sz w:val="24"/>
      <w:szCs w:val="24"/>
    </w:rPr>
  </w:style>
  <w:style w:type="table" w:customStyle="1" w:styleId="51">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2">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3">
    <w:name w:val="小干表内"/>
    <w:basedOn w:val="1"/>
    <w:qFormat/>
    <w:uiPriority w:val="99"/>
    <w:pPr>
      <w:jc w:val="left"/>
    </w:pPr>
    <w:rPr>
      <w:rFonts w:ascii="宋体" w:hAnsi="宋体" w:cs="黑体" w:eastAsiaTheme="minorEastAsia"/>
    </w:rPr>
  </w:style>
  <w:style w:type="paragraph" w:customStyle="1" w:styleId="54">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55">
    <w:name w:val="表中字"/>
    <w:basedOn w:val="56"/>
    <w:next w:val="1"/>
    <w:qFormat/>
    <w:uiPriority w:val="99"/>
    <w:pPr>
      <w:adjustRightInd w:val="0"/>
      <w:snapToGrid w:val="0"/>
      <w:jc w:val="center"/>
    </w:pPr>
    <w:rPr>
      <w:rFonts w:ascii="Times New Roman" w:hAnsi="Times New Roman" w:eastAsia="宋体"/>
    </w:rPr>
  </w:style>
  <w:style w:type="paragraph" w:customStyle="1" w:styleId="56">
    <w:name w:val="图表题"/>
    <w:basedOn w:val="1"/>
    <w:next w:val="1"/>
    <w:qFormat/>
    <w:uiPriority w:val="0"/>
    <w:pPr>
      <w:ind w:firstLine="0" w:firstLineChars="0"/>
      <w:jc w:val="center"/>
    </w:pPr>
    <w:rPr>
      <w:rFonts w:ascii="Times New Roman" w:hAnsi="Times New Roman"/>
      <w:b/>
    </w:rPr>
  </w:style>
  <w:style w:type="paragraph" w:customStyle="1" w:styleId="57">
    <w:name w:val="表格"/>
    <w:basedOn w:val="1"/>
    <w:qFormat/>
    <w:uiPriority w:val="0"/>
    <w:pPr>
      <w:adjustRightInd w:val="0"/>
      <w:snapToGrid w:val="0"/>
      <w:spacing w:line="500" w:lineRule="exact"/>
      <w:ind w:firstLine="200" w:firstLineChars="200"/>
      <w:jc w:val="center"/>
    </w:pPr>
    <w:rPr>
      <w:rFonts w:ascii="仿宋" w:hAnsi="仿宋" w:eastAsia="黑体"/>
      <w:color w:val="000000" w:themeColor="text1"/>
      <w:sz w:val="21"/>
      <w:szCs w:val="20"/>
      <w14:textFill>
        <w14:solidFill>
          <w14:schemeClr w14:val="tx1"/>
        </w14:solidFill>
      </w14:textFill>
    </w:rPr>
  </w:style>
  <w:style w:type="paragraph" w:customStyle="1" w:styleId="58">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59">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60">
    <w:name w:val="图名z"/>
    <w:basedOn w:val="1"/>
    <w:qFormat/>
    <w:uiPriority w:val="99"/>
    <w:pPr>
      <w:spacing w:beforeLines="50" w:line="360" w:lineRule="auto"/>
      <w:jc w:val="center"/>
    </w:pPr>
    <w:rPr>
      <w:rFonts w:ascii="Calibri" w:hAnsi="Calibri" w:eastAsia="宋体"/>
      <w:sz w:val="24"/>
      <w:szCs w:val="24"/>
    </w:rPr>
  </w:style>
  <w:style w:type="paragraph" w:customStyle="1" w:styleId="61">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62">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63">
    <w:name w:val="7图表"/>
    <w:qFormat/>
    <w:uiPriority w:val="0"/>
    <w:pPr>
      <w:jc w:val="center"/>
    </w:pPr>
    <w:rPr>
      <w:rFonts w:ascii="宋体" w:hAnsi="宋体" w:eastAsia="宋体" w:cs="Times New Roman"/>
      <w:b/>
      <w:sz w:val="24"/>
      <w:szCs w:val="21"/>
      <w:lang w:val="en-US" w:eastAsia="zh-CN" w:bidi="ar-SA"/>
    </w:rPr>
  </w:style>
  <w:style w:type="paragraph" w:customStyle="1" w:styleId="64">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65">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6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67">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68">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6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70">
    <w:name w:val="正文B Char"/>
    <w:link w:val="47"/>
    <w:qFormat/>
    <w:uiPriority w:val="0"/>
    <w:rPr>
      <w:rFonts w:ascii="宋体" w:hAnsi="宋体" w:eastAsia="黑体" w:cs="宋体"/>
      <w:color w:val="FF0000"/>
      <w:kern w:val="0"/>
      <w:sz w:val="24"/>
      <w:szCs w:val="24"/>
    </w:rPr>
  </w:style>
  <w:style w:type="character" w:customStyle="1" w:styleId="71">
    <w:name w:val="正文C Char"/>
    <w:link w:val="48"/>
    <w:qFormat/>
    <w:uiPriority w:val="0"/>
    <w:rPr>
      <w:rFonts w:ascii="宋体" w:hAnsi="宋体" w:cs="宋体"/>
      <w:color w:val="535353" w:themeColor="accent3" w:themeShade="80"/>
      <w:sz w:val="24"/>
      <w:szCs w:val="24"/>
    </w:rPr>
  </w:style>
  <w:style w:type="paragraph" w:styleId="72">
    <w:name w:val="No Spacing"/>
    <w:basedOn w:val="1"/>
    <w:next w:val="1"/>
    <w:link w:val="140"/>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73">
    <w:name w:val="comment-number"/>
    <w:basedOn w:val="32"/>
    <w:qFormat/>
    <w:uiPriority w:val="0"/>
    <w:rPr>
      <w:color w:val="FBA222"/>
    </w:rPr>
  </w:style>
  <w:style w:type="character" w:customStyle="1" w:styleId="74">
    <w:name w:val="comment-text-w"/>
    <w:basedOn w:val="32"/>
    <w:qFormat/>
    <w:uiPriority w:val="0"/>
    <w:rPr>
      <w:color w:val="FBA222"/>
    </w:rPr>
  </w:style>
  <w:style w:type="character" w:customStyle="1" w:styleId="75">
    <w:name w:val="comment-link-num"/>
    <w:basedOn w:val="32"/>
    <w:qFormat/>
    <w:uiPriority w:val="0"/>
  </w:style>
  <w:style w:type="character" w:customStyle="1" w:styleId="76">
    <w:name w:val="wrap-name-w"/>
    <w:basedOn w:val="32"/>
    <w:qFormat/>
    <w:uiPriority w:val="0"/>
    <w:rPr>
      <w:rFonts w:ascii="微软雅黑" w:hAnsi="微软雅黑" w:eastAsia="微软雅黑" w:cs="微软雅黑"/>
      <w:color w:val="FBA222"/>
      <w:sz w:val="19"/>
      <w:szCs w:val="19"/>
    </w:rPr>
  </w:style>
  <w:style w:type="character" w:customStyle="1" w:styleId="77">
    <w:name w:val="text-null"/>
    <w:basedOn w:val="32"/>
    <w:qFormat/>
    <w:uiPriority w:val="0"/>
    <w:rPr>
      <w:color w:val="FBA222"/>
    </w:rPr>
  </w:style>
  <w:style w:type="character" w:customStyle="1" w:styleId="78">
    <w:name w:val="prompt-empty-w"/>
    <w:basedOn w:val="32"/>
    <w:qFormat/>
    <w:uiPriority w:val="0"/>
    <w:rPr>
      <w:vanish/>
      <w:color w:val="FBA222"/>
      <w:sz w:val="14"/>
      <w:szCs w:val="14"/>
    </w:rPr>
  </w:style>
  <w:style w:type="character" w:customStyle="1" w:styleId="79">
    <w:name w:val="prop-span"/>
    <w:basedOn w:val="32"/>
    <w:qFormat/>
    <w:uiPriority w:val="0"/>
  </w:style>
  <w:style w:type="character" w:customStyle="1" w:styleId="80">
    <w:name w:val="comment-link-numtext"/>
    <w:basedOn w:val="32"/>
    <w:qFormat/>
    <w:uiPriority w:val="0"/>
  </w:style>
  <w:style w:type="character" w:customStyle="1" w:styleId="81">
    <w:name w:val="cy-number"/>
    <w:basedOn w:val="32"/>
    <w:qFormat/>
    <w:uiPriority w:val="0"/>
    <w:rPr>
      <w:rFonts w:ascii="Impact" w:hAnsi="Impact" w:eastAsia="Impact" w:cs="Impact"/>
      <w:color w:val="FBA222"/>
      <w:sz w:val="24"/>
      <w:szCs w:val="24"/>
    </w:rPr>
  </w:style>
  <w:style w:type="character" w:customStyle="1" w:styleId="82">
    <w:name w:val="prompt-empty-w4"/>
    <w:basedOn w:val="32"/>
    <w:qFormat/>
    <w:uiPriority w:val="0"/>
    <w:rPr>
      <w:color w:val="FBA222"/>
    </w:rPr>
  </w:style>
  <w:style w:type="character" w:customStyle="1" w:styleId="83">
    <w:name w:val="cy-number2"/>
    <w:basedOn w:val="32"/>
    <w:qFormat/>
    <w:uiPriority w:val="0"/>
    <w:rPr>
      <w:color w:val="FBA222"/>
    </w:rPr>
  </w:style>
  <w:style w:type="paragraph" w:customStyle="1" w:styleId="84">
    <w:name w:val="正文标题"/>
    <w:basedOn w:val="1"/>
    <w:qFormat/>
    <w:uiPriority w:val="0"/>
    <w:pPr>
      <w:adjustRightInd w:val="0"/>
      <w:snapToGrid w:val="0"/>
      <w:jc w:val="left"/>
    </w:pPr>
    <w:rPr>
      <w:b/>
      <w:sz w:val="28"/>
      <w:szCs w:val="24"/>
    </w:rPr>
  </w:style>
  <w:style w:type="paragraph" w:customStyle="1" w:styleId="85">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86">
    <w:name w:val="图片"/>
    <w:basedOn w:val="1"/>
    <w:link w:val="87"/>
    <w:qFormat/>
    <w:uiPriority w:val="0"/>
    <w:pPr>
      <w:spacing w:line="360" w:lineRule="auto"/>
      <w:jc w:val="center"/>
    </w:pPr>
    <w:rPr>
      <w:rFonts w:ascii="宋体" w:hAnsi="宋体" w:eastAsia="宋体" w:cs="宋体"/>
      <w:b/>
      <w:color w:val="0766D4"/>
      <w:kern w:val="0"/>
      <w:sz w:val="24"/>
      <w:szCs w:val="20"/>
    </w:rPr>
  </w:style>
  <w:style w:type="character" w:customStyle="1" w:styleId="87">
    <w:name w:val="图片 Char"/>
    <w:link w:val="86"/>
    <w:qFormat/>
    <w:uiPriority w:val="0"/>
    <w:rPr>
      <w:rFonts w:ascii="宋体" w:hAnsi="宋体" w:cs="宋体"/>
      <w:b/>
      <w:color w:val="0766D4"/>
      <w:sz w:val="24"/>
    </w:rPr>
  </w:style>
  <w:style w:type="paragraph" w:customStyle="1" w:styleId="88">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9">
    <w:name w:val="批注框文本 字符"/>
    <w:basedOn w:val="32"/>
    <w:link w:val="22"/>
    <w:qFormat/>
    <w:uiPriority w:val="0"/>
    <w:rPr>
      <w:rFonts w:ascii="等线" w:hAnsi="等线" w:eastAsia="仿宋"/>
      <w:kern w:val="2"/>
      <w:sz w:val="18"/>
      <w:szCs w:val="18"/>
    </w:rPr>
  </w:style>
  <w:style w:type="paragraph" w:customStyle="1" w:styleId="90">
    <w:name w:val="Revision"/>
    <w:hidden/>
    <w:semiHidden/>
    <w:qFormat/>
    <w:uiPriority w:val="99"/>
    <w:rPr>
      <w:rFonts w:ascii="等线" w:hAnsi="等线" w:eastAsia="仿宋" w:cs="Times New Roman"/>
      <w:kern w:val="2"/>
      <w:sz w:val="21"/>
      <w:szCs w:val="22"/>
      <w:lang w:val="en-US" w:eastAsia="zh-CN" w:bidi="ar-SA"/>
    </w:rPr>
  </w:style>
  <w:style w:type="paragraph" w:customStyle="1" w:styleId="91">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92">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93">
    <w:name w:val="40正文(1)"/>
    <w:basedOn w:val="1"/>
    <w:link w:val="98"/>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94">
    <w:name w:val="70标题表格"/>
    <w:basedOn w:val="1"/>
    <w:next w:val="1"/>
    <w:link w:val="99"/>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95">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96">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97">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8">
    <w:name w:val="正文（1） Char"/>
    <w:link w:val="93"/>
    <w:qFormat/>
    <w:uiPriority w:val="0"/>
    <w:rPr>
      <w:rFonts w:ascii="宋体" w:hAnsi="宋体" w:cs="宋体"/>
      <w:snapToGrid w:val="0"/>
      <w:sz w:val="24"/>
      <w:szCs w:val="24"/>
    </w:rPr>
  </w:style>
  <w:style w:type="character" w:customStyle="1" w:styleId="99">
    <w:name w:val="70标题表格 Char"/>
    <w:link w:val="94"/>
    <w:qFormat/>
    <w:uiPriority w:val="0"/>
    <w:rPr>
      <w:rFonts w:ascii="宋体" w:hAnsi="宋体" w:cs="宋体"/>
      <w:b/>
      <w:bCs/>
      <w:snapToGrid w:val="0"/>
      <w:sz w:val="21"/>
      <w:szCs w:val="21"/>
    </w:rPr>
  </w:style>
  <w:style w:type="character" w:customStyle="1" w:styleId="100">
    <w:name w:val="正文文本 字符"/>
    <w:basedOn w:val="32"/>
    <w:link w:val="14"/>
    <w:qFormat/>
    <w:uiPriority w:val="0"/>
    <w:rPr>
      <w:rFonts w:ascii="等线" w:hAnsi="等线" w:eastAsia="仿宋"/>
      <w:szCs w:val="22"/>
    </w:rPr>
  </w:style>
  <w:style w:type="character" w:customStyle="1" w:styleId="101">
    <w:name w:val="正文文本首行缩进 字符"/>
    <w:basedOn w:val="100"/>
    <w:link w:val="13"/>
    <w:qFormat/>
    <w:uiPriority w:val="0"/>
    <w:rPr>
      <w:rFonts w:ascii="等线" w:hAnsi="等线" w:eastAsia="仿宋"/>
      <w:kern w:val="2"/>
      <w:sz w:val="21"/>
      <w:szCs w:val="22"/>
    </w:rPr>
  </w:style>
  <w:style w:type="paragraph" w:customStyle="1" w:styleId="102">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3">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4">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105">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106">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107">
    <w:name w:val="表格五号"/>
    <w:basedOn w:val="1"/>
    <w:qFormat/>
    <w:uiPriority w:val="0"/>
    <w:pPr>
      <w:adjustRightInd w:val="0"/>
      <w:snapToGrid w:val="0"/>
      <w:jc w:val="center"/>
    </w:pPr>
    <w:rPr>
      <w:rFonts w:ascii="宋体" w:hAnsi="宋体" w:eastAsia="宋体" w:cs="宋体"/>
      <w:snapToGrid w:val="0"/>
      <w:kern w:val="0"/>
      <w:sz w:val="21"/>
      <w:szCs w:val="21"/>
    </w:rPr>
  </w:style>
  <w:style w:type="paragraph" w:customStyle="1" w:styleId="108">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9">
    <w:name w:val="正文（1）"/>
    <w:basedOn w:val="1"/>
    <w:next w:val="1"/>
    <w:link w:val="110"/>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10">
    <w:name w:val="正文（1） Char1"/>
    <w:link w:val="109"/>
    <w:qFormat/>
    <w:uiPriority w:val="0"/>
    <w:rPr>
      <w:rFonts w:ascii="宋体" w:hAnsi="宋体" w:cs="宋体"/>
      <w:snapToGrid w:val="0"/>
      <w:sz w:val="24"/>
      <w:szCs w:val="24"/>
    </w:rPr>
  </w:style>
  <w:style w:type="character" w:customStyle="1" w:styleId="111">
    <w:name w:val="标题 5 字符"/>
    <w:basedOn w:val="32"/>
    <w:link w:val="7"/>
    <w:qFormat/>
    <w:uiPriority w:val="0"/>
    <w:rPr>
      <w:rFonts w:ascii="等线" w:hAnsi="等线" w:eastAsia="仿宋"/>
      <w:b/>
      <w:bCs/>
      <w:kern w:val="2"/>
      <w:sz w:val="24"/>
      <w:szCs w:val="28"/>
    </w:rPr>
  </w:style>
  <w:style w:type="character" w:customStyle="1" w:styleId="112">
    <w:name w:val="标题 6 字符"/>
    <w:basedOn w:val="32"/>
    <w:link w:val="8"/>
    <w:qFormat/>
    <w:uiPriority w:val="0"/>
    <w:rPr>
      <w:rFonts w:ascii="Arial" w:hAnsi="Arial" w:eastAsia="黑体" w:cs="宋体"/>
      <w:b/>
      <w:snapToGrid w:val="0"/>
      <w:sz w:val="24"/>
      <w:szCs w:val="24"/>
    </w:rPr>
  </w:style>
  <w:style w:type="character" w:customStyle="1" w:styleId="113">
    <w:name w:val="批注文字 字符"/>
    <w:basedOn w:val="32"/>
    <w:link w:val="18"/>
    <w:qFormat/>
    <w:uiPriority w:val="0"/>
    <w:rPr>
      <w:rFonts w:ascii="等线" w:hAnsi="等线" w:eastAsia="仿宋"/>
      <w:kern w:val="2"/>
      <w:sz w:val="21"/>
      <w:szCs w:val="22"/>
    </w:rPr>
  </w:style>
  <w:style w:type="character" w:customStyle="1" w:styleId="114">
    <w:name w:val="标题 7 字符"/>
    <w:basedOn w:val="32"/>
    <w:link w:val="9"/>
    <w:qFormat/>
    <w:uiPriority w:val="0"/>
    <w:rPr>
      <w:rFonts w:ascii="宋体" w:hAnsi="宋体" w:cs="宋体"/>
      <w:b/>
      <w:snapToGrid w:val="0"/>
      <w:sz w:val="24"/>
      <w:szCs w:val="24"/>
    </w:rPr>
  </w:style>
  <w:style w:type="character" w:customStyle="1" w:styleId="115">
    <w:name w:val="标题 8 字符"/>
    <w:basedOn w:val="32"/>
    <w:link w:val="10"/>
    <w:qFormat/>
    <w:uiPriority w:val="0"/>
    <w:rPr>
      <w:rFonts w:ascii="宋体" w:hAnsi="宋体" w:cs="宋体"/>
      <w:b/>
      <w:bCs/>
      <w:snapToGrid w:val="0"/>
      <w:sz w:val="21"/>
      <w:szCs w:val="21"/>
    </w:rPr>
  </w:style>
  <w:style w:type="character" w:customStyle="1" w:styleId="116">
    <w:name w:val="标题 9 字符"/>
    <w:basedOn w:val="32"/>
    <w:link w:val="11"/>
    <w:qFormat/>
    <w:uiPriority w:val="0"/>
    <w:rPr>
      <w:rFonts w:ascii="宋体" w:hAnsi="宋体" w:cs="宋体"/>
      <w:snapToGrid w:val="0"/>
      <w:sz w:val="21"/>
      <w:szCs w:val="21"/>
    </w:rPr>
  </w:style>
  <w:style w:type="paragraph" w:customStyle="1" w:styleId="117">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8">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9">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20">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1">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2">
    <w:name w:val="91正文 &gt;"/>
    <w:basedOn w:val="1"/>
    <w:qFormat/>
    <w:uiPriority w:val="0"/>
    <w:pPr>
      <w:numPr>
        <w:ilvl w:val="0"/>
        <w:numId w:val="2"/>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3">
    <w:name w:val="插图编号"/>
    <w:basedOn w:val="106"/>
    <w:qFormat/>
    <w:uiPriority w:val="0"/>
    <w:rPr>
      <w:rFonts w:eastAsia="黑体"/>
      <w:sz w:val="21"/>
      <w:szCs w:val="24"/>
    </w:rPr>
  </w:style>
  <w:style w:type="paragraph" w:customStyle="1" w:styleId="124">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25">
    <w:name w:val="插表编号"/>
    <w:basedOn w:val="126"/>
    <w:qFormat/>
    <w:uiPriority w:val="0"/>
    <w:rPr>
      <w:b/>
    </w:rPr>
  </w:style>
  <w:style w:type="paragraph" w:customStyle="1" w:styleId="126">
    <w:name w:val="插表"/>
    <w:basedOn w:val="106"/>
    <w:qFormat/>
    <w:uiPriority w:val="0"/>
    <w:rPr>
      <w:sz w:val="21"/>
      <w:szCs w:val="24"/>
    </w:rPr>
  </w:style>
  <w:style w:type="paragraph" w:customStyle="1" w:styleId="127">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8">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9">
    <w:name w:val="60标题图片"/>
    <w:basedOn w:val="1"/>
    <w:next w:val="1"/>
    <w:qFormat/>
    <w:uiPriority w:val="0"/>
    <w:pPr>
      <w:numPr>
        <w:ilvl w:val="8"/>
        <w:numId w:val="3"/>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30">
    <w:name w:val="10正文（1）"/>
    <w:basedOn w:val="1"/>
    <w:qFormat/>
    <w:uiPriority w:val="0"/>
    <w:pPr>
      <w:numPr>
        <w:ilvl w:val="4"/>
        <w:numId w:val="3"/>
      </w:numPr>
      <w:adjustRightInd w:val="0"/>
      <w:snapToGrid w:val="0"/>
      <w:spacing w:line="430" w:lineRule="exact"/>
      <w:jc w:val="left"/>
    </w:pPr>
    <w:rPr>
      <w:rFonts w:ascii="宋体" w:hAnsi="宋体" w:eastAsia="宋体" w:cs="宋体"/>
      <w:snapToGrid w:val="0"/>
      <w:kern w:val="0"/>
      <w:sz w:val="24"/>
      <w:szCs w:val="24"/>
    </w:rPr>
  </w:style>
  <w:style w:type="paragraph" w:customStyle="1" w:styleId="131">
    <w:name w:val="50标题表格"/>
    <w:basedOn w:val="1"/>
    <w:next w:val="1"/>
    <w:qFormat/>
    <w:uiPriority w:val="0"/>
    <w:pPr>
      <w:numPr>
        <w:ilvl w:val="7"/>
        <w:numId w:val="3"/>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32">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33">
    <w:name w:val="54表格序号"/>
    <w:basedOn w:val="1"/>
    <w:qFormat/>
    <w:uiPriority w:val="0"/>
    <w:pPr>
      <w:numPr>
        <w:ilvl w:val="0"/>
        <w:numId w:val="4"/>
      </w:numPr>
      <w:adjustRightInd w:val="0"/>
      <w:snapToGrid w:val="0"/>
      <w:jc w:val="center"/>
    </w:pPr>
    <w:rPr>
      <w:rFonts w:ascii="宋体" w:hAnsi="宋体" w:eastAsia="宋体" w:cs="宋体"/>
      <w:snapToGrid w:val="0"/>
      <w:kern w:val="0"/>
      <w:szCs w:val="21"/>
    </w:rPr>
  </w:style>
  <w:style w:type="paragraph" w:customStyle="1" w:styleId="134">
    <w:name w:val="20正文1）"/>
    <w:basedOn w:val="1"/>
    <w:qFormat/>
    <w:uiPriority w:val="0"/>
    <w:pPr>
      <w:numPr>
        <w:ilvl w:val="5"/>
        <w:numId w:val="3"/>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35">
    <w:name w:val="流程"/>
    <w:basedOn w:val="1"/>
    <w:qFormat/>
    <w:uiPriority w:val="0"/>
    <w:pPr>
      <w:jc w:val="center"/>
    </w:pPr>
    <w:rPr>
      <w:rFonts w:ascii="宋体" w:hAnsi="宋体" w:eastAsia="宋体" w:cs="宋体"/>
      <w:sz w:val="18"/>
      <w:szCs w:val="24"/>
    </w:rPr>
  </w:style>
  <w:style w:type="table" w:customStyle="1" w:styleId="136">
    <w:name w:val="标准样式"/>
    <w:basedOn w:val="30"/>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8">
    <w:name w:val="图居中、图表标题"/>
    <w:basedOn w:val="1"/>
    <w:next w:val="1"/>
    <w:link w:val="141"/>
    <w:qFormat/>
    <w:uiPriority w:val="0"/>
    <w:pPr>
      <w:spacing w:line="360" w:lineRule="auto"/>
      <w:jc w:val="center"/>
    </w:pPr>
    <w:rPr>
      <w:rFonts w:ascii="Times New Roman" w:hAnsi="Times New Roman" w:eastAsia="宋体" w:cs="宋体"/>
      <w:b/>
      <w:color w:val="0000C8"/>
      <w:kern w:val="0"/>
      <w:sz w:val="24"/>
      <w:szCs w:val="20"/>
    </w:rPr>
  </w:style>
  <w:style w:type="table" w:customStyle="1" w:styleId="139">
    <w:name w:val="样式4"/>
    <w:basedOn w:val="30"/>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40">
    <w:name w:val="无间隔 字符"/>
    <w:basedOn w:val="32"/>
    <w:link w:val="72"/>
    <w:qFormat/>
    <w:uiPriority w:val="0"/>
    <w:rPr>
      <w:rFonts w:ascii="黑体" w:hAnsi="黑体" w:eastAsia="黑体"/>
      <w:sz w:val="21"/>
    </w:rPr>
  </w:style>
  <w:style w:type="character" w:customStyle="1" w:styleId="141">
    <w:name w:val="图居中、图表标题 Char"/>
    <w:basedOn w:val="32"/>
    <w:link w:val="138"/>
    <w:qFormat/>
    <w:uiPriority w:val="0"/>
    <w:rPr>
      <w:rFonts w:ascii="Times New Roman" w:hAnsi="Times New Roman" w:cs="宋体"/>
      <w:b/>
      <w:color w:val="0000C8"/>
      <w:sz w:val="24"/>
    </w:rPr>
  </w:style>
  <w:style w:type="paragraph" w:customStyle="1" w:styleId="142">
    <w:name w:val="正文更改"/>
    <w:basedOn w:val="93"/>
    <w:link w:val="143"/>
    <w:qFormat/>
    <w:uiPriority w:val="0"/>
    <w:pPr>
      <w:spacing w:line="360" w:lineRule="auto"/>
      <w:ind w:left="0" w:firstLine="200" w:firstLineChars="200"/>
    </w:pPr>
  </w:style>
  <w:style w:type="character" w:customStyle="1" w:styleId="143">
    <w:name w:val="正文更改 字符"/>
    <w:basedOn w:val="98"/>
    <w:link w:val="142"/>
    <w:qFormat/>
    <w:uiPriority w:val="0"/>
    <w:rPr>
      <w:rFonts w:ascii="宋体" w:hAnsi="宋体" w:cs="宋体"/>
      <w:snapToGrid w:val="0"/>
      <w:sz w:val="24"/>
      <w:szCs w:val="24"/>
    </w:rPr>
  </w:style>
  <w:style w:type="character" w:customStyle="1" w:styleId="144">
    <w:name w:val="页脚 字符"/>
    <w:basedOn w:val="32"/>
    <w:link w:val="23"/>
    <w:qFormat/>
    <w:uiPriority w:val="99"/>
    <w:rPr>
      <w:rFonts w:ascii="等线" w:hAnsi="等线" w:eastAsia="仿宋"/>
      <w:kern w:val="2"/>
      <w:sz w:val="18"/>
      <w:szCs w:val="22"/>
    </w:rPr>
  </w:style>
  <w:style w:type="paragraph" w:customStyle="1" w:styleId="145">
    <w:name w:val="列出段落1"/>
    <w:basedOn w:val="1"/>
    <w:qFormat/>
    <w:uiPriority w:val="34"/>
    <w:pPr>
      <w:ind w:firstLine="420" w:firstLineChars="200"/>
    </w:pPr>
  </w:style>
  <w:style w:type="character" w:customStyle="1" w:styleId="146">
    <w:name w:val="font01"/>
    <w:basedOn w:val="32"/>
    <w:qFormat/>
    <w:uiPriority w:val="0"/>
    <w:rPr>
      <w:rFonts w:ascii="微软雅黑" w:hAnsi="微软雅黑" w:eastAsia="微软雅黑" w:cs="微软雅黑"/>
      <w:b/>
      <w:bCs/>
      <w:color w:val="000000"/>
      <w:sz w:val="16"/>
      <w:szCs w:val="16"/>
      <w:u w:val="none"/>
    </w:rPr>
  </w:style>
  <w:style w:type="character" w:customStyle="1" w:styleId="147">
    <w:name w:val="font31"/>
    <w:basedOn w:val="32"/>
    <w:qFormat/>
    <w:uiPriority w:val="0"/>
    <w:rPr>
      <w:rFonts w:hint="eastAsia" w:ascii="微软雅黑" w:hAnsi="微软雅黑" w:eastAsia="微软雅黑" w:cs="微软雅黑"/>
      <w:color w:val="000000"/>
      <w:sz w:val="16"/>
      <w:szCs w:val="16"/>
      <w:u w:val="none"/>
    </w:rPr>
  </w:style>
  <w:style w:type="character" w:customStyle="1" w:styleId="148">
    <w:name w:val="font51"/>
    <w:basedOn w:val="32"/>
    <w:qFormat/>
    <w:uiPriority w:val="0"/>
    <w:rPr>
      <w:rFonts w:hint="default" w:ascii="Times New Roman" w:hAnsi="Times New Roman" w:cs="Times New Roman"/>
      <w:b/>
      <w:bCs/>
      <w:color w:val="000000"/>
      <w:sz w:val="16"/>
      <w:szCs w:val="16"/>
      <w:u w:val="none"/>
    </w:rPr>
  </w:style>
  <w:style w:type="character" w:customStyle="1" w:styleId="149">
    <w:name w:val="font61"/>
    <w:basedOn w:val="32"/>
    <w:qFormat/>
    <w:uiPriority w:val="0"/>
    <w:rPr>
      <w:rFonts w:ascii="宋体" w:hAnsi="宋体" w:eastAsia="宋体" w:cs="宋体"/>
      <w:color w:val="000000"/>
      <w:sz w:val="16"/>
      <w:szCs w:val="16"/>
      <w:u w:val="none"/>
    </w:rPr>
  </w:style>
  <w:style w:type="character" w:customStyle="1" w:styleId="150">
    <w:name w:val="font41"/>
    <w:basedOn w:val="32"/>
    <w:qFormat/>
    <w:uiPriority w:val="0"/>
    <w:rPr>
      <w:rFonts w:hint="default" w:ascii="Times New Roman" w:hAnsi="Times New Roman" w:cs="Times New Roman"/>
      <w:color w:val="000000"/>
      <w:sz w:val="16"/>
      <w:szCs w:val="16"/>
      <w:u w:val="none"/>
    </w:rPr>
  </w:style>
  <w:style w:type="character" w:customStyle="1" w:styleId="151">
    <w:name w:val="font11"/>
    <w:basedOn w:val="32"/>
    <w:qFormat/>
    <w:uiPriority w:val="0"/>
    <w:rPr>
      <w:rFonts w:ascii="微软雅黑" w:hAnsi="微软雅黑" w:eastAsia="微软雅黑" w:cs="微软雅黑"/>
      <w:b/>
      <w:bCs/>
      <w:color w:val="000000"/>
      <w:sz w:val="16"/>
      <w:szCs w:val="16"/>
      <w:u w:val="none"/>
    </w:rPr>
  </w:style>
  <w:style w:type="character" w:customStyle="1" w:styleId="152">
    <w:name w:val="font71"/>
    <w:basedOn w:val="32"/>
    <w:qFormat/>
    <w:uiPriority w:val="0"/>
    <w:rPr>
      <w:rFonts w:hint="default" w:ascii="Times New Roman" w:hAnsi="Times New Roman" w:cs="Times New Roman"/>
      <w:b/>
      <w:bCs/>
      <w:color w:val="000000"/>
      <w:sz w:val="16"/>
      <w:szCs w:val="16"/>
      <w:u w:val="none"/>
    </w:rPr>
  </w:style>
  <w:style w:type="character" w:customStyle="1" w:styleId="153">
    <w:name w:val="font81"/>
    <w:basedOn w:val="32"/>
    <w:qFormat/>
    <w:uiPriority w:val="0"/>
    <w:rPr>
      <w:rFonts w:ascii="宋体" w:hAnsi="宋体" w:eastAsia="宋体" w:cs="宋体"/>
      <w:color w:val="000000"/>
      <w:sz w:val="16"/>
      <w:szCs w:val="16"/>
      <w:u w:val="none"/>
    </w:rPr>
  </w:style>
  <w:style w:type="character" w:customStyle="1" w:styleId="154">
    <w:name w:val="font91"/>
    <w:basedOn w:val="32"/>
    <w:qFormat/>
    <w:uiPriority w:val="0"/>
    <w:rPr>
      <w:rFonts w:hint="default" w:ascii="Arial" w:hAnsi="Arial" w:cs="Arial"/>
      <w:color w:val="000000"/>
      <w:sz w:val="7"/>
      <w:szCs w:val="7"/>
      <w:u w:val="none"/>
    </w:rPr>
  </w:style>
  <w:style w:type="character" w:customStyle="1" w:styleId="155">
    <w:name w:val="font101"/>
    <w:basedOn w:val="32"/>
    <w:qFormat/>
    <w:uiPriority w:val="0"/>
    <w:rPr>
      <w:rFonts w:ascii="宋体" w:hAnsi="宋体" w:eastAsia="宋体" w:cs="宋体"/>
      <w:color w:val="000000"/>
      <w:sz w:val="18"/>
      <w:szCs w:val="18"/>
      <w:u w:val="none"/>
    </w:rPr>
  </w:style>
  <w:style w:type="character" w:customStyle="1" w:styleId="156">
    <w:name w:val="font112"/>
    <w:basedOn w:val="32"/>
    <w:qFormat/>
    <w:uiPriority w:val="0"/>
    <w:rPr>
      <w:rFonts w:hint="default" w:ascii="Times New Roman" w:hAnsi="Times New Roman" w:cs="Times New Roman"/>
      <w:color w:val="000000"/>
      <w:sz w:val="18"/>
      <w:szCs w:val="18"/>
      <w:u w:val="none"/>
    </w:rPr>
  </w:style>
  <w:style w:type="paragraph" w:customStyle="1" w:styleId="157">
    <w:name w:val="方案正文"/>
    <w:basedOn w:val="1"/>
    <w:qFormat/>
    <w:uiPriority w:val="0"/>
    <w:pPr>
      <w:ind w:firstLine="480"/>
      <w:jc w:val="left"/>
    </w:pPr>
    <w:rPr>
      <w:rFonts w:cs="Times New Roman"/>
    </w:rPr>
  </w:style>
  <w:style w:type="paragraph" w:customStyle="1" w:styleId="158">
    <w:name w:val="k 正文"/>
    <w:basedOn w:val="1"/>
    <w:qFormat/>
    <w:uiPriority w:val="0"/>
  </w:style>
  <w:style w:type="paragraph" w:customStyle="1" w:styleId="159">
    <w:name w:val="W正文"/>
    <w:basedOn w:val="1"/>
    <w:qFormat/>
    <w:uiPriority w:val="0"/>
    <w:pPr>
      <w:tabs>
        <w:tab w:val="left" w:pos="4320"/>
      </w:tabs>
      <w:ind w:firstLine="480"/>
    </w:pPr>
    <w:rPr>
      <w:rFonts w:cs="Times New Roman"/>
    </w:rPr>
  </w:style>
  <w:style w:type="paragraph" w:customStyle="1" w:styleId="160">
    <w:name w:val="表左字"/>
    <w:basedOn w:val="55"/>
    <w:next w:val="1"/>
    <w:qFormat/>
    <w:uiPriority w:val="0"/>
    <w:pPr>
      <w:jc w:val="left"/>
    </w:pPr>
  </w:style>
  <w:style w:type="paragraph" w:customStyle="1" w:styleId="161">
    <w:name w:val="WPSOffice手动目录 1"/>
    <w:qFormat/>
    <w:uiPriority w:val="0"/>
    <w:pPr>
      <w:ind w:leftChars="0"/>
    </w:pPr>
    <w:rPr>
      <w:rFonts w:ascii="Times New Roman" w:hAnsi="Times New Roman" w:eastAsia="宋体" w:cs="Times New Roman"/>
      <w:sz w:val="20"/>
      <w:szCs w:val="20"/>
    </w:rPr>
  </w:style>
  <w:style w:type="paragraph" w:customStyle="1" w:styleId="162">
    <w:name w:val="WPSOffice手动目录 2"/>
    <w:qFormat/>
    <w:uiPriority w:val="0"/>
    <w:pPr>
      <w:ind w:leftChars="200"/>
    </w:pPr>
    <w:rPr>
      <w:rFonts w:ascii="Times New Roman" w:hAnsi="Times New Roman" w:eastAsia="宋体" w:cs="Times New Roman"/>
      <w:sz w:val="20"/>
      <w:szCs w:val="20"/>
    </w:rPr>
  </w:style>
  <w:style w:type="character" w:customStyle="1" w:styleId="163">
    <w:name w:val="font21"/>
    <w:basedOn w:val="32"/>
    <w:qFormat/>
    <w:uiPriority w:val="0"/>
    <w:rPr>
      <w:rFonts w:hint="eastAsia" w:ascii="仿宋" w:hAnsi="仿宋" w:eastAsia="仿宋" w:cs="仿宋"/>
      <w:color w:val="000000"/>
      <w:sz w:val="21"/>
      <w:szCs w:val="21"/>
      <w:u w:val="none"/>
    </w:rPr>
  </w:style>
  <w:style w:type="table" w:customStyle="1" w:styleId="164">
    <w:name w:val="网格型1"/>
    <w:basedOn w:val="30"/>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66">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header" Target="head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139</Pages>
  <Words>64882</Words>
  <Characters>68601</Characters>
  <Lines>551</Lines>
  <Paragraphs>155</Paragraphs>
  <TotalTime>2</TotalTime>
  <ScaleCrop>false</ScaleCrop>
  <LinksUpToDate>false</LinksUpToDate>
  <CharactersWithSpaces>69389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WPS_1178362952</cp:lastModifiedBy>
  <cp:lastPrinted>2025-03-22T02:27:00Z</cp:lastPrinted>
  <dcterms:modified xsi:type="dcterms:W3CDTF">2025-11-03T07:41:14Z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AF351EE5AD114C5886F90216C259A502_13</vt:lpwstr>
  </property>
  <property fmtid="{D5CDD505-2E9C-101B-9397-08002B2CF9AE}" pid="4" name="KSOTemplateDocerSaveRecord">
    <vt:lpwstr>eyJoZGlkIjoiN2RlOWMwNTAzZGNmZDIwNjBhMTA3YTIxY2M4ZWUyZmEiLCJ1c2VySWQiOiIxMTc4MzYyOTUyIn0=</vt:lpwstr>
  </property>
</Properties>
</file>