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F34CC">
      <w:pPr>
        <w:jc w:val="left"/>
        <w:rPr>
          <w:rFonts w:ascii="仿宋" w:hAnsi="仿宋"/>
          <w:bCs/>
          <w:sz w:val="28"/>
          <w:szCs w:val="28"/>
          <w:highlight w:val="none"/>
        </w:rPr>
      </w:pPr>
      <w:bookmarkStart w:id="454" w:name="_GoBack"/>
      <w:bookmarkEnd w:id="454"/>
    </w:p>
    <w:p w14:paraId="38AA1519">
      <w:pPr>
        <w:jc w:val="center"/>
        <w:outlineLvl w:val="9"/>
        <w:rPr>
          <w:rFonts w:hint="eastAsia" w:ascii="宋体" w:hAnsi="宋体" w:eastAsia="宋体" w:cs="宋体"/>
          <w:b/>
          <w:bCs/>
          <w:sz w:val="32"/>
          <w:szCs w:val="32"/>
          <w:highlight w:val="none"/>
        </w:rPr>
      </w:pPr>
      <w:bookmarkStart w:id="0" w:name="_Toc12146"/>
      <w:bookmarkStart w:id="1" w:name="_Toc26943"/>
      <w:bookmarkStart w:id="2" w:name="_Toc8830"/>
      <w:r>
        <w:rPr>
          <w:rFonts w:hint="eastAsia" w:ascii="宋体" w:hAnsi="宋体" w:eastAsia="宋体" w:cs="宋体"/>
          <w:b/>
          <w:bCs/>
          <w:sz w:val="32"/>
          <w:szCs w:val="32"/>
          <w:highlight w:val="none"/>
        </w:rPr>
        <w:t>桂林-恭城-贺州公路（桂林至钟山段）№7</w:t>
      </w:r>
      <w:bookmarkEnd w:id="0"/>
      <w:r>
        <w:rPr>
          <w:rFonts w:hint="eastAsia" w:ascii="宋体" w:hAnsi="宋体" w:eastAsia="宋体" w:cs="宋体"/>
          <w:b/>
          <w:bCs/>
          <w:sz w:val="32"/>
          <w:szCs w:val="32"/>
          <w:highlight w:val="none"/>
        </w:rPr>
        <w:t>合同段</w:t>
      </w:r>
      <w:bookmarkEnd w:id="1"/>
      <w:bookmarkEnd w:id="2"/>
    </w:p>
    <w:p w14:paraId="35D76337">
      <w:pPr>
        <w:jc w:val="center"/>
        <w:rPr>
          <w:rFonts w:hint="eastAsia" w:ascii="宋体" w:hAnsi="宋体" w:eastAsia="宋体" w:cs="宋体"/>
          <w:b/>
          <w:bCs/>
          <w:sz w:val="32"/>
          <w:szCs w:val="32"/>
          <w:highlight w:val="none"/>
          <w:lang w:val="en-US" w:eastAsia="zh-CN"/>
        </w:rPr>
      </w:pPr>
      <w:bookmarkStart w:id="3" w:name="_Toc9816"/>
    </w:p>
    <w:bookmarkEnd w:id="3"/>
    <w:p w14:paraId="770C77E4">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拆除</w:t>
      </w:r>
      <w:r>
        <w:rPr>
          <w:rFonts w:hint="eastAsia" w:ascii="仿宋" w:hAnsi="仿宋"/>
          <w:b/>
          <w:bCs/>
          <w:sz w:val="32"/>
          <w:szCs w:val="32"/>
          <w:highlight w:val="none"/>
          <w:lang w:eastAsia="zh-CN"/>
        </w:rPr>
        <w:t>）</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7EFD6EF1">
      <w:pPr>
        <w:jc w:val="center"/>
        <w:rPr>
          <w:rFonts w:hint="eastAsia" w:ascii="宋体" w:hAnsi="宋体" w:eastAsia="宋体" w:cs="宋体"/>
          <w:b/>
          <w:bCs/>
          <w:sz w:val="32"/>
          <w:szCs w:val="32"/>
          <w:highlight w:val="none"/>
        </w:rPr>
      </w:pPr>
    </w:p>
    <w:p w14:paraId="0F6C1F8C">
      <w:pPr>
        <w:ind w:firstLine="562" w:firstLineChars="201"/>
        <w:jc w:val="left"/>
        <w:rPr>
          <w:rFonts w:ascii="仿宋" w:hAnsi="仿宋"/>
          <w:sz w:val="28"/>
          <w:szCs w:val="28"/>
          <w:highlight w:val="none"/>
        </w:rPr>
      </w:pPr>
    </w:p>
    <w:p w14:paraId="1506E44E">
      <w:pPr>
        <w:bidi w:val="0"/>
        <w:rPr>
          <w:highlight w:val="none"/>
        </w:rPr>
      </w:pPr>
    </w:p>
    <w:p w14:paraId="63AFCDF3">
      <w:pPr>
        <w:ind w:firstLine="562" w:firstLineChars="201"/>
        <w:jc w:val="center"/>
        <w:rPr>
          <w:rFonts w:ascii="仿宋" w:hAnsi="仿宋"/>
          <w:sz w:val="28"/>
          <w:szCs w:val="28"/>
          <w:highlight w:val="none"/>
        </w:rPr>
      </w:pPr>
      <w:r>
        <w:rPr>
          <w:rFonts w:hint="eastAsia" w:eastAsia="宋体"/>
          <w:bCs/>
          <w:color w:val="000000" w:themeColor="text1"/>
          <w:sz w:val="28"/>
          <w:szCs w:val="28"/>
          <w:highlight w:val="none"/>
          <w:lang w:eastAsia="zh-CN"/>
          <w14:textFill>
            <w14:solidFill>
              <w14:schemeClr w14:val="tx1"/>
            </w14:solidFill>
          </w14:textFill>
        </w:rPr>
        <w:drawing>
          <wp:inline distT="0" distB="0" distL="114300" distR="114300">
            <wp:extent cx="2338070" cy="3043555"/>
            <wp:effectExtent l="0" t="0" r="508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2338070" cy="3043555"/>
                    </a:xfrm>
                    <a:prstGeom prst="rect">
                      <a:avLst/>
                    </a:prstGeom>
                  </pic:spPr>
                </pic:pic>
              </a:graphicData>
            </a:graphic>
          </wp:inline>
        </w:drawing>
      </w:r>
    </w:p>
    <w:p w14:paraId="213308BF">
      <w:pPr>
        <w:ind w:firstLine="565" w:firstLineChars="201"/>
        <w:jc w:val="left"/>
        <w:rPr>
          <w:rFonts w:ascii="仿宋" w:hAnsi="仿宋"/>
          <w:b/>
          <w:sz w:val="28"/>
          <w:szCs w:val="28"/>
          <w:highlight w:val="none"/>
        </w:rPr>
      </w:pPr>
    </w:p>
    <w:p w14:paraId="642F567F">
      <w:pPr>
        <w:pStyle w:val="11"/>
        <w:rPr>
          <w:rFonts w:ascii="仿宋" w:hAnsi="仿宋"/>
          <w:b/>
          <w:sz w:val="28"/>
          <w:szCs w:val="28"/>
          <w:highlight w:val="none"/>
        </w:rPr>
      </w:pPr>
    </w:p>
    <w:p w14:paraId="10E6BFDB">
      <w:pPr>
        <w:jc w:val="left"/>
        <w:rPr>
          <w:rFonts w:ascii="仿宋" w:hAnsi="仿宋"/>
          <w:b/>
          <w:sz w:val="28"/>
          <w:szCs w:val="28"/>
          <w:highlight w:val="none"/>
        </w:rPr>
      </w:pPr>
    </w:p>
    <w:p w14:paraId="1DFB1846">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中交第二航务工程局有限公司</w:t>
      </w:r>
    </w:p>
    <w:p w14:paraId="2F88C1BD">
      <w:pPr>
        <w:jc w:val="center"/>
        <w:rPr>
          <w:rFonts w:ascii="Times New Roman" w:hAnsi="Times New Roman" w:cs="Times New Roman"/>
          <w:b/>
          <w:color w:val="000000"/>
          <w:sz w:val="28"/>
          <w:szCs w:val="28"/>
          <w:highlight w:val="none"/>
        </w:rPr>
      </w:pPr>
      <w:bookmarkStart w:id="4" w:name="_Hlk51263647"/>
      <w:r>
        <w:rPr>
          <w:rFonts w:hint="eastAsia" w:ascii="Times New Roman" w:hAnsi="Times New Roman" w:cs="Times New Roman"/>
          <w:b/>
          <w:color w:val="000000"/>
          <w:sz w:val="28"/>
          <w:szCs w:val="28"/>
          <w:highlight w:val="none"/>
        </w:rPr>
        <w:t>桂林-恭城-贺州公路（桂林</w:t>
      </w:r>
      <w:r>
        <w:rPr>
          <w:rFonts w:hint="eastAsia" w:ascii="Times New Roman" w:hAnsi="Times New Roman" w:eastAsia="宋体" w:cs="Times New Roman"/>
          <w:b/>
          <w:color w:val="000000"/>
          <w:sz w:val="28"/>
          <w:szCs w:val="28"/>
          <w:highlight w:val="none"/>
        </w:rPr>
        <w:t>至钟山段）</w:t>
      </w:r>
      <w:bookmarkEnd w:id="4"/>
      <w:r>
        <w:rPr>
          <w:rFonts w:hint="eastAsia" w:ascii="Times New Roman" w:hAnsi="Times New Roman" w:eastAsia="宋体" w:cs="Times New Roman"/>
          <w:b/>
          <w:color w:val="000000"/>
          <w:sz w:val="28"/>
          <w:szCs w:val="28"/>
          <w:highlight w:val="none"/>
        </w:rPr>
        <w:t>№7</w:t>
      </w:r>
      <w:r>
        <w:rPr>
          <w:rFonts w:hint="eastAsia" w:ascii="Times New Roman" w:hAnsi="Times New Roman" w:eastAsia="宋体" w:cs="Times New Roman"/>
          <w:b/>
          <w:color w:val="000000"/>
          <w:sz w:val="28"/>
          <w:szCs w:val="28"/>
          <w:highlight w:val="none"/>
          <w:lang w:val="en-US" w:eastAsia="zh-CN"/>
        </w:rPr>
        <w:t>合同段工程总</w:t>
      </w:r>
      <w:r>
        <w:rPr>
          <w:rFonts w:hint="eastAsia" w:ascii="Times New Roman" w:hAnsi="Times New Roman" w:cs="Times New Roman"/>
          <w:b/>
          <w:color w:val="000000"/>
          <w:sz w:val="28"/>
          <w:szCs w:val="28"/>
          <w:highlight w:val="none"/>
          <w:lang w:val="en-US" w:eastAsia="zh-CN"/>
        </w:rPr>
        <w:t>承包</w:t>
      </w:r>
      <w:r>
        <w:rPr>
          <w:rFonts w:ascii="Times New Roman" w:hAnsi="Times New Roman" w:cs="Times New Roman"/>
          <w:b/>
          <w:color w:val="000000"/>
          <w:sz w:val="28"/>
          <w:szCs w:val="28"/>
          <w:highlight w:val="none"/>
        </w:rPr>
        <w:t>部</w:t>
      </w:r>
    </w:p>
    <w:p w14:paraId="66FB938B">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二〇二</w:t>
      </w:r>
      <w:r>
        <w:rPr>
          <w:rFonts w:hint="eastAsia" w:ascii="Times New Roman" w:hAnsi="Times New Roman" w:cs="Times New Roman"/>
          <w:b/>
          <w:color w:val="000000"/>
          <w:sz w:val="28"/>
          <w:szCs w:val="28"/>
          <w:highlight w:val="none"/>
          <w:lang w:val="en-US" w:eastAsia="zh-CN"/>
        </w:rPr>
        <w:t>四</w:t>
      </w:r>
      <w:r>
        <w:rPr>
          <w:rFonts w:hint="eastAsia" w:ascii="Times New Roman" w:hAnsi="Times New Roman" w:cs="Times New Roman"/>
          <w:b/>
          <w:color w:val="000000"/>
          <w:sz w:val="28"/>
          <w:szCs w:val="28"/>
          <w:highlight w:val="none"/>
        </w:rPr>
        <w:t>年</w:t>
      </w:r>
      <w:r>
        <w:rPr>
          <w:rFonts w:hint="eastAsia" w:ascii="Times New Roman" w:hAnsi="Times New Roman" w:cs="Times New Roman"/>
          <w:b/>
          <w:color w:val="000000"/>
          <w:sz w:val="28"/>
          <w:szCs w:val="28"/>
          <w:highlight w:val="none"/>
          <w:lang w:val="en-US" w:eastAsia="zh-CN"/>
        </w:rPr>
        <w:t>十一</w:t>
      </w:r>
      <w:r>
        <w:rPr>
          <w:rFonts w:hint="eastAsia" w:ascii="Times New Roman" w:hAnsi="Times New Roman" w:cs="Times New Roman"/>
          <w:b/>
          <w:color w:val="000000"/>
          <w:sz w:val="28"/>
          <w:szCs w:val="28"/>
          <w:highlight w:val="none"/>
        </w:rPr>
        <w:t>月</w:t>
      </w:r>
    </w:p>
    <w:p w14:paraId="03278FD4">
      <w:pPr>
        <w:jc w:val="center"/>
        <w:rPr>
          <w:rFonts w:hint="eastAsia" w:ascii="Times New Roman" w:hAnsi="Times New Roman" w:cs="Times New Roman"/>
          <w:b/>
          <w:color w:val="000000"/>
          <w:sz w:val="28"/>
          <w:szCs w:val="28"/>
          <w:highlight w:val="none"/>
        </w:rPr>
      </w:pPr>
    </w:p>
    <w:p w14:paraId="03FE459A">
      <w:pPr>
        <w:rPr>
          <w:rFonts w:ascii="Times New Roman" w:hAnsi="Times New Roman" w:cs="Times New Roman"/>
          <w:b/>
          <w:color w:val="000000"/>
          <w:sz w:val="28"/>
          <w:szCs w:val="28"/>
          <w:highlight w:val="none"/>
        </w:rPr>
      </w:pPr>
      <w:r>
        <w:rPr>
          <w:rFonts w:ascii="Times New Roman" w:hAnsi="Times New Roman" w:cs="Times New Roman"/>
          <w:b/>
          <w:color w:val="000000"/>
          <w:sz w:val="28"/>
          <w:szCs w:val="28"/>
          <w:highlight w:val="none"/>
        </w:rPr>
        <w:br w:type="page"/>
      </w:r>
    </w:p>
    <w:p w14:paraId="3EA0F34D">
      <w:pPr>
        <w:bidi w:val="0"/>
        <w:rPr>
          <w:highlight w:val="none"/>
        </w:rPr>
      </w:pPr>
    </w:p>
    <w:p w14:paraId="2585151A">
      <w:pPr>
        <w:ind w:firstLine="562" w:firstLineChars="201"/>
        <w:jc w:val="left"/>
        <w:rPr>
          <w:rFonts w:ascii="仿宋" w:hAnsi="仿宋"/>
          <w:sz w:val="28"/>
          <w:szCs w:val="28"/>
          <w:highlight w:val="none"/>
        </w:rPr>
      </w:pPr>
    </w:p>
    <w:p w14:paraId="6090F64E">
      <w:pPr>
        <w:ind w:firstLine="562" w:firstLineChars="201"/>
        <w:jc w:val="left"/>
        <w:rPr>
          <w:rFonts w:ascii="仿宋" w:hAnsi="仿宋"/>
          <w:sz w:val="28"/>
          <w:szCs w:val="28"/>
          <w:highlight w:val="none"/>
        </w:rPr>
      </w:pPr>
    </w:p>
    <w:p w14:paraId="380BB4CB">
      <w:pPr>
        <w:ind w:firstLine="565" w:firstLineChars="201"/>
        <w:jc w:val="center"/>
        <w:rPr>
          <w:rFonts w:ascii="仿宋" w:hAnsi="仿宋"/>
          <w:b/>
          <w:bCs/>
          <w:sz w:val="32"/>
          <w:szCs w:val="32"/>
          <w:highlight w:val="none"/>
        </w:rPr>
      </w:pPr>
      <w:r>
        <w:rPr>
          <w:rFonts w:hint="eastAsia" w:ascii="仿宋" w:hAnsi="仿宋"/>
          <w:b/>
          <w:sz w:val="28"/>
          <w:szCs w:val="28"/>
          <w:highlight w:val="none"/>
        </w:rPr>
        <w:t xml:space="preserve"> </w:t>
      </w:r>
    </w:p>
    <w:p w14:paraId="667A6B05">
      <w:pPr>
        <w:jc w:val="center"/>
        <w:outlineLvl w:val="9"/>
        <w:rPr>
          <w:rFonts w:ascii="仿宋" w:hAnsi="仿宋" w:cs="仿宋"/>
          <w:b/>
          <w:bCs/>
          <w:sz w:val="32"/>
          <w:szCs w:val="32"/>
          <w:highlight w:val="none"/>
        </w:rPr>
      </w:pPr>
      <w:bookmarkStart w:id="5" w:name="_Toc32681"/>
      <w:bookmarkStart w:id="6" w:name="_Toc6263"/>
      <w:r>
        <w:rPr>
          <w:rFonts w:hint="eastAsia"/>
          <w:b/>
          <w:bCs/>
          <w:sz w:val="32"/>
          <w:szCs w:val="32"/>
          <w:highlight w:val="none"/>
        </w:rPr>
        <w:t>桂林-恭城-贺州公路（桂林至钟山段）№</w:t>
      </w:r>
      <w:r>
        <w:rPr>
          <w:b/>
          <w:bCs/>
          <w:sz w:val="32"/>
          <w:szCs w:val="32"/>
          <w:highlight w:val="none"/>
        </w:rPr>
        <w:t>7</w:t>
      </w:r>
      <w:r>
        <w:rPr>
          <w:rFonts w:hint="eastAsia"/>
          <w:b/>
          <w:bCs/>
          <w:sz w:val="32"/>
          <w:szCs w:val="32"/>
          <w:highlight w:val="none"/>
        </w:rPr>
        <w:t>合同段</w:t>
      </w:r>
      <w:bookmarkEnd w:id="5"/>
      <w:bookmarkEnd w:id="6"/>
    </w:p>
    <w:p w14:paraId="310854CB">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拆除</w:t>
      </w:r>
      <w:r>
        <w:rPr>
          <w:rFonts w:hint="eastAsia" w:ascii="仿宋" w:hAnsi="仿宋"/>
          <w:b/>
          <w:bCs/>
          <w:sz w:val="32"/>
          <w:szCs w:val="32"/>
          <w:highlight w:val="none"/>
          <w:lang w:eastAsia="zh-CN"/>
        </w:rPr>
        <w:t>）</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13C79073">
      <w:pPr>
        <w:ind w:firstLine="643" w:firstLineChars="201"/>
        <w:jc w:val="center"/>
        <w:rPr>
          <w:rFonts w:ascii="仿宋" w:hAnsi="仿宋"/>
          <w:sz w:val="32"/>
          <w:szCs w:val="32"/>
          <w:highlight w:val="none"/>
        </w:rPr>
      </w:pPr>
    </w:p>
    <w:p w14:paraId="5704CA05">
      <w:pPr>
        <w:ind w:firstLine="646" w:firstLineChars="201"/>
        <w:jc w:val="left"/>
        <w:rPr>
          <w:rFonts w:ascii="仿宋" w:hAnsi="仿宋"/>
          <w:b/>
          <w:sz w:val="32"/>
          <w:szCs w:val="32"/>
          <w:highlight w:val="none"/>
        </w:rPr>
      </w:pPr>
    </w:p>
    <w:p w14:paraId="4A05A9F7">
      <w:pPr>
        <w:ind w:firstLine="565" w:firstLineChars="201"/>
        <w:jc w:val="left"/>
        <w:rPr>
          <w:rFonts w:ascii="仿宋" w:hAnsi="仿宋"/>
          <w:b/>
          <w:sz w:val="28"/>
          <w:szCs w:val="28"/>
          <w:highlight w:val="none"/>
        </w:rPr>
      </w:pPr>
    </w:p>
    <w:p w14:paraId="727DEDC5">
      <w:pPr>
        <w:ind w:firstLine="565" w:firstLineChars="201"/>
        <w:jc w:val="left"/>
        <w:rPr>
          <w:rFonts w:ascii="仿宋" w:hAnsi="仿宋"/>
          <w:b/>
          <w:sz w:val="28"/>
          <w:szCs w:val="28"/>
          <w:highlight w:val="none"/>
        </w:rPr>
      </w:pPr>
    </w:p>
    <w:p w14:paraId="013DFA48">
      <w:pPr>
        <w:jc w:val="left"/>
        <w:rPr>
          <w:rFonts w:ascii="仿宋" w:hAnsi="仿宋"/>
          <w:b/>
          <w:sz w:val="28"/>
          <w:szCs w:val="28"/>
          <w:highlight w:val="none"/>
        </w:rPr>
      </w:pPr>
    </w:p>
    <w:p w14:paraId="38FD86AC">
      <w:pPr>
        <w:ind w:firstLine="565" w:firstLineChars="201"/>
        <w:jc w:val="left"/>
        <w:rPr>
          <w:rFonts w:ascii="仿宋" w:hAnsi="仿宋"/>
          <w:b/>
          <w:sz w:val="28"/>
          <w:szCs w:val="28"/>
          <w:highlight w:val="none"/>
        </w:rPr>
      </w:pPr>
    </w:p>
    <w:p w14:paraId="79970C1A">
      <w:pPr>
        <w:ind w:firstLine="565" w:firstLineChars="201"/>
        <w:jc w:val="left"/>
        <w:rPr>
          <w:rFonts w:ascii="仿宋" w:hAnsi="仿宋"/>
          <w:b/>
          <w:sz w:val="28"/>
          <w:szCs w:val="28"/>
          <w:highlight w:val="none"/>
        </w:rPr>
      </w:pPr>
    </w:p>
    <w:p w14:paraId="49477CC5">
      <w:pPr>
        <w:ind w:firstLine="565" w:firstLineChars="201"/>
        <w:jc w:val="left"/>
        <w:rPr>
          <w:rFonts w:ascii="仿宋" w:hAnsi="仿宋"/>
          <w:b/>
          <w:sz w:val="28"/>
          <w:szCs w:val="28"/>
          <w:highlight w:val="none"/>
        </w:rPr>
      </w:pPr>
      <w:r>
        <w:rPr>
          <w:rFonts w:hint="eastAsia" w:ascii="仿宋" w:hAnsi="仿宋"/>
          <w:b/>
          <w:sz w:val="28"/>
          <w:szCs w:val="28"/>
          <w:highlight w:val="none"/>
        </w:rPr>
        <w:t xml:space="preserve">          审批人：  </w:t>
      </w:r>
      <w:r>
        <w:rPr>
          <w:rFonts w:hint="eastAsia" w:ascii="仿宋" w:hAnsi="仿宋"/>
          <w:b/>
          <w:sz w:val="28"/>
          <w:szCs w:val="28"/>
          <w:highlight w:val="none"/>
          <w:u w:val="single"/>
        </w:rPr>
        <w:t xml:space="preserve">    </w:t>
      </w:r>
      <w:r>
        <w:rPr>
          <w:rFonts w:hint="eastAsia" w:ascii="仿宋" w:hAnsi="仿宋"/>
          <w:b/>
          <w:sz w:val="28"/>
          <w:szCs w:val="28"/>
          <w:highlight w:val="none"/>
          <w:u w:val="single"/>
          <w:lang w:val="en-US" w:eastAsia="zh-CN"/>
        </w:rPr>
        <w:t xml:space="preserve">      </w:t>
      </w:r>
      <w:r>
        <w:rPr>
          <w:rFonts w:hint="eastAsia" w:ascii="仿宋" w:hAnsi="仿宋"/>
          <w:b/>
          <w:sz w:val="28"/>
          <w:szCs w:val="28"/>
          <w:highlight w:val="none"/>
          <w:u w:val="single"/>
        </w:rPr>
        <w:t xml:space="preserve">    </w:t>
      </w:r>
    </w:p>
    <w:p w14:paraId="7E3C2EFC">
      <w:pPr>
        <w:ind w:firstLine="565" w:firstLineChars="201"/>
        <w:jc w:val="left"/>
        <w:outlineLvl w:val="9"/>
        <w:rPr>
          <w:rFonts w:hint="default" w:ascii="仿宋" w:hAnsi="仿宋" w:eastAsia="宋体"/>
          <w:b/>
          <w:sz w:val="28"/>
          <w:szCs w:val="28"/>
          <w:highlight w:val="none"/>
          <w:lang w:val="en-US" w:eastAsia="zh-CN"/>
        </w:rPr>
      </w:pPr>
      <w:r>
        <w:rPr>
          <w:rFonts w:hint="eastAsia" w:ascii="仿宋" w:hAnsi="仿宋"/>
          <w:b/>
          <w:sz w:val="28"/>
          <w:szCs w:val="28"/>
          <w:highlight w:val="none"/>
        </w:rPr>
        <w:t xml:space="preserve">          </w:t>
      </w:r>
      <w:bookmarkStart w:id="7" w:name="_Toc7553"/>
      <w:bookmarkStart w:id="8" w:name="_Toc376"/>
      <w:r>
        <w:rPr>
          <w:rFonts w:hint="eastAsia" w:ascii="仿宋" w:hAnsi="仿宋"/>
          <w:b/>
          <w:sz w:val="28"/>
          <w:szCs w:val="28"/>
          <w:highlight w:val="none"/>
        </w:rPr>
        <w:t xml:space="preserve">审核人：  </w:t>
      </w:r>
      <w:r>
        <w:rPr>
          <w:rFonts w:hint="eastAsia" w:ascii="仿宋" w:hAnsi="仿宋"/>
          <w:b/>
          <w:sz w:val="28"/>
          <w:szCs w:val="28"/>
          <w:highlight w:val="none"/>
          <w:u w:val="single"/>
        </w:rPr>
        <w:t xml:space="preserve">  </w:t>
      </w:r>
      <w:bookmarkEnd w:id="7"/>
      <w:r>
        <w:rPr>
          <w:rFonts w:hint="eastAsia" w:ascii="仿宋" w:hAnsi="仿宋"/>
          <w:b/>
          <w:sz w:val="28"/>
          <w:szCs w:val="28"/>
          <w:highlight w:val="none"/>
          <w:u w:val="single"/>
          <w:lang w:val="en-US" w:eastAsia="zh-CN"/>
        </w:rPr>
        <w:t xml:space="preserve">    </w:t>
      </w:r>
      <w:bookmarkEnd w:id="8"/>
      <w:r>
        <w:rPr>
          <w:rFonts w:hint="eastAsia" w:ascii="仿宋" w:hAnsi="仿宋"/>
          <w:b/>
          <w:sz w:val="28"/>
          <w:szCs w:val="28"/>
          <w:highlight w:val="none"/>
          <w:u w:val="single"/>
          <w:lang w:val="en-US" w:eastAsia="zh-CN"/>
        </w:rPr>
        <w:t xml:space="preserve">        </w:t>
      </w:r>
    </w:p>
    <w:p w14:paraId="77A7EBE3">
      <w:pPr>
        <w:ind w:firstLine="565" w:firstLineChars="201"/>
        <w:jc w:val="left"/>
        <w:rPr>
          <w:rFonts w:ascii="仿宋" w:hAnsi="仿宋"/>
          <w:b/>
          <w:sz w:val="28"/>
          <w:szCs w:val="28"/>
          <w:highlight w:val="none"/>
        </w:rPr>
      </w:pPr>
      <w:r>
        <w:rPr>
          <w:rFonts w:hint="eastAsia" w:ascii="仿宋" w:hAnsi="仿宋"/>
          <w:b/>
          <w:sz w:val="28"/>
          <w:szCs w:val="28"/>
          <w:highlight w:val="none"/>
        </w:rPr>
        <w:t xml:space="preserve">          编制人：  </w:t>
      </w:r>
      <w:r>
        <w:rPr>
          <w:rFonts w:hint="eastAsia" w:ascii="仿宋" w:hAnsi="仿宋"/>
          <w:b/>
          <w:sz w:val="28"/>
          <w:szCs w:val="28"/>
          <w:highlight w:val="none"/>
          <w:u w:val="single"/>
        </w:rPr>
        <w:t xml:space="preserve">              </w:t>
      </w:r>
    </w:p>
    <w:p w14:paraId="1E8665A7">
      <w:pPr>
        <w:ind w:firstLine="562" w:firstLineChars="201"/>
        <w:jc w:val="left"/>
        <w:rPr>
          <w:rFonts w:ascii="仿宋" w:hAnsi="仿宋"/>
          <w:sz w:val="28"/>
          <w:szCs w:val="28"/>
          <w:highlight w:val="none"/>
        </w:rPr>
      </w:pPr>
    </w:p>
    <w:p w14:paraId="0E574358">
      <w:pPr>
        <w:ind w:firstLine="562" w:firstLineChars="201"/>
        <w:jc w:val="left"/>
        <w:rPr>
          <w:rFonts w:ascii="仿宋" w:hAnsi="仿宋"/>
          <w:sz w:val="28"/>
          <w:szCs w:val="28"/>
          <w:highlight w:val="none"/>
        </w:rPr>
      </w:pPr>
    </w:p>
    <w:p w14:paraId="178C3291">
      <w:pPr>
        <w:ind w:firstLine="562" w:firstLineChars="201"/>
        <w:jc w:val="left"/>
        <w:rPr>
          <w:rFonts w:ascii="仿宋" w:hAnsi="仿宋"/>
          <w:sz w:val="28"/>
          <w:szCs w:val="28"/>
          <w:highlight w:val="none"/>
        </w:rPr>
      </w:pPr>
    </w:p>
    <w:p w14:paraId="7B2EBFA8">
      <w:pPr>
        <w:pStyle w:val="27"/>
        <w:ind w:left="610" w:hanging="70"/>
        <w:rPr>
          <w:rFonts w:ascii="仿宋" w:hAnsi="仿宋"/>
          <w:szCs w:val="28"/>
          <w:highlight w:val="none"/>
        </w:rPr>
      </w:pPr>
    </w:p>
    <w:p w14:paraId="4D99FF09">
      <w:pPr>
        <w:pStyle w:val="13"/>
        <w:rPr>
          <w:rFonts w:ascii="仿宋" w:hAnsi="仿宋"/>
          <w:sz w:val="28"/>
          <w:szCs w:val="28"/>
          <w:highlight w:val="none"/>
        </w:rPr>
      </w:pPr>
    </w:p>
    <w:p w14:paraId="4B6726FE">
      <w:pPr>
        <w:rPr>
          <w:rFonts w:ascii="仿宋" w:hAnsi="仿宋"/>
          <w:sz w:val="28"/>
          <w:szCs w:val="28"/>
          <w:highlight w:val="none"/>
        </w:rPr>
      </w:pPr>
    </w:p>
    <w:p w14:paraId="36032D58">
      <w:pPr>
        <w:bidi w:val="0"/>
        <w:rPr>
          <w:highlight w:val="none"/>
        </w:rPr>
      </w:pPr>
    </w:p>
    <w:p w14:paraId="4CFDA9A8">
      <w:pPr>
        <w:rPr>
          <w:highlight w:val="none"/>
        </w:rPr>
      </w:pPr>
    </w:p>
    <w:p w14:paraId="6B1F31D2">
      <w:pPr>
        <w:rPr>
          <w:rFonts w:ascii="仿宋" w:hAnsi="仿宋"/>
          <w:sz w:val="28"/>
          <w:szCs w:val="28"/>
          <w:highlight w:val="none"/>
        </w:rPr>
      </w:pPr>
      <w:r>
        <w:rPr>
          <w:rFonts w:ascii="仿宋" w:hAnsi="仿宋"/>
          <w:sz w:val="28"/>
          <w:szCs w:val="28"/>
          <w:highlight w:val="none"/>
        </w:rPr>
        <w:br w:type="page"/>
      </w:r>
    </w:p>
    <w:p w14:paraId="2328A582">
      <w:pPr>
        <w:bidi w:val="0"/>
        <w:rPr>
          <w:highlight w:val="none"/>
        </w:rPr>
      </w:pPr>
    </w:p>
    <w:p w14:paraId="1EEBF986">
      <w:pPr>
        <w:pStyle w:val="27"/>
        <w:ind w:left="610" w:hanging="70"/>
        <w:rPr>
          <w:rFonts w:ascii="仿宋" w:hAnsi="仿宋"/>
          <w:szCs w:val="28"/>
          <w:highlight w:val="none"/>
        </w:rPr>
      </w:pPr>
    </w:p>
    <w:p w14:paraId="3B7E3557">
      <w:pPr>
        <w:pStyle w:val="13"/>
        <w:rPr>
          <w:highlight w:val="none"/>
        </w:rPr>
      </w:pPr>
    </w:p>
    <w:p w14:paraId="708B55A5">
      <w:pPr>
        <w:ind w:firstLine="562" w:firstLineChars="201"/>
        <w:jc w:val="left"/>
        <w:rPr>
          <w:rFonts w:ascii="仿宋" w:hAnsi="仿宋"/>
          <w:sz w:val="28"/>
          <w:szCs w:val="28"/>
          <w:highlight w:val="none"/>
        </w:rPr>
      </w:pPr>
    </w:p>
    <w:p w14:paraId="0864AF9E">
      <w:pPr>
        <w:bidi w:val="0"/>
        <w:rPr>
          <w:highlight w:val="none"/>
        </w:rPr>
      </w:pPr>
    </w:p>
    <w:p w14:paraId="02BA5FDE">
      <w:pPr>
        <w:ind w:firstLine="646" w:firstLineChars="201"/>
        <w:jc w:val="center"/>
        <w:rPr>
          <w:rFonts w:ascii="仿宋" w:hAnsi="仿宋"/>
          <w:b/>
          <w:bCs/>
          <w:sz w:val="32"/>
          <w:szCs w:val="32"/>
          <w:highlight w:val="none"/>
        </w:rPr>
      </w:pPr>
    </w:p>
    <w:p w14:paraId="50A755E9">
      <w:pPr>
        <w:jc w:val="center"/>
        <w:outlineLvl w:val="9"/>
        <w:rPr>
          <w:rFonts w:ascii="仿宋" w:hAnsi="仿宋" w:cs="仿宋"/>
          <w:b/>
          <w:bCs/>
          <w:sz w:val="32"/>
          <w:szCs w:val="32"/>
          <w:highlight w:val="none"/>
        </w:rPr>
      </w:pPr>
      <w:bookmarkStart w:id="9" w:name="_Toc27374"/>
      <w:bookmarkStart w:id="10" w:name="_Toc32098"/>
      <w:r>
        <w:rPr>
          <w:rFonts w:hint="eastAsia"/>
          <w:b/>
          <w:bCs/>
          <w:sz w:val="36"/>
          <w:szCs w:val="36"/>
          <w:highlight w:val="none"/>
        </w:rPr>
        <w:t>桂林-恭城-贺州公路（桂林至钟山段）№</w:t>
      </w:r>
      <w:r>
        <w:rPr>
          <w:b/>
          <w:bCs/>
          <w:sz w:val="36"/>
          <w:szCs w:val="36"/>
          <w:highlight w:val="none"/>
        </w:rPr>
        <w:t>7</w:t>
      </w:r>
      <w:r>
        <w:rPr>
          <w:rFonts w:hint="eastAsia"/>
          <w:b/>
          <w:bCs/>
          <w:sz w:val="36"/>
          <w:szCs w:val="36"/>
          <w:highlight w:val="none"/>
        </w:rPr>
        <w:t>合同段</w:t>
      </w:r>
      <w:bookmarkEnd w:id="9"/>
      <w:bookmarkEnd w:id="10"/>
    </w:p>
    <w:p w14:paraId="21DCE8B9">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拆除</w:t>
      </w:r>
      <w:r>
        <w:rPr>
          <w:rFonts w:hint="eastAsia" w:ascii="仿宋" w:hAnsi="仿宋"/>
          <w:b/>
          <w:bCs/>
          <w:sz w:val="32"/>
          <w:szCs w:val="32"/>
          <w:highlight w:val="none"/>
          <w:lang w:eastAsia="zh-CN"/>
        </w:rPr>
        <w:t>）</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2003144A">
      <w:pPr>
        <w:jc w:val="center"/>
        <w:rPr>
          <w:rFonts w:ascii="仿宋" w:hAnsi="仿宋" w:cs="仿宋"/>
          <w:b/>
          <w:bCs/>
          <w:sz w:val="32"/>
          <w:szCs w:val="32"/>
          <w:highlight w:val="none"/>
        </w:rPr>
      </w:pPr>
    </w:p>
    <w:p w14:paraId="53B125E6">
      <w:pPr>
        <w:ind w:firstLine="565" w:firstLineChars="201"/>
        <w:jc w:val="left"/>
        <w:rPr>
          <w:rFonts w:ascii="仿宋" w:hAnsi="仿宋"/>
          <w:b/>
          <w:sz w:val="28"/>
          <w:szCs w:val="28"/>
          <w:highlight w:val="none"/>
        </w:rPr>
      </w:pPr>
    </w:p>
    <w:p w14:paraId="3D091463">
      <w:pPr>
        <w:ind w:firstLine="565" w:firstLineChars="201"/>
        <w:jc w:val="left"/>
        <w:rPr>
          <w:rFonts w:ascii="仿宋" w:hAnsi="仿宋"/>
          <w:b/>
          <w:sz w:val="28"/>
          <w:szCs w:val="28"/>
          <w:highlight w:val="none"/>
        </w:rPr>
      </w:pPr>
    </w:p>
    <w:p w14:paraId="3F78C170">
      <w:pPr>
        <w:jc w:val="left"/>
        <w:rPr>
          <w:rFonts w:ascii="仿宋" w:hAnsi="仿宋"/>
          <w:b/>
          <w:sz w:val="28"/>
          <w:szCs w:val="28"/>
          <w:highlight w:val="none"/>
        </w:rPr>
      </w:pPr>
    </w:p>
    <w:p w14:paraId="32D04BD0">
      <w:pPr>
        <w:pStyle w:val="27"/>
        <w:ind w:left="610" w:hanging="70"/>
        <w:rPr>
          <w:rFonts w:ascii="仿宋" w:hAnsi="仿宋"/>
          <w:b/>
          <w:szCs w:val="28"/>
          <w:highlight w:val="none"/>
        </w:rPr>
      </w:pPr>
    </w:p>
    <w:p w14:paraId="0BF5B7DD">
      <w:pPr>
        <w:pStyle w:val="13"/>
        <w:rPr>
          <w:highlight w:val="none"/>
        </w:rPr>
      </w:pPr>
    </w:p>
    <w:p w14:paraId="1AC58708">
      <w:pPr>
        <w:ind w:firstLine="565" w:firstLineChars="201"/>
        <w:jc w:val="left"/>
        <w:rPr>
          <w:rFonts w:ascii="仿宋" w:hAnsi="仿宋"/>
          <w:b/>
          <w:sz w:val="28"/>
          <w:szCs w:val="28"/>
          <w:highlight w:val="none"/>
        </w:rPr>
      </w:pPr>
    </w:p>
    <w:p w14:paraId="767334B5">
      <w:pPr>
        <w:ind w:firstLine="565" w:firstLineChars="201"/>
        <w:jc w:val="left"/>
        <w:outlineLvl w:val="9"/>
        <w:rPr>
          <w:rFonts w:ascii="仿宋" w:hAnsi="仿宋"/>
          <w:b/>
          <w:sz w:val="28"/>
          <w:szCs w:val="28"/>
          <w:highlight w:val="none"/>
        </w:rPr>
      </w:pPr>
      <w:r>
        <w:rPr>
          <w:rFonts w:hint="eastAsia" w:ascii="仿宋" w:hAnsi="仿宋"/>
          <w:b/>
          <w:sz w:val="28"/>
          <w:szCs w:val="28"/>
          <w:highlight w:val="none"/>
        </w:rPr>
        <w:t xml:space="preserve">          </w:t>
      </w:r>
      <w:bookmarkStart w:id="11" w:name="_Toc10865"/>
      <w:bookmarkStart w:id="12" w:name="_Toc26573"/>
      <w:r>
        <w:rPr>
          <w:rFonts w:hint="eastAsia" w:ascii="仿宋" w:hAnsi="仿宋"/>
          <w:b/>
          <w:sz w:val="28"/>
          <w:szCs w:val="28"/>
          <w:highlight w:val="none"/>
        </w:rPr>
        <w:t xml:space="preserve">审批人：     </w:t>
      </w:r>
      <w:r>
        <w:rPr>
          <w:rFonts w:hint="eastAsia" w:ascii="仿宋" w:hAnsi="仿宋"/>
          <w:b/>
          <w:sz w:val="28"/>
          <w:szCs w:val="28"/>
          <w:highlight w:val="none"/>
          <w:u w:val="single"/>
        </w:rPr>
        <w:t xml:space="preserve"> （安装单位技术负责人）</w:t>
      </w:r>
      <w:bookmarkEnd w:id="11"/>
      <w:bookmarkEnd w:id="12"/>
      <w:r>
        <w:rPr>
          <w:rFonts w:hint="eastAsia" w:ascii="仿宋" w:hAnsi="仿宋"/>
          <w:b/>
          <w:sz w:val="28"/>
          <w:szCs w:val="28"/>
          <w:highlight w:val="none"/>
          <w:u w:val="single"/>
        </w:rPr>
        <w:t xml:space="preserve">   </w:t>
      </w:r>
    </w:p>
    <w:p w14:paraId="05B1A66C">
      <w:pPr>
        <w:ind w:firstLine="565" w:firstLineChars="201"/>
        <w:jc w:val="left"/>
        <w:rPr>
          <w:rFonts w:ascii="仿宋" w:hAnsi="仿宋"/>
          <w:b/>
          <w:sz w:val="28"/>
          <w:szCs w:val="28"/>
          <w:highlight w:val="none"/>
          <w:u w:val="single"/>
        </w:rPr>
      </w:pPr>
      <w:r>
        <w:rPr>
          <w:rFonts w:hint="eastAsia" w:ascii="仿宋" w:hAnsi="仿宋"/>
          <w:b/>
          <w:sz w:val="28"/>
          <w:szCs w:val="28"/>
          <w:highlight w:val="none"/>
        </w:rPr>
        <w:t xml:space="preserve">          编制人：     </w:t>
      </w:r>
      <w:r>
        <w:rPr>
          <w:rFonts w:hint="eastAsia" w:ascii="仿宋" w:hAnsi="仿宋"/>
          <w:b/>
          <w:sz w:val="28"/>
          <w:szCs w:val="28"/>
          <w:highlight w:val="none"/>
          <w:u w:val="single"/>
        </w:rPr>
        <w:t xml:space="preserve">    （安装单位人员）      </w:t>
      </w:r>
    </w:p>
    <w:p w14:paraId="19C65362">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安装单位（章）： </w:t>
      </w:r>
      <w:r>
        <w:rPr>
          <w:rFonts w:hint="eastAsia" w:ascii="仿宋" w:hAnsi="仿宋"/>
          <w:b/>
          <w:sz w:val="28"/>
          <w:szCs w:val="28"/>
          <w:highlight w:val="none"/>
          <w:u w:val="single"/>
        </w:rPr>
        <w:t xml:space="preserve">                      </w:t>
      </w:r>
    </w:p>
    <w:p w14:paraId="4B538B9D">
      <w:pPr>
        <w:ind w:firstLine="482" w:firstLineChars="201"/>
        <w:jc w:val="left"/>
        <w:rPr>
          <w:rFonts w:ascii="仿宋" w:hAnsi="仿宋"/>
          <w:sz w:val="28"/>
          <w:szCs w:val="28"/>
          <w:highlight w:val="none"/>
        </w:rPr>
      </w:pPr>
      <w:r>
        <w:rPr>
          <w:rFonts w:hint="eastAsia"/>
          <w:highlight w:val="none"/>
        </w:rPr>
        <w:t xml:space="preserve">                                      </w:t>
      </w:r>
    </w:p>
    <w:p w14:paraId="3CF83C43">
      <w:pPr>
        <w:ind w:firstLine="562" w:firstLineChars="201"/>
        <w:jc w:val="center"/>
        <w:rPr>
          <w:rFonts w:ascii="仿宋" w:hAnsi="仿宋"/>
          <w:sz w:val="28"/>
          <w:szCs w:val="28"/>
          <w:highlight w:val="none"/>
        </w:rPr>
      </w:pPr>
    </w:p>
    <w:p w14:paraId="21310859">
      <w:pPr>
        <w:pStyle w:val="23"/>
        <w:tabs>
          <w:tab w:val="left" w:pos="1050"/>
          <w:tab w:val="right" w:leader="dot" w:pos="8296"/>
        </w:tabs>
        <w:rPr>
          <w:rFonts w:ascii="等线" w:hAnsi="等线" w:eastAsia="仿宋" w:cs="Times New Roman"/>
          <w:kern w:val="2"/>
          <w:sz w:val="21"/>
          <w:szCs w:val="22"/>
          <w:highlight w:val="none"/>
          <w:lang w:val="en-US" w:eastAsia="zh-CN" w:bidi="ar-SA"/>
        </w:rPr>
      </w:pPr>
      <w:r>
        <w:rPr>
          <w:highlight w:val="none"/>
        </w:rPr>
        <w:br w:type="page"/>
      </w:r>
      <w:r>
        <w:rPr>
          <w:highlight w:val="none"/>
        </w:rPr>
        <w:fldChar w:fldCharType="begin"/>
      </w:r>
      <w:r>
        <w:rPr>
          <w:highlight w:val="none"/>
        </w:rPr>
        <w:instrText xml:space="preserve"> TOC \o "1-2" \h \z \u </w:instrText>
      </w:r>
      <w:r>
        <w:rPr>
          <w:highlight w:val="none"/>
        </w:rPr>
        <w:fldChar w:fldCharType="separate"/>
      </w:r>
    </w:p>
    <w:p w14:paraId="59FCD416">
      <w:pPr>
        <w:tabs>
          <w:tab w:val="left" w:pos="1050"/>
          <w:tab w:val="right" w:leader="dot" w:pos="8296"/>
        </w:tabs>
        <w:rPr>
          <w:highlight w:val="none"/>
        </w:rPr>
      </w:pPr>
      <w:r>
        <w:rPr>
          <w:highlight w:val="none"/>
        </w:rPr>
        <w:fldChar w:fldCharType="end"/>
      </w:r>
    </w:p>
    <w:p w14:paraId="2D3BA5D2">
      <w:pPr>
        <w:rPr>
          <w:highlight w:val="none"/>
        </w:rPr>
      </w:pPr>
      <w:r>
        <w:rPr>
          <w:highlight w:val="none"/>
        </w:rPr>
        <w:br w:type="page"/>
      </w:r>
    </w:p>
    <w:p w14:paraId="451F1290">
      <w:pPr>
        <w:tabs>
          <w:tab w:val="left" w:pos="1050"/>
          <w:tab w:val="right" w:leader="dot" w:pos="8296"/>
        </w:tabs>
        <w:jc w:val="center"/>
        <w:rPr>
          <w:b/>
          <w:bCs/>
          <w:sz w:val="36"/>
          <w:szCs w:val="32"/>
          <w:highlight w:val="none"/>
        </w:rPr>
      </w:pPr>
      <w:r>
        <w:rPr>
          <w:rFonts w:ascii="宋体" w:hAnsi="宋体" w:eastAsia="宋体"/>
          <w:b/>
          <w:bCs/>
          <w:sz w:val="28"/>
          <w:szCs w:val="32"/>
          <w:highlight w:val="none"/>
        </w:rPr>
        <w:t>目录</w:t>
      </w:r>
    </w:p>
    <w:p w14:paraId="0CF9E75A">
      <w:pPr>
        <w:pStyle w:val="23"/>
        <w:tabs>
          <w:tab w:val="right" w:leader="dot" w:pos="8306"/>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_Toc13483 </w:instrText>
      </w:r>
      <w:r>
        <w:rPr>
          <w:highlight w:val="none"/>
        </w:rPr>
        <w:fldChar w:fldCharType="separate"/>
      </w:r>
      <w:r>
        <w:rPr>
          <w:rFonts w:hint="eastAsia"/>
          <w:highlight w:val="none"/>
          <w:lang w:val="en-US" w:eastAsia="zh-CN"/>
        </w:rPr>
        <w:t>1</w:t>
      </w:r>
      <w:r>
        <w:rPr>
          <w:rFonts w:hint="eastAsia"/>
          <w:highlight w:val="none"/>
        </w:rPr>
        <w:t>编制依据</w:t>
      </w:r>
      <w:r>
        <w:tab/>
      </w:r>
      <w:r>
        <w:fldChar w:fldCharType="begin"/>
      </w:r>
      <w:r>
        <w:instrText xml:space="preserve"> PAGEREF _Toc13483 \h </w:instrText>
      </w:r>
      <w:r>
        <w:fldChar w:fldCharType="separate"/>
      </w:r>
      <w:r>
        <w:t>1</w:t>
      </w:r>
      <w:r>
        <w:fldChar w:fldCharType="end"/>
      </w:r>
      <w:r>
        <w:rPr>
          <w:highlight w:val="none"/>
        </w:rPr>
        <w:fldChar w:fldCharType="end"/>
      </w:r>
    </w:p>
    <w:p w14:paraId="40EAF83D">
      <w:pPr>
        <w:pStyle w:val="24"/>
        <w:tabs>
          <w:tab w:val="right" w:leader="dot" w:pos="8306"/>
        </w:tabs>
      </w:pPr>
      <w:r>
        <w:rPr>
          <w:highlight w:val="none"/>
        </w:rPr>
        <w:fldChar w:fldCharType="begin"/>
      </w:r>
      <w:r>
        <w:rPr>
          <w:highlight w:val="none"/>
        </w:rPr>
        <w:instrText xml:space="preserve"> HYPERLINK \l _Toc22337 </w:instrText>
      </w:r>
      <w:r>
        <w:rPr>
          <w:highlight w:val="none"/>
        </w:rPr>
        <w:fldChar w:fldCharType="separate"/>
      </w:r>
      <w:r>
        <w:rPr>
          <w:rFonts w:hint="eastAsia"/>
          <w:highlight w:val="none"/>
          <w:lang w:val="en-US" w:eastAsia="zh-CN"/>
        </w:rPr>
        <w:t>1</w:t>
      </w:r>
      <w:r>
        <w:rPr>
          <w:highlight w:val="none"/>
        </w:rPr>
        <w:t>.1</w:t>
      </w:r>
      <w:r>
        <w:rPr>
          <w:rFonts w:hint="eastAsia"/>
          <w:highlight w:val="none"/>
        </w:rPr>
        <w:t xml:space="preserve"> 编制</w:t>
      </w:r>
      <w:r>
        <w:rPr>
          <w:rFonts w:hint="eastAsia"/>
          <w:highlight w:val="none"/>
          <w:lang w:val="en-US" w:eastAsia="zh-CN"/>
        </w:rPr>
        <w:t>说明</w:t>
      </w:r>
      <w:r>
        <w:tab/>
      </w:r>
      <w:r>
        <w:fldChar w:fldCharType="begin"/>
      </w:r>
      <w:r>
        <w:instrText xml:space="preserve"> PAGEREF _Toc22337 \h </w:instrText>
      </w:r>
      <w:r>
        <w:fldChar w:fldCharType="separate"/>
      </w:r>
      <w:r>
        <w:t>1</w:t>
      </w:r>
      <w:r>
        <w:fldChar w:fldCharType="end"/>
      </w:r>
      <w:r>
        <w:rPr>
          <w:highlight w:val="none"/>
        </w:rPr>
        <w:fldChar w:fldCharType="end"/>
      </w:r>
    </w:p>
    <w:p w14:paraId="31B9DBBE">
      <w:pPr>
        <w:pStyle w:val="24"/>
        <w:tabs>
          <w:tab w:val="right" w:leader="dot" w:pos="8306"/>
        </w:tabs>
      </w:pPr>
      <w:r>
        <w:rPr>
          <w:highlight w:val="none"/>
        </w:rPr>
        <w:fldChar w:fldCharType="begin"/>
      </w:r>
      <w:r>
        <w:rPr>
          <w:highlight w:val="none"/>
        </w:rPr>
        <w:instrText xml:space="preserve"> HYPERLINK \l _Toc8665 </w:instrText>
      </w:r>
      <w:r>
        <w:rPr>
          <w:highlight w:val="none"/>
        </w:rPr>
        <w:fldChar w:fldCharType="separate"/>
      </w:r>
      <w:r>
        <w:rPr>
          <w:rFonts w:hint="eastAsia"/>
          <w:highlight w:val="none"/>
          <w:lang w:val="en-US" w:eastAsia="zh-CN"/>
        </w:rPr>
        <w:t>1</w:t>
      </w:r>
      <w:r>
        <w:rPr>
          <w:highlight w:val="none"/>
        </w:rPr>
        <w:t>.2</w:t>
      </w:r>
      <w:r>
        <w:rPr>
          <w:rFonts w:hint="eastAsia"/>
          <w:highlight w:val="none"/>
        </w:rPr>
        <w:t xml:space="preserve"> </w:t>
      </w:r>
      <w:r>
        <w:rPr>
          <w:rFonts w:hint="eastAsia"/>
          <w:highlight w:val="none"/>
          <w:lang w:val="en-US" w:eastAsia="zh-CN"/>
        </w:rPr>
        <w:t>引用文件</w:t>
      </w:r>
      <w:r>
        <w:tab/>
      </w:r>
      <w:r>
        <w:fldChar w:fldCharType="begin"/>
      </w:r>
      <w:r>
        <w:instrText xml:space="preserve"> PAGEREF _Toc8665 \h </w:instrText>
      </w:r>
      <w:r>
        <w:fldChar w:fldCharType="separate"/>
      </w:r>
      <w:r>
        <w:t>1</w:t>
      </w:r>
      <w:r>
        <w:fldChar w:fldCharType="end"/>
      </w:r>
      <w:r>
        <w:rPr>
          <w:highlight w:val="none"/>
        </w:rPr>
        <w:fldChar w:fldCharType="end"/>
      </w:r>
    </w:p>
    <w:p w14:paraId="15481C33">
      <w:pPr>
        <w:pStyle w:val="24"/>
        <w:tabs>
          <w:tab w:val="right" w:leader="dot" w:pos="8306"/>
        </w:tabs>
      </w:pPr>
      <w:r>
        <w:rPr>
          <w:highlight w:val="none"/>
        </w:rPr>
        <w:fldChar w:fldCharType="begin"/>
      </w:r>
      <w:r>
        <w:rPr>
          <w:highlight w:val="none"/>
        </w:rPr>
        <w:instrText xml:space="preserve"> HYPERLINK \l _Toc29618 </w:instrText>
      </w:r>
      <w:r>
        <w:rPr>
          <w:highlight w:val="none"/>
        </w:rPr>
        <w:fldChar w:fldCharType="separate"/>
      </w:r>
      <w:r>
        <w:rPr>
          <w:rFonts w:hint="eastAsia"/>
          <w:highlight w:val="none"/>
          <w:lang w:val="en-US" w:eastAsia="zh-CN"/>
        </w:rPr>
        <w:t>1</w:t>
      </w:r>
      <w:r>
        <w:rPr>
          <w:rFonts w:hint="eastAsia"/>
          <w:highlight w:val="none"/>
        </w:rPr>
        <w:t>.3 编制原则</w:t>
      </w:r>
      <w:r>
        <w:tab/>
      </w:r>
      <w:r>
        <w:fldChar w:fldCharType="begin"/>
      </w:r>
      <w:r>
        <w:instrText xml:space="preserve"> PAGEREF _Toc29618 \h </w:instrText>
      </w:r>
      <w:r>
        <w:fldChar w:fldCharType="separate"/>
      </w:r>
      <w:r>
        <w:t>2</w:t>
      </w:r>
      <w:r>
        <w:fldChar w:fldCharType="end"/>
      </w:r>
      <w:r>
        <w:rPr>
          <w:highlight w:val="none"/>
        </w:rPr>
        <w:fldChar w:fldCharType="end"/>
      </w:r>
    </w:p>
    <w:p w14:paraId="6B891F2B">
      <w:pPr>
        <w:pStyle w:val="24"/>
        <w:tabs>
          <w:tab w:val="right" w:leader="dot" w:pos="8306"/>
        </w:tabs>
      </w:pPr>
      <w:r>
        <w:rPr>
          <w:highlight w:val="none"/>
        </w:rPr>
        <w:fldChar w:fldCharType="begin"/>
      </w:r>
      <w:r>
        <w:rPr>
          <w:highlight w:val="none"/>
        </w:rPr>
        <w:instrText xml:space="preserve"> HYPERLINK \l _Toc20278 </w:instrText>
      </w:r>
      <w:r>
        <w:rPr>
          <w:highlight w:val="none"/>
        </w:rPr>
        <w:fldChar w:fldCharType="separate"/>
      </w:r>
      <w:r>
        <w:rPr>
          <w:rFonts w:hint="eastAsia"/>
          <w:highlight w:val="none"/>
          <w:lang w:val="en-US" w:eastAsia="zh-CN"/>
        </w:rPr>
        <w:t>1</w:t>
      </w:r>
      <w:r>
        <w:rPr>
          <w:highlight w:val="none"/>
        </w:rPr>
        <w:t>.4</w:t>
      </w:r>
      <w:r>
        <w:rPr>
          <w:rFonts w:hint="eastAsia"/>
          <w:highlight w:val="none"/>
        </w:rPr>
        <w:t xml:space="preserve"> 隶属关系</w:t>
      </w:r>
      <w:r>
        <w:tab/>
      </w:r>
      <w:r>
        <w:fldChar w:fldCharType="begin"/>
      </w:r>
      <w:r>
        <w:instrText xml:space="preserve"> PAGEREF _Toc20278 \h </w:instrText>
      </w:r>
      <w:r>
        <w:fldChar w:fldCharType="separate"/>
      </w:r>
      <w:r>
        <w:t>2</w:t>
      </w:r>
      <w:r>
        <w:fldChar w:fldCharType="end"/>
      </w:r>
      <w:r>
        <w:rPr>
          <w:highlight w:val="none"/>
        </w:rPr>
        <w:fldChar w:fldCharType="end"/>
      </w:r>
    </w:p>
    <w:p w14:paraId="736C7B83">
      <w:pPr>
        <w:pStyle w:val="24"/>
        <w:tabs>
          <w:tab w:val="right" w:leader="dot" w:pos="8306"/>
        </w:tabs>
      </w:pPr>
      <w:r>
        <w:rPr>
          <w:highlight w:val="none"/>
        </w:rPr>
        <w:fldChar w:fldCharType="begin"/>
      </w:r>
      <w:r>
        <w:rPr>
          <w:highlight w:val="none"/>
        </w:rPr>
        <w:instrText xml:space="preserve"> HYPERLINK \l _Toc22448 </w:instrText>
      </w:r>
      <w:r>
        <w:rPr>
          <w:highlight w:val="none"/>
        </w:rPr>
        <w:fldChar w:fldCharType="separate"/>
      </w:r>
      <w:r>
        <w:rPr>
          <w:rFonts w:hint="eastAsia"/>
          <w:highlight w:val="none"/>
          <w:lang w:val="en-US" w:eastAsia="zh-CN"/>
        </w:rPr>
        <w:t>1</w:t>
      </w:r>
      <w:r>
        <w:rPr>
          <w:rFonts w:hint="eastAsia"/>
          <w:highlight w:val="none"/>
        </w:rPr>
        <w:t>.5 适用范围</w:t>
      </w:r>
      <w:r>
        <w:tab/>
      </w:r>
      <w:r>
        <w:fldChar w:fldCharType="begin"/>
      </w:r>
      <w:r>
        <w:instrText xml:space="preserve"> PAGEREF _Toc22448 \h </w:instrText>
      </w:r>
      <w:r>
        <w:fldChar w:fldCharType="separate"/>
      </w:r>
      <w:r>
        <w:t>2</w:t>
      </w:r>
      <w:r>
        <w:fldChar w:fldCharType="end"/>
      </w:r>
      <w:r>
        <w:rPr>
          <w:highlight w:val="none"/>
        </w:rPr>
        <w:fldChar w:fldCharType="end"/>
      </w:r>
    </w:p>
    <w:p w14:paraId="63D6D829">
      <w:pPr>
        <w:pStyle w:val="23"/>
        <w:tabs>
          <w:tab w:val="right" w:leader="dot" w:pos="8306"/>
        </w:tabs>
      </w:pPr>
      <w:r>
        <w:rPr>
          <w:highlight w:val="none"/>
        </w:rPr>
        <w:fldChar w:fldCharType="begin"/>
      </w:r>
      <w:r>
        <w:rPr>
          <w:highlight w:val="none"/>
        </w:rPr>
        <w:instrText xml:space="preserve"> HYPERLINK \l _Toc672 </w:instrText>
      </w:r>
      <w:r>
        <w:rPr>
          <w:highlight w:val="none"/>
        </w:rPr>
        <w:fldChar w:fldCharType="separate"/>
      </w:r>
      <w:r>
        <w:rPr>
          <w:rFonts w:hint="eastAsia"/>
          <w:highlight w:val="none"/>
          <w:lang w:val="en-US" w:eastAsia="zh-CN"/>
        </w:rPr>
        <w:t>2</w:t>
      </w:r>
      <w:r>
        <w:rPr>
          <w:rFonts w:hint="eastAsia"/>
          <w:highlight w:val="none"/>
        </w:rPr>
        <w:t>工程概况</w:t>
      </w:r>
      <w:r>
        <w:tab/>
      </w:r>
      <w:r>
        <w:fldChar w:fldCharType="begin"/>
      </w:r>
      <w:r>
        <w:instrText xml:space="preserve"> PAGEREF _Toc672 \h </w:instrText>
      </w:r>
      <w:r>
        <w:fldChar w:fldCharType="separate"/>
      </w:r>
      <w:r>
        <w:t>3</w:t>
      </w:r>
      <w:r>
        <w:fldChar w:fldCharType="end"/>
      </w:r>
      <w:r>
        <w:rPr>
          <w:highlight w:val="none"/>
        </w:rPr>
        <w:fldChar w:fldCharType="end"/>
      </w:r>
    </w:p>
    <w:p w14:paraId="51070E63">
      <w:pPr>
        <w:pStyle w:val="24"/>
        <w:tabs>
          <w:tab w:val="right" w:leader="dot" w:pos="8306"/>
        </w:tabs>
      </w:pPr>
      <w:r>
        <w:rPr>
          <w:highlight w:val="none"/>
        </w:rPr>
        <w:fldChar w:fldCharType="begin"/>
      </w:r>
      <w:r>
        <w:rPr>
          <w:highlight w:val="none"/>
        </w:rPr>
        <w:instrText xml:space="preserve"> HYPERLINK \l _Toc13418 </w:instrText>
      </w:r>
      <w:r>
        <w:rPr>
          <w:highlight w:val="none"/>
        </w:rPr>
        <w:fldChar w:fldCharType="separate"/>
      </w:r>
      <w:r>
        <w:rPr>
          <w:rFonts w:hint="eastAsia"/>
          <w:highlight w:val="none"/>
          <w:lang w:val="en-US" w:eastAsia="zh-CN"/>
        </w:rPr>
        <w:t>2</w:t>
      </w:r>
      <w:r>
        <w:rPr>
          <w:rFonts w:hint="eastAsia"/>
          <w:highlight w:val="none"/>
        </w:rPr>
        <w:t>.1 工程概况</w:t>
      </w:r>
      <w:r>
        <w:tab/>
      </w:r>
      <w:r>
        <w:fldChar w:fldCharType="begin"/>
      </w:r>
      <w:r>
        <w:instrText xml:space="preserve"> PAGEREF _Toc13418 \h </w:instrText>
      </w:r>
      <w:r>
        <w:fldChar w:fldCharType="separate"/>
      </w:r>
      <w:r>
        <w:t>3</w:t>
      </w:r>
      <w:r>
        <w:fldChar w:fldCharType="end"/>
      </w:r>
      <w:r>
        <w:rPr>
          <w:highlight w:val="none"/>
        </w:rPr>
        <w:fldChar w:fldCharType="end"/>
      </w:r>
    </w:p>
    <w:p w14:paraId="40F701AC">
      <w:pPr>
        <w:pStyle w:val="24"/>
        <w:tabs>
          <w:tab w:val="right" w:leader="dot" w:pos="8306"/>
        </w:tabs>
      </w:pPr>
      <w:r>
        <w:rPr>
          <w:highlight w:val="none"/>
        </w:rPr>
        <w:fldChar w:fldCharType="begin"/>
      </w:r>
      <w:r>
        <w:rPr>
          <w:highlight w:val="none"/>
        </w:rPr>
        <w:instrText xml:space="preserve"> HYPERLINK \l _Toc18474 </w:instrText>
      </w:r>
      <w:r>
        <w:rPr>
          <w:highlight w:val="none"/>
        </w:rPr>
        <w:fldChar w:fldCharType="separate"/>
      </w:r>
      <w:r>
        <w:rPr>
          <w:rFonts w:hint="eastAsia"/>
          <w:bCs/>
          <w:highlight w:val="none"/>
          <w:lang w:val="en-US" w:eastAsia="zh-CN"/>
        </w:rPr>
        <w:t>2</w:t>
      </w:r>
      <w:r>
        <w:rPr>
          <w:rFonts w:hint="eastAsia"/>
          <w:bCs/>
          <w:highlight w:val="none"/>
        </w:rPr>
        <w:t>.2 自然条件</w:t>
      </w:r>
      <w:r>
        <w:tab/>
      </w:r>
      <w:r>
        <w:fldChar w:fldCharType="begin"/>
      </w:r>
      <w:r>
        <w:instrText xml:space="preserve"> PAGEREF _Toc18474 \h </w:instrText>
      </w:r>
      <w:r>
        <w:fldChar w:fldCharType="separate"/>
      </w:r>
      <w:r>
        <w:t>3</w:t>
      </w:r>
      <w:r>
        <w:fldChar w:fldCharType="end"/>
      </w:r>
      <w:r>
        <w:rPr>
          <w:highlight w:val="none"/>
        </w:rPr>
        <w:fldChar w:fldCharType="end"/>
      </w:r>
    </w:p>
    <w:p w14:paraId="56A414F4">
      <w:pPr>
        <w:pStyle w:val="24"/>
        <w:tabs>
          <w:tab w:val="right" w:leader="dot" w:pos="8306"/>
        </w:tabs>
      </w:pPr>
      <w:r>
        <w:rPr>
          <w:highlight w:val="none"/>
        </w:rPr>
        <w:fldChar w:fldCharType="begin"/>
      </w:r>
      <w:r>
        <w:rPr>
          <w:highlight w:val="none"/>
        </w:rPr>
        <w:instrText xml:space="preserve"> HYPERLINK \l _Toc3776 </w:instrText>
      </w:r>
      <w:r>
        <w:rPr>
          <w:highlight w:val="none"/>
        </w:rPr>
        <w:fldChar w:fldCharType="separate"/>
      </w:r>
      <w:r>
        <w:rPr>
          <w:rFonts w:hint="eastAsia"/>
          <w:highlight w:val="none"/>
          <w:lang w:val="en-US" w:eastAsia="zh-CN"/>
        </w:rPr>
        <w:t>2</w:t>
      </w:r>
      <w:r>
        <w:rPr>
          <w:rFonts w:hint="eastAsia"/>
          <w:highlight w:val="none"/>
        </w:rPr>
        <w:t>.3 安装现场工作环境及条件</w:t>
      </w:r>
      <w:r>
        <w:tab/>
      </w:r>
      <w:r>
        <w:fldChar w:fldCharType="begin"/>
      </w:r>
      <w:r>
        <w:instrText xml:space="preserve"> PAGEREF _Toc3776 \h </w:instrText>
      </w:r>
      <w:r>
        <w:fldChar w:fldCharType="separate"/>
      </w:r>
      <w:r>
        <w:t>5</w:t>
      </w:r>
      <w:r>
        <w:fldChar w:fldCharType="end"/>
      </w:r>
      <w:r>
        <w:rPr>
          <w:highlight w:val="none"/>
        </w:rPr>
        <w:fldChar w:fldCharType="end"/>
      </w:r>
    </w:p>
    <w:p w14:paraId="3E6BEE6A">
      <w:pPr>
        <w:pStyle w:val="24"/>
        <w:tabs>
          <w:tab w:val="right" w:leader="dot" w:pos="8306"/>
        </w:tabs>
      </w:pPr>
      <w:r>
        <w:rPr>
          <w:highlight w:val="none"/>
        </w:rPr>
        <w:fldChar w:fldCharType="begin"/>
      </w:r>
      <w:r>
        <w:rPr>
          <w:highlight w:val="none"/>
        </w:rPr>
        <w:instrText xml:space="preserve"> HYPERLINK \l _Toc32232 </w:instrText>
      </w:r>
      <w:r>
        <w:rPr>
          <w:highlight w:val="none"/>
        </w:rPr>
        <w:fldChar w:fldCharType="separate"/>
      </w:r>
      <w:r>
        <w:rPr>
          <w:rFonts w:hint="eastAsia"/>
          <w:highlight w:val="none"/>
          <w:lang w:val="en-US" w:eastAsia="zh-CN"/>
        </w:rPr>
        <w:t>2</w:t>
      </w:r>
      <w:r>
        <w:rPr>
          <w:rFonts w:hint="eastAsia"/>
          <w:highlight w:val="none"/>
        </w:rPr>
        <w:t>.4 塔式起重机概况</w:t>
      </w:r>
      <w:r>
        <w:tab/>
      </w:r>
      <w:r>
        <w:fldChar w:fldCharType="begin"/>
      </w:r>
      <w:r>
        <w:instrText xml:space="preserve"> PAGEREF _Toc32232 \h </w:instrText>
      </w:r>
      <w:r>
        <w:fldChar w:fldCharType="separate"/>
      </w:r>
      <w:r>
        <w:t>7</w:t>
      </w:r>
      <w:r>
        <w:fldChar w:fldCharType="end"/>
      </w:r>
      <w:r>
        <w:rPr>
          <w:highlight w:val="none"/>
        </w:rPr>
        <w:fldChar w:fldCharType="end"/>
      </w:r>
    </w:p>
    <w:p w14:paraId="0DC4FAEF">
      <w:pPr>
        <w:pStyle w:val="24"/>
        <w:tabs>
          <w:tab w:val="right" w:leader="dot" w:pos="8306"/>
        </w:tabs>
      </w:pPr>
      <w:r>
        <w:rPr>
          <w:highlight w:val="none"/>
        </w:rPr>
        <w:fldChar w:fldCharType="begin"/>
      </w:r>
      <w:r>
        <w:rPr>
          <w:highlight w:val="none"/>
        </w:rPr>
        <w:instrText xml:space="preserve"> HYPERLINK \l _Toc20067 </w:instrText>
      </w:r>
      <w:r>
        <w:rPr>
          <w:highlight w:val="none"/>
        </w:rPr>
        <w:fldChar w:fldCharType="separate"/>
      </w:r>
      <w:r>
        <w:rPr>
          <w:rFonts w:hint="eastAsia"/>
          <w:highlight w:val="none"/>
          <w:lang w:val="en-US" w:eastAsia="zh-CN"/>
        </w:rPr>
        <w:t>2</w:t>
      </w:r>
      <w:r>
        <w:rPr>
          <w:highlight w:val="none"/>
        </w:rPr>
        <w:t>.5</w:t>
      </w:r>
      <w:r>
        <w:rPr>
          <w:rFonts w:hint="eastAsia"/>
          <w:highlight w:val="none"/>
        </w:rPr>
        <w:t xml:space="preserve"> 施工要求和技术保证条件</w:t>
      </w:r>
      <w:r>
        <w:tab/>
      </w:r>
      <w:r>
        <w:fldChar w:fldCharType="begin"/>
      </w:r>
      <w:r>
        <w:instrText xml:space="preserve"> PAGEREF _Toc20067 \h </w:instrText>
      </w:r>
      <w:r>
        <w:fldChar w:fldCharType="separate"/>
      </w:r>
      <w:r>
        <w:t>12</w:t>
      </w:r>
      <w:r>
        <w:fldChar w:fldCharType="end"/>
      </w:r>
      <w:r>
        <w:rPr>
          <w:highlight w:val="none"/>
        </w:rPr>
        <w:fldChar w:fldCharType="end"/>
      </w:r>
    </w:p>
    <w:p w14:paraId="3043557F">
      <w:pPr>
        <w:pStyle w:val="23"/>
        <w:tabs>
          <w:tab w:val="right" w:leader="dot" w:pos="8306"/>
        </w:tabs>
      </w:pPr>
      <w:r>
        <w:rPr>
          <w:highlight w:val="none"/>
        </w:rPr>
        <w:fldChar w:fldCharType="begin"/>
      </w:r>
      <w:r>
        <w:rPr>
          <w:highlight w:val="none"/>
        </w:rPr>
        <w:instrText xml:space="preserve"> HYPERLINK \l _Toc3853 </w:instrText>
      </w:r>
      <w:r>
        <w:rPr>
          <w:highlight w:val="none"/>
        </w:rPr>
        <w:fldChar w:fldCharType="separate"/>
      </w:r>
      <w:r>
        <w:rPr>
          <w:rFonts w:hint="eastAsia"/>
          <w:highlight w:val="none"/>
          <w:lang w:val="en-US" w:eastAsia="zh-CN"/>
        </w:rPr>
        <w:t>3</w:t>
      </w:r>
      <w:r>
        <w:rPr>
          <w:rFonts w:hint="eastAsia"/>
          <w:highlight w:val="none"/>
        </w:rPr>
        <w:t>施工计划</w:t>
      </w:r>
      <w:r>
        <w:tab/>
      </w:r>
      <w:r>
        <w:fldChar w:fldCharType="begin"/>
      </w:r>
      <w:r>
        <w:instrText xml:space="preserve"> PAGEREF _Toc3853 \h </w:instrText>
      </w:r>
      <w:r>
        <w:fldChar w:fldCharType="separate"/>
      </w:r>
      <w:r>
        <w:t>14</w:t>
      </w:r>
      <w:r>
        <w:fldChar w:fldCharType="end"/>
      </w:r>
      <w:r>
        <w:rPr>
          <w:highlight w:val="none"/>
        </w:rPr>
        <w:fldChar w:fldCharType="end"/>
      </w:r>
    </w:p>
    <w:p w14:paraId="52625F9A">
      <w:pPr>
        <w:pStyle w:val="24"/>
        <w:tabs>
          <w:tab w:val="right" w:leader="dot" w:pos="8306"/>
        </w:tabs>
      </w:pPr>
      <w:r>
        <w:rPr>
          <w:highlight w:val="none"/>
        </w:rPr>
        <w:fldChar w:fldCharType="begin"/>
      </w:r>
      <w:r>
        <w:rPr>
          <w:highlight w:val="none"/>
        </w:rPr>
        <w:instrText xml:space="preserve"> HYPERLINK \l _Toc21234 </w:instrText>
      </w:r>
      <w:r>
        <w:rPr>
          <w:highlight w:val="none"/>
        </w:rPr>
        <w:fldChar w:fldCharType="separate"/>
      </w:r>
      <w:r>
        <w:rPr>
          <w:rFonts w:hint="eastAsia"/>
          <w:highlight w:val="none"/>
          <w:lang w:val="en-US" w:eastAsia="zh-CN"/>
        </w:rPr>
        <w:t>3.1施工总体部署</w:t>
      </w:r>
      <w:r>
        <w:tab/>
      </w:r>
      <w:r>
        <w:fldChar w:fldCharType="begin"/>
      </w:r>
      <w:r>
        <w:instrText xml:space="preserve"> PAGEREF _Toc21234 \h </w:instrText>
      </w:r>
      <w:r>
        <w:fldChar w:fldCharType="separate"/>
      </w:r>
      <w:r>
        <w:t>14</w:t>
      </w:r>
      <w:r>
        <w:fldChar w:fldCharType="end"/>
      </w:r>
      <w:r>
        <w:rPr>
          <w:highlight w:val="none"/>
        </w:rPr>
        <w:fldChar w:fldCharType="end"/>
      </w:r>
    </w:p>
    <w:p w14:paraId="14D9EDBD">
      <w:pPr>
        <w:pStyle w:val="24"/>
        <w:tabs>
          <w:tab w:val="right" w:leader="dot" w:pos="8306"/>
        </w:tabs>
      </w:pPr>
      <w:r>
        <w:rPr>
          <w:highlight w:val="none"/>
        </w:rPr>
        <w:fldChar w:fldCharType="begin"/>
      </w:r>
      <w:r>
        <w:rPr>
          <w:highlight w:val="none"/>
        </w:rPr>
        <w:instrText xml:space="preserve"> HYPERLINK \l _Toc24840 </w:instrText>
      </w:r>
      <w:r>
        <w:rPr>
          <w:highlight w:val="none"/>
        </w:rPr>
        <w:fldChar w:fldCharType="separate"/>
      </w:r>
      <w:r>
        <w:rPr>
          <w:rFonts w:hint="eastAsia"/>
          <w:highlight w:val="none"/>
        </w:rPr>
        <w:t>3.</w:t>
      </w:r>
      <w:r>
        <w:rPr>
          <w:rFonts w:hint="eastAsia"/>
          <w:highlight w:val="none"/>
          <w:lang w:val="en-US" w:eastAsia="zh-CN"/>
        </w:rPr>
        <w:t>2</w:t>
      </w:r>
      <w:r>
        <w:rPr>
          <w:rFonts w:hint="eastAsia"/>
          <w:highlight w:val="none"/>
        </w:rPr>
        <w:t xml:space="preserve"> </w:t>
      </w:r>
      <w:r>
        <w:rPr>
          <w:rFonts w:hint="eastAsia"/>
          <w:highlight w:val="none"/>
          <w:lang w:val="en-US" w:eastAsia="zh-CN"/>
        </w:rPr>
        <w:t>施工进度计划</w:t>
      </w:r>
      <w:r>
        <w:tab/>
      </w:r>
      <w:r>
        <w:fldChar w:fldCharType="begin"/>
      </w:r>
      <w:r>
        <w:instrText xml:space="preserve"> PAGEREF _Toc24840 \h </w:instrText>
      </w:r>
      <w:r>
        <w:fldChar w:fldCharType="separate"/>
      </w:r>
      <w:r>
        <w:t>15</w:t>
      </w:r>
      <w:r>
        <w:fldChar w:fldCharType="end"/>
      </w:r>
      <w:r>
        <w:rPr>
          <w:highlight w:val="none"/>
        </w:rPr>
        <w:fldChar w:fldCharType="end"/>
      </w:r>
    </w:p>
    <w:p w14:paraId="31ECA9A4">
      <w:pPr>
        <w:pStyle w:val="24"/>
        <w:tabs>
          <w:tab w:val="right" w:leader="dot" w:pos="8306"/>
        </w:tabs>
      </w:pPr>
      <w:r>
        <w:rPr>
          <w:highlight w:val="none"/>
        </w:rPr>
        <w:fldChar w:fldCharType="begin"/>
      </w:r>
      <w:r>
        <w:rPr>
          <w:highlight w:val="none"/>
        </w:rPr>
        <w:instrText xml:space="preserve"> HYPERLINK \l _Toc10026 </w:instrText>
      </w:r>
      <w:r>
        <w:rPr>
          <w:highlight w:val="none"/>
        </w:rPr>
        <w:fldChar w:fldCharType="separate"/>
      </w:r>
      <w:r>
        <w:rPr>
          <w:rFonts w:hint="eastAsia"/>
          <w:highlight w:val="none"/>
        </w:rPr>
        <w:t>3</w:t>
      </w:r>
      <w:r>
        <w:rPr>
          <w:highlight w:val="none"/>
        </w:rPr>
        <w:t>.</w:t>
      </w:r>
      <w:r>
        <w:rPr>
          <w:rFonts w:hint="eastAsia"/>
          <w:highlight w:val="none"/>
          <w:lang w:val="en-US" w:eastAsia="zh-CN"/>
        </w:rPr>
        <w:t>3</w:t>
      </w:r>
      <w:r>
        <w:rPr>
          <w:highlight w:val="none"/>
        </w:rPr>
        <w:t xml:space="preserve"> </w:t>
      </w:r>
      <w:r>
        <w:rPr>
          <w:rFonts w:hint="eastAsia"/>
          <w:highlight w:val="none"/>
          <w:lang w:val="en-US" w:eastAsia="zh-CN"/>
        </w:rPr>
        <w:t>施工设备计划</w:t>
      </w:r>
      <w:r>
        <w:tab/>
      </w:r>
      <w:r>
        <w:fldChar w:fldCharType="begin"/>
      </w:r>
      <w:r>
        <w:instrText xml:space="preserve"> PAGEREF _Toc10026 \h </w:instrText>
      </w:r>
      <w:r>
        <w:fldChar w:fldCharType="separate"/>
      </w:r>
      <w:r>
        <w:t>16</w:t>
      </w:r>
      <w:r>
        <w:fldChar w:fldCharType="end"/>
      </w:r>
      <w:r>
        <w:rPr>
          <w:highlight w:val="none"/>
        </w:rPr>
        <w:fldChar w:fldCharType="end"/>
      </w:r>
    </w:p>
    <w:p w14:paraId="64B8EC4A">
      <w:pPr>
        <w:pStyle w:val="24"/>
        <w:tabs>
          <w:tab w:val="right" w:leader="dot" w:pos="8306"/>
        </w:tabs>
      </w:pPr>
      <w:r>
        <w:rPr>
          <w:highlight w:val="none"/>
        </w:rPr>
        <w:fldChar w:fldCharType="begin"/>
      </w:r>
      <w:r>
        <w:rPr>
          <w:highlight w:val="none"/>
        </w:rPr>
        <w:instrText xml:space="preserve"> HYPERLINK \l _Toc19078 </w:instrText>
      </w:r>
      <w:r>
        <w:rPr>
          <w:highlight w:val="none"/>
        </w:rPr>
        <w:fldChar w:fldCharType="separate"/>
      </w:r>
      <w:r>
        <w:rPr>
          <w:rFonts w:hint="eastAsia"/>
          <w:highlight w:val="none"/>
        </w:rPr>
        <w:t>3.</w:t>
      </w:r>
      <w:r>
        <w:rPr>
          <w:rFonts w:hint="eastAsia"/>
          <w:highlight w:val="none"/>
          <w:lang w:val="en-US" w:eastAsia="zh-CN"/>
        </w:rPr>
        <w:t>4施工</w:t>
      </w:r>
      <w:r>
        <w:rPr>
          <w:rFonts w:hint="eastAsia"/>
          <w:highlight w:val="none"/>
        </w:rPr>
        <w:t>材料</w:t>
      </w:r>
      <w:r>
        <w:rPr>
          <w:rFonts w:hint="eastAsia"/>
          <w:highlight w:val="none"/>
          <w:lang w:val="en-US" w:eastAsia="zh-CN"/>
        </w:rPr>
        <w:t>与安全工机具</w:t>
      </w:r>
      <w:r>
        <w:tab/>
      </w:r>
      <w:r>
        <w:fldChar w:fldCharType="begin"/>
      </w:r>
      <w:r>
        <w:instrText xml:space="preserve"> PAGEREF _Toc19078 \h </w:instrText>
      </w:r>
      <w:r>
        <w:fldChar w:fldCharType="separate"/>
      </w:r>
      <w:r>
        <w:t>17</w:t>
      </w:r>
      <w:r>
        <w:fldChar w:fldCharType="end"/>
      </w:r>
      <w:r>
        <w:rPr>
          <w:highlight w:val="none"/>
        </w:rPr>
        <w:fldChar w:fldCharType="end"/>
      </w:r>
    </w:p>
    <w:p w14:paraId="0443B7F7">
      <w:pPr>
        <w:pStyle w:val="23"/>
        <w:tabs>
          <w:tab w:val="right" w:leader="dot" w:pos="8306"/>
        </w:tabs>
      </w:pPr>
      <w:r>
        <w:rPr>
          <w:highlight w:val="none"/>
        </w:rPr>
        <w:fldChar w:fldCharType="begin"/>
      </w:r>
      <w:r>
        <w:rPr>
          <w:highlight w:val="none"/>
        </w:rPr>
        <w:instrText xml:space="preserve"> HYPERLINK \l _Toc27229 </w:instrText>
      </w:r>
      <w:r>
        <w:rPr>
          <w:highlight w:val="none"/>
        </w:rPr>
        <w:fldChar w:fldCharType="separate"/>
      </w:r>
      <w:r>
        <w:rPr>
          <w:rFonts w:hint="eastAsia"/>
          <w:highlight w:val="none"/>
          <w:lang w:val="en-US" w:eastAsia="zh-CN"/>
        </w:rPr>
        <w:t>4</w:t>
      </w:r>
      <w:r>
        <w:rPr>
          <w:rFonts w:hint="eastAsia"/>
          <w:highlight w:val="none"/>
        </w:rPr>
        <w:t>施工工艺</w:t>
      </w:r>
      <w:r>
        <w:tab/>
      </w:r>
      <w:r>
        <w:fldChar w:fldCharType="begin"/>
      </w:r>
      <w:r>
        <w:instrText xml:space="preserve"> PAGEREF _Toc27229 \h </w:instrText>
      </w:r>
      <w:r>
        <w:fldChar w:fldCharType="separate"/>
      </w:r>
      <w:r>
        <w:t>19</w:t>
      </w:r>
      <w:r>
        <w:fldChar w:fldCharType="end"/>
      </w:r>
      <w:r>
        <w:rPr>
          <w:highlight w:val="none"/>
        </w:rPr>
        <w:fldChar w:fldCharType="end"/>
      </w:r>
    </w:p>
    <w:p w14:paraId="50D30C9A">
      <w:pPr>
        <w:pStyle w:val="24"/>
        <w:tabs>
          <w:tab w:val="right" w:leader="dot" w:pos="8306"/>
        </w:tabs>
      </w:pPr>
      <w:r>
        <w:rPr>
          <w:highlight w:val="none"/>
        </w:rPr>
        <w:fldChar w:fldCharType="begin"/>
      </w:r>
      <w:r>
        <w:rPr>
          <w:highlight w:val="none"/>
        </w:rPr>
        <w:instrText xml:space="preserve"> HYPERLINK \l _Toc27521 </w:instrText>
      </w:r>
      <w:r>
        <w:rPr>
          <w:highlight w:val="none"/>
        </w:rPr>
        <w:fldChar w:fldCharType="separate"/>
      </w:r>
      <w:r>
        <w:rPr>
          <w:rFonts w:hint="eastAsia"/>
          <w:highlight w:val="none"/>
          <w:lang w:val="en-US" w:eastAsia="zh-CN"/>
        </w:rPr>
        <w:t>4.1</w:t>
      </w:r>
      <w:r>
        <w:rPr>
          <w:rFonts w:hint="eastAsia"/>
          <w:highlight w:val="none"/>
        </w:rPr>
        <w:t>塔机安装施工工艺流程</w:t>
      </w:r>
      <w:r>
        <w:tab/>
      </w:r>
      <w:r>
        <w:fldChar w:fldCharType="begin"/>
      </w:r>
      <w:r>
        <w:instrText xml:space="preserve"> PAGEREF _Toc27521 \h </w:instrText>
      </w:r>
      <w:r>
        <w:fldChar w:fldCharType="separate"/>
      </w:r>
      <w:r>
        <w:t>19</w:t>
      </w:r>
      <w:r>
        <w:fldChar w:fldCharType="end"/>
      </w:r>
      <w:r>
        <w:rPr>
          <w:highlight w:val="none"/>
        </w:rPr>
        <w:fldChar w:fldCharType="end"/>
      </w:r>
    </w:p>
    <w:p w14:paraId="2C242643">
      <w:pPr>
        <w:pStyle w:val="24"/>
        <w:tabs>
          <w:tab w:val="right" w:leader="dot" w:pos="8306"/>
        </w:tabs>
      </w:pPr>
      <w:r>
        <w:rPr>
          <w:highlight w:val="none"/>
        </w:rPr>
        <w:fldChar w:fldCharType="begin"/>
      </w:r>
      <w:r>
        <w:rPr>
          <w:highlight w:val="none"/>
        </w:rPr>
        <w:instrText xml:space="preserve"> HYPERLINK \l _Toc2763 </w:instrText>
      </w:r>
      <w:r>
        <w:rPr>
          <w:highlight w:val="none"/>
        </w:rPr>
        <w:fldChar w:fldCharType="separate"/>
      </w:r>
      <w:r>
        <w:rPr>
          <w:rFonts w:hint="eastAsia"/>
          <w:highlight w:val="none"/>
          <w:lang w:val="en-US" w:eastAsia="zh-CN"/>
        </w:rPr>
        <w:t>4.2主要设备选型</w:t>
      </w:r>
      <w:r>
        <w:tab/>
      </w:r>
      <w:r>
        <w:fldChar w:fldCharType="begin"/>
      </w:r>
      <w:r>
        <w:instrText xml:space="preserve"> PAGEREF _Toc2763 \h </w:instrText>
      </w:r>
      <w:r>
        <w:fldChar w:fldCharType="separate"/>
      </w:r>
      <w:r>
        <w:t>19</w:t>
      </w:r>
      <w:r>
        <w:fldChar w:fldCharType="end"/>
      </w:r>
      <w:r>
        <w:rPr>
          <w:highlight w:val="none"/>
        </w:rPr>
        <w:fldChar w:fldCharType="end"/>
      </w:r>
    </w:p>
    <w:p w14:paraId="5EEF1564">
      <w:pPr>
        <w:pStyle w:val="24"/>
        <w:tabs>
          <w:tab w:val="right" w:leader="dot" w:pos="8306"/>
        </w:tabs>
      </w:pPr>
      <w:r>
        <w:rPr>
          <w:highlight w:val="none"/>
        </w:rPr>
        <w:fldChar w:fldCharType="begin"/>
      </w:r>
      <w:r>
        <w:rPr>
          <w:highlight w:val="none"/>
        </w:rPr>
        <w:instrText xml:space="preserve"> HYPERLINK \l _Toc14018 </w:instrText>
      </w:r>
      <w:r>
        <w:rPr>
          <w:highlight w:val="none"/>
        </w:rPr>
        <w:fldChar w:fldCharType="separate"/>
      </w:r>
      <w:r>
        <w:rPr>
          <w:rFonts w:hint="eastAsia"/>
          <w:highlight w:val="none"/>
          <w:lang w:val="en-US" w:eastAsia="zh-CN"/>
        </w:rPr>
        <w:t>4.3 塔机安装前施工准备</w:t>
      </w:r>
      <w:r>
        <w:tab/>
      </w:r>
      <w:r>
        <w:fldChar w:fldCharType="begin"/>
      </w:r>
      <w:r>
        <w:instrText xml:space="preserve"> PAGEREF _Toc14018 \h </w:instrText>
      </w:r>
      <w:r>
        <w:fldChar w:fldCharType="separate"/>
      </w:r>
      <w:r>
        <w:t>22</w:t>
      </w:r>
      <w:r>
        <w:fldChar w:fldCharType="end"/>
      </w:r>
      <w:r>
        <w:rPr>
          <w:highlight w:val="none"/>
        </w:rPr>
        <w:fldChar w:fldCharType="end"/>
      </w:r>
    </w:p>
    <w:p w14:paraId="1E7682DB">
      <w:pPr>
        <w:pStyle w:val="24"/>
        <w:tabs>
          <w:tab w:val="right" w:leader="dot" w:pos="8306"/>
        </w:tabs>
      </w:pPr>
      <w:r>
        <w:rPr>
          <w:highlight w:val="none"/>
        </w:rPr>
        <w:fldChar w:fldCharType="begin"/>
      </w:r>
      <w:r>
        <w:rPr>
          <w:highlight w:val="none"/>
        </w:rPr>
        <w:instrText xml:space="preserve"> HYPERLINK \l _Toc32654 </w:instrText>
      </w:r>
      <w:r>
        <w:rPr>
          <w:highlight w:val="none"/>
        </w:rPr>
        <w:fldChar w:fldCharType="separate"/>
      </w:r>
      <w:r>
        <w:rPr>
          <w:rFonts w:hint="eastAsia"/>
          <w:highlight w:val="none"/>
        </w:rPr>
        <w:t>4.</w:t>
      </w:r>
      <w:r>
        <w:rPr>
          <w:rFonts w:hint="eastAsia"/>
          <w:highlight w:val="none"/>
          <w:lang w:val="en-US" w:eastAsia="zh-CN"/>
        </w:rPr>
        <w:t>4</w:t>
      </w:r>
      <w:r>
        <w:rPr>
          <w:rFonts w:hint="eastAsia"/>
          <w:highlight w:val="none"/>
        </w:rPr>
        <w:t xml:space="preserve"> 塔机安装具体步骤</w:t>
      </w:r>
      <w:r>
        <w:tab/>
      </w:r>
      <w:r>
        <w:fldChar w:fldCharType="begin"/>
      </w:r>
      <w:r>
        <w:instrText xml:space="preserve"> PAGEREF _Toc32654 \h </w:instrText>
      </w:r>
      <w:r>
        <w:fldChar w:fldCharType="separate"/>
      </w:r>
      <w:r>
        <w:t>25</w:t>
      </w:r>
      <w:r>
        <w:fldChar w:fldCharType="end"/>
      </w:r>
      <w:r>
        <w:rPr>
          <w:highlight w:val="none"/>
        </w:rPr>
        <w:fldChar w:fldCharType="end"/>
      </w:r>
    </w:p>
    <w:p w14:paraId="7622BAD6">
      <w:pPr>
        <w:pStyle w:val="24"/>
        <w:tabs>
          <w:tab w:val="right" w:leader="dot" w:pos="8306"/>
        </w:tabs>
      </w:pPr>
      <w:r>
        <w:rPr>
          <w:highlight w:val="none"/>
        </w:rPr>
        <w:fldChar w:fldCharType="begin"/>
      </w:r>
      <w:r>
        <w:rPr>
          <w:highlight w:val="none"/>
        </w:rPr>
        <w:instrText xml:space="preserve"> HYPERLINK \l _Toc16515 </w:instrText>
      </w:r>
      <w:r>
        <w:rPr>
          <w:highlight w:val="none"/>
        </w:rPr>
        <w:fldChar w:fldCharType="separate"/>
      </w:r>
      <w:r>
        <w:rPr>
          <w:rFonts w:hint="eastAsia"/>
          <w:highlight w:val="none"/>
          <w:lang w:val="en-US" w:eastAsia="zh-CN"/>
        </w:rPr>
        <w:t>4.5检查要求</w:t>
      </w:r>
      <w:r>
        <w:tab/>
      </w:r>
      <w:r>
        <w:fldChar w:fldCharType="begin"/>
      </w:r>
      <w:r>
        <w:instrText xml:space="preserve"> PAGEREF _Toc16515 \h </w:instrText>
      </w:r>
      <w:r>
        <w:fldChar w:fldCharType="separate"/>
      </w:r>
      <w:r>
        <w:t>68</w:t>
      </w:r>
      <w:r>
        <w:fldChar w:fldCharType="end"/>
      </w:r>
      <w:r>
        <w:rPr>
          <w:highlight w:val="none"/>
        </w:rPr>
        <w:fldChar w:fldCharType="end"/>
      </w:r>
    </w:p>
    <w:p w14:paraId="0139BD3D">
      <w:pPr>
        <w:pStyle w:val="23"/>
        <w:tabs>
          <w:tab w:val="right" w:leader="dot" w:pos="8306"/>
        </w:tabs>
      </w:pPr>
      <w:r>
        <w:rPr>
          <w:highlight w:val="none"/>
        </w:rPr>
        <w:fldChar w:fldCharType="begin"/>
      </w:r>
      <w:r>
        <w:rPr>
          <w:highlight w:val="none"/>
        </w:rPr>
        <w:instrText xml:space="preserve"> HYPERLINK \l _Toc26436 </w:instrText>
      </w:r>
      <w:r>
        <w:rPr>
          <w:highlight w:val="none"/>
        </w:rPr>
        <w:fldChar w:fldCharType="separate"/>
      </w:r>
      <w:r>
        <w:rPr>
          <w:rFonts w:hint="eastAsia"/>
          <w:highlight w:val="none"/>
          <w:lang w:val="en-US" w:eastAsia="zh-CN"/>
        </w:rPr>
        <w:t>5质量控制措施</w:t>
      </w:r>
      <w:r>
        <w:tab/>
      </w:r>
      <w:r>
        <w:fldChar w:fldCharType="begin"/>
      </w:r>
      <w:r>
        <w:instrText xml:space="preserve"> PAGEREF _Toc26436 \h </w:instrText>
      </w:r>
      <w:r>
        <w:fldChar w:fldCharType="separate"/>
      </w:r>
      <w:r>
        <w:t>72</w:t>
      </w:r>
      <w:r>
        <w:fldChar w:fldCharType="end"/>
      </w:r>
      <w:r>
        <w:rPr>
          <w:highlight w:val="none"/>
        </w:rPr>
        <w:fldChar w:fldCharType="end"/>
      </w:r>
    </w:p>
    <w:p w14:paraId="263D786C">
      <w:pPr>
        <w:pStyle w:val="24"/>
        <w:tabs>
          <w:tab w:val="right" w:leader="dot" w:pos="8306"/>
        </w:tabs>
      </w:pPr>
      <w:r>
        <w:rPr>
          <w:highlight w:val="none"/>
        </w:rPr>
        <w:fldChar w:fldCharType="begin"/>
      </w:r>
      <w:r>
        <w:rPr>
          <w:highlight w:val="none"/>
        </w:rPr>
        <w:instrText xml:space="preserve"> HYPERLINK \l _Toc17173 </w:instrText>
      </w:r>
      <w:r>
        <w:rPr>
          <w:highlight w:val="none"/>
        </w:rPr>
        <w:fldChar w:fldCharType="separate"/>
      </w:r>
      <w:r>
        <w:rPr>
          <w:rFonts w:hint="eastAsia"/>
          <w:highlight w:val="none"/>
          <w:lang w:val="en-US" w:eastAsia="zh-CN"/>
        </w:rPr>
        <w:t>5.1</w:t>
      </w:r>
      <w:r>
        <w:rPr>
          <w:rFonts w:hint="eastAsia"/>
          <w:highlight w:val="none"/>
        </w:rPr>
        <w:t>质量管理组织机构</w:t>
      </w:r>
      <w:r>
        <w:tab/>
      </w:r>
      <w:r>
        <w:fldChar w:fldCharType="begin"/>
      </w:r>
      <w:r>
        <w:instrText xml:space="preserve"> PAGEREF _Toc17173 \h </w:instrText>
      </w:r>
      <w:r>
        <w:fldChar w:fldCharType="separate"/>
      </w:r>
      <w:r>
        <w:t>72</w:t>
      </w:r>
      <w:r>
        <w:fldChar w:fldCharType="end"/>
      </w:r>
      <w:r>
        <w:rPr>
          <w:highlight w:val="none"/>
        </w:rPr>
        <w:fldChar w:fldCharType="end"/>
      </w:r>
    </w:p>
    <w:p w14:paraId="30C96F8A">
      <w:pPr>
        <w:pStyle w:val="24"/>
        <w:tabs>
          <w:tab w:val="right" w:leader="dot" w:pos="8306"/>
        </w:tabs>
      </w:pPr>
      <w:r>
        <w:rPr>
          <w:highlight w:val="none"/>
        </w:rPr>
        <w:fldChar w:fldCharType="begin"/>
      </w:r>
      <w:r>
        <w:rPr>
          <w:highlight w:val="none"/>
        </w:rPr>
        <w:instrText xml:space="preserve"> HYPERLINK \l _Toc22675 </w:instrText>
      </w:r>
      <w:r>
        <w:rPr>
          <w:highlight w:val="none"/>
        </w:rPr>
        <w:fldChar w:fldCharType="separate"/>
      </w:r>
      <w:r>
        <w:rPr>
          <w:rFonts w:hint="eastAsia"/>
          <w:highlight w:val="none"/>
          <w:lang w:val="en-US" w:eastAsia="zh-CN"/>
        </w:rPr>
        <w:t>5.2</w:t>
      </w:r>
      <w:r>
        <w:rPr>
          <w:rFonts w:hint="eastAsia"/>
          <w:highlight w:val="none"/>
        </w:rPr>
        <w:t>质量通病及质量通病预防</w:t>
      </w:r>
      <w:r>
        <w:tab/>
      </w:r>
      <w:r>
        <w:fldChar w:fldCharType="begin"/>
      </w:r>
      <w:r>
        <w:instrText xml:space="preserve"> PAGEREF _Toc22675 \h </w:instrText>
      </w:r>
      <w:r>
        <w:fldChar w:fldCharType="separate"/>
      </w:r>
      <w:r>
        <w:t>72</w:t>
      </w:r>
      <w:r>
        <w:fldChar w:fldCharType="end"/>
      </w:r>
      <w:r>
        <w:rPr>
          <w:highlight w:val="none"/>
        </w:rPr>
        <w:fldChar w:fldCharType="end"/>
      </w:r>
    </w:p>
    <w:p w14:paraId="5F65D925">
      <w:pPr>
        <w:pStyle w:val="24"/>
        <w:tabs>
          <w:tab w:val="right" w:leader="dot" w:pos="8306"/>
        </w:tabs>
      </w:pPr>
      <w:r>
        <w:rPr>
          <w:highlight w:val="none"/>
        </w:rPr>
        <w:fldChar w:fldCharType="begin"/>
      </w:r>
      <w:r>
        <w:rPr>
          <w:highlight w:val="none"/>
        </w:rPr>
        <w:instrText xml:space="preserve"> HYPERLINK \l _Toc4531 </w:instrText>
      </w:r>
      <w:r>
        <w:rPr>
          <w:highlight w:val="none"/>
        </w:rPr>
        <w:fldChar w:fldCharType="separate"/>
      </w:r>
      <w:r>
        <w:rPr>
          <w:rFonts w:hint="eastAsia"/>
          <w:highlight w:val="none"/>
          <w:lang w:val="en-US" w:eastAsia="zh-CN"/>
        </w:rPr>
        <w:t>5.3</w:t>
      </w:r>
      <w:r>
        <w:rPr>
          <w:rFonts w:hint="eastAsia"/>
          <w:highlight w:val="none"/>
        </w:rPr>
        <w:t>质量保证措施</w:t>
      </w:r>
      <w:r>
        <w:tab/>
      </w:r>
      <w:r>
        <w:fldChar w:fldCharType="begin"/>
      </w:r>
      <w:r>
        <w:instrText xml:space="preserve"> PAGEREF _Toc4531 \h </w:instrText>
      </w:r>
      <w:r>
        <w:fldChar w:fldCharType="separate"/>
      </w:r>
      <w:r>
        <w:t>73</w:t>
      </w:r>
      <w:r>
        <w:fldChar w:fldCharType="end"/>
      </w:r>
      <w:r>
        <w:rPr>
          <w:highlight w:val="none"/>
        </w:rPr>
        <w:fldChar w:fldCharType="end"/>
      </w:r>
    </w:p>
    <w:p w14:paraId="1E11288D">
      <w:pPr>
        <w:pStyle w:val="24"/>
        <w:tabs>
          <w:tab w:val="right" w:leader="dot" w:pos="8306"/>
        </w:tabs>
      </w:pPr>
      <w:r>
        <w:rPr>
          <w:highlight w:val="none"/>
        </w:rPr>
        <w:fldChar w:fldCharType="begin"/>
      </w:r>
      <w:r>
        <w:rPr>
          <w:highlight w:val="none"/>
        </w:rPr>
        <w:instrText xml:space="preserve"> HYPERLINK \l _Toc23610 </w:instrText>
      </w:r>
      <w:r>
        <w:rPr>
          <w:highlight w:val="none"/>
        </w:rPr>
        <w:fldChar w:fldCharType="separate"/>
      </w:r>
      <w:r>
        <w:rPr>
          <w:rFonts w:hint="eastAsia"/>
          <w:highlight w:val="none"/>
          <w:lang w:val="en-US" w:eastAsia="zh-CN"/>
        </w:rPr>
        <w:t>5.4</w:t>
      </w:r>
      <w:r>
        <w:rPr>
          <w:rFonts w:hint="eastAsia"/>
          <w:highlight w:val="none"/>
        </w:rPr>
        <w:t>作业过程中控制点的设置</w:t>
      </w:r>
      <w:r>
        <w:tab/>
      </w:r>
      <w:r>
        <w:fldChar w:fldCharType="begin"/>
      </w:r>
      <w:r>
        <w:instrText xml:space="preserve"> PAGEREF _Toc23610 \h </w:instrText>
      </w:r>
      <w:r>
        <w:fldChar w:fldCharType="separate"/>
      </w:r>
      <w:r>
        <w:t>75</w:t>
      </w:r>
      <w:r>
        <w:fldChar w:fldCharType="end"/>
      </w:r>
      <w:r>
        <w:rPr>
          <w:highlight w:val="none"/>
        </w:rPr>
        <w:fldChar w:fldCharType="end"/>
      </w:r>
    </w:p>
    <w:p w14:paraId="2BD3DE5B">
      <w:pPr>
        <w:pStyle w:val="23"/>
        <w:tabs>
          <w:tab w:val="right" w:leader="dot" w:pos="8306"/>
        </w:tabs>
      </w:pPr>
      <w:r>
        <w:rPr>
          <w:highlight w:val="none"/>
        </w:rPr>
        <w:fldChar w:fldCharType="begin"/>
      </w:r>
      <w:r>
        <w:rPr>
          <w:highlight w:val="none"/>
        </w:rPr>
        <w:instrText xml:space="preserve"> HYPERLINK \l _Toc13029 </w:instrText>
      </w:r>
      <w:r>
        <w:rPr>
          <w:highlight w:val="none"/>
        </w:rPr>
        <w:fldChar w:fldCharType="separate"/>
      </w:r>
      <w:r>
        <w:rPr>
          <w:rFonts w:hint="eastAsia"/>
          <w:highlight w:val="none"/>
          <w:lang w:val="en-US" w:eastAsia="zh-CN"/>
        </w:rPr>
        <w:t>6</w:t>
      </w:r>
      <w:r>
        <w:rPr>
          <w:rFonts w:hint="eastAsia"/>
          <w:highlight w:val="none"/>
        </w:rPr>
        <w:t>施工安全保障措施</w:t>
      </w:r>
      <w:r>
        <w:tab/>
      </w:r>
      <w:r>
        <w:fldChar w:fldCharType="begin"/>
      </w:r>
      <w:r>
        <w:instrText xml:space="preserve"> PAGEREF _Toc13029 \h </w:instrText>
      </w:r>
      <w:r>
        <w:fldChar w:fldCharType="separate"/>
      </w:r>
      <w:r>
        <w:t>76</w:t>
      </w:r>
      <w:r>
        <w:fldChar w:fldCharType="end"/>
      </w:r>
      <w:r>
        <w:rPr>
          <w:highlight w:val="none"/>
        </w:rPr>
        <w:fldChar w:fldCharType="end"/>
      </w:r>
    </w:p>
    <w:p w14:paraId="0FAB46E1">
      <w:pPr>
        <w:pStyle w:val="24"/>
        <w:tabs>
          <w:tab w:val="right" w:leader="dot" w:pos="8306"/>
        </w:tabs>
      </w:pPr>
      <w:r>
        <w:rPr>
          <w:highlight w:val="none"/>
        </w:rPr>
        <w:fldChar w:fldCharType="begin"/>
      </w:r>
      <w:r>
        <w:rPr>
          <w:highlight w:val="none"/>
        </w:rPr>
        <w:instrText xml:space="preserve"> HYPERLINK \l _Toc1107 </w:instrText>
      </w:r>
      <w:r>
        <w:rPr>
          <w:highlight w:val="none"/>
        </w:rPr>
        <w:fldChar w:fldCharType="separate"/>
      </w:r>
      <w:r>
        <w:rPr>
          <w:rFonts w:hint="eastAsia"/>
          <w:highlight w:val="none"/>
          <w:lang w:val="en-US" w:eastAsia="zh-CN"/>
        </w:rPr>
        <w:t>6</w:t>
      </w:r>
      <w:r>
        <w:rPr>
          <w:rFonts w:hint="eastAsia"/>
          <w:highlight w:val="none"/>
        </w:rPr>
        <w:t>.1 组织保障措施</w:t>
      </w:r>
      <w:r>
        <w:tab/>
      </w:r>
      <w:r>
        <w:fldChar w:fldCharType="begin"/>
      </w:r>
      <w:r>
        <w:instrText xml:space="preserve"> PAGEREF _Toc1107 \h </w:instrText>
      </w:r>
      <w:r>
        <w:fldChar w:fldCharType="separate"/>
      </w:r>
      <w:r>
        <w:t>76</w:t>
      </w:r>
      <w:r>
        <w:fldChar w:fldCharType="end"/>
      </w:r>
      <w:r>
        <w:rPr>
          <w:highlight w:val="none"/>
        </w:rPr>
        <w:fldChar w:fldCharType="end"/>
      </w:r>
    </w:p>
    <w:p w14:paraId="7E576ED4">
      <w:pPr>
        <w:pStyle w:val="24"/>
        <w:tabs>
          <w:tab w:val="right" w:leader="dot" w:pos="8306"/>
        </w:tabs>
      </w:pPr>
      <w:r>
        <w:rPr>
          <w:highlight w:val="none"/>
        </w:rPr>
        <w:fldChar w:fldCharType="begin"/>
      </w:r>
      <w:r>
        <w:rPr>
          <w:highlight w:val="none"/>
        </w:rPr>
        <w:instrText xml:space="preserve"> HYPERLINK \l _Toc26411 </w:instrText>
      </w:r>
      <w:r>
        <w:rPr>
          <w:highlight w:val="none"/>
        </w:rPr>
        <w:fldChar w:fldCharType="separate"/>
      </w:r>
      <w:r>
        <w:rPr>
          <w:rFonts w:hint="eastAsia"/>
          <w:highlight w:val="none"/>
          <w:lang w:val="en-US" w:eastAsia="zh-CN"/>
        </w:rPr>
        <w:t>6</w:t>
      </w:r>
      <w:r>
        <w:rPr>
          <w:rFonts w:hint="eastAsia"/>
          <w:highlight w:val="none"/>
        </w:rPr>
        <w:t>.2 制度保障措施</w:t>
      </w:r>
      <w:r>
        <w:tab/>
      </w:r>
      <w:r>
        <w:fldChar w:fldCharType="begin"/>
      </w:r>
      <w:r>
        <w:instrText xml:space="preserve"> PAGEREF _Toc26411 \h </w:instrText>
      </w:r>
      <w:r>
        <w:fldChar w:fldCharType="separate"/>
      </w:r>
      <w:r>
        <w:t>83</w:t>
      </w:r>
      <w:r>
        <w:fldChar w:fldCharType="end"/>
      </w:r>
      <w:r>
        <w:rPr>
          <w:highlight w:val="none"/>
        </w:rPr>
        <w:fldChar w:fldCharType="end"/>
      </w:r>
    </w:p>
    <w:p w14:paraId="370C19D1">
      <w:pPr>
        <w:pStyle w:val="24"/>
        <w:tabs>
          <w:tab w:val="right" w:leader="dot" w:pos="8306"/>
        </w:tabs>
      </w:pPr>
      <w:r>
        <w:rPr>
          <w:highlight w:val="none"/>
        </w:rPr>
        <w:fldChar w:fldCharType="begin"/>
      </w:r>
      <w:r>
        <w:rPr>
          <w:highlight w:val="none"/>
        </w:rPr>
        <w:instrText xml:space="preserve"> HYPERLINK \l _Toc29419 </w:instrText>
      </w:r>
      <w:r>
        <w:rPr>
          <w:highlight w:val="none"/>
        </w:rPr>
        <w:fldChar w:fldCharType="separate"/>
      </w:r>
      <w:r>
        <w:rPr>
          <w:rFonts w:hint="eastAsia"/>
          <w:highlight w:val="none"/>
          <w:lang w:val="en-US" w:eastAsia="zh-CN"/>
        </w:rPr>
        <w:t>6</w:t>
      </w:r>
      <w:r>
        <w:rPr>
          <w:rFonts w:hint="eastAsia"/>
          <w:highlight w:val="none"/>
        </w:rPr>
        <w:t>.3 监管措施</w:t>
      </w:r>
      <w:r>
        <w:tab/>
      </w:r>
      <w:r>
        <w:fldChar w:fldCharType="begin"/>
      </w:r>
      <w:r>
        <w:instrText xml:space="preserve"> PAGEREF _Toc29419 \h </w:instrText>
      </w:r>
      <w:r>
        <w:fldChar w:fldCharType="separate"/>
      </w:r>
      <w:r>
        <w:t>86</w:t>
      </w:r>
      <w:r>
        <w:fldChar w:fldCharType="end"/>
      </w:r>
      <w:r>
        <w:rPr>
          <w:highlight w:val="none"/>
        </w:rPr>
        <w:fldChar w:fldCharType="end"/>
      </w:r>
    </w:p>
    <w:p w14:paraId="23C2C2CE">
      <w:pPr>
        <w:pStyle w:val="24"/>
        <w:tabs>
          <w:tab w:val="right" w:leader="dot" w:pos="8306"/>
        </w:tabs>
      </w:pPr>
      <w:r>
        <w:rPr>
          <w:highlight w:val="none"/>
        </w:rPr>
        <w:fldChar w:fldCharType="begin"/>
      </w:r>
      <w:r>
        <w:rPr>
          <w:highlight w:val="none"/>
        </w:rPr>
        <w:instrText xml:space="preserve"> HYPERLINK \l _Toc17860 </w:instrText>
      </w:r>
      <w:r>
        <w:rPr>
          <w:highlight w:val="none"/>
        </w:rPr>
        <w:fldChar w:fldCharType="separate"/>
      </w:r>
      <w:r>
        <w:rPr>
          <w:rFonts w:hint="eastAsia"/>
          <w:highlight w:val="none"/>
          <w:lang w:val="en-US" w:eastAsia="zh-CN"/>
        </w:rPr>
        <w:t>6</w:t>
      </w:r>
      <w:r>
        <w:rPr>
          <w:rFonts w:hint="eastAsia"/>
          <w:highlight w:val="none"/>
        </w:rPr>
        <w:t>.4 施工安全技术控制措施</w:t>
      </w:r>
      <w:r>
        <w:tab/>
      </w:r>
      <w:r>
        <w:fldChar w:fldCharType="begin"/>
      </w:r>
      <w:r>
        <w:instrText xml:space="preserve"> PAGEREF _Toc17860 \h </w:instrText>
      </w:r>
      <w:r>
        <w:fldChar w:fldCharType="separate"/>
      </w:r>
      <w:r>
        <w:t>86</w:t>
      </w:r>
      <w:r>
        <w:fldChar w:fldCharType="end"/>
      </w:r>
      <w:r>
        <w:rPr>
          <w:highlight w:val="none"/>
        </w:rPr>
        <w:fldChar w:fldCharType="end"/>
      </w:r>
    </w:p>
    <w:p w14:paraId="3A0E622B">
      <w:pPr>
        <w:pStyle w:val="23"/>
        <w:tabs>
          <w:tab w:val="right" w:leader="dot" w:pos="8306"/>
        </w:tabs>
      </w:pPr>
      <w:r>
        <w:rPr>
          <w:highlight w:val="none"/>
        </w:rPr>
        <w:fldChar w:fldCharType="begin"/>
      </w:r>
      <w:r>
        <w:rPr>
          <w:highlight w:val="none"/>
        </w:rPr>
        <w:instrText xml:space="preserve"> HYPERLINK \l _Toc10434 </w:instrText>
      </w:r>
      <w:r>
        <w:rPr>
          <w:highlight w:val="none"/>
        </w:rPr>
        <w:fldChar w:fldCharType="separate"/>
      </w:r>
      <w:r>
        <w:rPr>
          <w:rFonts w:hint="eastAsia"/>
          <w:highlight w:val="none"/>
          <w:lang w:val="en-US" w:eastAsia="zh-CN"/>
        </w:rPr>
        <w:t>7</w:t>
      </w:r>
      <w:r>
        <w:rPr>
          <w:highlight w:val="none"/>
        </w:rPr>
        <w:t>施工管理及作业人员配备和分工</w:t>
      </w:r>
      <w:r>
        <w:tab/>
      </w:r>
      <w:r>
        <w:fldChar w:fldCharType="begin"/>
      </w:r>
      <w:r>
        <w:instrText xml:space="preserve"> PAGEREF _Toc10434 \h </w:instrText>
      </w:r>
      <w:r>
        <w:fldChar w:fldCharType="separate"/>
      </w:r>
      <w:r>
        <w:t>98</w:t>
      </w:r>
      <w:r>
        <w:fldChar w:fldCharType="end"/>
      </w:r>
      <w:r>
        <w:rPr>
          <w:highlight w:val="none"/>
        </w:rPr>
        <w:fldChar w:fldCharType="end"/>
      </w:r>
    </w:p>
    <w:p w14:paraId="008E9537">
      <w:pPr>
        <w:pStyle w:val="24"/>
        <w:tabs>
          <w:tab w:val="right" w:leader="dot" w:pos="8306"/>
        </w:tabs>
      </w:pPr>
      <w:r>
        <w:rPr>
          <w:highlight w:val="none"/>
        </w:rPr>
        <w:fldChar w:fldCharType="begin"/>
      </w:r>
      <w:r>
        <w:rPr>
          <w:highlight w:val="none"/>
        </w:rPr>
        <w:instrText xml:space="preserve"> HYPERLINK \l _Toc4708 </w:instrText>
      </w:r>
      <w:r>
        <w:rPr>
          <w:highlight w:val="none"/>
        </w:rPr>
        <w:fldChar w:fldCharType="separate"/>
      </w:r>
      <w:r>
        <w:rPr>
          <w:rFonts w:hint="eastAsia"/>
          <w:highlight w:val="none"/>
          <w:lang w:val="en-US" w:eastAsia="zh-CN"/>
        </w:rPr>
        <w:t>7.1</w:t>
      </w:r>
      <w:r>
        <w:rPr>
          <w:rFonts w:hint="eastAsia"/>
          <w:highlight w:val="none"/>
        </w:rPr>
        <w:t>施工组织机构</w:t>
      </w:r>
      <w:r>
        <w:tab/>
      </w:r>
      <w:r>
        <w:fldChar w:fldCharType="begin"/>
      </w:r>
      <w:r>
        <w:instrText xml:space="preserve"> PAGEREF _Toc4708 \h </w:instrText>
      </w:r>
      <w:r>
        <w:fldChar w:fldCharType="separate"/>
      </w:r>
      <w:r>
        <w:t>98</w:t>
      </w:r>
      <w:r>
        <w:fldChar w:fldCharType="end"/>
      </w:r>
      <w:r>
        <w:rPr>
          <w:highlight w:val="none"/>
        </w:rPr>
        <w:fldChar w:fldCharType="end"/>
      </w:r>
    </w:p>
    <w:p w14:paraId="54EA14DE">
      <w:pPr>
        <w:pStyle w:val="24"/>
        <w:tabs>
          <w:tab w:val="right" w:leader="dot" w:pos="8306"/>
        </w:tabs>
      </w:pPr>
      <w:r>
        <w:rPr>
          <w:highlight w:val="none"/>
        </w:rPr>
        <w:fldChar w:fldCharType="begin"/>
      </w:r>
      <w:r>
        <w:rPr>
          <w:highlight w:val="none"/>
        </w:rPr>
        <w:instrText xml:space="preserve"> HYPERLINK \l _Toc10972 </w:instrText>
      </w:r>
      <w:r>
        <w:rPr>
          <w:highlight w:val="none"/>
        </w:rPr>
        <w:fldChar w:fldCharType="separate"/>
      </w:r>
      <w:r>
        <w:rPr>
          <w:rFonts w:hint="eastAsia"/>
          <w:highlight w:val="none"/>
          <w:lang w:val="en-US" w:eastAsia="zh-CN"/>
        </w:rPr>
        <w:t>7.2</w:t>
      </w:r>
      <w:r>
        <w:rPr>
          <w:rFonts w:hint="eastAsia"/>
          <w:highlight w:val="none"/>
        </w:rPr>
        <w:t>人员配置</w:t>
      </w:r>
      <w:r>
        <w:tab/>
      </w:r>
      <w:r>
        <w:fldChar w:fldCharType="begin"/>
      </w:r>
      <w:r>
        <w:instrText xml:space="preserve"> PAGEREF _Toc10972 \h </w:instrText>
      </w:r>
      <w:r>
        <w:fldChar w:fldCharType="separate"/>
      </w:r>
      <w:r>
        <w:t>98</w:t>
      </w:r>
      <w:r>
        <w:fldChar w:fldCharType="end"/>
      </w:r>
      <w:r>
        <w:rPr>
          <w:highlight w:val="none"/>
        </w:rPr>
        <w:fldChar w:fldCharType="end"/>
      </w:r>
    </w:p>
    <w:p w14:paraId="529ECB64">
      <w:pPr>
        <w:pStyle w:val="23"/>
        <w:tabs>
          <w:tab w:val="right" w:leader="dot" w:pos="8306"/>
        </w:tabs>
      </w:pPr>
      <w:r>
        <w:rPr>
          <w:highlight w:val="none"/>
        </w:rPr>
        <w:fldChar w:fldCharType="begin"/>
      </w:r>
      <w:r>
        <w:rPr>
          <w:highlight w:val="none"/>
        </w:rPr>
        <w:instrText xml:space="preserve"> HYPERLINK \l _Toc10128 </w:instrText>
      </w:r>
      <w:r>
        <w:rPr>
          <w:highlight w:val="none"/>
        </w:rPr>
        <w:fldChar w:fldCharType="separate"/>
      </w:r>
      <w:r>
        <w:rPr>
          <w:rFonts w:hint="eastAsia"/>
          <w:highlight w:val="none"/>
          <w:lang w:val="en-US" w:eastAsia="zh-CN"/>
        </w:rPr>
        <w:t>8验收要求</w:t>
      </w:r>
      <w:r>
        <w:tab/>
      </w:r>
      <w:r>
        <w:fldChar w:fldCharType="begin"/>
      </w:r>
      <w:r>
        <w:instrText xml:space="preserve"> PAGEREF _Toc10128 \h </w:instrText>
      </w:r>
      <w:r>
        <w:fldChar w:fldCharType="separate"/>
      </w:r>
      <w:r>
        <w:t>101</w:t>
      </w:r>
      <w:r>
        <w:fldChar w:fldCharType="end"/>
      </w:r>
      <w:r>
        <w:rPr>
          <w:highlight w:val="none"/>
        </w:rPr>
        <w:fldChar w:fldCharType="end"/>
      </w:r>
    </w:p>
    <w:p w14:paraId="4F5068FC">
      <w:pPr>
        <w:pStyle w:val="24"/>
        <w:tabs>
          <w:tab w:val="right" w:leader="dot" w:pos="8306"/>
        </w:tabs>
      </w:pPr>
      <w:r>
        <w:rPr>
          <w:highlight w:val="none"/>
        </w:rPr>
        <w:fldChar w:fldCharType="begin"/>
      </w:r>
      <w:r>
        <w:rPr>
          <w:highlight w:val="none"/>
        </w:rPr>
        <w:instrText xml:space="preserve"> HYPERLINK \l _Toc19598 </w:instrText>
      </w:r>
      <w:r>
        <w:rPr>
          <w:highlight w:val="none"/>
        </w:rPr>
        <w:fldChar w:fldCharType="separate"/>
      </w:r>
      <w:r>
        <w:rPr>
          <w:rFonts w:hint="eastAsia"/>
          <w:highlight w:val="none"/>
          <w:lang w:val="en-US" w:eastAsia="zh-CN"/>
        </w:rPr>
        <w:t>8.1 验收标准</w:t>
      </w:r>
      <w:r>
        <w:tab/>
      </w:r>
      <w:r>
        <w:fldChar w:fldCharType="begin"/>
      </w:r>
      <w:r>
        <w:instrText xml:space="preserve"> PAGEREF _Toc19598 \h </w:instrText>
      </w:r>
      <w:r>
        <w:fldChar w:fldCharType="separate"/>
      </w:r>
      <w:r>
        <w:t>101</w:t>
      </w:r>
      <w:r>
        <w:fldChar w:fldCharType="end"/>
      </w:r>
      <w:r>
        <w:rPr>
          <w:highlight w:val="none"/>
        </w:rPr>
        <w:fldChar w:fldCharType="end"/>
      </w:r>
    </w:p>
    <w:p w14:paraId="3EF33A57">
      <w:pPr>
        <w:pStyle w:val="24"/>
        <w:tabs>
          <w:tab w:val="right" w:leader="dot" w:pos="8306"/>
        </w:tabs>
      </w:pPr>
      <w:r>
        <w:rPr>
          <w:highlight w:val="none"/>
        </w:rPr>
        <w:fldChar w:fldCharType="begin"/>
      </w:r>
      <w:r>
        <w:rPr>
          <w:highlight w:val="none"/>
        </w:rPr>
        <w:instrText xml:space="preserve"> HYPERLINK \l _Toc1011 </w:instrText>
      </w:r>
      <w:r>
        <w:rPr>
          <w:highlight w:val="none"/>
        </w:rPr>
        <w:fldChar w:fldCharType="separate"/>
      </w:r>
      <w:r>
        <w:rPr>
          <w:rFonts w:hint="eastAsia"/>
          <w:highlight w:val="none"/>
          <w:lang w:val="en-US" w:eastAsia="zh-CN"/>
        </w:rPr>
        <w:t>8.2 验收程序和验收人员</w:t>
      </w:r>
      <w:r>
        <w:tab/>
      </w:r>
      <w:r>
        <w:fldChar w:fldCharType="begin"/>
      </w:r>
      <w:r>
        <w:instrText xml:space="preserve"> PAGEREF _Toc1011 \h </w:instrText>
      </w:r>
      <w:r>
        <w:fldChar w:fldCharType="separate"/>
      </w:r>
      <w:r>
        <w:t>104</w:t>
      </w:r>
      <w:r>
        <w:fldChar w:fldCharType="end"/>
      </w:r>
      <w:r>
        <w:rPr>
          <w:highlight w:val="none"/>
        </w:rPr>
        <w:fldChar w:fldCharType="end"/>
      </w:r>
    </w:p>
    <w:p w14:paraId="56134CB0">
      <w:pPr>
        <w:pStyle w:val="24"/>
        <w:tabs>
          <w:tab w:val="right" w:leader="dot" w:pos="8306"/>
        </w:tabs>
      </w:pPr>
      <w:r>
        <w:rPr>
          <w:highlight w:val="none"/>
        </w:rPr>
        <w:fldChar w:fldCharType="begin"/>
      </w:r>
      <w:r>
        <w:rPr>
          <w:highlight w:val="none"/>
        </w:rPr>
        <w:instrText xml:space="preserve"> HYPERLINK \l _Toc17296 </w:instrText>
      </w:r>
      <w:r>
        <w:rPr>
          <w:highlight w:val="none"/>
        </w:rPr>
        <w:fldChar w:fldCharType="separate"/>
      </w:r>
      <w:r>
        <w:rPr>
          <w:rFonts w:hint="eastAsia" w:cs="Times New Roman"/>
          <w:highlight w:val="none"/>
          <w:lang w:val="en-US" w:eastAsia="zh-CN"/>
        </w:rPr>
        <w:t>8</w:t>
      </w:r>
      <w:r>
        <w:rPr>
          <w:rFonts w:hint="eastAsia" w:ascii="Arial" w:hAnsi="Arial" w:cs="Times New Roman"/>
          <w:highlight w:val="none"/>
          <w:lang w:val="en-US" w:eastAsia="zh-CN"/>
        </w:rPr>
        <w:t>.</w:t>
      </w:r>
      <w:r>
        <w:rPr>
          <w:rFonts w:hint="eastAsia" w:cs="Times New Roman"/>
          <w:highlight w:val="none"/>
          <w:lang w:val="en-US" w:eastAsia="zh-CN"/>
        </w:rPr>
        <w:t>3</w:t>
      </w:r>
      <w:r>
        <w:rPr>
          <w:rFonts w:hint="eastAsia" w:ascii="Arial" w:hAnsi="Arial" w:cs="Times New Roman"/>
          <w:highlight w:val="none"/>
          <w:lang w:val="en-US" w:eastAsia="zh-CN"/>
        </w:rPr>
        <w:t>验收</w:t>
      </w:r>
      <w:r>
        <w:rPr>
          <w:rFonts w:hint="eastAsia" w:cs="Times New Roman"/>
          <w:highlight w:val="none"/>
          <w:lang w:val="en-US" w:eastAsia="zh-CN"/>
        </w:rPr>
        <w:t>内容</w:t>
      </w:r>
      <w:r>
        <w:tab/>
      </w:r>
      <w:r>
        <w:fldChar w:fldCharType="begin"/>
      </w:r>
      <w:r>
        <w:instrText xml:space="preserve"> PAGEREF _Toc17296 \h </w:instrText>
      </w:r>
      <w:r>
        <w:fldChar w:fldCharType="separate"/>
      </w:r>
      <w:r>
        <w:t>106</w:t>
      </w:r>
      <w:r>
        <w:fldChar w:fldCharType="end"/>
      </w:r>
      <w:r>
        <w:rPr>
          <w:highlight w:val="none"/>
        </w:rPr>
        <w:fldChar w:fldCharType="end"/>
      </w:r>
    </w:p>
    <w:p w14:paraId="215A0E99">
      <w:pPr>
        <w:pStyle w:val="23"/>
        <w:tabs>
          <w:tab w:val="right" w:leader="dot" w:pos="8306"/>
        </w:tabs>
      </w:pPr>
      <w:r>
        <w:rPr>
          <w:highlight w:val="none"/>
        </w:rPr>
        <w:fldChar w:fldCharType="begin"/>
      </w:r>
      <w:r>
        <w:rPr>
          <w:highlight w:val="none"/>
        </w:rPr>
        <w:instrText xml:space="preserve"> HYPERLINK \l _Toc2184 </w:instrText>
      </w:r>
      <w:r>
        <w:rPr>
          <w:highlight w:val="none"/>
        </w:rPr>
        <w:fldChar w:fldCharType="separate"/>
      </w:r>
      <w:r>
        <w:rPr>
          <w:rFonts w:hint="eastAsia"/>
          <w:highlight w:val="none"/>
          <w:lang w:val="en-US" w:eastAsia="zh-CN"/>
        </w:rPr>
        <w:t>9</w:t>
      </w:r>
      <w:r>
        <w:rPr>
          <w:rFonts w:hint="eastAsia"/>
          <w:highlight w:val="none"/>
        </w:rPr>
        <w:t>应急处置</w:t>
      </w:r>
      <w:r>
        <w:rPr>
          <w:rFonts w:hint="eastAsia"/>
          <w:highlight w:val="none"/>
          <w:lang w:eastAsia="zh-CN"/>
        </w:rPr>
        <w:t>措施</w:t>
      </w:r>
      <w:r>
        <w:tab/>
      </w:r>
      <w:r>
        <w:fldChar w:fldCharType="begin"/>
      </w:r>
      <w:r>
        <w:instrText xml:space="preserve"> PAGEREF _Toc2184 \h </w:instrText>
      </w:r>
      <w:r>
        <w:fldChar w:fldCharType="separate"/>
      </w:r>
      <w:r>
        <w:t>110</w:t>
      </w:r>
      <w:r>
        <w:fldChar w:fldCharType="end"/>
      </w:r>
      <w:r>
        <w:rPr>
          <w:highlight w:val="none"/>
        </w:rPr>
        <w:fldChar w:fldCharType="end"/>
      </w:r>
    </w:p>
    <w:p w14:paraId="3E20AD02">
      <w:pPr>
        <w:pStyle w:val="24"/>
        <w:tabs>
          <w:tab w:val="right" w:leader="dot" w:pos="8306"/>
        </w:tabs>
      </w:pPr>
      <w:r>
        <w:rPr>
          <w:highlight w:val="none"/>
        </w:rPr>
        <w:fldChar w:fldCharType="begin"/>
      </w:r>
      <w:r>
        <w:rPr>
          <w:highlight w:val="none"/>
        </w:rPr>
        <w:instrText xml:space="preserve"> HYPERLINK \l _Toc20136 </w:instrText>
      </w:r>
      <w:r>
        <w:rPr>
          <w:highlight w:val="none"/>
        </w:rPr>
        <w:fldChar w:fldCharType="separate"/>
      </w:r>
      <w:r>
        <w:rPr>
          <w:rFonts w:hint="eastAsia"/>
          <w:highlight w:val="none"/>
          <w:lang w:val="en-US" w:eastAsia="zh-CN"/>
        </w:rPr>
        <w:t xml:space="preserve">9.1 </w:t>
      </w:r>
      <w:r>
        <w:rPr>
          <w:rFonts w:hint="eastAsia"/>
          <w:highlight w:val="none"/>
        </w:rPr>
        <w:t>危险源辨识</w:t>
      </w:r>
      <w:r>
        <w:tab/>
      </w:r>
      <w:r>
        <w:fldChar w:fldCharType="begin"/>
      </w:r>
      <w:r>
        <w:instrText xml:space="preserve"> PAGEREF _Toc20136 \h </w:instrText>
      </w:r>
      <w:r>
        <w:fldChar w:fldCharType="separate"/>
      </w:r>
      <w:r>
        <w:t>110</w:t>
      </w:r>
      <w:r>
        <w:fldChar w:fldCharType="end"/>
      </w:r>
      <w:r>
        <w:rPr>
          <w:highlight w:val="none"/>
        </w:rPr>
        <w:fldChar w:fldCharType="end"/>
      </w:r>
    </w:p>
    <w:p w14:paraId="7DCE7BC0">
      <w:pPr>
        <w:pStyle w:val="24"/>
        <w:tabs>
          <w:tab w:val="right" w:leader="dot" w:pos="8306"/>
        </w:tabs>
      </w:pPr>
      <w:r>
        <w:rPr>
          <w:highlight w:val="none"/>
        </w:rPr>
        <w:fldChar w:fldCharType="begin"/>
      </w:r>
      <w:r>
        <w:rPr>
          <w:highlight w:val="none"/>
        </w:rPr>
        <w:instrText xml:space="preserve"> HYPERLINK \l _Toc7136 </w:instrText>
      </w:r>
      <w:r>
        <w:rPr>
          <w:highlight w:val="none"/>
        </w:rPr>
        <w:fldChar w:fldCharType="separate"/>
      </w:r>
      <w:r>
        <w:rPr>
          <w:rFonts w:hint="eastAsia"/>
          <w:highlight w:val="none"/>
          <w:lang w:val="en-US" w:eastAsia="zh-CN"/>
        </w:rPr>
        <w:t>9.2</w:t>
      </w:r>
      <w:r>
        <w:rPr>
          <w:rFonts w:hint="eastAsia"/>
          <w:highlight w:val="none"/>
        </w:rPr>
        <w:t>组织</w:t>
      </w:r>
      <w:r>
        <w:rPr>
          <w:rFonts w:hint="eastAsia"/>
          <w:highlight w:val="none"/>
          <w:lang w:val="en-US" w:eastAsia="zh-CN"/>
        </w:rPr>
        <w:t>机</w:t>
      </w:r>
      <w:r>
        <w:rPr>
          <w:rFonts w:hint="eastAsia"/>
          <w:highlight w:val="none"/>
        </w:rPr>
        <w:t>构及职责</w:t>
      </w:r>
      <w:r>
        <w:tab/>
      </w:r>
      <w:r>
        <w:fldChar w:fldCharType="begin"/>
      </w:r>
      <w:r>
        <w:instrText xml:space="preserve"> PAGEREF _Toc7136 \h </w:instrText>
      </w:r>
      <w:r>
        <w:fldChar w:fldCharType="separate"/>
      </w:r>
      <w:r>
        <w:t>120</w:t>
      </w:r>
      <w:r>
        <w:fldChar w:fldCharType="end"/>
      </w:r>
      <w:r>
        <w:rPr>
          <w:highlight w:val="none"/>
        </w:rPr>
        <w:fldChar w:fldCharType="end"/>
      </w:r>
    </w:p>
    <w:p w14:paraId="1D63DB7A">
      <w:pPr>
        <w:pStyle w:val="24"/>
        <w:tabs>
          <w:tab w:val="right" w:leader="dot" w:pos="8306"/>
        </w:tabs>
      </w:pPr>
      <w:r>
        <w:rPr>
          <w:highlight w:val="none"/>
        </w:rPr>
        <w:fldChar w:fldCharType="begin"/>
      </w:r>
      <w:r>
        <w:rPr>
          <w:highlight w:val="none"/>
        </w:rPr>
        <w:instrText xml:space="preserve"> HYPERLINK \l _Toc31072 </w:instrText>
      </w:r>
      <w:r>
        <w:rPr>
          <w:highlight w:val="none"/>
        </w:rPr>
        <w:fldChar w:fldCharType="separate"/>
      </w:r>
      <w:r>
        <w:rPr>
          <w:rFonts w:hint="eastAsia"/>
          <w:highlight w:val="none"/>
          <w:lang w:val="en-US" w:eastAsia="zh-CN"/>
        </w:rPr>
        <w:t xml:space="preserve">9.3 </w:t>
      </w:r>
      <w:r>
        <w:rPr>
          <w:rFonts w:hint="eastAsia"/>
          <w:highlight w:val="none"/>
        </w:rPr>
        <w:t>预防与预警</w:t>
      </w:r>
      <w:r>
        <w:tab/>
      </w:r>
      <w:r>
        <w:fldChar w:fldCharType="begin"/>
      </w:r>
      <w:r>
        <w:instrText xml:space="preserve"> PAGEREF _Toc31072 \h </w:instrText>
      </w:r>
      <w:r>
        <w:fldChar w:fldCharType="separate"/>
      </w:r>
      <w:r>
        <w:t>121</w:t>
      </w:r>
      <w:r>
        <w:fldChar w:fldCharType="end"/>
      </w:r>
      <w:r>
        <w:rPr>
          <w:highlight w:val="none"/>
        </w:rPr>
        <w:fldChar w:fldCharType="end"/>
      </w:r>
    </w:p>
    <w:p w14:paraId="21872E91">
      <w:pPr>
        <w:pStyle w:val="24"/>
        <w:tabs>
          <w:tab w:val="right" w:leader="dot" w:pos="8306"/>
        </w:tabs>
      </w:pPr>
      <w:r>
        <w:rPr>
          <w:highlight w:val="none"/>
        </w:rPr>
        <w:fldChar w:fldCharType="begin"/>
      </w:r>
      <w:r>
        <w:rPr>
          <w:highlight w:val="none"/>
        </w:rPr>
        <w:instrText xml:space="preserve"> HYPERLINK \l _Toc26009 </w:instrText>
      </w:r>
      <w:r>
        <w:rPr>
          <w:highlight w:val="none"/>
        </w:rPr>
        <w:fldChar w:fldCharType="separate"/>
      </w:r>
      <w:r>
        <w:rPr>
          <w:rFonts w:hint="eastAsia"/>
          <w:highlight w:val="none"/>
          <w:lang w:val="en-US" w:eastAsia="zh-CN"/>
        </w:rPr>
        <w:t xml:space="preserve">9.4 </w:t>
      </w:r>
      <w:r>
        <w:rPr>
          <w:rFonts w:hint="eastAsia"/>
          <w:highlight w:val="none"/>
        </w:rPr>
        <w:t>处置流程</w:t>
      </w:r>
      <w:r>
        <w:tab/>
      </w:r>
      <w:r>
        <w:fldChar w:fldCharType="begin"/>
      </w:r>
      <w:r>
        <w:instrText xml:space="preserve"> PAGEREF _Toc26009 \h </w:instrText>
      </w:r>
      <w:r>
        <w:fldChar w:fldCharType="separate"/>
      </w:r>
      <w:r>
        <w:t>122</w:t>
      </w:r>
      <w:r>
        <w:fldChar w:fldCharType="end"/>
      </w:r>
      <w:r>
        <w:rPr>
          <w:highlight w:val="none"/>
        </w:rPr>
        <w:fldChar w:fldCharType="end"/>
      </w:r>
    </w:p>
    <w:p w14:paraId="26C27A6B">
      <w:pPr>
        <w:pStyle w:val="24"/>
        <w:tabs>
          <w:tab w:val="right" w:leader="dot" w:pos="8306"/>
        </w:tabs>
      </w:pPr>
      <w:r>
        <w:rPr>
          <w:highlight w:val="none"/>
        </w:rPr>
        <w:fldChar w:fldCharType="begin"/>
      </w:r>
      <w:r>
        <w:rPr>
          <w:highlight w:val="none"/>
        </w:rPr>
        <w:instrText xml:space="preserve"> HYPERLINK \l _Toc22063 </w:instrText>
      </w:r>
      <w:r>
        <w:rPr>
          <w:highlight w:val="none"/>
        </w:rPr>
        <w:fldChar w:fldCharType="separate"/>
      </w:r>
      <w:r>
        <w:rPr>
          <w:rFonts w:hint="eastAsia"/>
          <w:highlight w:val="none"/>
          <w:lang w:val="en-US" w:eastAsia="zh-CN"/>
        </w:rPr>
        <w:t xml:space="preserve">9.5 </w:t>
      </w:r>
      <w:r>
        <w:rPr>
          <w:rFonts w:hint="eastAsia"/>
          <w:highlight w:val="none"/>
        </w:rPr>
        <w:t>突发事件应急</w:t>
      </w:r>
      <w:r>
        <w:rPr>
          <w:rFonts w:hint="eastAsia"/>
          <w:highlight w:val="none"/>
          <w:lang w:val="en-US" w:eastAsia="zh-CN"/>
        </w:rPr>
        <w:t>处置措施和</w:t>
      </w:r>
      <w:r>
        <w:rPr>
          <w:rFonts w:hint="eastAsia"/>
          <w:highlight w:val="none"/>
        </w:rPr>
        <w:t>预案</w:t>
      </w:r>
      <w:r>
        <w:tab/>
      </w:r>
      <w:r>
        <w:fldChar w:fldCharType="begin"/>
      </w:r>
      <w:r>
        <w:instrText xml:space="preserve"> PAGEREF _Toc22063 \h </w:instrText>
      </w:r>
      <w:r>
        <w:fldChar w:fldCharType="separate"/>
      </w:r>
      <w:r>
        <w:t>125</w:t>
      </w:r>
      <w:r>
        <w:fldChar w:fldCharType="end"/>
      </w:r>
      <w:r>
        <w:rPr>
          <w:highlight w:val="none"/>
        </w:rPr>
        <w:fldChar w:fldCharType="end"/>
      </w:r>
    </w:p>
    <w:p w14:paraId="19804E14">
      <w:pPr>
        <w:pStyle w:val="24"/>
        <w:tabs>
          <w:tab w:val="right" w:leader="dot" w:pos="8306"/>
        </w:tabs>
      </w:pPr>
      <w:r>
        <w:rPr>
          <w:highlight w:val="none"/>
        </w:rPr>
        <w:fldChar w:fldCharType="begin"/>
      </w:r>
      <w:r>
        <w:rPr>
          <w:highlight w:val="none"/>
        </w:rPr>
        <w:instrText xml:space="preserve"> HYPERLINK \l _Toc23128 </w:instrText>
      </w:r>
      <w:r>
        <w:rPr>
          <w:highlight w:val="none"/>
        </w:rPr>
        <w:fldChar w:fldCharType="separate"/>
      </w:r>
      <w:r>
        <w:rPr>
          <w:rFonts w:hint="eastAsia"/>
          <w:highlight w:val="none"/>
          <w:lang w:val="en-US" w:eastAsia="zh-CN"/>
        </w:rPr>
        <w:t xml:space="preserve">9.6 </w:t>
      </w:r>
      <w:r>
        <w:rPr>
          <w:rFonts w:hint="eastAsia"/>
          <w:highlight w:val="none"/>
        </w:rPr>
        <w:t>应急保障</w:t>
      </w:r>
      <w:r>
        <w:tab/>
      </w:r>
      <w:r>
        <w:fldChar w:fldCharType="begin"/>
      </w:r>
      <w:r>
        <w:instrText xml:space="preserve"> PAGEREF _Toc23128 \h </w:instrText>
      </w:r>
      <w:r>
        <w:fldChar w:fldCharType="separate"/>
      </w:r>
      <w:r>
        <w:t>130</w:t>
      </w:r>
      <w:r>
        <w:fldChar w:fldCharType="end"/>
      </w:r>
      <w:r>
        <w:rPr>
          <w:highlight w:val="none"/>
        </w:rPr>
        <w:fldChar w:fldCharType="end"/>
      </w:r>
    </w:p>
    <w:p w14:paraId="263F5C24">
      <w:pPr>
        <w:pStyle w:val="24"/>
        <w:tabs>
          <w:tab w:val="right" w:leader="dot" w:pos="8306"/>
        </w:tabs>
      </w:pPr>
      <w:r>
        <w:rPr>
          <w:highlight w:val="none"/>
        </w:rPr>
        <w:fldChar w:fldCharType="begin"/>
      </w:r>
      <w:r>
        <w:rPr>
          <w:highlight w:val="none"/>
        </w:rPr>
        <w:instrText xml:space="preserve"> HYPERLINK \l _Toc11021 </w:instrText>
      </w:r>
      <w:r>
        <w:rPr>
          <w:highlight w:val="none"/>
        </w:rPr>
        <w:fldChar w:fldCharType="separate"/>
      </w:r>
      <w:r>
        <w:rPr>
          <w:rFonts w:hint="eastAsia"/>
          <w:highlight w:val="none"/>
          <w:lang w:val="en-US" w:eastAsia="zh-CN"/>
        </w:rPr>
        <w:t>9.7</w:t>
      </w:r>
      <w:r>
        <w:rPr>
          <w:rFonts w:hint="eastAsia"/>
          <w:highlight w:val="none"/>
        </w:rPr>
        <w:t>事故善后及恢复生产</w:t>
      </w:r>
      <w:r>
        <w:tab/>
      </w:r>
      <w:r>
        <w:fldChar w:fldCharType="begin"/>
      </w:r>
      <w:r>
        <w:instrText xml:space="preserve"> PAGEREF _Toc11021 \h </w:instrText>
      </w:r>
      <w:r>
        <w:fldChar w:fldCharType="separate"/>
      </w:r>
      <w:r>
        <w:t>131</w:t>
      </w:r>
      <w:r>
        <w:fldChar w:fldCharType="end"/>
      </w:r>
      <w:r>
        <w:rPr>
          <w:highlight w:val="none"/>
        </w:rPr>
        <w:fldChar w:fldCharType="end"/>
      </w:r>
    </w:p>
    <w:p w14:paraId="477F9D28">
      <w:pPr>
        <w:pStyle w:val="23"/>
        <w:tabs>
          <w:tab w:val="right" w:leader="dot" w:pos="8306"/>
        </w:tabs>
      </w:pPr>
      <w:r>
        <w:rPr>
          <w:highlight w:val="none"/>
        </w:rPr>
        <w:fldChar w:fldCharType="begin"/>
      </w:r>
      <w:r>
        <w:rPr>
          <w:highlight w:val="none"/>
        </w:rPr>
        <w:instrText xml:space="preserve"> HYPERLINK \l _Toc17552 </w:instrText>
      </w:r>
      <w:r>
        <w:rPr>
          <w:highlight w:val="none"/>
        </w:rPr>
        <w:fldChar w:fldCharType="separate"/>
      </w:r>
      <w:r>
        <w:rPr>
          <w:rFonts w:hint="eastAsia"/>
          <w:highlight w:val="none"/>
          <w:lang w:val="en-US" w:eastAsia="zh-CN"/>
        </w:rPr>
        <w:t>10</w:t>
      </w:r>
      <w:r>
        <w:rPr>
          <w:rFonts w:hint="eastAsia"/>
          <w:highlight w:val="none"/>
        </w:rPr>
        <w:t>绿色及文明施工</w:t>
      </w:r>
      <w:r>
        <w:tab/>
      </w:r>
      <w:r>
        <w:fldChar w:fldCharType="begin"/>
      </w:r>
      <w:r>
        <w:instrText xml:space="preserve"> PAGEREF _Toc17552 \h </w:instrText>
      </w:r>
      <w:r>
        <w:fldChar w:fldCharType="separate"/>
      </w:r>
      <w:r>
        <w:t>132</w:t>
      </w:r>
      <w:r>
        <w:fldChar w:fldCharType="end"/>
      </w:r>
      <w:r>
        <w:rPr>
          <w:highlight w:val="none"/>
        </w:rPr>
        <w:fldChar w:fldCharType="end"/>
      </w:r>
    </w:p>
    <w:p w14:paraId="0785D3A0">
      <w:pPr>
        <w:pStyle w:val="24"/>
        <w:tabs>
          <w:tab w:val="right" w:leader="dot" w:pos="8306"/>
        </w:tabs>
      </w:pPr>
      <w:r>
        <w:rPr>
          <w:highlight w:val="none"/>
        </w:rPr>
        <w:fldChar w:fldCharType="begin"/>
      </w:r>
      <w:r>
        <w:rPr>
          <w:highlight w:val="none"/>
        </w:rPr>
        <w:instrText xml:space="preserve"> HYPERLINK \l _Toc11152 </w:instrText>
      </w:r>
      <w:r>
        <w:rPr>
          <w:highlight w:val="none"/>
        </w:rPr>
        <w:fldChar w:fldCharType="separate"/>
      </w:r>
      <w:r>
        <w:rPr>
          <w:rFonts w:hint="eastAsia"/>
          <w:highlight w:val="none"/>
          <w:lang w:val="en-US" w:eastAsia="zh-CN"/>
        </w:rPr>
        <w:t>10.1绿色施工</w:t>
      </w:r>
      <w:r>
        <w:tab/>
      </w:r>
      <w:r>
        <w:fldChar w:fldCharType="begin"/>
      </w:r>
      <w:r>
        <w:instrText xml:space="preserve"> PAGEREF _Toc11152 \h </w:instrText>
      </w:r>
      <w:r>
        <w:fldChar w:fldCharType="separate"/>
      </w:r>
      <w:r>
        <w:t>132</w:t>
      </w:r>
      <w:r>
        <w:fldChar w:fldCharType="end"/>
      </w:r>
      <w:r>
        <w:rPr>
          <w:highlight w:val="none"/>
        </w:rPr>
        <w:fldChar w:fldCharType="end"/>
      </w:r>
    </w:p>
    <w:p w14:paraId="465D1D00">
      <w:pPr>
        <w:pStyle w:val="24"/>
        <w:tabs>
          <w:tab w:val="right" w:leader="dot" w:pos="8306"/>
        </w:tabs>
      </w:pPr>
      <w:r>
        <w:rPr>
          <w:highlight w:val="none"/>
        </w:rPr>
        <w:fldChar w:fldCharType="begin"/>
      </w:r>
      <w:r>
        <w:rPr>
          <w:highlight w:val="none"/>
        </w:rPr>
        <w:instrText xml:space="preserve"> HYPERLINK \l _Toc6314 </w:instrText>
      </w:r>
      <w:r>
        <w:rPr>
          <w:highlight w:val="none"/>
        </w:rPr>
        <w:fldChar w:fldCharType="separate"/>
      </w:r>
      <w:r>
        <w:rPr>
          <w:rFonts w:hint="eastAsia"/>
          <w:highlight w:val="none"/>
          <w:lang w:val="en-US" w:eastAsia="zh-CN"/>
        </w:rPr>
        <w:t>10.2文明施工</w:t>
      </w:r>
      <w:r>
        <w:tab/>
      </w:r>
      <w:r>
        <w:fldChar w:fldCharType="begin"/>
      </w:r>
      <w:r>
        <w:instrText xml:space="preserve"> PAGEREF _Toc6314 \h </w:instrText>
      </w:r>
      <w:r>
        <w:fldChar w:fldCharType="separate"/>
      </w:r>
      <w:r>
        <w:t>138</w:t>
      </w:r>
      <w:r>
        <w:fldChar w:fldCharType="end"/>
      </w:r>
      <w:r>
        <w:rPr>
          <w:highlight w:val="none"/>
        </w:rPr>
        <w:fldChar w:fldCharType="end"/>
      </w:r>
    </w:p>
    <w:p w14:paraId="7750B229">
      <w:pPr>
        <w:pStyle w:val="23"/>
        <w:tabs>
          <w:tab w:val="right" w:leader="dot" w:pos="8306"/>
        </w:tabs>
      </w:pPr>
      <w:r>
        <w:rPr>
          <w:highlight w:val="none"/>
        </w:rPr>
        <w:fldChar w:fldCharType="begin"/>
      </w:r>
      <w:r>
        <w:rPr>
          <w:highlight w:val="none"/>
        </w:rPr>
        <w:instrText xml:space="preserve"> HYPERLINK \l _Toc29950 </w:instrText>
      </w:r>
      <w:r>
        <w:rPr>
          <w:highlight w:val="none"/>
        </w:rPr>
        <w:fldChar w:fldCharType="separate"/>
      </w:r>
      <w:r>
        <w:rPr>
          <w:rFonts w:hint="eastAsia"/>
          <w:highlight w:val="none"/>
          <w:lang w:val="en-US" w:eastAsia="zh-CN"/>
        </w:rPr>
        <w:t>11相关附件</w:t>
      </w:r>
      <w:r>
        <w:tab/>
      </w:r>
      <w:r>
        <w:fldChar w:fldCharType="begin"/>
      </w:r>
      <w:r>
        <w:instrText xml:space="preserve"> PAGEREF _Toc29950 \h </w:instrText>
      </w:r>
      <w:r>
        <w:fldChar w:fldCharType="separate"/>
      </w:r>
      <w:r>
        <w:t>148</w:t>
      </w:r>
      <w:r>
        <w:fldChar w:fldCharType="end"/>
      </w:r>
      <w:r>
        <w:rPr>
          <w:highlight w:val="none"/>
        </w:rPr>
        <w:fldChar w:fldCharType="end"/>
      </w:r>
    </w:p>
    <w:p w14:paraId="5DCCFDB1">
      <w:pPr>
        <w:pStyle w:val="24"/>
        <w:tabs>
          <w:tab w:val="right" w:leader="dot" w:pos="8306"/>
        </w:tabs>
      </w:pPr>
      <w:r>
        <w:rPr>
          <w:highlight w:val="none"/>
        </w:rPr>
        <w:fldChar w:fldCharType="begin"/>
      </w:r>
      <w:r>
        <w:rPr>
          <w:highlight w:val="none"/>
        </w:rPr>
        <w:instrText xml:space="preserve"> HYPERLINK \l _Toc5960 </w:instrText>
      </w:r>
      <w:r>
        <w:rPr>
          <w:highlight w:val="none"/>
        </w:rPr>
        <w:fldChar w:fldCharType="separate"/>
      </w:r>
      <w:r>
        <w:rPr>
          <w:rFonts w:hint="eastAsia" w:ascii="宋体" w:hAnsi="宋体" w:eastAsia="宋体"/>
          <w:highlight w:val="none"/>
          <w:lang w:val="en-US" w:eastAsia="zh-CN"/>
        </w:rPr>
        <w:t>附件1：</w:t>
      </w:r>
      <w:r>
        <w:rPr>
          <w:rFonts w:hint="eastAsia"/>
          <w:highlight w:val="none"/>
          <w:lang w:val="en-US" w:eastAsia="zh-CN"/>
        </w:rPr>
        <w:t>XGT7525-16</w:t>
      </w:r>
      <w:r>
        <w:rPr>
          <w:rFonts w:hint="eastAsia" w:ascii="宋体" w:hAnsi="宋体" w:eastAsia="宋体"/>
          <w:highlight w:val="none"/>
          <w:lang w:val="en-US" w:eastAsia="zh-CN"/>
        </w:rPr>
        <w:t>塔机立面图</w:t>
      </w:r>
      <w:r>
        <w:tab/>
      </w:r>
      <w:r>
        <w:fldChar w:fldCharType="begin"/>
      </w:r>
      <w:r>
        <w:instrText xml:space="preserve"> PAGEREF _Toc5960 \h </w:instrText>
      </w:r>
      <w:r>
        <w:fldChar w:fldCharType="separate"/>
      </w:r>
      <w:r>
        <w:t>148</w:t>
      </w:r>
      <w:r>
        <w:fldChar w:fldCharType="end"/>
      </w:r>
      <w:r>
        <w:rPr>
          <w:highlight w:val="none"/>
        </w:rPr>
        <w:fldChar w:fldCharType="end"/>
      </w:r>
    </w:p>
    <w:p w14:paraId="4AE164CE">
      <w:pPr>
        <w:pStyle w:val="24"/>
        <w:tabs>
          <w:tab w:val="right" w:leader="dot" w:pos="8306"/>
        </w:tabs>
      </w:pPr>
      <w:r>
        <w:rPr>
          <w:highlight w:val="none"/>
        </w:rPr>
        <w:fldChar w:fldCharType="begin"/>
      </w:r>
      <w:r>
        <w:rPr>
          <w:highlight w:val="none"/>
        </w:rPr>
        <w:instrText xml:space="preserve"> HYPERLINK \l _Toc25604 </w:instrText>
      </w:r>
      <w:r>
        <w:rPr>
          <w:highlight w:val="none"/>
        </w:rPr>
        <w:fldChar w:fldCharType="separate"/>
      </w:r>
      <w:r>
        <w:rPr>
          <w:rFonts w:hint="eastAsia" w:ascii="宋体" w:hAnsi="宋体" w:eastAsia="宋体"/>
          <w:highlight w:val="none"/>
          <w:lang w:val="en-US" w:eastAsia="zh-CN"/>
        </w:rPr>
        <w:t>附件2：</w:t>
      </w:r>
      <w:r>
        <w:rPr>
          <w:rFonts w:hint="eastAsia"/>
          <w:highlight w:val="none"/>
          <w:lang w:val="en-US" w:eastAsia="zh-CN"/>
        </w:rPr>
        <w:t>XGT7525-16</w:t>
      </w:r>
      <w:r>
        <w:rPr>
          <w:rFonts w:hint="eastAsia" w:ascii="宋体" w:hAnsi="宋体" w:eastAsia="宋体"/>
          <w:highlight w:val="none"/>
          <w:lang w:val="en-US" w:eastAsia="zh-CN"/>
        </w:rPr>
        <w:t>型塔吊平面布置示意图</w:t>
      </w:r>
      <w:r>
        <w:tab/>
      </w:r>
      <w:r>
        <w:fldChar w:fldCharType="begin"/>
      </w:r>
      <w:r>
        <w:instrText xml:space="preserve"> PAGEREF _Toc25604 \h </w:instrText>
      </w:r>
      <w:r>
        <w:fldChar w:fldCharType="separate"/>
      </w:r>
      <w:r>
        <w:t>149</w:t>
      </w:r>
      <w:r>
        <w:fldChar w:fldCharType="end"/>
      </w:r>
      <w:r>
        <w:rPr>
          <w:highlight w:val="none"/>
        </w:rPr>
        <w:fldChar w:fldCharType="end"/>
      </w:r>
    </w:p>
    <w:p w14:paraId="3F05D92A">
      <w:pPr>
        <w:pStyle w:val="24"/>
        <w:tabs>
          <w:tab w:val="right" w:leader="dot" w:pos="8306"/>
        </w:tabs>
      </w:pPr>
      <w:r>
        <w:rPr>
          <w:highlight w:val="none"/>
        </w:rPr>
        <w:fldChar w:fldCharType="begin"/>
      </w:r>
      <w:r>
        <w:rPr>
          <w:highlight w:val="none"/>
        </w:rPr>
        <w:instrText xml:space="preserve"> HYPERLINK \l _Toc5814 </w:instrText>
      </w:r>
      <w:r>
        <w:rPr>
          <w:highlight w:val="none"/>
        </w:rPr>
        <w:fldChar w:fldCharType="separate"/>
      </w:r>
      <w:r>
        <w:rPr>
          <w:rFonts w:hint="eastAsia" w:ascii="宋体" w:hAnsi="宋体" w:eastAsia="宋体"/>
          <w:highlight w:val="none"/>
          <w:lang w:val="en-US" w:eastAsia="zh-CN"/>
        </w:rPr>
        <w:t>附件</w:t>
      </w:r>
      <w:r>
        <w:rPr>
          <w:rFonts w:hint="eastAsia"/>
          <w:highlight w:val="none"/>
          <w:lang w:val="en-US" w:eastAsia="zh-CN"/>
        </w:rPr>
        <w:t>3</w:t>
      </w:r>
      <w:r>
        <w:rPr>
          <w:rFonts w:hint="eastAsia" w:ascii="宋体" w:hAnsi="宋体" w:eastAsia="宋体"/>
          <w:highlight w:val="none"/>
          <w:lang w:val="en-US" w:eastAsia="zh-CN"/>
        </w:rPr>
        <w:t>：塔机基础计算书</w:t>
      </w:r>
      <w:r>
        <w:tab/>
      </w:r>
      <w:r>
        <w:fldChar w:fldCharType="begin"/>
      </w:r>
      <w:r>
        <w:instrText xml:space="preserve"> PAGEREF _Toc5814 \h </w:instrText>
      </w:r>
      <w:r>
        <w:fldChar w:fldCharType="separate"/>
      </w:r>
      <w:r>
        <w:t>150</w:t>
      </w:r>
      <w:r>
        <w:fldChar w:fldCharType="end"/>
      </w:r>
      <w:r>
        <w:rPr>
          <w:highlight w:val="none"/>
        </w:rPr>
        <w:fldChar w:fldCharType="end"/>
      </w:r>
    </w:p>
    <w:p w14:paraId="71027282">
      <w:pPr>
        <w:pStyle w:val="24"/>
        <w:tabs>
          <w:tab w:val="right" w:leader="dot" w:pos="8306"/>
        </w:tabs>
      </w:pPr>
      <w:r>
        <w:rPr>
          <w:highlight w:val="none"/>
        </w:rPr>
        <w:fldChar w:fldCharType="begin"/>
      </w:r>
      <w:r>
        <w:rPr>
          <w:highlight w:val="none"/>
        </w:rPr>
        <w:instrText xml:space="preserve"> HYPERLINK \l _Toc22755 </w:instrText>
      </w:r>
      <w:r>
        <w:rPr>
          <w:highlight w:val="none"/>
        </w:rPr>
        <w:fldChar w:fldCharType="separate"/>
      </w:r>
      <w:r>
        <w:rPr>
          <w:rFonts w:hint="eastAsia" w:ascii="宋体" w:hAnsi="宋体" w:eastAsia="宋体"/>
          <w:highlight w:val="none"/>
          <w:lang w:val="en-US" w:eastAsia="zh-CN"/>
        </w:rPr>
        <w:t>附件</w:t>
      </w:r>
      <w:r>
        <w:rPr>
          <w:rFonts w:hint="eastAsia"/>
          <w:highlight w:val="none"/>
          <w:lang w:val="en-US" w:eastAsia="zh-CN"/>
        </w:rPr>
        <w:t>4</w:t>
      </w:r>
      <w:r>
        <w:rPr>
          <w:rFonts w:hint="eastAsia" w:ascii="宋体" w:hAnsi="宋体" w:eastAsia="宋体"/>
          <w:highlight w:val="none"/>
          <w:lang w:val="en-US" w:eastAsia="zh-CN"/>
        </w:rPr>
        <w:t>：相关人员、资质文件</w:t>
      </w:r>
      <w:r>
        <w:tab/>
      </w:r>
      <w:r>
        <w:fldChar w:fldCharType="begin"/>
      </w:r>
      <w:r>
        <w:instrText xml:space="preserve"> PAGEREF _Toc22755 \h </w:instrText>
      </w:r>
      <w:r>
        <w:fldChar w:fldCharType="separate"/>
      </w:r>
      <w:r>
        <w:t>158</w:t>
      </w:r>
      <w:r>
        <w:fldChar w:fldCharType="end"/>
      </w:r>
      <w:r>
        <w:rPr>
          <w:highlight w:val="none"/>
        </w:rPr>
        <w:fldChar w:fldCharType="end"/>
      </w:r>
    </w:p>
    <w:p w14:paraId="509B0806">
      <w:pPr>
        <w:pStyle w:val="11"/>
        <w:rPr>
          <w:rFonts w:ascii="宋体" w:hAnsi="宋体" w:eastAsia="宋体" w:cs="Times New Roman"/>
          <w:b/>
          <w:kern w:val="2"/>
          <w:sz w:val="21"/>
          <w:szCs w:val="2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highlight w:val="none"/>
        </w:rPr>
        <w:fldChar w:fldCharType="end"/>
      </w:r>
    </w:p>
    <w:p w14:paraId="5D66614D">
      <w:pPr>
        <w:pStyle w:val="2"/>
        <w:numPr>
          <w:ilvl w:val="0"/>
          <w:numId w:val="0"/>
        </w:numPr>
        <w:ind w:leftChars="0"/>
        <w:rPr>
          <w:highlight w:val="none"/>
        </w:rPr>
      </w:pPr>
      <w:bookmarkStart w:id="13" w:name="_Toc10409763"/>
      <w:bookmarkStart w:id="14" w:name="_Toc13483"/>
      <w:bookmarkStart w:id="15" w:name="_Toc15972"/>
      <w:bookmarkStart w:id="16" w:name="_Toc10409769"/>
      <w:r>
        <w:rPr>
          <w:rFonts w:hint="eastAsia"/>
          <w:highlight w:val="none"/>
          <w:lang w:val="en-US" w:eastAsia="zh-CN"/>
        </w:rPr>
        <w:t>1</w:t>
      </w:r>
      <w:r>
        <w:rPr>
          <w:rFonts w:hint="eastAsia"/>
          <w:highlight w:val="none"/>
        </w:rPr>
        <w:t>编制依据</w:t>
      </w:r>
      <w:bookmarkEnd w:id="13"/>
      <w:bookmarkEnd w:id="14"/>
      <w:bookmarkEnd w:id="15"/>
    </w:p>
    <w:p w14:paraId="40FA6556">
      <w:pPr>
        <w:pStyle w:val="3"/>
        <w:rPr>
          <w:rFonts w:hint="eastAsia" w:eastAsia="宋体"/>
          <w:highlight w:val="none"/>
          <w:lang w:val="en-US" w:eastAsia="zh-CN"/>
        </w:rPr>
      </w:pPr>
      <w:bookmarkStart w:id="17" w:name="_Toc10409764"/>
      <w:bookmarkStart w:id="18" w:name="_Toc22337"/>
      <w:bookmarkStart w:id="19" w:name="_Toc4543"/>
      <w:r>
        <w:rPr>
          <w:rFonts w:hint="eastAsia"/>
          <w:highlight w:val="none"/>
          <w:lang w:val="en-US" w:eastAsia="zh-CN"/>
        </w:rPr>
        <w:t>1</w:t>
      </w:r>
      <w:r>
        <w:rPr>
          <w:highlight w:val="none"/>
        </w:rPr>
        <w:t>.1</w:t>
      </w:r>
      <w:r>
        <w:rPr>
          <w:rFonts w:hint="eastAsia"/>
          <w:highlight w:val="none"/>
        </w:rPr>
        <w:t xml:space="preserve"> 编制</w:t>
      </w:r>
      <w:bookmarkEnd w:id="17"/>
      <w:r>
        <w:rPr>
          <w:rFonts w:hint="eastAsia"/>
          <w:highlight w:val="none"/>
          <w:lang w:val="en-US" w:eastAsia="zh-CN"/>
        </w:rPr>
        <w:t>说明</w:t>
      </w:r>
      <w:bookmarkEnd w:id="18"/>
      <w:bookmarkEnd w:id="19"/>
    </w:p>
    <w:p w14:paraId="3B2EA34F">
      <w:pPr>
        <w:bidi w:val="0"/>
        <w:ind w:firstLine="480" w:firstLineChars="200"/>
        <w:rPr>
          <w:highlight w:val="none"/>
        </w:rPr>
      </w:pPr>
      <w:r>
        <w:rPr>
          <w:rFonts w:hint="eastAsia"/>
          <w:highlight w:val="none"/>
        </w:rPr>
        <w:t>中交二航局桂林-恭城-贺州公路（桂林至钟山段）№7合同段项目需采用</w:t>
      </w:r>
      <w:r>
        <w:rPr>
          <w:rFonts w:hint="eastAsia"/>
          <w:highlight w:val="none"/>
          <w:lang w:val="en-US" w:eastAsia="zh-CN"/>
        </w:rPr>
        <w:t>XGT7525-16</w:t>
      </w:r>
      <w:r>
        <w:rPr>
          <w:highlight w:val="none"/>
        </w:rPr>
        <w:t>塔式起重机进行桥梁施工吊装作业，为认真、全面、系统地做好起重机的安装作业，确保过程质量和安全，合理安排施工工期，</w:t>
      </w:r>
      <w:r>
        <w:rPr>
          <w:rFonts w:hint="eastAsia"/>
          <w:highlight w:val="none"/>
          <w:lang w:eastAsia="zh-CN"/>
        </w:rPr>
        <w:t>四川科斗文智能装备有限公司</w:t>
      </w:r>
      <w:r>
        <w:rPr>
          <w:highlight w:val="none"/>
        </w:rPr>
        <w:t>受项目部委托</w:t>
      </w:r>
      <w:r>
        <w:rPr>
          <w:rFonts w:hint="eastAsia"/>
          <w:highlight w:val="none"/>
        </w:rPr>
        <w:t>特编制本塔式起重机</w:t>
      </w:r>
      <w:r>
        <w:rPr>
          <w:highlight w:val="none"/>
        </w:rPr>
        <w:t>安装专项施工方案。</w:t>
      </w:r>
    </w:p>
    <w:p w14:paraId="43173BD4">
      <w:pPr>
        <w:pStyle w:val="3"/>
        <w:rPr>
          <w:rFonts w:hint="default" w:eastAsia="宋体"/>
          <w:highlight w:val="none"/>
          <w:lang w:val="en-US" w:eastAsia="zh-CN"/>
        </w:rPr>
      </w:pPr>
      <w:bookmarkStart w:id="20" w:name="_Toc10409765"/>
      <w:bookmarkStart w:id="21" w:name="_Toc8665"/>
      <w:bookmarkStart w:id="22" w:name="_Toc934"/>
      <w:r>
        <w:rPr>
          <w:rFonts w:hint="eastAsia"/>
          <w:highlight w:val="none"/>
          <w:lang w:val="en-US" w:eastAsia="zh-CN"/>
        </w:rPr>
        <w:t>1</w:t>
      </w:r>
      <w:r>
        <w:rPr>
          <w:highlight w:val="none"/>
        </w:rPr>
        <w:t>.2</w:t>
      </w:r>
      <w:r>
        <w:rPr>
          <w:rFonts w:hint="eastAsia"/>
          <w:highlight w:val="none"/>
        </w:rPr>
        <w:t xml:space="preserve"> </w:t>
      </w:r>
      <w:bookmarkEnd w:id="20"/>
      <w:r>
        <w:rPr>
          <w:rFonts w:hint="eastAsia"/>
          <w:highlight w:val="none"/>
          <w:lang w:val="en-US" w:eastAsia="zh-CN"/>
        </w:rPr>
        <w:t>引用文件</w:t>
      </w:r>
      <w:bookmarkEnd w:id="21"/>
      <w:bookmarkEnd w:id="22"/>
    </w:p>
    <w:p w14:paraId="192ACC68">
      <w:pPr>
        <w:pStyle w:val="4"/>
        <w:bidi w:val="0"/>
        <w:rPr>
          <w:highlight w:val="none"/>
        </w:rPr>
      </w:pPr>
      <w:bookmarkStart w:id="23" w:name="_Toc6806"/>
      <w:bookmarkStart w:id="24" w:name="_Hlk42526096"/>
      <w:r>
        <w:rPr>
          <w:rFonts w:hint="eastAsia"/>
          <w:highlight w:val="none"/>
          <w:lang w:val="en-US" w:eastAsia="zh-CN"/>
        </w:rPr>
        <w:t>1</w:t>
      </w:r>
      <w:r>
        <w:rPr>
          <w:highlight w:val="none"/>
        </w:rPr>
        <w:t>.2.1</w:t>
      </w:r>
      <w:r>
        <w:rPr>
          <w:rFonts w:hint="eastAsia"/>
          <w:highlight w:val="none"/>
        </w:rPr>
        <w:t>主要法律法规</w:t>
      </w:r>
    </w:p>
    <w:p w14:paraId="350CC49F">
      <w:pPr>
        <w:pStyle w:val="45"/>
        <w:numPr>
          <w:ilvl w:val="0"/>
          <w:numId w:val="4"/>
        </w:numPr>
        <w:ind w:firstLineChars="0"/>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w:t>
      </w:r>
      <w:r>
        <w:rPr>
          <w:rFonts w:ascii="宋体" w:hAnsi="宋体" w:eastAsia="宋体" w:cs="Times New Roman"/>
          <w:color w:val="auto"/>
          <w:kern w:val="2"/>
          <w:sz w:val="24"/>
          <w:szCs w:val="22"/>
          <w:highlight w:val="none"/>
          <w:lang w:val="en-US" w:eastAsia="zh-CN" w:bidi="ar-SA"/>
        </w:rPr>
        <w:t>中华人民共和国特种设备安全法</w:t>
      </w:r>
      <w:r>
        <w:rPr>
          <w:rFonts w:hint="eastAsia" w:ascii="宋体" w:hAnsi="宋体" w:eastAsia="宋体" w:cs="Times New Roman"/>
          <w:color w:val="auto"/>
          <w:kern w:val="2"/>
          <w:sz w:val="24"/>
          <w:szCs w:val="22"/>
          <w:highlight w:val="none"/>
          <w:lang w:val="en-US" w:eastAsia="zh-CN" w:bidi="ar-SA"/>
        </w:rPr>
        <w:t>》（中华人民共和国主席令第</w:t>
      </w:r>
      <w:r>
        <w:rPr>
          <w:rFonts w:ascii="宋体" w:hAnsi="宋体" w:eastAsia="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号）</w:t>
      </w:r>
    </w:p>
    <w:p w14:paraId="4776883D">
      <w:pPr>
        <w:pStyle w:val="45"/>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《中华人民共和国安全生产法》（中华人民共和国主席令第88号）</w:t>
      </w:r>
    </w:p>
    <w:p w14:paraId="4F5BA8EB">
      <w:pPr>
        <w:pStyle w:val="45"/>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《特种设备安全监察条例》（国务院令第549号）</w:t>
      </w:r>
    </w:p>
    <w:p w14:paraId="7691DF19">
      <w:pPr>
        <w:pStyle w:val="45"/>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《起重机械安全监察规定》（质监总局令第92号）</w:t>
      </w:r>
    </w:p>
    <w:p w14:paraId="42988A1D">
      <w:pPr>
        <w:pStyle w:val="45"/>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《特种设备作业人员监督管理办法》（质监总局令第140号）</w:t>
      </w:r>
    </w:p>
    <w:p w14:paraId="74DA5BF9">
      <w:pPr>
        <w:pStyle w:val="4"/>
        <w:bidi w:val="0"/>
        <w:rPr>
          <w:highlight w:val="none"/>
        </w:rPr>
      </w:pPr>
      <w:r>
        <w:rPr>
          <w:rFonts w:hint="eastAsia"/>
          <w:highlight w:val="none"/>
          <w:lang w:val="en-US" w:eastAsia="zh-CN"/>
        </w:rPr>
        <w:t>1</w:t>
      </w:r>
      <w:r>
        <w:rPr>
          <w:highlight w:val="none"/>
        </w:rPr>
        <w:t>.2.2</w:t>
      </w:r>
      <w:r>
        <w:rPr>
          <w:rFonts w:hint="eastAsia"/>
          <w:highlight w:val="none"/>
        </w:rPr>
        <w:t>主要规范、规程</w:t>
      </w:r>
    </w:p>
    <w:p w14:paraId="03D1184B">
      <w:pPr>
        <w:numPr>
          <w:ilvl w:val="0"/>
          <w:numId w:val="4"/>
        </w:numPr>
        <w:bidi w:val="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4"/>
        </w:numPr>
        <w:bidi w:val="0"/>
        <w:rPr>
          <w:rFonts w:hint="eastAsia"/>
          <w:highlight w:val="none"/>
        </w:rPr>
      </w:pPr>
      <w:r>
        <w:rPr>
          <w:rFonts w:hint="eastAsia"/>
          <w:highlight w:val="none"/>
        </w:rPr>
        <w:t>《重要用途钢丝绳》（GB 8918-2006）</w:t>
      </w:r>
    </w:p>
    <w:p w14:paraId="2466DE2B">
      <w:pPr>
        <w:numPr>
          <w:ilvl w:val="0"/>
          <w:numId w:val="4"/>
        </w:numPr>
        <w:bidi w:val="0"/>
        <w:rPr>
          <w:rFonts w:hint="eastAsia"/>
          <w:highlight w:val="none"/>
        </w:rPr>
      </w:pPr>
      <w:r>
        <w:rPr>
          <w:rFonts w:hint="eastAsia"/>
          <w:highlight w:val="none"/>
        </w:rPr>
        <w:t>《起重设备安装工程施工及验收规范》（GB 50278-2010）</w:t>
      </w:r>
    </w:p>
    <w:p w14:paraId="484FB711">
      <w:pPr>
        <w:numPr>
          <w:ilvl w:val="0"/>
          <w:numId w:val="4"/>
        </w:numPr>
        <w:bidi w:val="0"/>
        <w:rPr>
          <w:rFonts w:hint="eastAsia"/>
          <w:highlight w:val="none"/>
        </w:rPr>
      </w:pPr>
      <w:r>
        <w:rPr>
          <w:rFonts w:hint="eastAsia"/>
          <w:highlight w:val="none"/>
        </w:rPr>
        <w:t>《起重机 安全使用 第3部分：塔式起重机》（GB/T 23723.3-2010）</w:t>
      </w:r>
    </w:p>
    <w:p w14:paraId="41A457B3">
      <w:pPr>
        <w:numPr>
          <w:ilvl w:val="0"/>
          <w:numId w:val="4"/>
        </w:numPr>
        <w:bidi w:val="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4"/>
        </w:numPr>
        <w:bidi w:val="0"/>
        <w:rPr>
          <w:rFonts w:hint="eastAsia"/>
          <w:highlight w:val="none"/>
        </w:rPr>
      </w:pPr>
      <w:r>
        <w:rPr>
          <w:rFonts w:hint="eastAsia"/>
          <w:highlight w:val="none"/>
        </w:rPr>
        <w:t>《塔式起重机安装与拆卸规则》（GB/T 26471-2011）</w:t>
      </w:r>
    </w:p>
    <w:p w14:paraId="06212778">
      <w:pPr>
        <w:numPr>
          <w:ilvl w:val="0"/>
          <w:numId w:val="4"/>
        </w:numPr>
        <w:bidi w:val="0"/>
        <w:rPr>
          <w:rFonts w:hint="eastAsia"/>
          <w:highlight w:val="none"/>
        </w:rPr>
      </w:pPr>
      <w:r>
        <w:rPr>
          <w:rFonts w:hint="eastAsia"/>
          <w:highlight w:val="none"/>
        </w:rPr>
        <w:t>《塔式起重机设计规范》（GB/T 13752-2017）</w:t>
      </w:r>
    </w:p>
    <w:p w14:paraId="10A56D2C">
      <w:pPr>
        <w:numPr>
          <w:ilvl w:val="0"/>
          <w:numId w:val="4"/>
        </w:numPr>
        <w:bidi w:val="0"/>
        <w:rPr>
          <w:rFonts w:hint="eastAsia"/>
          <w:highlight w:val="none"/>
        </w:rPr>
      </w:pPr>
      <w:r>
        <w:rPr>
          <w:rFonts w:hint="eastAsia"/>
          <w:highlight w:val="none"/>
        </w:rPr>
        <w:t>《起重机械定期检验规则》（TSG Q7015-2016）</w:t>
      </w:r>
    </w:p>
    <w:p w14:paraId="5271DA3E">
      <w:pPr>
        <w:numPr>
          <w:ilvl w:val="0"/>
          <w:numId w:val="4"/>
        </w:numPr>
        <w:bidi w:val="0"/>
        <w:rPr>
          <w:rFonts w:hint="eastAsia"/>
          <w:highlight w:val="none"/>
        </w:rPr>
      </w:pPr>
      <w:r>
        <w:rPr>
          <w:rFonts w:hint="eastAsia"/>
          <w:highlight w:val="none"/>
        </w:rPr>
        <w:t>《起重机械定期检验规则》（TSG Q7015-2016）</w:t>
      </w:r>
    </w:p>
    <w:p w14:paraId="50D8031C">
      <w:pPr>
        <w:numPr>
          <w:ilvl w:val="0"/>
          <w:numId w:val="4"/>
        </w:numPr>
        <w:bidi w:val="0"/>
        <w:rPr>
          <w:rFonts w:hint="eastAsia"/>
          <w:highlight w:val="none"/>
        </w:rPr>
      </w:pPr>
      <w:r>
        <w:rPr>
          <w:rFonts w:hint="eastAsia"/>
          <w:highlight w:val="none"/>
        </w:rPr>
        <w:t>《起重机械安装改造重大修理监督检验规则》（TSG Q7016-2016）</w:t>
      </w:r>
    </w:p>
    <w:p w14:paraId="6BBB67E6">
      <w:pPr>
        <w:numPr>
          <w:ilvl w:val="0"/>
          <w:numId w:val="4"/>
        </w:numPr>
        <w:bidi w:val="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4"/>
        </w:numPr>
        <w:bidi w:val="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4"/>
        </w:numPr>
        <w:bidi w:val="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numPr>
          <w:ilvl w:val="0"/>
          <w:numId w:val="4"/>
        </w:numPr>
        <w:bidi w:val="0"/>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rPr>
          <w:highlight w:val="none"/>
        </w:rPr>
      </w:pPr>
      <w:r>
        <w:rPr>
          <w:rFonts w:hint="eastAsia"/>
          <w:highlight w:val="none"/>
          <w:lang w:val="en-US" w:eastAsia="zh-CN"/>
        </w:rPr>
        <w:t>1</w:t>
      </w:r>
      <w:r>
        <w:rPr>
          <w:highlight w:val="none"/>
        </w:rPr>
        <w:t>.2.3</w:t>
      </w:r>
      <w:r>
        <w:rPr>
          <w:rFonts w:hint="eastAsia"/>
          <w:highlight w:val="none"/>
        </w:rPr>
        <w:t>其他</w:t>
      </w:r>
    </w:p>
    <w:p w14:paraId="509CE369">
      <w:pPr>
        <w:numPr>
          <w:ilvl w:val="0"/>
          <w:numId w:val="4"/>
        </w:numPr>
        <w:bidi w:val="0"/>
        <w:rPr>
          <w:rFonts w:hint="eastAsia"/>
          <w:highlight w:val="none"/>
        </w:rPr>
      </w:pPr>
      <w:r>
        <w:rPr>
          <w:rFonts w:hint="eastAsia"/>
          <w:highlight w:val="none"/>
        </w:rPr>
        <w:t>中交二航局桂林-恭城-贺州公路（桂林至钟山段）№7合同段施工组织设计</w:t>
      </w:r>
    </w:p>
    <w:p w14:paraId="4C7BA662">
      <w:pPr>
        <w:numPr>
          <w:ilvl w:val="0"/>
          <w:numId w:val="4"/>
        </w:numPr>
        <w:bidi w:val="0"/>
        <w:rPr>
          <w:rFonts w:hint="eastAsia"/>
          <w:highlight w:val="none"/>
        </w:rPr>
      </w:pPr>
      <w:r>
        <w:rPr>
          <w:rFonts w:hint="eastAsia"/>
          <w:highlight w:val="none"/>
        </w:rPr>
        <w:t>桂林-恭城-贺州公路（桂林至钟山段）№7合同段施工图</w:t>
      </w:r>
    </w:p>
    <w:p w14:paraId="2C9C0EE1">
      <w:pPr>
        <w:numPr>
          <w:ilvl w:val="0"/>
          <w:numId w:val="4"/>
        </w:numPr>
        <w:bidi w:val="0"/>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numPr>
          <w:ilvl w:val="0"/>
          <w:numId w:val="4"/>
        </w:numPr>
        <w:tabs>
          <w:tab w:val="left" w:pos="920"/>
        </w:tabs>
        <w:bidi w:val="0"/>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numPr>
          <w:ilvl w:val="0"/>
          <w:numId w:val="4"/>
        </w:numPr>
        <w:tabs>
          <w:tab w:val="left" w:pos="920"/>
        </w:tabs>
        <w:bidi w:val="0"/>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14CFB6FC">
      <w:pPr>
        <w:numPr>
          <w:ilvl w:val="0"/>
          <w:numId w:val="4"/>
        </w:numPr>
        <w:tabs>
          <w:tab w:val="left" w:pos="920"/>
        </w:tabs>
        <w:bidi w:val="0"/>
        <w:rPr>
          <w:rFonts w:hint="eastAsia"/>
          <w:highlight w:val="none"/>
        </w:rPr>
      </w:pPr>
      <w:r>
        <w:rPr>
          <w:rFonts w:hint="eastAsia"/>
          <w:highlight w:val="none"/>
          <w:lang w:eastAsia="zh-CN"/>
        </w:rPr>
        <w:t>XGT7525-16</w:t>
      </w:r>
      <w:r>
        <w:rPr>
          <w:rFonts w:hint="eastAsia"/>
          <w:highlight w:val="none"/>
        </w:rPr>
        <w:t>塔式起重机安装手册</w:t>
      </w:r>
    </w:p>
    <w:bookmarkEnd w:id="23"/>
    <w:bookmarkEnd w:id="24"/>
    <w:p w14:paraId="3CE8DC3F">
      <w:pPr>
        <w:pStyle w:val="3"/>
        <w:rPr>
          <w:highlight w:val="none"/>
        </w:rPr>
      </w:pPr>
      <w:bookmarkStart w:id="25" w:name="_Toc20926"/>
      <w:bookmarkStart w:id="26" w:name="_Toc10409766"/>
      <w:bookmarkStart w:id="27" w:name="_Toc29618"/>
      <w:r>
        <w:rPr>
          <w:rFonts w:hint="eastAsia"/>
          <w:highlight w:val="none"/>
          <w:lang w:val="en-US" w:eastAsia="zh-CN"/>
        </w:rPr>
        <w:t>1</w:t>
      </w:r>
      <w:r>
        <w:rPr>
          <w:rFonts w:hint="eastAsia"/>
          <w:highlight w:val="none"/>
        </w:rPr>
        <w:t>.3 编制原则</w:t>
      </w:r>
      <w:bookmarkEnd w:id="25"/>
      <w:bookmarkEnd w:id="26"/>
      <w:bookmarkEnd w:id="27"/>
    </w:p>
    <w:p w14:paraId="060AC864">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1）严格贯彻“安全第一”的原则，针对风险细化安全技术措施，预防和杜绝安全事故的发生；</w:t>
      </w:r>
    </w:p>
    <w:p w14:paraId="7C61FC7A">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2）严格按照ISO9001标准质量体系质量程序控制原则，实施安装过程动态管理；</w:t>
      </w:r>
    </w:p>
    <w:p w14:paraId="63B113E2">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3）科学合理制定安装计划，提高安装功效；</w:t>
      </w:r>
    </w:p>
    <w:p w14:paraId="22387B69">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4）</w:t>
      </w:r>
      <w:r>
        <w:rPr>
          <w:highlight w:val="none"/>
        </w:rPr>
        <w:t>加强过程管控，合理配置安装资源，合理降低安装成本。</w:t>
      </w:r>
    </w:p>
    <w:p w14:paraId="134DEFA7">
      <w:pPr>
        <w:pStyle w:val="3"/>
        <w:rPr>
          <w:highlight w:val="none"/>
        </w:rPr>
      </w:pPr>
      <w:bookmarkStart w:id="28" w:name="_Toc1278"/>
      <w:bookmarkStart w:id="29" w:name="_Toc10409767"/>
      <w:bookmarkStart w:id="30" w:name="_Toc20278"/>
      <w:r>
        <w:rPr>
          <w:rFonts w:hint="eastAsia"/>
          <w:highlight w:val="none"/>
          <w:lang w:val="en-US" w:eastAsia="zh-CN"/>
        </w:rPr>
        <w:t>1</w:t>
      </w:r>
      <w:r>
        <w:rPr>
          <w:highlight w:val="none"/>
        </w:rPr>
        <w:t>.4</w:t>
      </w:r>
      <w:r>
        <w:rPr>
          <w:rFonts w:hint="eastAsia"/>
          <w:highlight w:val="none"/>
        </w:rPr>
        <w:t xml:space="preserve"> 隶属关系</w:t>
      </w:r>
      <w:bookmarkEnd w:id="28"/>
      <w:bookmarkEnd w:id="29"/>
      <w:bookmarkEnd w:id="30"/>
    </w:p>
    <w:p w14:paraId="7B5F241E">
      <w:pPr>
        <w:pStyle w:val="38"/>
        <w:bidi w:val="0"/>
        <w:rPr>
          <w:highlight w:val="none"/>
        </w:rPr>
      </w:pPr>
      <w:r>
        <w:rPr>
          <w:rFonts w:hint="eastAsia"/>
          <w:highlight w:val="none"/>
        </w:rPr>
        <w:t>表</w:t>
      </w:r>
      <w:r>
        <w:rPr>
          <w:rFonts w:hint="eastAsia"/>
          <w:highlight w:val="none"/>
          <w:lang w:val="en-US" w:eastAsia="zh-CN"/>
        </w:rPr>
        <w:t>1</w:t>
      </w:r>
      <w:r>
        <w:rPr>
          <w:highlight w:val="none"/>
        </w:rPr>
        <w:t xml:space="preserve">.4-1 </w:t>
      </w:r>
      <w:r>
        <w:rPr>
          <w:rFonts w:hint="eastAsia"/>
          <w:highlight w:val="none"/>
        </w:rPr>
        <w:t>项目参与单位概况</w:t>
      </w:r>
    </w:p>
    <w:tbl>
      <w:tblPr>
        <w:tblStyle w:val="29"/>
        <w:tblW w:w="4999" w:type="pct"/>
        <w:jc w:val="center"/>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Layout w:type="autofit"/>
        <w:tblCellMar>
          <w:top w:w="0" w:type="dxa"/>
          <w:left w:w="108" w:type="dxa"/>
          <w:bottom w:w="0" w:type="dxa"/>
          <w:right w:w="108" w:type="dxa"/>
        </w:tblCellMar>
      </w:tblPr>
      <w:tblGrid>
        <w:gridCol w:w="866"/>
        <w:gridCol w:w="2446"/>
        <w:gridCol w:w="5208"/>
      </w:tblGrid>
      <w:tr w14:paraId="0ECC6B4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45F62FB1">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序号</w:t>
            </w:r>
          </w:p>
        </w:tc>
        <w:tc>
          <w:tcPr>
            <w:tcW w:w="1435" w:type="pct"/>
            <w:tcBorders>
              <w:tl2br w:val="nil"/>
              <w:tr2bl w:val="nil"/>
            </w:tcBorders>
            <w:vAlign w:val="center"/>
          </w:tcPr>
          <w:p w14:paraId="658DB58F">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项目</w:t>
            </w:r>
          </w:p>
        </w:tc>
        <w:tc>
          <w:tcPr>
            <w:tcW w:w="3055" w:type="pct"/>
            <w:tcBorders>
              <w:tl2br w:val="nil"/>
              <w:tr2bl w:val="nil"/>
            </w:tcBorders>
            <w:vAlign w:val="center"/>
          </w:tcPr>
          <w:p w14:paraId="69C17FB9">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内容</w:t>
            </w:r>
          </w:p>
        </w:tc>
      </w:tr>
      <w:tr w14:paraId="12AC8B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51428EF6">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1</w:t>
            </w:r>
          </w:p>
        </w:tc>
        <w:tc>
          <w:tcPr>
            <w:tcW w:w="1435" w:type="pct"/>
            <w:tcBorders>
              <w:tl2br w:val="nil"/>
              <w:tr2bl w:val="nil"/>
            </w:tcBorders>
            <w:vAlign w:val="center"/>
          </w:tcPr>
          <w:p w14:paraId="04BEF594">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建设单位</w:t>
            </w:r>
          </w:p>
        </w:tc>
        <w:tc>
          <w:tcPr>
            <w:tcW w:w="3055" w:type="pct"/>
            <w:tcBorders>
              <w:tl2br w:val="nil"/>
              <w:tr2bl w:val="nil"/>
            </w:tcBorders>
            <w:vAlign w:val="center"/>
          </w:tcPr>
          <w:p w14:paraId="1BCE72C9">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广西桂贺高速公路有限公司</w:t>
            </w:r>
          </w:p>
        </w:tc>
      </w:tr>
      <w:tr w14:paraId="302E747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10550B38">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2</w:t>
            </w:r>
          </w:p>
        </w:tc>
        <w:tc>
          <w:tcPr>
            <w:tcW w:w="1435" w:type="pct"/>
            <w:tcBorders>
              <w:tl2br w:val="nil"/>
              <w:tr2bl w:val="nil"/>
            </w:tcBorders>
            <w:vAlign w:val="center"/>
          </w:tcPr>
          <w:p w14:paraId="74BDA558">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勘察</w:t>
            </w:r>
            <w:r>
              <w:rPr>
                <w:rFonts w:hint="eastAsia" w:ascii="仿宋" w:hAnsi="仿宋" w:eastAsia="仿宋" w:cs="仿宋"/>
                <w:highlight w:val="none"/>
                <w:lang w:eastAsia="zh-CN"/>
              </w:rPr>
              <w:t>、</w:t>
            </w:r>
            <w:r>
              <w:rPr>
                <w:rFonts w:hint="eastAsia" w:ascii="仿宋" w:hAnsi="仿宋" w:eastAsia="仿宋" w:cs="仿宋"/>
                <w:highlight w:val="none"/>
              </w:rPr>
              <w:t>设计单位</w:t>
            </w:r>
          </w:p>
        </w:tc>
        <w:tc>
          <w:tcPr>
            <w:tcW w:w="3055" w:type="pct"/>
            <w:tcBorders>
              <w:tl2br w:val="nil"/>
              <w:tr2bl w:val="nil"/>
            </w:tcBorders>
            <w:vAlign w:val="center"/>
          </w:tcPr>
          <w:p w14:paraId="059373C1">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rPr>
            </w:pPr>
            <w:r>
              <w:rPr>
                <w:rFonts w:hint="eastAsia" w:ascii="仿宋" w:hAnsi="仿宋" w:eastAsia="仿宋" w:cs="仿宋"/>
                <w:highlight w:val="none"/>
                <w:lang w:val="en-US" w:eastAsia="zh-CN"/>
              </w:rPr>
              <w:t>广西交通设计集团有限公司</w:t>
            </w:r>
          </w:p>
        </w:tc>
      </w:tr>
      <w:tr w14:paraId="6F96DD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90B4B66">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3</w:t>
            </w:r>
          </w:p>
        </w:tc>
        <w:tc>
          <w:tcPr>
            <w:tcW w:w="1435" w:type="pct"/>
            <w:tcBorders>
              <w:tl2br w:val="nil"/>
              <w:tr2bl w:val="nil"/>
            </w:tcBorders>
            <w:vAlign w:val="center"/>
          </w:tcPr>
          <w:p w14:paraId="6897316B">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监理单位</w:t>
            </w:r>
          </w:p>
        </w:tc>
        <w:tc>
          <w:tcPr>
            <w:tcW w:w="3055" w:type="pct"/>
            <w:tcBorders>
              <w:tl2br w:val="nil"/>
              <w:tr2bl w:val="nil"/>
            </w:tcBorders>
            <w:vAlign w:val="center"/>
          </w:tcPr>
          <w:p w14:paraId="5D73976F">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lang w:val="en-US" w:eastAsia="zh-CN"/>
              </w:rPr>
              <w:t>四川盛达兴工程项目管理</w:t>
            </w:r>
            <w:r>
              <w:rPr>
                <w:rFonts w:hint="eastAsia" w:ascii="仿宋" w:hAnsi="仿宋" w:eastAsia="仿宋" w:cs="仿宋"/>
                <w:highlight w:val="none"/>
              </w:rPr>
              <w:t>有限公司</w:t>
            </w:r>
          </w:p>
        </w:tc>
      </w:tr>
      <w:tr w14:paraId="5A4D77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006D4DA1">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4</w:t>
            </w:r>
          </w:p>
        </w:tc>
        <w:tc>
          <w:tcPr>
            <w:tcW w:w="1435" w:type="pct"/>
            <w:tcBorders>
              <w:tl2br w:val="nil"/>
              <w:tr2bl w:val="nil"/>
            </w:tcBorders>
            <w:vAlign w:val="center"/>
          </w:tcPr>
          <w:p w14:paraId="2174197C">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施工单位</w:t>
            </w:r>
          </w:p>
        </w:tc>
        <w:tc>
          <w:tcPr>
            <w:tcW w:w="3055" w:type="pct"/>
            <w:tcBorders>
              <w:tl2br w:val="nil"/>
              <w:tr2bl w:val="nil"/>
            </w:tcBorders>
            <w:vAlign w:val="center"/>
          </w:tcPr>
          <w:p w14:paraId="4FD98045">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中交第二航务工程局有限公司</w:t>
            </w:r>
          </w:p>
        </w:tc>
      </w:tr>
      <w:tr w14:paraId="3DE6C28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3145462">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5</w:t>
            </w:r>
          </w:p>
        </w:tc>
        <w:tc>
          <w:tcPr>
            <w:tcW w:w="1435" w:type="pct"/>
            <w:tcBorders>
              <w:tl2br w:val="nil"/>
              <w:tr2bl w:val="nil"/>
            </w:tcBorders>
            <w:vAlign w:val="center"/>
          </w:tcPr>
          <w:p w14:paraId="64F3244A">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安拆单位</w:t>
            </w:r>
          </w:p>
        </w:tc>
        <w:tc>
          <w:tcPr>
            <w:tcW w:w="3055" w:type="pct"/>
            <w:tcBorders>
              <w:tl2br w:val="nil"/>
              <w:tr2bl w:val="nil"/>
            </w:tcBorders>
            <w:vAlign w:val="center"/>
          </w:tcPr>
          <w:p w14:paraId="19CA923E">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四川科斗文智能装备有限公司</w:t>
            </w:r>
          </w:p>
        </w:tc>
      </w:tr>
    </w:tbl>
    <w:p w14:paraId="73B59B24">
      <w:pPr>
        <w:pStyle w:val="3"/>
        <w:rPr>
          <w:highlight w:val="none"/>
        </w:rPr>
      </w:pPr>
      <w:bookmarkStart w:id="31" w:name="_Toc22448"/>
      <w:bookmarkStart w:id="32" w:name="_Toc14295"/>
      <w:bookmarkStart w:id="33" w:name="_Toc10409768"/>
      <w:r>
        <w:rPr>
          <w:rFonts w:hint="eastAsia"/>
          <w:highlight w:val="none"/>
          <w:lang w:val="en-US" w:eastAsia="zh-CN"/>
        </w:rPr>
        <w:t>1</w:t>
      </w:r>
      <w:r>
        <w:rPr>
          <w:rFonts w:hint="eastAsia"/>
          <w:highlight w:val="none"/>
        </w:rPr>
        <w:t>.5 适用范围</w:t>
      </w:r>
      <w:bookmarkEnd w:id="31"/>
      <w:bookmarkEnd w:id="32"/>
      <w:bookmarkEnd w:id="33"/>
    </w:p>
    <w:p w14:paraId="69D8B936">
      <w:pPr>
        <w:bidi w:val="0"/>
        <w:ind w:firstLine="480" w:firstLineChars="200"/>
        <w:rPr>
          <w:highlight w:val="none"/>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XGT7525-16</w:t>
      </w:r>
      <w:r>
        <w:rPr>
          <w:highlight w:val="none"/>
        </w:rPr>
        <w:t>塔式起重机安装及拆除安全施工作业。</w:t>
      </w:r>
    </w:p>
    <w:p w14:paraId="522D2077">
      <w:pPr>
        <w:rPr>
          <w:highlight w:val="none"/>
        </w:rPr>
      </w:pPr>
      <w:r>
        <w:rPr>
          <w:highlight w:val="none"/>
        </w:rPr>
        <w:br w:type="page"/>
      </w:r>
    </w:p>
    <w:p w14:paraId="66BCE898">
      <w:pPr>
        <w:pStyle w:val="2"/>
        <w:numPr>
          <w:ilvl w:val="0"/>
          <w:numId w:val="0"/>
        </w:numPr>
        <w:ind w:leftChars="0"/>
        <w:rPr>
          <w:highlight w:val="none"/>
        </w:rPr>
      </w:pPr>
      <w:bookmarkStart w:id="34" w:name="_Toc2545"/>
      <w:bookmarkStart w:id="35" w:name="_Toc672"/>
      <w:r>
        <w:rPr>
          <w:rFonts w:hint="eastAsia"/>
          <w:highlight w:val="none"/>
          <w:lang w:val="en-US" w:eastAsia="zh-CN"/>
        </w:rPr>
        <w:t>2</w:t>
      </w:r>
      <w:r>
        <w:rPr>
          <w:rFonts w:hint="eastAsia"/>
          <w:highlight w:val="none"/>
        </w:rPr>
        <w:t>工程概况</w:t>
      </w:r>
      <w:bookmarkEnd w:id="16"/>
      <w:bookmarkEnd w:id="34"/>
      <w:bookmarkEnd w:id="35"/>
    </w:p>
    <w:p w14:paraId="3ABB5EF7">
      <w:pPr>
        <w:pStyle w:val="3"/>
        <w:rPr>
          <w:highlight w:val="none"/>
        </w:rPr>
      </w:pPr>
      <w:bookmarkStart w:id="36" w:name="_Toc8807"/>
      <w:bookmarkStart w:id="37" w:name="_Toc13418"/>
      <w:bookmarkStart w:id="38" w:name="_Toc10409770"/>
      <w:r>
        <w:rPr>
          <w:rFonts w:hint="eastAsia"/>
          <w:highlight w:val="none"/>
          <w:lang w:val="en-US" w:eastAsia="zh-CN"/>
        </w:rPr>
        <w:t>2</w:t>
      </w:r>
      <w:r>
        <w:rPr>
          <w:rFonts w:hint="eastAsia"/>
          <w:highlight w:val="none"/>
        </w:rPr>
        <w:t>.1 工程概况</w:t>
      </w:r>
      <w:bookmarkEnd w:id="36"/>
      <w:bookmarkEnd w:id="37"/>
      <w:bookmarkEnd w:id="38"/>
    </w:p>
    <w:p w14:paraId="2730413B">
      <w:pPr>
        <w:bidi w:val="0"/>
        <w:ind w:firstLine="480" w:firstLineChars="200"/>
        <w:rPr>
          <w:rFonts w:hint="eastAsia"/>
          <w:highlight w:val="none"/>
        </w:rPr>
      </w:pPr>
      <w:r>
        <w:rPr>
          <w:rFonts w:hint="eastAsia"/>
          <w:highlight w:val="none"/>
        </w:rPr>
        <w:t>桂林-恭城-贺州公路（桂林至钟山段）№7合同段路线长度14.9</w:t>
      </w:r>
      <w:r>
        <w:rPr>
          <w:rFonts w:hint="eastAsia"/>
          <w:highlight w:val="none"/>
          <w:lang w:val="en-US" w:eastAsia="zh-CN"/>
        </w:rPr>
        <w:t>63</w:t>
      </w:r>
      <w:r>
        <w:rPr>
          <w:rFonts w:hint="eastAsia"/>
          <w:highlight w:val="none"/>
        </w:rPr>
        <w:t>km，途径莲花镇与三江乡，起讫桩号K105+8</w:t>
      </w:r>
      <w:r>
        <w:rPr>
          <w:rFonts w:hint="eastAsia"/>
          <w:highlight w:val="none"/>
          <w:lang w:val="en-US" w:eastAsia="zh-CN"/>
        </w:rPr>
        <w:t>14.932</w:t>
      </w:r>
      <w:r>
        <w:rPr>
          <w:rFonts w:hint="eastAsia"/>
          <w:highlight w:val="none"/>
        </w:rPr>
        <w:t>-K120+780,施工内容包含路基、路面（不含沥青面层）、桥涵、隧道、线路交叉、交安及绿化等工程。线路主线为双向4车道，</w:t>
      </w:r>
      <w:r>
        <w:rPr>
          <w:rFonts w:hint="eastAsia"/>
          <w:highlight w:val="none"/>
          <w:lang w:val="en-US" w:eastAsia="zh-CN"/>
        </w:rPr>
        <w:t>路基总长1.746km，</w:t>
      </w:r>
      <w:r>
        <w:rPr>
          <w:rFonts w:hint="eastAsia"/>
          <w:highlight w:val="none"/>
        </w:rPr>
        <w:t>整体式路基全幅宽26m，分离式路基宽13m，设计速度：100km/h，设计荷载公路-I级；沿线共设桥梁5.161km/12座（含天桥1座、立交桥1座）</w:t>
      </w:r>
      <w:r>
        <w:rPr>
          <w:rFonts w:hint="eastAsia"/>
          <w:highlight w:val="none"/>
          <w:lang w:eastAsia="zh-CN"/>
        </w:rPr>
        <w:t>。</w:t>
      </w:r>
      <w:r>
        <w:rPr>
          <w:rFonts w:hint="eastAsia"/>
          <w:highlight w:val="none"/>
        </w:rPr>
        <w:t>隧道8.056km/4座，建筑限界净宽10.75米，净高5.0米，均为长隧道。标段内有通道、涵洞9座。</w:t>
      </w:r>
    </w:p>
    <w:p w14:paraId="03D37B00">
      <w:pPr>
        <w:bidi w:val="0"/>
        <w:ind w:firstLine="240" w:firstLineChars="100"/>
        <w:rPr>
          <w:rFonts w:hint="eastAsia"/>
          <w:highlight w:val="none"/>
          <w:lang w:val="en-US" w:eastAsia="zh-CN"/>
        </w:rPr>
      </w:pPr>
      <w:r>
        <w:rPr>
          <w:rFonts w:hint="eastAsia"/>
          <w:highlight w:val="none"/>
          <w:lang w:val="en-US" w:eastAsia="zh-CN"/>
        </w:rPr>
        <w:t>经综合考虑，本项目计划于新渡坪大桥右幅17#墩及洗脚岭大桥左幅21#墩2处位置（考虑塔吊转场）布置XGT7525-16</w:t>
      </w:r>
      <w:r>
        <w:rPr>
          <w:rFonts w:hint="eastAsia"/>
          <w:highlight w:val="none"/>
        </w:rPr>
        <w:t>塔式起重机</w:t>
      </w:r>
      <w:r>
        <w:rPr>
          <w:rFonts w:hint="eastAsia"/>
          <w:highlight w:val="none"/>
          <w:lang w:val="en-US" w:eastAsia="zh-CN"/>
        </w:rPr>
        <w:t>进行作业。</w:t>
      </w:r>
    </w:p>
    <w:p w14:paraId="62B04685">
      <w:pPr>
        <w:pStyle w:val="3"/>
        <w:rPr>
          <w:b/>
          <w:bCs/>
          <w:highlight w:val="none"/>
        </w:rPr>
      </w:pPr>
      <w:bookmarkStart w:id="39" w:name="_Toc18474"/>
      <w:bookmarkStart w:id="40" w:name="_Toc168"/>
      <w:bookmarkStart w:id="41" w:name="_Toc10409771"/>
      <w:r>
        <w:rPr>
          <w:rFonts w:hint="eastAsia"/>
          <w:b/>
          <w:bCs/>
          <w:highlight w:val="none"/>
          <w:lang w:val="en-US" w:eastAsia="zh-CN"/>
        </w:rPr>
        <w:t>2</w:t>
      </w:r>
      <w:r>
        <w:rPr>
          <w:rFonts w:hint="eastAsia"/>
          <w:b/>
          <w:bCs/>
          <w:highlight w:val="none"/>
        </w:rPr>
        <w:t>.2 自然条件</w:t>
      </w:r>
      <w:bookmarkEnd w:id="39"/>
      <w:bookmarkEnd w:id="40"/>
      <w:bookmarkEnd w:id="41"/>
    </w:p>
    <w:p w14:paraId="17875853">
      <w:pPr>
        <w:pStyle w:val="4"/>
        <w:bidi w:val="0"/>
        <w:rPr>
          <w:highlight w:val="none"/>
        </w:rPr>
      </w:pPr>
      <w:bookmarkStart w:id="42" w:name="_Toc17515"/>
      <w:bookmarkStart w:id="43" w:name="_Toc494007915"/>
      <w:bookmarkStart w:id="44" w:name="_Toc14307"/>
      <w:bookmarkStart w:id="45" w:name="_Toc25768"/>
      <w:bookmarkStart w:id="46" w:name="_Toc23914"/>
      <w:bookmarkStart w:id="47" w:name="_Toc15055"/>
      <w:bookmarkStart w:id="48" w:name="_Toc17689"/>
      <w:bookmarkStart w:id="49" w:name="_Toc24351"/>
      <w:bookmarkStart w:id="50" w:name="_Toc30608"/>
      <w:bookmarkStart w:id="51" w:name="_Toc6405"/>
      <w:bookmarkStart w:id="52" w:name="_Toc496071095"/>
      <w:bookmarkStart w:id="53" w:name="_Toc17986"/>
      <w:bookmarkStart w:id="54" w:name="_Toc14203"/>
      <w:bookmarkStart w:id="55" w:name="_Toc492907359"/>
      <w:bookmarkStart w:id="56" w:name="_Toc2198"/>
      <w:bookmarkStart w:id="57" w:name="_Toc29865"/>
      <w:bookmarkStart w:id="58" w:name="_Toc30067"/>
      <w:bookmarkStart w:id="59" w:name="_Toc14274"/>
      <w:bookmarkStart w:id="60" w:name="_Toc23792"/>
      <w:bookmarkStart w:id="61" w:name="_Toc9111"/>
      <w:r>
        <w:rPr>
          <w:rFonts w:hint="eastAsia"/>
          <w:highlight w:val="none"/>
          <w:lang w:val="en-US" w:eastAsia="zh-CN"/>
        </w:rPr>
        <w:t>2</w:t>
      </w:r>
      <w:r>
        <w:rPr>
          <w:highlight w:val="none"/>
        </w:rPr>
        <w:t xml:space="preserve">.2.1 </w:t>
      </w:r>
      <w:r>
        <w:rPr>
          <w:rFonts w:hint="eastAsia"/>
          <w:highlight w:val="none"/>
        </w:rPr>
        <w:t>地形地貌</w:t>
      </w:r>
    </w:p>
    <w:p w14:paraId="0CE98318">
      <w:pPr>
        <w:ind w:firstLine="200"/>
        <w:rPr>
          <w:szCs w:val="21"/>
          <w:highlight w:val="none"/>
        </w:rPr>
      </w:pPr>
      <w:r>
        <w:rPr>
          <w:szCs w:val="21"/>
          <w:highlight w:val="none"/>
        </w:rPr>
        <w:t>桥位区属低山丘陵~河谷地貌，地形起伏较大。设计路线大致呈西~东走向，拟建桥梁跨越 冲沟、河流。拟建桥梁墩台多位于低山丘陵斜坡，其地表高程 300~480m，覆盖第四系残坡积层，</w:t>
      </w:r>
    </w:p>
    <w:p w14:paraId="52B6F852">
      <w:pPr>
        <w:ind w:firstLine="200"/>
        <w:rPr>
          <w:rFonts w:hint="eastAsia" w:ascii="宋体" w:hAnsi="宋体" w:eastAsia="宋体" w:cs="宋体"/>
          <w:highlight w:val="none"/>
        </w:rPr>
      </w:pPr>
      <w:r>
        <w:rPr>
          <w:szCs w:val="21"/>
          <w:highlight w:val="none"/>
        </w:rPr>
        <w:t>覆盖层较薄，主要种植松树、杂树等经济林。 K117+250~300 段可见大型滑坡堆积体。</w:t>
      </w:r>
    </w:p>
    <w:p w14:paraId="5483EC23">
      <w:pPr>
        <w:pStyle w:val="4"/>
        <w:bidi w:val="0"/>
        <w:rPr>
          <w:highlight w:val="none"/>
        </w:rPr>
      </w:pPr>
      <w:r>
        <w:rPr>
          <w:rFonts w:hint="eastAsia"/>
          <w:highlight w:val="none"/>
          <w:lang w:val="en-US" w:eastAsia="zh-CN"/>
        </w:rPr>
        <w:t>2</w:t>
      </w:r>
      <w:r>
        <w:rPr>
          <w:highlight w:val="none"/>
        </w:rPr>
        <w:t xml:space="preserve">.2.2 </w:t>
      </w:r>
      <w:r>
        <w:rPr>
          <w:rFonts w:hint="eastAsia"/>
          <w:highlight w:val="none"/>
        </w:rPr>
        <w:t>水文</w:t>
      </w:r>
    </w:p>
    <w:p w14:paraId="565D8DEE">
      <w:pPr>
        <w:ind w:firstLine="200"/>
        <w:rPr>
          <w:szCs w:val="21"/>
          <w:highlight w:val="none"/>
        </w:rPr>
      </w:pPr>
      <w:r>
        <w:rPr>
          <w:szCs w:val="21"/>
          <w:highlight w:val="none"/>
        </w:rPr>
        <w:t>1)地表水</w:t>
      </w:r>
    </w:p>
    <w:p w14:paraId="6FC328A7">
      <w:pPr>
        <w:ind w:firstLine="200"/>
        <w:rPr>
          <w:szCs w:val="21"/>
          <w:highlight w:val="none"/>
        </w:rPr>
      </w:pPr>
      <w:r>
        <w:rPr>
          <w:szCs w:val="21"/>
          <w:highlight w:val="none"/>
        </w:rPr>
        <w:t>本桥位地表水体主要为势江河， 大致呈东~西流向， 水面宽 8~20m，水深 0.30~0.80m，常年 有水，主要接收大气降水补给，水量受季节影响较大。勘察期间测得河水位 305.20~312.10m(2021 年 5 月 10 日量测)，经走访当地村民，该段小溪水位年际变化幅度一般在 2.00~3.00m，历史最高 水位为 317.80m。</w:t>
      </w:r>
    </w:p>
    <w:p w14:paraId="472F3513">
      <w:pPr>
        <w:ind w:firstLine="200"/>
        <w:rPr>
          <w:szCs w:val="21"/>
          <w:highlight w:val="none"/>
        </w:rPr>
      </w:pPr>
      <w:r>
        <w:rPr>
          <w:szCs w:val="21"/>
          <w:highlight w:val="none"/>
        </w:rPr>
        <w:t>2)地下水</w:t>
      </w:r>
    </w:p>
    <w:p w14:paraId="64E8AB5F">
      <w:pPr>
        <w:ind w:firstLine="200"/>
        <w:rPr>
          <w:szCs w:val="21"/>
          <w:highlight w:val="none"/>
        </w:rPr>
      </w:pPr>
      <w:r>
        <w:rPr>
          <w:szCs w:val="21"/>
          <w:highlight w:val="none"/>
        </w:rPr>
        <w:t>根据地下水的埋藏条件、赋存介质和分布范围，场地地下水类型有孔隙水、基岩裂隙水。孔 隙水，属潜水，赋存于卵石中，强富水，主要受大气降水或地表水补给，以蒸发、垂直向下渗流 至基岩裂隙水或以补给地表水的方式排泄，水位随季节而变化。基岩裂隙水，赋存于岩石中的基 岩裂隙中，中等富水，受地表水和孔隙水补给，在接受补给后，以泉眼、越流等形式分散排泄于 低洼部位，其水量因岩石裂隙发育程度不同而差异较大。勘察期间钻孔混合稳定地下水位高程为 306.80~390.47m，水位埋深为 1.10~25.70m。</w:t>
      </w:r>
    </w:p>
    <w:p w14:paraId="71F53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根据地质调查结果，卵石 (Qal+pl)、碎石 (Qel+dl) 为强透水层， 基岩的透水性因岩石风化 程度和裂隙发育程度不同而差异较大。</w:t>
      </w:r>
    </w:p>
    <w:p w14:paraId="5B196EB2">
      <w:pPr>
        <w:pStyle w:val="4"/>
        <w:bidi w:val="0"/>
        <w:rPr>
          <w:highlight w:val="none"/>
        </w:rPr>
      </w:pPr>
      <w:bookmarkStart w:id="62" w:name="_Toc22832"/>
      <w:bookmarkEnd w:id="62"/>
      <w:r>
        <w:rPr>
          <w:rFonts w:hint="eastAsia"/>
          <w:highlight w:val="none"/>
          <w:lang w:val="en-US" w:eastAsia="zh-CN"/>
        </w:rPr>
        <w:t>2</w:t>
      </w:r>
      <w:r>
        <w:rPr>
          <w:highlight w:val="none"/>
        </w:rPr>
        <w:t xml:space="preserve">.2.3 </w:t>
      </w:r>
      <w:r>
        <w:rPr>
          <w:rFonts w:hint="eastAsia"/>
          <w:highlight w:val="none"/>
        </w:rPr>
        <w:t>地震</w:t>
      </w:r>
    </w:p>
    <w:p w14:paraId="3A373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根据《中国地震动参数区划图》(GB18306-2015)，场地的基本地震动峰值加速度为0.05g，对应的地震基本烈度为Ⅵ度，基本地震动加速度反应谱特征周期为0.35s。</w:t>
      </w:r>
    </w:p>
    <w:p w14:paraId="645E1157">
      <w:pPr>
        <w:pStyle w:val="4"/>
        <w:bidi w:val="0"/>
        <w:rPr>
          <w:highlight w:val="none"/>
        </w:rPr>
      </w:pPr>
      <w:r>
        <w:rPr>
          <w:rFonts w:hint="eastAsia"/>
          <w:highlight w:val="none"/>
          <w:lang w:val="en-US" w:eastAsia="zh-CN"/>
        </w:rPr>
        <w:t>2</w:t>
      </w:r>
      <w:r>
        <w:rPr>
          <w:highlight w:val="none"/>
        </w:rPr>
        <w:t xml:space="preserve">.2.4 </w:t>
      </w:r>
      <w:r>
        <w:rPr>
          <w:rFonts w:hint="eastAsia"/>
          <w:highlight w:val="none"/>
        </w:rPr>
        <w:t>气象</w:t>
      </w:r>
    </w:p>
    <w:p w14:paraId="026F3C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拟建项目本项目区属于亚热带季风气候区，太阳辐射较大，降水充沛，夏季多暴雨高温。项目区境内平均地面温度 10.4℃ 。最热月 7 月平均 29.6℃ ，最冷月 1 月平均4.6℃ 。 日照时数年平 均为 1715.7 小时， 日照百分率年平均 39％ 。一年中日照时数 6 月最多， 为 195.5 小时。多年平 均降水量约 1200~1600mm。一年中 11 月至翌年 2 月降水量最少；4~8 月为丰水期， 占全年降水 量的 60~65%；3、9、10 月为平水期。多年平均蒸发量为 1302.2~1413mm，最高 1561mm，最低 1302.2mm。年平均风速为 1.7m/s，一年中春季风速大， 秋季风速小，盛行偏东风。</w:t>
      </w:r>
    </w:p>
    <w:p w14:paraId="5F199242">
      <w:pPr>
        <w:pStyle w:val="4"/>
        <w:bidi w:val="0"/>
        <w:rPr>
          <w:highlight w:val="none"/>
        </w:rPr>
      </w:pPr>
      <w:r>
        <w:rPr>
          <w:rFonts w:hint="eastAsia"/>
          <w:highlight w:val="none"/>
          <w:lang w:val="en-US" w:eastAsia="zh-CN"/>
        </w:rPr>
        <w:t>2</w:t>
      </w:r>
      <w:r>
        <w:rPr>
          <w:highlight w:val="none"/>
        </w:rPr>
        <w:t xml:space="preserve">.2.5 </w:t>
      </w:r>
      <w:r>
        <w:rPr>
          <w:rFonts w:hint="eastAsia"/>
          <w:highlight w:val="none"/>
        </w:rPr>
        <w:t>地质</w:t>
      </w:r>
    </w:p>
    <w:p w14:paraId="65D784A7">
      <w:pPr>
        <w:ind w:firstLine="200"/>
        <w:rPr>
          <w:szCs w:val="21"/>
          <w:highlight w:val="none"/>
        </w:rPr>
      </w:pPr>
      <w:r>
        <w:rPr>
          <w:szCs w:val="21"/>
          <w:highlight w:val="none"/>
        </w:rPr>
        <w:t>根据野外地质调查及钻探资料，场地内地层主要由第四系冲洪积层(Qal+pl)、残坡积层(Qel+dl) 及寒武系(e) 基岩组成。</w:t>
      </w:r>
    </w:p>
    <w:p w14:paraId="389E4BB8">
      <w:pPr>
        <w:ind w:firstLine="200"/>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62D3B1DE">
      <w:pPr>
        <w:ind w:firstLine="200"/>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w:t>
      </w:r>
    </w:p>
    <w:p w14:paraId="13C34D3E">
      <w:pPr>
        <w:ind w:firstLine="200"/>
        <w:rPr>
          <w:szCs w:val="21"/>
          <w:highlight w:val="none"/>
        </w:rPr>
      </w:pPr>
      <w:r>
        <w:rPr>
          <w:szCs w:val="21"/>
          <w:highlight w:val="none"/>
        </w:rPr>
        <w:t>勘察钻孔 SQZK1175-2 有揭示，揭示厚度 6.00m。</w:t>
      </w:r>
    </w:p>
    <w:p w14:paraId="252A255C">
      <w:pPr>
        <w:ind w:firstLine="200"/>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54239132">
      <w:pPr>
        <w:ind w:firstLine="200"/>
        <w:rPr>
          <w:szCs w:val="21"/>
          <w:highlight w:val="none"/>
        </w:rPr>
      </w:pPr>
      <w:r>
        <w:rPr>
          <w:szCs w:val="21"/>
          <w:highlight w:val="none"/>
        </w:rPr>
        <w:t>碎石 (Qel+dl)，褐、褐红色，稍密~中密状，稍湿，碎石含量 50~70%，粒径 20~100mm， 次棱角状，母岩为砂岩，间隙充填黏性土及少量砂。该层主要分布于斜坡表层， 本次勘察钻孔 21</w:t>
      </w:r>
    </w:p>
    <w:p w14:paraId="4EBD6E82">
      <w:pPr>
        <w:ind w:firstLine="200"/>
        <w:rPr>
          <w:szCs w:val="21"/>
          <w:highlight w:val="none"/>
        </w:rPr>
      </w:pPr>
      <w:r>
        <w:rPr>
          <w:szCs w:val="21"/>
          <w:highlight w:val="none"/>
        </w:rPr>
        <w:t>个，其中 19 个钻孔有揭示，部分斜坡地段因整理机台挖除，揭示厚度 4.00~23.00m。</w:t>
      </w:r>
    </w:p>
    <w:p w14:paraId="395BD3E9">
      <w:pPr>
        <w:ind w:firstLine="200"/>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6EAE81D2">
      <w:pPr>
        <w:ind w:firstLine="200"/>
        <w:rPr>
          <w:szCs w:val="21"/>
          <w:highlight w:val="none"/>
        </w:rPr>
      </w:pPr>
      <w:r>
        <w:rPr>
          <w:szCs w:val="21"/>
          <w:highlight w:val="none"/>
        </w:rPr>
        <w:t>根据地质调查及钻探资料，场地内岩性为砂岩，根据岩性及岩石风化程度不同，分述如下：</w:t>
      </w:r>
    </w:p>
    <w:p w14:paraId="6BD3F54A">
      <w:pPr>
        <w:ind w:firstLine="200"/>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16.50~17.00m，岩体基本质量等级为Ⅴ级。</w:t>
      </w:r>
    </w:p>
    <w:p w14:paraId="7FE20DDF">
      <w:pPr>
        <w:ind w:firstLine="200"/>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0FD7A904">
      <w:pPr>
        <w:ind w:firstLine="200"/>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280F6727">
      <w:pPr>
        <w:ind w:firstLine="200"/>
        <w:rPr>
          <w:rFonts w:hint="eastAsia" w:ascii="宋体" w:hAnsi="宋体" w:eastAsia="宋体" w:cs="宋体"/>
          <w:highlight w:val="none"/>
          <w:lang w:val="en-US" w:eastAsia="zh-CN"/>
        </w:rPr>
      </w:pPr>
      <w:r>
        <w:rPr>
          <w:szCs w:val="21"/>
          <w:highlight w:val="none"/>
        </w:rPr>
        <w:t>根据区域地质资料并结合地质调查及钻孔资料，勘察区内未见区域性断裂构造和软弱构造破碎带，区域稳定性较好。</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51E8C50E">
      <w:pPr>
        <w:pStyle w:val="3"/>
        <w:bidi w:val="0"/>
        <w:rPr>
          <w:highlight w:val="none"/>
        </w:rPr>
      </w:pPr>
      <w:bookmarkStart w:id="63" w:name="_Toc3776"/>
      <w:bookmarkStart w:id="64" w:name="_Toc10409772"/>
      <w:bookmarkStart w:id="65" w:name="_Toc13099"/>
      <w:r>
        <w:rPr>
          <w:rFonts w:hint="eastAsia"/>
          <w:highlight w:val="none"/>
          <w:lang w:val="en-US" w:eastAsia="zh-CN"/>
        </w:rPr>
        <w:t>2</w:t>
      </w:r>
      <w:r>
        <w:rPr>
          <w:rFonts w:hint="eastAsia"/>
          <w:highlight w:val="none"/>
        </w:rPr>
        <w:t>.3 安装现场工作环境及条件</w:t>
      </w:r>
      <w:bookmarkEnd w:id="63"/>
      <w:bookmarkEnd w:id="64"/>
      <w:bookmarkEnd w:id="65"/>
    </w:p>
    <w:p w14:paraId="14C403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w:t>
      </w:r>
      <w:r>
        <w:rPr>
          <w:rFonts w:hint="eastAsia" w:cs="宋体"/>
          <w:highlight w:val="none"/>
          <w:lang w:val="en-US" w:eastAsia="zh-CN"/>
        </w:rPr>
        <w:t>新渡坪大桥、</w:t>
      </w:r>
      <w:r>
        <w:rPr>
          <w:rFonts w:hint="eastAsia" w:ascii="宋体" w:hAnsi="宋体" w:eastAsia="宋体" w:cs="宋体"/>
          <w:highlight w:val="none"/>
          <w:lang w:val="en-US" w:eastAsia="zh-CN"/>
        </w:rPr>
        <w:t>洗脚岭大桥桥位布置及高墩结构特点、现场地形条件，结合高墩施工安装最大起吊重量、爬架施工最大起吊重量及塔吊最大施工悬臂要求，拟在</w:t>
      </w:r>
      <w:r>
        <w:rPr>
          <w:rFonts w:hint="eastAsia" w:cs="宋体"/>
          <w:highlight w:val="none"/>
          <w:lang w:val="en-US" w:eastAsia="zh-CN"/>
        </w:rPr>
        <w:t>新渡坪大桥、</w:t>
      </w:r>
      <w:r>
        <w:rPr>
          <w:rFonts w:hint="eastAsia" w:ascii="宋体" w:hAnsi="宋体" w:eastAsia="宋体" w:cs="宋体"/>
          <w:highlight w:val="none"/>
          <w:lang w:val="en-US" w:eastAsia="zh-CN"/>
        </w:rPr>
        <w:t>洗脚岭大桥</w:t>
      </w:r>
      <w:r>
        <w:rPr>
          <w:rFonts w:hint="eastAsia" w:cs="宋体"/>
          <w:highlight w:val="none"/>
          <w:lang w:val="en-US" w:eastAsia="zh-CN"/>
        </w:rPr>
        <w:t>各</w:t>
      </w:r>
      <w:r>
        <w:rPr>
          <w:rFonts w:hint="eastAsia" w:ascii="宋体" w:hAnsi="宋体" w:eastAsia="宋体" w:cs="宋体"/>
          <w:highlight w:val="none"/>
          <w:lang w:val="en-US" w:eastAsia="zh-CN"/>
        </w:rPr>
        <w:t>安装</w:t>
      </w:r>
      <w:r>
        <w:rPr>
          <w:rFonts w:hint="eastAsia" w:cs="宋体"/>
          <w:highlight w:val="none"/>
          <w:lang w:val="en-US" w:eastAsia="zh-CN"/>
        </w:rPr>
        <w:t>一台</w:t>
      </w:r>
      <w:r>
        <w:rPr>
          <w:rFonts w:hint="eastAsia" w:ascii="宋体" w:hAnsi="宋体" w:eastAsia="宋体" w:cs="宋体"/>
          <w:highlight w:val="none"/>
          <w:lang w:val="en-US" w:eastAsia="zh-CN"/>
        </w:rPr>
        <w:t>徐工</w:t>
      </w:r>
      <w:r>
        <w:rPr>
          <w:rFonts w:hint="eastAsia" w:cs="宋体"/>
          <w:highlight w:val="none"/>
          <w:lang w:val="en-US" w:eastAsia="zh-CN"/>
        </w:rPr>
        <w:t>XGT7525-16</w:t>
      </w:r>
      <w:r>
        <w:rPr>
          <w:rFonts w:hint="eastAsia" w:ascii="宋体" w:hAnsi="宋体" w:eastAsia="宋体" w:cs="宋体"/>
          <w:highlight w:val="none"/>
          <w:lang w:val="en-US" w:eastAsia="zh-CN"/>
        </w:rPr>
        <w:t>塔吊作为高墩施工垂直起重设备。塔吊</w:t>
      </w:r>
      <w:r>
        <w:rPr>
          <w:rFonts w:hint="eastAsia" w:cs="宋体"/>
          <w:highlight w:val="none"/>
          <w:lang w:val="en-US" w:eastAsia="zh-CN"/>
        </w:rPr>
        <w:t>主要</w:t>
      </w:r>
      <w:r>
        <w:rPr>
          <w:rFonts w:hint="eastAsia" w:ascii="宋体" w:hAnsi="宋体" w:eastAsia="宋体" w:cs="宋体"/>
          <w:highlight w:val="none"/>
          <w:lang w:val="en-US" w:eastAsia="zh-CN"/>
        </w:rPr>
        <w:t>承担</w:t>
      </w:r>
      <w:r>
        <w:rPr>
          <w:rFonts w:hint="eastAsia" w:cs="宋体"/>
          <w:highlight w:val="none"/>
          <w:lang w:val="en-US" w:eastAsia="zh-CN"/>
        </w:rPr>
        <w:t>高墩</w:t>
      </w:r>
      <w:r>
        <w:rPr>
          <w:rFonts w:hint="eastAsia" w:ascii="宋体" w:hAnsi="宋体" w:eastAsia="宋体" w:cs="宋体"/>
          <w:highlight w:val="none"/>
          <w:lang w:val="en-US" w:eastAsia="zh-CN"/>
        </w:rPr>
        <w:t>钢筋、劲性骨架以及</w:t>
      </w:r>
      <w:r>
        <w:rPr>
          <w:rFonts w:hint="eastAsia" w:cs="宋体"/>
          <w:highlight w:val="none"/>
          <w:lang w:val="en-US" w:eastAsia="zh-CN"/>
        </w:rPr>
        <w:t>辅助材料</w:t>
      </w:r>
      <w:r>
        <w:rPr>
          <w:rFonts w:hint="eastAsia" w:ascii="宋体" w:hAnsi="宋体" w:eastAsia="宋体" w:cs="宋体"/>
          <w:highlight w:val="none"/>
          <w:lang w:val="en-US" w:eastAsia="zh-CN"/>
        </w:rPr>
        <w:t>等吊装，待施工</w:t>
      </w:r>
      <w:r>
        <w:rPr>
          <w:rFonts w:hint="eastAsia" w:cs="宋体"/>
          <w:highlight w:val="none"/>
          <w:lang w:val="en-US" w:eastAsia="zh-CN"/>
        </w:rPr>
        <w:t>完成盖梁后</w:t>
      </w:r>
      <w:r>
        <w:rPr>
          <w:rFonts w:hint="eastAsia" w:ascii="宋体" w:hAnsi="宋体" w:eastAsia="宋体" w:cs="宋体"/>
          <w:highlight w:val="none"/>
          <w:lang w:val="en-US" w:eastAsia="zh-CN"/>
        </w:rPr>
        <w:t>拆除。</w:t>
      </w:r>
    </w:p>
    <w:p w14:paraId="289B044E">
      <w:pPr>
        <w:ind w:firstLine="439" w:firstLineChars="183"/>
        <w:rPr>
          <w:szCs w:val="21"/>
          <w:highlight w:val="none"/>
        </w:rPr>
      </w:pPr>
      <w:r>
        <w:rPr>
          <w:szCs w:val="21"/>
          <w:highlight w:val="none"/>
        </w:rPr>
        <w:t>根据野外地质调查及钻探资料，场地内地层主要由第四系冲洪积层(Qal+pl)、残坡积层(Qel+dl) 及寒武系(e) 基岩组成。</w:t>
      </w:r>
    </w:p>
    <w:p w14:paraId="1DFA41C1">
      <w:pPr>
        <w:ind w:firstLine="200"/>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1152DB14">
      <w:pPr>
        <w:ind w:firstLine="200"/>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w:t>
      </w:r>
    </w:p>
    <w:p w14:paraId="24BA4EF5">
      <w:pPr>
        <w:ind w:firstLine="200"/>
        <w:rPr>
          <w:szCs w:val="21"/>
          <w:highlight w:val="none"/>
        </w:rPr>
      </w:pPr>
      <w:r>
        <w:rPr>
          <w:szCs w:val="21"/>
          <w:highlight w:val="none"/>
        </w:rPr>
        <w:t>勘察钻孔 SQZK1175-2 有揭示，揭示厚度 6.00m。</w:t>
      </w:r>
    </w:p>
    <w:p w14:paraId="78E45C47">
      <w:pPr>
        <w:ind w:firstLine="200"/>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6C0E55C5">
      <w:pPr>
        <w:ind w:firstLine="200"/>
        <w:rPr>
          <w:szCs w:val="21"/>
          <w:highlight w:val="none"/>
        </w:rPr>
      </w:pPr>
      <w:r>
        <w:rPr>
          <w:szCs w:val="21"/>
          <w:highlight w:val="none"/>
        </w:rPr>
        <w:t>碎石 (Qel+dl)，褐、褐红色，稍密~中密状，稍湿，碎石含量 50~70%，粒径 20~100mm， 次棱角状，母岩为砂岩，间隙充填黏性土及少量砂。该层主要分布于斜坡表层， 本次勘察钻孔 21</w:t>
      </w:r>
    </w:p>
    <w:p w14:paraId="6694594A">
      <w:pPr>
        <w:ind w:firstLine="200"/>
        <w:rPr>
          <w:szCs w:val="21"/>
          <w:highlight w:val="none"/>
        </w:rPr>
      </w:pPr>
      <w:r>
        <w:rPr>
          <w:szCs w:val="21"/>
          <w:highlight w:val="none"/>
        </w:rPr>
        <w:t>个，其中 19 个钻孔有揭示，部分斜坡地段因整理机台挖除，揭示厚度 4.00~23.00m。</w:t>
      </w:r>
    </w:p>
    <w:p w14:paraId="4655E04F">
      <w:pPr>
        <w:ind w:firstLine="200"/>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0F4D495D">
      <w:pPr>
        <w:ind w:firstLine="200"/>
        <w:rPr>
          <w:szCs w:val="21"/>
          <w:highlight w:val="none"/>
        </w:rPr>
      </w:pPr>
      <w:r>
        <w:rPr>
          <w:szCs w:val="21"/>
          <w:highlight w:val="none"/>
        </w:rPr>
        <w:t>根据地质调查及钻探资料，场地内岩性为砂岩，根据岩性及岩石风化程度不同，分述如下：</w:t>
      </w:r>
    </w:p>
    <w:p w14:paraId="7EB3DECC">
      <w:pPr>
        <w:ind w:firstLine="200"/>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16.50~17.00m，岩体基本质量等级为Ⅴ级。</w:t>
      </w:r>
    </w:p>
    <w:p w14:paraId="68EEF222">
      <w:pPr>
        <w:ind w:firstLine="200"/>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598C09C9">
      <w:pPr>
        <w:ind w:firstLine="200"/>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59AFB81F">
      <w:pPr>
        <w:ind w:firstLine="200"/>
        <w:rPr>
          <w:szCs w:val="21"/>
          <w:highlight w:val="none"/>
        </w:rPr>
      </w:pPr>
      <w:r>
        <w:rPr>
          <w:szCs w:val="21"/>
          <w:highlight w:val="none"/>
        </w:rPr>
        <w:t>根据区域地质资料并结合地质调查及钻孔资料，勘察区内未见区域性断裂构造和软弱构造破碎带，区域稳定性较好。</w:t>
      </w:r>
    </w:p>
    <w:p w14:paraId="66F16CE8">
      <w:pPr>
        <w:keepNext w:val="0"/>
        <w:keepLines w:val="0"/>
        <w:widowControl/>
        <w:suppressLineNumbers w:val="0"/>
        <w:spacing w:line="240" w:lineRule="auto"/>
        <w:jc w:val="center"/>
        <w:rPr>
          <w:rFonts w:ascii="宋体" w:hAnsi="宋体" w:eastAsia="宋体" w:cs="宋体"/>
          <w:kern w:val="0"/>
          <w:sz w:val="24"/>
          <w:szCs w:val="24"/>
          <w:highlight w:val="none"/>
          <w:lang w:val="en-US" w:eastAsia="zh-CN" w:bidi="ar"/>
        </w:rPr>
      </w:pPr>
      <w:r>
        <w:rPr>
          <w:rFonts w:hint="eastAsia" w:ascii="Times New Roman" w:hAnsi="Times New Roman" w:eastAsia="黑体" w:cs="Times New Roman"/>
          <w:kern w:val="2"/>
          <w:sz w:val="21"/>
          <w:szCs w:val="21"/>
          <w:highlight w:val="none"/>
          <w:lang w:val="en-US" w:eastAsia="zh-CN" w:bidi="ar-SA"/>
        </w:rPr>
        <w:t>表2.3-1 塔式起重机分布统计表</w:t>
      </w:r>
    </w:p>
    <w:tbl>
      <w:tblPr>
        <w:tblStyle w:val="28"/>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486"/>
        <w:gridCol w:w="1574"/>
        <w:gridCol w:w="1180"/>
        <w:gridCol w:w="1045"/>
        <w:gridCol w:w="1301"/>
        <w:gridCol w:w="1933"/>
      </w:tblGrid>
      <w:tr w14:paraId="4604EAD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872" w:type="pct"/>
            <w:tcBorders>
              <w:tl2br w:val="nil"/>
              <w:tr2bl w:val="nil"/>
            </w:tcBorders>
            <w:shd w:val="clear" w:color="auto" w:fill="DAE3F3" w:themeFill="accent5" w:themeFillTint="32"/>
            <w:vAlign w:val="center"/>
          </w:tcPr>
          <w:p w14:paraId="5347E5F9">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923" w:type="pct"/>
            <w:tcBorders>
              <w:tl2br w:val="nil"/>
              <w:tr2bl w:val="nil"/>
            </w:tcBorders>
            <w:shd w:val="clear" w:color="auto" w:fill="DAE3F3" w:themeFill="accent5" w:themeFillTint="32"/>
            <w:vAlign w:val="center"/>
          </w:tcPr>
          <w:p w14:paraId="0D73D1C1">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692" w:type="pct"/>
            <w:tcBorders>
              <w:tl2br w:val="nil"/>
              <w:tr2bl w:val="nil"/>
            </w:tcBorders>
            <w:shd w:val="clear" w:color="auto" w:fill="DAE3F3" w:themeFill="accent5" w:themeFillTint="32"/>
            <w:vAlign w:val="center"/>
          </w:tcPr>
          <w:p w14:paraId="1CFF14C1">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安装高度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613" w:type="pct"/>
            <w:tcBorders>
              <w:tl2br w:val="nil"/>
              <w:tr2bl w:val="nil"/>
            </w:tcBorders>
            <w:shd w:val="clear" w:color="auto" w:fill="DAE3F3" w:themeFill="accent5" w:themeFillTint="32"/>
            <w:vAlign w:val="center"/>
          </w:tcPr>
          <w:p w14:paraId="648C6C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763" w:type="pct"/>
            <w:tcBorders>
              <w:tl2br w:val="nil"/>
              <w:tr2bl w:val="nil"/>
            </w:tcBorders>
            <w:shd w:val="clear" w:color="auto" w:fill="DAE3F3" w:themeFill="accent5" w:themeFillTint="32"/>
            <w:vAlign w:val="center"/>
          </w:tcPr>
          <w:p w14:paraId="0EAC9BCD">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134" w:type="pct"/>
            <w:tcBorders>
              <w:tl2br w:val="nil"/>
              <w:tr2bl w:val="nil"/>
            </w:tcBorders>
            <w:shd w:val="clear" w:color="auto" w:fill="DAE3F3" w:themeFill="accent5" w:themeFillTint="32"/>
            <w:vAlign w:val="center"/>
          </w:tcPr>
          <w:p w14:paraId="6A50D80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2F335C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872" w:type="pct"/>
            <w:tcBorders>
              <w:tl2br w:val="nil"/>
              <w:tr2bl w:val="nil"/>
            </w:tcBorders>
            <w:vAlign w:val="center"/>
          </w:tcPr>
          <w:p w14:paraId="3A96CED8">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66" w:name="_Toc18009"/>
            <w:r>
              <w:rPr>
                <w:rFonts w:hint="eastAsia" w:ascii="宋体" w:hAnsi="宋体" w:cs="宋体"/>
                <w:bCs/>
                <w:color w:val="000000" w:themeColor="text1"/>
                <w:sz w:val="16"/>
                <w:szCs w:val="16"/>
                <w:highlight w:val="none"/>
                <w:lang w:val="en-US" w:eastAsia="zh-CN"/>
                <w14:textFill>
                  <w14:solidFill>
                    <w14:schemeClr w14:val="tx1"/>
                  </w14:solidFill>
                </w14:textFill>
              </w:rPr>
              <w:t>新渡坪</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右幅1</w:t>
            </w:r>
            <w:r>
              <w:rPr>
                <w:rFonts w:hint="eastAsia" w:ascii="宋体" w:hAnsi="宋体" w:cs="宋体"/>
                <w:bCs/>
                <w:color w:val="000000" w:themeColor="text1"/>
                <w:sz w:val="16"/>
                <w:szCs w:val="16"/>
                <w:highlight w:val="none"/>
                <w:lang w:val="en-US" w:eastAsia="zh-CN"/>
                <w14:textFill>
                  <w14:solidFill>
                    <w14:schemeClr w14:val="tx1"/>
                  </w14:solidFill>
                </w14:textFill>
              </w:rPr>
              <w:t>7</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w:t>
            </w:r>
          </w:p>
        </w:tc>
        <w:tc>
          <w:tcPr>
            <w:tcW w:w="923" w:type="pct"/>
            <w:tcBorders>
              <w:tl2br w:val="nil"/>
              <w:tr2bl w:val="nil"/>
            </w:tcBorders>
            <w:vAlign w:val="center"/>
          </w:tcPr>
          <w:p w14:paraId="239C685C">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w:t>
            </w:r>
            <w:r>
              <w:rPr>
                <w:rFonts w:hint="eastAsia" w:ascii="宋体" w:hAnsi="宋体" w:cs="宋体"/>
                <w:color w:val="000000" w:themeColor="text1"/>
                <w:sz w:val="16"/>
                <w:szCs w:val="16"/>
                <w:highlight w:val="none"/>
                <w:lang w:val="en-US" w:eastAsia="zh-CN"/>
                <w14:textFill>
                  <w14:solidFill>
                    <w14:schemeClr w14:val="tx1"/>
                  </w14:solidFill>
                </w14:textFill>
              </w:rPr>
              <w:t>XGT7</w:t>
            </w:r>
            <w:r>
              <w:rPr>
                <w:rFonts w:hint="eastAsia" w:cs="宋体"/>
                <w:color w:val="000000" w:themeColor="text1"/>
                <w:sz w:val="16"/>
                <w:szCs w:val="16"/>
                <w:highlight w:val="none"/>
                <w:lang w:val="en-US" w:eastAsia="zh-CN"/>
                <w14:textFill>
                  <w14:solidFill>
                    <w14:schemeClr w14:val="tx1"/>
                  </w14:solidFill>
                </w14:textFill>
              </w:rPr>
              <w:t>525</w:t>
            </w:r>
            <w:r>
              <w:rPr>
                <w:rFonts w:hint="eastAsia" w:ascii="宋体" w:hAnsi="宋体" w:cs="宋体"/>
                <w:color w:val="000000" w:themeColor="text1"/>
                <w:sz w:val="16"/>
                <w:szCs w:val="16"/>
                <w:highlight w:val="none"/>
                <w:lang w:val="en-US" w:eastAsia="zh-CN"/>
                <w14:textFill>
                  <w14:solidFill>
                    <w14:schemeClr w14:val="tx1"/>
                  </w14:solidFill>
                </w14:textFill>
              </w:rPr>
              <w:t>-1</w:t>
            </w:r>
            <w:r>
              <w:rPr>
                <w:rFonts w:hint="eastAsia" w:cs="宋体"/>
                <w:color w:val="000000" w:themeColor="text1"/>
                <w:sz w:val="16"/>
                <w:szCs w:val="16"/>
                <w:highlight w:val="none"/>
                <w:lang w:val="en-US" w:eastAsia="zh-CN"/>
                <w14:textFill>
                  <w14:solidFill>
                    <w14:schemeClr w14:val="tx1"/>
                  </w14:solidFill>
                </w14:textFill>
              </w:rPr>
              <w:t>6</w:t>
            </w:r>
          </w:p>
        </w:tc>
        <w:tc>
          <w:tcPr>
            <w:tcW w:w="692" w:type="pct"/>
            <w:tcBorders>
              <w:tl2br w:val="nil"/>
              <w:tr2bl w:val="nil"/>
            </w:tcBorders>
            <w:vAlign w:val="center"/>
          </w:tcPr>
          <w:p w14:paraId="3ABE97DF">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cs="宋体"/>
                <w:color w:val="000000" w:themeColor="text1"/>
                <w:sz w:val="16"/>
                <w:szCs w:val="16"/>
                <w:highlight w:val="none"/>
                <w:lang w:val="en-US" w:eastAsia="zh-CN"/>
                <w14:textFill>
                  <w14:solidFill>
                    <w14:schemeClr w14:val="tx1"/>
                  </w14:solidFill>
                </w14:textFill>
              </w:rPr>
              <w:t>79.5</w:t>
            </w:r>
          </w:p>
        </w:tc>
        <w:tc>
          <w:tcPr>
            <w:tcW w:w="613" w:type="pct"/>
            <w:tcBorders>
              <w:tl2br w:val="nil"/>
              <w:tr2bl w:val="nil"/>
            </w:tcBorders>
            <w:vAlign w:val="center"/>
          </w:tcPr>
          <w:p w14:paraId="78F45902">
            <w:pPr>
              <w:spacing w:after="0" w:afterLines="0" w:line="240" w:lineRule="auto"/>
              <w:ind w:left="0" w:leftChars="0" w:firstLine="0" w:firstLineChars="0"/>
              <w:jc w:val="both"/>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763" w:type="pct"/>
            <w:tcBorders>
              <w:tl2br w:val="nil"/>
              <w:tr2bl w:val="nil"/>
            </w:tcBorders>
            <w:vAlign w:val="center"/>
          </w:tcPr>
          <w:p w14:paraId="5375FBF3">
            <w:pPr>
              <w:spacing w:after="0" w:afterLines="0" w:line="240" w:lineRule="auto"/>
              <w:ind w:left="0" w:leftChars="0" w:firstLine="320" w:firstLineChars="200"/>
              <w:jc w:val="both"/>
              <w:rPr>
                <w:rFonts w:hint="default" w:ascii="宋体" w:hAnsi="宋体" w:cs="宋体"/>
                <w:bCs/>
                <w:color w:val="000000" w:themeColor="text1"/>
                <w:sz w:val="16"/>
                <w:szCs w:val="16"/>
                <w:highlight w:val="none"/>
                <w:lang w:val="en-US" w:eastAsia="zh-CN"/>
                <w14:textFill>
                  <w14:solidFill>
                    <w14:schemeClr w14:val="tx1"/>
                  </w14:solidFill>
                </w14:textFill>
              </w:rPr>
            </w:pPr>
            <w:r>
              <w:rPr>
                <w:rFonts w:hint="eastAsia" w:cs="宋体"/>
                <w:bCs/>
                <w:color w:val="000000" w:themeColor="text1"/>
                <w:sz w:val="16"/>
                <w:szCs w:val="16"/>
                <w:highlight w:val="none"/>
                <w:lang w:val="en-US" w:eastAsia="zh-CN"/>
                <w14:textFill>
                  <w14:solidFill>
                    <w14:schemeClr w14:val="tx1"/>
                  </w14:solidFill>
                </w14:textFill>
              </w:rPr>
              <w:t>45</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1134" w:type="pct"/>
            <w:tcBorders>
              <w:tl2br w:val="nil"/>
              <w:tr2bl w:val="nil"/>
            </w:tcBorders>
            <w:vAlign w:val="center"/>
          </w:tcPr>
          <w:p w14:paraId="28ED9570">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66"/>
    </w:tbl>
    <w:p w14:paraId="10810302">
      <w:pPr>
        <w:keepNext w:val="0"/>
        <w:keepLines w:val="0"/>
        <w:widowControl/>
        <w:suppressLineNumbers w:val="0"/>
        <w:jc w:val="center"/>
        <w:rPr>
          <w:highlight w:val="none"/>
        </w:rPr>
      </w:pPr>
      <w:r>
        <w:drawing>
          <wp:inline distT="0" distB="0" distL="114300" distR="114300">
            <wp:extent cx="2863850" cy="3659505"/>
            <wp:effectExtent l="0" t="0" r="12700" b="17145"/>
            <wp:docPr id="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pic:cNvPicPr>
                      <a:picLocks noChangeAspect="1"/>
                    </pic:cNvPicPr>
                  </pic:nvPicPr>
                  <pic:blipFill>
                    <a:blip r:embed="rId11"/>
                    <a:stretch>
                      <a:fillRect/>
                    </a:stretch>
                  </pic:blipFill>
                  <pic:spPr>
                    <a:xfrm>
                      <a:off x="0" y="0"/>
                      <a:ext cx="2863850" cy="3659505"/>
                    </a:xfrm>
                    <a:prstGeom prst="rect">
                      <a:avLst/>
                    </a:prstGeom>
                    <a:noFill/>
                    <a:ln>
                      <a:noFill/>
                    </a:ln>
                  </pic:spPr>
                </pic:pic>
              </a:graphicData>
            </a:graphic>
          </wp:inline>
        </w:drawing>
      </w:r>
    </w:p>
    <w:p w14:paraId="54FAF9DC">
      <w:pPr>
        <w:pStyle w:val="14"/>
        <w:bidi w:val="0"/>
        <w:rPr>
          <w:rFonts w:hint="eastAsia"/>
          <w:highlight w:val="none"/>
          <w:lang w:val="en-US" w:eastAsia="zh-CN"/>
        </w:rPr>
      </w:pPr>
      <w:r>
        <w:rPr>
          <w:rFonts w:hint="eastAsia"/>
          <w:highlight w:val="none"/>
          <w:lang w:val="en-US" w:eastAsia="zh-CN"/>
        </w:rPr>
        <w:t>图2.3-2塔式起重机立面布置示意图（单位：mm）</w:t>
      </w:r>
    </w:p>
    <w:p w14:paraId="44ADD6CC">
      <w:pPr>
        <w:pStyle w:val="3"/>
        <w:bidi w:val="0"/>
        <w:rPr>
          <w:highlight w:val="none"/>
        </w:rPr>
      </w:pPr>
      <w:bookmarkStart w:id="67" w:name="_Toc10047"/>
      <w:bookmarkStart w:id="68" w:name="_Toc32232"/>
      <w:bookmarkStart w:id="69" w:name="_Toc10409773"/>
      <w:r>
        <w:rPr>
          <w:rFonts w:hint="eastAsia"/>
          <w:highlight w:val="none"/>
          <w:lang w:val="en-US" w:eastAsia="zh-CN"/>
        </w:rPr>
        <w:t>2</w:t>
      </w:r>
      <w:r>
        <w:rPr>
          <w:rFonts w:hint="eastAsia"/>
          <w:highlight w:val="none"/>
        </w:rPr>
        <w:t>.4 塔式起重机概况</w:t>
      </w:r>
      <w:bookmarkEnd w:id="67"/>
      <w:bookmarkEnd w:id="68"/>
      <w:bookmarkEnd w:id="69"/>
    </w:p>
    <w:p w14:paraId="73D2FD6D">
      <w:pPr>
        <w:pStyle w:val="4"/>
        <w:bidi w:val="0"/>
        <w:rPr>
          <w:highlight w:val="none"/>
        </w:rPr>
      </w:pPr>
      <w:bookmarkStart w:id="70" w:name="_Toc10409774"/>
      <w:r>
        <w:rPr>
          <w:rFonts w:hint="eastAsia"/>
          <w:highlight w:val="none"/>
          <w:lang w:val="en-US" w:eastAsia="zh-CN"/>
        </w:rPr>
        <w:t>2</w:t>
      </w:r>
      <w:r>
        <w:rPr>
          <w:rFonts w:hint="eastAsia"/>
          <w:highlight w:val="none"/>
        </w:rPr>
        <w:t>.4.1塔式起重机用途</w:t>
      </w:r>
      <w:r>
        <w:rPr>
          <w:highlight w:val="none"/>
        </w:rPr>
        <w:t>和</w:t>
      </w:r>
      <w:r>
        <w:rPr>
          <w:rFonts w:hint="eastAsia"/>
          <w:highlight w:val="none"/>
        </w:rPr>
        <w:t>使用环境</w:t>
      </w:r>
      <w:bookmarkEnd w:id="70"/>
    </w:p>
    <w:p w14:paraId="1EAFCB3B">
      <w:pPr>
        <w:pStyle w:val="45"/>
        <w:ind w:firstLine="480"/>
        <w:rPr>
          <w:rFonts w:ascii="宋体" w:hAnsi="宋体"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XGT7525-16</w:t>
      </w:r>
      <w:r>
        <w:rPr>
          <w:rFonts w:ascii="宋体" w:hAnsi="宋体" w:eastAsia="宋体" w:cs="Times New Roman"/>
          <w:color w:val="auto"/>
          <w:kern w:val="2"/>
          <w:sz w:val="24"/>
          <w:szCs w:val="22"/>
          <w:highlight w:val="none"/>
          <w:lang w:val="en-US" w:eastAsia="zh-CN" w:bidi="ar-SA"/>
        </w:rPr>
        <w:t>塔式起重机用于</w:t>
      </w:r>
      <w:r>
        <w:rPr>
          <w:rFonts w:hint="eastAsia" w:ascii="宋体" w:hAnsi="宋体" w:eastAsia="宋体" w:cs="Times New Roman"/>
          <w:color w:val="auto"/>
          <w:kern w:val="2"/>
          <w:sz w:val="24"/>
          <w:szCs w:val="22"/>
          <w:highlight w:val="none"/>
          <w:lang w:val="en-US" w:eastAsia="zh-CN" w:bidi="ar-SA"/>
        </w:rPr>
        <w:t>桂林-恭城-贺州公路（桂林至钟山段）№7合同段</w:t>
      </w:r>
      <w:r>
        <w:rPr>
          <w:rFonts w:ascii="宋体" w:hAnsi="宋体" w:eastAsia="宋体" w:cs="Times New Roman"/>
          <w:color w:val="auto"/>
          <w:kern w:val="2"/>
          <w:sz w:val="24"/>
          <w:szCs w:val="22"/>
          <w:highlight w:val="none"/>
          <w:lang w:val="en-US" w:eastAsia="zh-CN" w:bidi="ar-SA"/>
        </w:rPr>
        <w:t>项目</w:t>
      </w:r>
      <w:r>
        <w:rPr>
          <w:rFonts w:hint="eastAsia" w:ascii="宋体" w:hAnsi="宋体" w:eastAsia="宋体" w:cs="Times New Roman"/>
          <w:color w:val="auto"/>
          <w:kern w:val="2"/>
          <w:sz w:val="24"/>
          <w:szCs w:val="22"/>
          <w:highlight w:val="none"/>
          <w:lang w:val="en-US" w:eastAsia="zh-CN" w:bidi="ar-SA"/>
        </w:rPr>
        <w:t>桥梁施工吊装等工作。工作环境要求，最大工作风速≤</w:t>
      </w:r>
      <w:r>
        <w:rPr>
          <w:rFonts w:ascii="宋体" w:hAnsi="宋体" w:eastAsia="宋体" w:cs="Times New Roman"/>
          <w:color w:val="auto"/>
          <w:kern w:val="2"/>
          <w:sz w:val="24"/>
          <w:szCs w:val="22"/>
          <w:highlight w:val="none"/>
          <w:lang w:val="en-US" w:eastAsia="zh-CN" w:bidi="ar-SA"/>
        </w:rPr>
        <w:t>20m/s（6级风），工作环境温度10℃～42℃。</w:t>
      </w:r>
    </w:p>
    <w:p w14:paraId="10CEDEF2">
      <w:pPr>
        <w:pStyle w:val="45"/>
        <w:rPr>
          <w:rFonts w:ascii="宋体" w:hAnsi="宋体" w:eastAsia="宋体" w:cs="Times New Roman"/>
          <w:color w:val="auto"/>
          <w:kern w:val="2"/>
          <w:sz w:val="24"/>
          <w:szCs w:val="22"/>
          <w:highlight w:val="none"/>
          <w:lang w:val="en-US" w:eastAsia="zh-CN" w:bidi="ar-SA"/>
        </w:rPr>
      </w:pPr>
    </w:p>
    <w:p w14:paraId="7E03B6EA">
      <w:pPr>
        <w:pStyle w:val="4"/>
        <w:bidi w:val="0"/>
        <w:rPr>
          <w:highlight w:val="none"/>
        </w:rPr>
      </w:pPr>
      <w:bookmarkStart w:id="71" w:name="_Toc10409775"/>
      <w:r>
        <w:rPr>
          <w:rFonts w:hint="eastAsia"/>
          <w:highlight w:val="none"/>
          <w:lang w:val="en-US" w:eastAsia="zh-CN"/>
        </w:rPr>
        <w:t>2</w:t>
      </w:r>
      <w:r>
        <w:rPr>
          <w:highlight w:val="none"/>
        </w:rPr>
        <w:t>.4.2</w:t>
      </w:r>
      <w:r>
        <w:rPr>
          <w:rFonts w:hint="eastAsia"/>
          <w:highlight w:val="none"/>
        </w:rPr>
        <w:t>塔式起重机技术参数</w:t>
      </w:r>
      <w:bookmarkEnd w:id="71"/>
    </w:p>
    <w:p w14:paraId="78203933">
      <w:pPr>
        <w:bidi w:val="0"/>
        <w:spacing w:line="360" w:lineRule="auto"/>
        <w:ind w:firstLine="480" w:firstLineChars="200"/>
        <w:rPr>
          <w:highlight w:val="none"/>
        </w:rPr>
      </w:pPr>
      <w:r>
        <w:rPr>
          <w:rFonts w:hint="eastAsia"/>
          <w:highlight w:val="none"/>
          <w:lang w:val="en-US" w:eastAsia="zh-CN"/>
        </w:rPr>
        <w:t>XGT7525-16</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70</w:t>
      </w:r>
      <w:r>
        <w:rPr>
          <w:highlight w:val="none"/>
        </w:rPr>
        <w:t>m,在臂端</w:t>
      </w:r>
      <w:r>
        <w:rPr>
          <w:rFonts w:hint="eastAsia"/>
          <w:highlight w:val="none"/>
          <w:lang w:val="en-US" w:eastAsia="zh-CN"/>
        </w:rPr>
        <w:t>75</w:t>
      </w:r>
      <w:r>
        <w:rPr>
          <w:highlight w:val="none"/>
        </w:rPr>
        <w:t>m幅度处最大起重量为</w:t>
      </w:r>
      <w:r>
        <w:rPr>
          <w:rFonts w:hint="eastAsia"/>
          <w:highlight w:val="none"/>
          <w:lang w:val="en-US" w:eastAsia="zh-CN"/>
        </w:rPr>
        <w:t>2.5</w:t>
      </w:r>
      <w:r>
        <w:rPr>
          <w:highlight w:val="none"/>
        </w:rPr>
        <w:t>t,整机最大起重量为1</w:t>
      </w:r>
      <w:r>
        <w:rPr>
          <w:rFonts w:hint="eastAsia"/>
          <w:highlight w:val="none"/>
          <w:lang w:val="en-US" w:eastAsia="zh-CN"/>
        </w:rPr>
        <w:t>6</w:t>
      </w:r>
      <w:r>
        <w:rPr>
          <w:highlight w:val="none"/>
        </w:rPr>
        <w:t>t,产品系列代号为S。</w:t>
      </w:r>
    </w:p>
    <w:p w14:paraId="20638BB8">
      <w:pPr>
        <w:ind w:left="0" w:leftChars="0" w:firstLine="0" w:firstLineChars="0"/>
        <w:jc w:val="center"/>
        <w:rPr>
          <w:highlight w:val="none"/>
        </w:rPr>
      </w:pPr>
      <w:bookmarkStart w:id="72" w:name="_Toc3545"/>
      <w:bookmarkStart w:id="73" w:name="_Toc10409778"/>
      <w:r>
        <w:drawing>
          <wp:inline distT="0" distB="0" distL="114300" distR="114300">
            <wp:extent cx="5269865" cy="4165600"/>
            <wp:effectExtent l="0" t="0" r="6985" b="6350"/>
            <wp:docPr id="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pic:cNvPicPr>
                      <a:picLocks noChangeAspect="1"/>
                    </pic:cNvPicPr>
                  </pic:nvPicPr>
                  <pic:blipFill>
                    <a:blip r:embed="rId12"/>
                    <a:stretch>
                      <a:fillRect/>
                    </a:stretch>
                  </pic:blipFill>
                  <pic:spPr>
                    <a:xfrm>
                      <a:off x="0" y="0"/>
                      <a:ext cx="5269865" cy="4165600"/>
                    </a:xfrm>
                    <a:prstGeom prst="rect">
                      <a:avLst/>
                    </a:prstGeom>
                    <a:noFill/>
                    <a:ln>
                      <a:noFill/>
                    </a:ln>
                  </pic:spPr>
                </pic:pic>
              </a:graphicData>
            </a:graphic>
          </wp:inline>
        </w:drawing>
      </w:r>
    </w:p>
    <w:p w14:paraId="24E2A250">
      <w:pPr>
        <w:pStyle w:val="14"/>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塔机组成示意图</w:t>
      </w:r>
    </w:p>
    <w:p w14:paraId="4BDC5A7C">
      <w:pPr>
        <w:pStyle w:val="4"/>
        <w:tabs>
          <w:tab w:val="left" w:pos="0"/>
          <w:tab w:val="left" w:pos="630"/>
        </w:tabs>
        <w:bidi w:val="0"/>
        <w:rPr>
          <w:rFonts w:hint="default"/>
          <w:highlight w:val="none"/>
          <w:lang w:val="en-US" w:eastAsia="zh-CN"/>
        </w:rPr>
      </w:pPr>
      <w:bookmarkStart w:id="74" w:name="_Toc5066"/>
      <w:bookmarkStart w:id="75" w:name="_Toc1784"/>
      <w:bookmarkStart w:id="76" w:name="_Toc23068"/>
      <w:r>
        <w:rPr>
          <w:rFonts w:hint="eastAsia"/>
          <w:highlight w:val="none"/>
          <w:lang w:val="en-US" w:eastAsia="zh-CN"/>
        </w:rPr>
        <w:t>2.4.3整机外形尺寸</w:t>
      </w:r>
      <w:bookmarkEnd w:id="74"/>
      <w:bookmarkEnd w:id="75"/>
      <w:bookmarkEnd w:id="76"/>
    </w:p>
    <w:p w14:paraId="51EA5F48">
      <w:pPr>
        <w:ind w:left="0" w:leftChars="0" w:firstLine="0" w:firstLineChars="0"/>
        <w:jc w:val="center"/>
        <w:rPr>
          <w:highlight w:val="none"/>
        </w:rPr>
      </w:pPr>
      <w:r>
        <w:drawing>
          <wp:inline distT="0" distB="0" distL="114300" distR="114300">
            <wp:extent cx="5271135" cy="5584190"/>
            <wp:effectExtent l="0" t="0" r="5715" b="16510"/>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pic:cNvPicPr>
                  </pic:nvPicPr>
                  <pic:blipFill>
                    <a:blip r:embed="rId13"/>
                    <a:stretch>
                      <a:fillRect/>
                    </a:stretch>
                  </pic:blipFill>
                  <pic:spPr>
                    <a:xfrm>
                      <a:off x="0" y="0"/>
                      <a:ext cx="5271135" cy="5584190"/>
                    </a:xfrm>
                    <a:prstGeom prst="rect">
                      <a:avLst/>
                    </a:prstGeom>
                    <a:noFill/>
                    <a:ln>
                      <a:noFill/>
                    </a:ln>
                  </pic:spPr>
                </pic:pic>
              </a:graphicData>
            </a:graphic>
          </wp:inline>
        </w:drawing>
      </w:r>
    </w:p>
    <w:p w14:paraId="75231B14">
      <w:pPr>
        <w:pStyle w:val="14"/>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w:t>
      </w:r>
      <w:r>
        <w:rPr>
          <w:highlight w:val="none"/>
        </w:rPr>
        <w:fldChar w:fldCharType="end"/>
      </w:r>
      <w:r>
        <w:rPr>
          <w:rFonts w:hint="eastAsia"/>
          <w:highlight w:val="none"/>
          <w:lang w:val="en-US" w:eastAsia="zh-CN"/>
        </w:rPr>
        <w:t>整机外形示意图</w:t>
      </w:r>
    </w:p>
    <w:p w14:paraId="27F36EC7">
      <w:pPr>
        <w:pStyle w:val="4"/>
        <w:tabs>
          <w:tab w:val="left" w:pos="0"/>
          <w:tab w:val="left" w:pos="630"/>
        </w:tabs>
        <w:bidi w:val="0"/>
        <w:rPr>
          <w:rFonts w:hint="default"/>
          <w:highlight w:val="none"/>
          <w:lang w:val="en-US" w:eastAsia="zh-CN"/>
        </w:rPr>
      </w:pPr>
      <w:bookmarkStart w:id="77" w:name="_Toc18527"/>
      <w:bookmarkStart w:id="78" w:name="_Toc24908"/>
      <w:bookmarkStart w:id="79" w:name="_Toc7342"/>
      <w:r>
        <w:rPr>
          <w:rFonts w:hint="eastAsia"/>
          <w:highlight w:val="none"/>
          <w:lang w:val="en-US" w:eastAsia="zh-CN"/>
        </w:rPr>
        <w:t>2.4.4整机主要技术参数</w:t>
      </w:r>
      <w:bookmarkEnd w:id="77"/>
      <w:bookmarkEnd w:id="78"/>
      <w:bookmarkEnd w:id="79"/>
    </w:p>
    <w:p w14:paraId="115C947F">
      <w:pPr>
        <w:pStyle w:val="14"/>
        <w:rPr>
          <w:rFonts w:hint="default"/>
          <w:highlight w:val="none"/>
          <w:lang w:val="en-US" w:eastAsia="zh-CN"/>
        </w:rPr>
      </w:pPr>
      <w:r>
        <w:rPr>
          <w:highlight w:val="none"/>
        </w:rPr>
        <w:t>表4-</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4568825" cy="1685925"/>
            <wp:effectExtent l="0" t="0" r="3175" b="9525"/>
            <wp:docPr id="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pic:cNvPicPr>
                      <a:picLocks noChangeAspect="1"/>
                    </pic:cNvPicPr>
                  </pic:nvPicPr>
                  <pic:blipFill>
                    <a:blip r:embed="rId14"/>
                    <a:stretch>
                      <a:fillRect/>
                    </a:stretch>
                  </pic:blipFill>
                  <pic:spPr>
                    <a:xfrm>
                      <a:off x="0" y="0"/>
                      <a:ext cx="4568825" cy="1685925"/>
                    </a:xfrm>
                    <a:prstGeom prst="rect">
                      <a:avLst/>
                    </a:prstGeom>
                    <a:noFill/>
                    <a:ln>
                      <a:noFill/>
                    </a:ln>
                  </pic:spPr>
                </pic:pic>
              </a:graphicData>
            </a:graphic>
          </wp:inline>
        </w:drawing>
      </w:r>
      <w:r>
        <w:drawing>
          <wp:inline distT="0" distB="0" distL="114300" distR="114300">
            <wp:extent cx="5271135" cy="7594600"/>
            <wp:effectExtent l="0" t="0" r="5715" b="6350"/>
            <wp:docPr id="2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pic:cNvPicPr>
                      <a:picLocks noChangeAspect="1"/>
                    </pic:cNvPicPr>
                  </pic:nvPicPr>
                  <pic:blipFill>
                    <a:blip r:embed="rId15"/>
                    <a:stretch>
                      <a:fillRect/>
                    </a:stretch>
                  </pic:blipFill>
                  <pic:spPr>
                    <a:xfrm>
                      <a:off x="0" y="0"/>
                      <a:ext cx="5271135" cy="7594600"/>
                    </a:xfrm>
                    <a:prstGeom prst="rect">
                      <a:avLst/>
                    </a:prstGeom>
                    <a:noFill/>
                    <a:ln>
                      <a:noFill/>
                    </a:ln>
                  </pic:spPr>
                </pic:pic>
              </a:graphicData>
            </a:graphic>
          </wp:inline>
        </w:drawing>
      </w:r>
    </w:p>
    <w:p w14:paraId="5972DF4C">
      <w:pPr>
        <w:ind w:left="0" w:leftChars="0" w:firstLine="0" w:firstLineChars="0"/>
        <w:jc w:val="center"/>
        <w:rPr>
          <w:highlight w:val="none"/>
        </w:rPr>
      </w:pPr>
      <w:r>
        <w:drawing>
          <wp:inline distT="0" distB="0" distL="114300" distR="114300">
            <wp:extent cx="5271135" cy="4666615"/>
            <wp:effectExtent l="0" t="0" r="5715" b="635"/>
            <wp:docPr id="2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3"/>
                    <pic:cNvPicPr>
                      <a:picLocks noChangeAspect="1"/>
                    </pic:cNvPicPr>
                  </pic:nvPicPr>
                  <pic:blipFill>
                    <a:blip r:embed="rId16"/>
                    <a:stretch>
                      <a:fillRect/>
                    </a:stretch>
                  </pic:blipFill>
                  <pic:spPr>
                    <a:xfrm>
                      <a:off x="0" y="0"/>
                      <a:ext cx="5271135" cy="4666615"/>
                    </a:xfrm>
                    <a:prstGeom prst="rect">
                      <a:avLst/>
                    </a:prstGeom>
                    <a:noFill/>
                    <a:ln>
                      <a:noFill/>
                    </a:ln>
                  </pic:spPr>
                </pic:pic>
              </a:graphicData>
            </a:graphic>
          </wp:inline>
        </w:drawing>
      </w:r>
    </w:p>
    <w:p w14:paraId="1D2DF92F">
      <w:pPr>
        <w:pStyle w:val="14"/>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3</w:t>
      </w:r>
      <w:r>
        <w:rPr>
          <w:highlight w:val="none"/>
        </w:rPr>
        <w:fldChar w:fldCharType="end"/>
      </w:r>
      <w:r>
        <w:rPr>
          <w:rFonts w:hint="eastAsia"/>
          <w:highlight w:val="none"/>
          <w:lang w:val="en-US" w:eastAsia="zh-CN"/>
        </w:rPr>
        <w:t>起重性能表</w:t>
      </w:r>
    </w:p>
    <w:p w14:paraId="45709922">
      <w:pPr>
        <w:pStyle w:val="3"/>
        <w:rPr>
          <w:highlight w:val="none"/>
        </w:rPr>
      </w:pPr>
      <w:bookmarkStart w:id="80" w:name="_Toc20067"/>
      <w:r>
        <w:rPr>
          <w:rFonts w:hint="eastAsia"/>
          <w:highlight w:val="none"/>
          <w:lang w:val="en-US" w:eastAsia="zh-CN"/>
        </w:rPr>
        <w:t>2</w:t>
      </w:r>
      <w:r>
        <w:rPr>
          <w:highlight w:val="none"/>
        </w:rPr>
        <w:t>.5</w:t>
      </w:r>
      <w:r>
        <w:rPr>
          <w:rFonts w:hint="eastAsia"/>
          <w:highlight w:val="none"/>
        </w:rPr>
        <w:t xml:space="preserve"> 施工要求和技术保证条件</w:t>
      </w:r>
      <w:bookmarkEnd w:id="72"/>
      <w:bookmarkEnd w:id="80"/>
    </w:p>
    <w:p w14:paraId="0E21193E">
      <w:pPr>
        <w:pStyle w:val="4"/>
        <w:bidi w:val="0"/>
        <w:rPr>
          <w:highlight w:val="none"/>
        </w:rPr>
      </w:pPr>
      <w:r>
        <w:rPr>
          <w:rFonts w:hint="eastAsia"/>
          <w:highlight w:val="none"/>
          <w:lang w:val="en-US" w:eastAsia="zh-CN"/>
        </w:rPr>
        <w:t>2</w:t>
      </w:r>
      <w:r>
        <w:rPr>
          <w:highlight w:val="none"/>
        </w:rPr>
        <w:t>.5.1</w:t>
      </w:r>
      <w:r>
        <w:rPr>
          <w:rFonts w:hint="eastAsia"/>
          <w:highlight w:val="none"/>
        </w:rPr>
        <w:t>安装的重点及难点</w:t>
      </w:r>
      <w:bookmarkEnd w:id="73"/>
    </w:p>
    <w:p w14:paraId="5D2690C1">
      <w:pPr>
        <w:pStyle w:val="45"/>
        <w:ind w:firstLine="480"/>
        <w:rPr>
          <w:highlight w:val="none"/>
        </w:rPr>
      </w:pPr>
      <w:r>
        <w:rPr>
          <w:rFonts w:hint="eastAsia"/>
          <w:highlight w:val="none"/>
        </w:rPr>
        <w:t>本方案充分考虑了以下重点和难点问题：</w:t>
      </w:r>
    </w:p>
    <w:p w14:paraId="219F22DF">
      <w:pPr>
        <w:pStyle w:val="45"/>
        <w:ind w:firstLine="480"/>
        <w:rPr>
          <w:highlight w:val="none"/>
        </w:rPr>
      </w:pPr>
      <w:r>
        <w:rPr>
          <w:rFonts w:hint="eastAsia"/>
          <w:highlight w:val="none"/>
        </w:rPr>
        <w:t>（1）套架、</w:t>
      </w:r>
      <w:r>
        <w:rPr>
          <w:rFonts w:hint="eastAsia"/>
          <w:highlight w:val="none"/>
          <w:lang w:eastAsia="zh-CN"/>
        </w:rPr>
        <w:t>回转支承</w:t>
      </w:r>
      <w:r>
        <w:rPr>
          <w:rFonts w:hint="eastAsia"/>
          <w:highlight w:val="none"/>
        </w:rPr>
        <w:t>单件重量重需要分解安装；</w:t>
      </w:r>
    </w:p>
    <w:p w14:paraId="53FDD1E5">
      <w:pPr>
        <w:pStyle w:val="45"/>
        <w:ind w:firstLine="480"/>
        <w:rPr>
          <w:highlight w:val="none"/>
        </w:rPr>
      </w:pPr>
      <w:r>
        <w:rPr>
          <w:rFonts w:hint="eastAsia"/>
          <w:highlight w:val="none"/>
        </w:rPr>
        <w:t>（2）起重臂单件重量重，吊装</w:t>
      </w:r>
      <w:r>
        <w:rPr>
          <w:rFonts w:hint="eastAsia"/>
          <w:highlight w:val="none"/>
          <w:lang w:val="en-US" w:eastAsia="zh-CN"/>
        </w:rPr>
        <w:t>要求高</w:t>
      </w:r>
      <w:r>
        <w:rPr>
          <w:rFonts w:hint="eastAsia"/>
          <w:highlight w:val="none"/>
        </w:rPr>
        <w:t>；</w:t>
      </w:r>
    </w:p>
    <w:p w14:paraId="55954A51">
      <w:pPr>
        <w:pStyle w:val="45"/>
        <w:ind w:firstLine="480"/>
        <w:rPr>
          <w:highlight w:val="none"/>
        </w:rPr>
      </w:pPr>
      <w:r>
        <w:rPr>
          <w:rFonts w:hint="eastAsia"/>
          <w:highlight w:val="none"/>
        </w:rPr>
        <w:t>（3）现场安装场地受限，大型设备吊装难度大；</w:t>
      </w:r>
    </w:p>
    <w:p w14:paraId="60B79040">
      <w:pPr>
        <w:pStyle w:val="45"/>
        <w:ind w:firstLine="480"/>
        <w:rPr>
          <w:highlight w:val="none"/>
        </w:rPr>
      </w:pPr>
      <w:r>
        <w:rPr>
          <w:rFonts w:hint="eastAsia"/>
          <w:highlight w:val="none"/>
        </w:rPr>
        <w:t>（4）构建数量多，现场无法堆放，需多次进行转运；</w:t>
      </w:r>
    </w:p>
    <w:p w14:paraId="2251A062">
      <w:pPr>
        <w:pStyle w:val="45"/>
        <w:ind w:firstLine="480"/>
        <w:rPr>
          <w:highlight w:val="none"/>
        </w:rPr>
      </w:pPr>
      <w:r>
        <w:rPr>
          <w:rFonts w:hint="eastAsia"/>
          <w:highlight w:val="none"/>
        </w:rPr>
        <w:t>（5）高空作业安全风险大。</w:t>
      </w:r>
    </w:p>
    <w:p w14:paraId="22A762D9">
      <w:pPr>
        <w:pStyle w:val="4"/>
        <w:bidi w:val="0"/>
        <w:rPr>
          <w:highlight w:val="none"/>
        </w:rPr>
      </w:pPr>
      <w:bookmarkStart w:id="81" w:name="_Toc27671"/>
      <w:bookmarkStart w:id="82" w:name="_Toc10409779"/>
      <w:r>
        <w:rPr>
          <w:rFonts w:hint="eastAsia"/>
          <w:highlight w:val="none"/>
          <w:lang w:val="en-US" w:eastAsia="zh-CN"/>
        </w:rPr>
        <w:t>2</w:t>
      </w:r>
      <w:r>
        <w:rPr>
          <w:highlight w:val="none"/>
        </w:rPr>
        <w:t>.5.2</w:t>
      </w:r>
      <w:r>
        <w:rPr>
          <w:rFonts w:hint="eastAsia"/>
          <w:highlight w:val="none"/>
        </w:rPr>
        <w:t xml:space="preserve"> 运输及进场要求</w:t>
      </w:r>
      <w:bookmarkEnd w:id="81"/>
      <w:bookmarkEnd w:id="82"/>
    </w:p>
    <w:p w14:paraId="59FA7D4D">
      <w:pPr>
        <w:pStyle w:val="45"/>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0664F39">
      <w:pPr>
        <w:pStyle w:val="45"/>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发货时要根据现场拼装步骤按加强节、套架、十字梁、过度节、</w:t>
      </w:r>
      <w:r>
        <w:rPr>
          <w:rFonts w:hint="eastAsia" w:cs="宋体"/>
          <w:sz w:val="24"/>
          <w:szCs w:val="24"/>
          <w:highlight w:val="none"/>
          <w:lang w:eastAsia="zh-CN"/>
        </w:rPr>
        <w:t>回转支承</w:t>
      </w:r>
      <w:r>
        <w:rPr>
          <w:rFonts w:hint="eastAsia" w:ascii="宋体" w:hAnsi="宋体" w:eastAsia="宋体" w:cs="宋体"/>
          <w:sz w:val="24"/>
          <w:szCs w:val="24"/>
          <w:highlight w:val="none"/>
        </w:rPr>
        <w:t>、平衡臂、塔帽、起重机臂、配重及标准节等顺序。前后协调，统筹配发，以免现场造成堆压和不必要的周转拨运。</w:t>
      </w:r>
    </w:p>
    <w:p w14:paraId="51B6C2CC">
      <w:pPr>
        <w:pStyle w:val="45"/>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装卸车时，要确保装吊安全，特别是主梁等大件，要利用所设专用吊耳，临时存放时，大件下要支垫枕木，并进行固定绑扎，防止倾倒。</w:t>
      </w:r>
    </w:p>
    <w:p w14:paraId="137E7BB6">
      <w:pPr>
        <w:pStyle w:val="45"/>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电气及电机设备的吊装时注意不能倒置，不得以大压小，运输及存放时要有防雨防潮措施。</w:t>
      </w:r>
    </w:p>
    <w:p w14:paraId="5097576B">
      <w:pPr>
        <w:pStyle w:val="45"/>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在设备装卸期间，如果物体的最大尺寸阻挡了起升控制人员的视野，应该由另外的操作人员来指引进行操作。</w:t>
      </w:r>
    </w:p>
    <w:p w14:paraId="6BF53E1A">
      <w:pPr>
        <w:pStyle w:val="45"/>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在装卸设备之前，检查起升设备和相关物品中（绳索、手拉葫芦等）是否满足所吊负载和适当的稳定性的要求。</w:t>
      </w:r>
    </w:p>
    <w:p w14:paraId="2FF15175">
      <w:pPr>
        <w:pStyle w:val="4"/>
        <w:bidi w:val="0"/>
        <w:rPr>
          <w:highlight w:val="none"/>
        </w:rPr>
      </w:pPr>
      <w:r>
        <w:rPr>
          <w:rFonts w:hint="eastAsia"/>
          <w:highlight w:val="none"/>
          <w:lang w:val="en-US" w:eastAsia="zh-CN"/>
        </w:rPr>
        <w:t>2</w:t>
      </w:r>
      <w:r>
        <w:rPr>
          <w:highlight w:val="none"/>
        </w:rPr>
        <w:t>.5.3</w:t>
      </w:r>
      <w:r>
        <w:rPr>
          <w:rFonts w:hint="eastAsia"/>
          <w:highlight w:val="none"/>
        </w:rPr>
        <w:t xml:space="preserve"> 技术保证条件</w:t>
      </w:r>
    </w:p>
    <w:p w14:paraId="0874E681">
      <w:pPr>
        <w:pStyle w:val="45"/>
        <w:ind w:firstLine="480"/>
        <w:rPr>
          <w:highlight w:val="none"/>
        </w:rPr>
      </w:pPr>
      <w:r>
        <w:rPr>
          <w:rFonts w:hint="eastAsia"/>
          <w:highlight w:val="none"/>
        </w:rPr>
        <w:t>本方案的技术保证条件主要有：</w:t>
      </w:r>
    </w:p>
    <w:p w14:paraId="38DCAC52">
      <w:pPr>
        <w:pStyle w:val="45"/>
        <w:ind w:firstLine="480"/>
        <w:rPr>
          <w:highlight w:val="none"/>
        </w:rPr>
      </w:pPr>
      <w:r>
        <w:rPr>
          <w:rFonts w:hint="eastAsia"/>
          <w:highlight w:val="none"/>
        </w:rPr>
        <w:t>（1）对安装的起吊构件的重量、幅度进行详细的核算；</w:t>
      </w:r>
    </w:p>
    <w:p w14:paraId="2A609C79">
      <w:pPr>
        <w:pStyle w:val="45"/>
        <w:ind w:firstLine="480"/>
        <w:rPr>
          <w:highlight w:val="none"/>
        </w:rPr>
      </w:pPr>
      <w:r>
        <w:rPr>
          <w:rFonts w:hint="eastAsia"/>
          <w:highlight w:val="none"/>
        </w:rPr>
        <w:t>（2）对进场设备进行进场检验，对地基进行验收，确保设备性能及施工条件可靠；</w:t>
      </w:r>
    </w:p>
    <w:p w14:paraId="30D74197">
      <w:pPr>
        <w:pStyle w:val="45"/>
        <w:ind w:firstLine="480"/>
        <w:rPr>
          <w:highlight w:val="none"/>
        </w:rPr>
      </w:pPr>
      <w:r>
        <w:rPr>
          <w:rFonts w:hint="eastAsia"/>
          <w:highlight w:val="none"/>
        </w:rPr>
        <w:t>（3）模拟现场的实际作业情况，保证安装场地空间足够，避免吊装过程中的干涉；</w:t>
      </w:r>
    </w:p>
    <w:p w14:paraId="7DF056B1">
      <w:pPr>
        <w:pStyle w:val="45"/>
        <w:ind w:firstLine="480"/>
        <w:rPr>
          <w:highlight w:val="none"/>
        </w:rPr>
      </w:pPr>
      <w:r>
        <w:rPr>
          <w:rFonts w:hint="eastAsia"/>
          <w:highlight w:val="none"/>
        </w:rPr>
        <w:t>（4）合理安排安拆工序，协调好场地堆放及构件倒运顺序；</w:t>
      </w:r>
    </w:p>
    <w:p w14:paraId="06B7A98F">
      <w:pPr>
        <w:pStyle w:val="45"/>
        <w:ind w:firstLine="480"/>
        <w:rPr>
          <w:highlight w:val="none"/>
        </w:rPr>
      </w:pPr>
      <w:r>
        <w:rPr>
          <w:rFonts w:hint="eastAsia"/>
          <w:highlight w:val="none"/>
        </w:rPr>
        <w:t>（5）加强技术交底，确保作业过程安全。</w:t>
      </w:r>
    </w:p>
    <w:p w14:paraId="6BAEBD43">
      <w:pPr>
        <w:pStyle w:val="2"/>
        <w:keepNext w:val="0"/>
        <w:keepLines w:val="0"/>
        <w:pageBreakBefore/>
        <w:widowControl/>
        <w:numPr>
          <w:ilvl w:val="0"/>
          <w:numId w:val="0"/>
        </w:numPr>
        <w:kinsoku/>
        <w:wordWrap/>
        <w:overflowPunct/>
        <w:topLinePunct w:val="0"/>
        <w:autoSpaceDE/>
        <w:autoSpaceDN/>
        <w:bidi w:val="0"/>
        <w:adjustRightInd/>
        <w:snapToGrid/>
        <w:ind w:leftChars="0"/>
        <w:textAlignment w:val="auto"/>
        <w:rPr>
          <w:highlight w:val="none"/>
        </w:rPr>
      </w:pPr>
      <w:bookmarkStart w:id="83" w:name="_Toc10409780"/>
      <w:bookmarkStart w:id="84" w:name="_Toc3853"/>
      <w:bookmarkStart w:id="85" w:name="_Toc8311"/>
      <w:r>
        <w:rPr>
          <w:rFonts w:hint="eastAsia"/>
          <w:highlight w:val="none"/>
          <w:lang w:val="en-US" w:eastAsia="zh-CN"/>
        </w:rPr>
        <w:t>3</w:t>
      </w:r>
      <w:r>
        <w:rPr>
          <w:rFonts w:hint="eastAsia"/>
          <w:highlight w:val="none"/>
        </w:rPr>
        <w:t>施工</w:t>
      </w:r>
      <w:bookmarkEnd w:id="83"/>
      <w:r>
        <w:rPr>
          <w:rFonts w:hint="eastAsia"/>
          <w:highlight w:val="none"/>
        </w:rPr>
        <w:t>计划</w:t>
      </w:r>
      <w:bookmarkEnd w:id="84"/>
      <w:bookmarkEnd w:id="85"/>
    </w:p>
    <w:p w14:paraId="1E9EAD06">
      <w:pPr>
        <w:pStyle w:val="3"/>
        <w:bidi w:val="0"/>
        <w:rPr>
          <w:rFonts w:hint="eastAsia"/>
          <w:highlight w:val="none"/>
          <w:lang w:val="en-US" w:eastAsia="zh-CN"/>
        </w:rPr>
      </w:pPr>
      <w:bookmarkStart w:id="86" w:name="_Toc22257"/>
      <w:bookmarkEnd w:id="86"/>
      <w:bookmarkStart w:id="87" w:name="_Toc42640445"/>
      <w:bookmarkEnd w:id="87"/>
      <w:bookmarkStart w:id="88" w:name="_Toc42641136"/>
      <w:bookmarkEnd w:id="88"/>
      <w:bookmarkStart w:id="89" w:name="_Toc14043"/>
      <w:bookmarkEnd w:id="89"/>
      <w:bookmarkStart w:id="90" w:name="_Toc42641135"/>
      <w:bookmarkEnd w:id="90"/>
      <w:bookmarkStart w:id="91" w:name="_Toc42642287"/>
      <w:bookmarkEnd w:id="91"/>
      <w:bookmarkStart w:id="92" w:name="_Toc10380"/>
      <w:bookmarkEnd w:id="92"/>
      <w:bookmarkStart w:id="93" w:name="_Toc42640446"/>
      <w:bookmarkEnd w:id="93"/>
      <w:bookmarkStart w:id="94" w:name="_Toc42641829"/>
      <w:bookmarkEnd w:id="94"/>
      <w:bookmarkStart w:id="95" w:name="_Toc20966"/>
      <w:bookmarkEnd w:id="95"/>
      <w:bookmarkStart w:id="96" w:name="_Toc42641828"/>
      <w:bookmarkEnd w:id="96"/>
      <w:bookmarkStart w:id="97" w:name="_Toc54567323"/>
      <w:bookmarkEnd w:id="97"/>
      <w:bookmarkStart w:id="98" w:name="_Toc42642001"/>
      <w:bookmarkEnd w:id="98"/>
      <w:bookmarkStart w:id="99" w:name="_Toc5540"/>
      <w:bookmarkEnd w:id="99"/>
      <w:bookmarkStart w:id="100" w:name="_Toc42642000"/>
      <w:bookmarkEnd w:id="100"/>
      <w:bookmarkStart w:id="101" w:name="_Toc54567324"/>
      <w:bookmarkEnd w:id="101"/>
      <w:bookmarkStart w:id="102" w:name="_Toc10863"/>
      <w:bookmarkEnd w:id="102"/>
      <w:bookmarkStart w:id="103" w:name="_Toc32658"/>
      <w:bookmarkEnd w:id="103"/>
      <w:bookmarkStart w:id="104" w:name="_Toc42642288"/>
      <w:bookmarkEnd w:id="104"/>
      <w:bookmarkStart w:id="105" w:name="_Toc23662"/>
      <w:bookmarkEnd w:id="105"/>
      <w:bookmarkStart w:id="106" w:name="_Toc24021"/>
      <w:bookmarkStart w:id="107" w:name="_Toc21946"/>
      <w:bookmarkStart w:id="108" w:name="_Toc21234"/>
      <w:bookmarkStart w:id="109" w:name="_Toc18506"/>
      <w:bookmarkStart w:id="110" w:name="_Toc31294"/>
      <w:bookmarkStart w:id="111" w:name="_Toc10409781"/>
      <w:r>
        <w:rPr>
          <w:rFonts w:hint="eastAsia"/>
          <w:highlight w:val="none"/>
          <w:lang w:val="en-US" w:eastAsia="zh-CN"/>
        </w:rPr>
        <w:t>3.1施工总体部署</w:t>
      </w:r>
      <w:bookmarkEnd w:id="106"/>
      <w:bookmarkEnd w:id="107"/>
      <w:bookmarkEnd w:id="108"/>
    </w:p>
    <w:p w14:paraId="3DB05DBB">
      <w:pPr>
        <w:pStyle w:val="4"/>
        <w:bidi w:val="0"/>
        <w:rPr>
          <w:rFonts w:hint="eastAsia"/>
          <w:highlight w:val="none"/>
          <w:lang w:val="en-US" w:eastAsia="zh-CN"/>
        </w:rPr>
      </w:pPr>
      <w:bookmarkStart w:id="112" w:name="_Toc30635"/>
      <w:bookmarkStart w:id="113" w:name="_Toc3018"/>
      <w:r>
        <w:rPr>
          <w:rFonts w:hint="eastAsia"/>
          <w:highlight w:val="none"/>
          <w:lang w:val="en-US" w:eastAsia="zh-CN"/>
        </w:rPr>
        <w:t>3.1.1施工管理组织机构</w:t>
      </w:r>
      <w:bookmarkEnd w:id="112"/>
      <w:bookmarkEnd w:id="113"/>
    </w:p>
    <w:p w14:paraId="7E063B62">
      <w:pPr>
        <w:bidi w:val="0"/>
        <w:spacing w:line="360" w:lineRule="auto"/>
        <w:ind w:firstLine="480" w:firstLineChars="200"/>
        <w:rPr>
          <w:rFonts w:hint="default"/>
          <w:highlight w:val="none"/>
          <w:lang w:val="en-US" w:eastAsia="zh-CN"/>
        </w:rPr>
      </w:pPr>
      <w:r>
        <w:rPr>
          <w:rFonts w:hint="default"/>
          <w:highlight w:val="none"/>
          <w:lang w:val="en-US" w:eastAsia="zh-CN"/>
        </w:rPr>
        <w:t>由项目经理总揽全局施工，项目总工和副经理</w:t>
      </w:r>
      <w:r>
        <w:rPr>
          <w:rFonts w:hint="eastAsia"/>
          <w:highlight w:val="none"/>
          <w:lang w:val="en-US" w:eastAsia="zh-CN"/>
        </w:rPr>
        <w:t>以及安全总监</w:t>
      </w:r>
      <w:r>
        <w:rPr>
          <w:rFonts w:hint="default"/>
          <w:highlight w:val="none"/>
          <w:lang w:val="en-US" w:eastAsia="zh-CN"/>
        </w:rPr>
        <w:t>分别为</w:t>
      </w:r>
      <w:r>
        <w:rPr>
          <w:rFonts w:hint="eastAsia"/>
          <w:highlight w:val="none"/>
          <w:lang w:val="en-US" w:eastAsia="zh-CN"/>
        </w:rPr>
        <w:t>塔吊安拆的</w:t>
      </w:r>
      <w:r>
        <w:rPr>
          <w:rFonts w:hint="default"/>
          <w:highlight w:val="none"/>
          <w:lang w:val="en-US" w:eastAsia="zh-CN"/>
        </w:rPr>
        <w:t>技术负责人</w:t>
      </w:r>
      <w:r>
        <w:rPr>
          <w:rFonts w:hint="eastAsia"/>
          <w:highlight w:val="none"/>
          <w:lang w:val="en-US" w:eastAsia="zh-CN"/>
        </w:rPr>
        <w:t>、</w:t>
      </w:r>
      <w:r>
        <w:rPr>
          <w:rFonts w:hint="default"/>
          <w:highlight w:val="none"/>
          <w:lang w:val="en-US" w:eastAsia="zh-CN"/>
        </w:rPr>
        <w:t>生产负责人</w:t>
      </w:r>
      <w:r>
        <w:rPr>
          <w:rFonts w:hint="eastAsia"/>
          <w:highlight w:val="none"/>
          <w:lang w:val="en-US" w:eastAsia="zh-CN"/>
        </w:rPr>
        <w:t>和安全监督责任人</w:t>
      </w:r>
      <w:r>
        <w:rPr>
          <w:rFonts w:hint="default"/>
          <w:highlight w:val="none"/>
          <w:lang w:val="en-US" w:eastAsia="zh-CN"/>
        </w:rPr>
        <w:t>，下设</w:t>
      </w:r>
      <w:r>
        <w:rPr>
          <w:rFonts w:hint="eastAsia"/>
          <w:highlight w:val="none"/>
          <w:lang w:val="en-US" w:eastAsia="zh-CN"/>
        </w:rPr>
        <w:t>七</w:t>
      </w:r>
      <w:r>
        <w:rPr>
          <w:rFonts w:hint="default"/>
          <w:highlight w:val="none"/>
          <w:lang w:val="en-US" w:eastAsia="zh-CN"/>
        </w:rPr>
        <w:t>部</w:t>
      </w:r>
      <w:r>
        <w:rPr>
          <w:rFonts w:hint="eastAsia"/>
          <w:highlight w:val="none"/>
          <w:lang w:val="en-US" w:eastAsia="zh-CN"/>
        </w:rPr>
        <w:t>二</w:t>
      </w:r>
      <w:r>
        <w:rPr>
          <w:rFonts w:hint="default"/>
          <w:highlight w:val="none"/>
          <w:lang w:val="en-US" w:eastAsia="zh-CN"/>
        </w:rPr>
        <w:t>室为</w:t>
      </w:r>
      <w:r>
        <w:rPr>
          <w:rFonts w:hint="eastAsia"/>
          <w:highlight w:val="none"/>
          <w:lang w:val="en-US" w:eastAsia="zh-CN"/>
        </w:rPr>
        <w:t>塔吊安拆</w:t>
      </w:r>
      <w:r>
        <w:rPr>
          <w:rFonts w:hint="default"/>
          <w:highlight w:val="none"/>
          <w:lang w:val="en-US" w:eastAsia="zh-CN"/>
        </w:rPr>
        <w:t>提供技术、质量、安全、材料设备、资金及后勤保障，由现场技术管理人员和专职安全员直接负责</w:t>
      </w:r>
      <w:r>
        <w:rPr>
          <w:rFonts w:hint="eastAsia"/>
          <w:highlight w:val="none"/>
          <w:lang w:val="en-US" w:eastAsia="zh-CN"/>
        </w:rPr>
        <w:t>塔吊安拆</w:t>
      </w:r>
      <w:r>
        <w:rPr>
          <w:rFonts w:hint="default"/>
          <w:highlight w:val="none"/>
          <w:lang w:val="en-US" w:eastAsia="zh-CN"/>
        </w:rPr>
        <w:t>的安全、质量和进度</w:t>
      </w:r>
      <w:r>
        <w:rPr>
          <w:rFonts w:hint="eastAsia"/>
          <w:highlight w:val="none"/>
          <w:lang w:val="en-US" w:eastAsia="zh-CN"/>
        </w:rPr>
        <w:t>的日常管理工作</w:t>
      </w:r>
      <w:r>
        <w:rPr>
          <w:rFonts w:hint="default"/>
          <w:highlight w:val="none"/>
          <w:lang w:val="en-US" w:eastAsia="zh-CN"/>
        </w:rPr>
        <w:t>，保证各队伍之间互相配合，按工期要求完成施工任务。</w:t>
      </w:r>
    </w:p>
    <w:p w14:paraId="096236C9">
      <w:pPr>
        <w:bidi w:val="0"/>
        <w:spacing w:line="360" w:lineRule="auto"/>
        <w:ind w:firstLine="480" w:firstLineChars="200"/>
        <w:rPr>
          <w:rFonts w:hint="eastAsia"/>
          <w:highlight w:val="none"/>
          <w:lang w:val="en-US" w:eastAsia="zh-CN"/>
        </w:rPr>
      </w:pPr>
      <w:r>
        <w:rPr>
          <w:rFonts w:hint="eastAsia"/>
          <w:highlight w:val="none"/>
          <w:lang w:val="en-US" w:eastAsia="zh-CN"/>
        </w:rPr>
        <w:t>同时要求专业分包单位安排工技术负责人、专职安全员驻场，并安排足够的专业技术人员（班组长）、持证安拆工、起重工、司索工、机械设备进行塔吊的安拆工作。</w:t>
      </w:r>
    </w:p>
    <w:p w14:paraId="194371AA">
      <w:pPr>
        <w:ind w:left="0" w:leftChars="0" w:firstLine="0" w:firstLineChars="0"/>
        <w:jc w:val="cente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drawing>
          <wp:inline distT="0" distB="0" distL="114300" distR="114300">
            <wp:extent cx="4338955" cy="4237990"/>
            <wp:effectExtent l="0" t="0" r="0" b="0"/>
            <wp:docPr id="82" name="图片 82" descr="组织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组织流程图--(2)"/>
                    <pic:cNvPicPr>
                      <a:picLocks noChangeAspect="1"/>
                    </pic:cNvPicPr>
                  </pic:nvPicPr>
                  <pic:blipFill>
                    <a:blip r:embed="rId17"/>
                    <a:stretch>
                      <a:fillRect/>
                    </a:stretch>
                  </pic:blipFill>
                  <pic:spPr>
                    <a:xfrm>
                      <a:off x="0" y="0"/>
                      <a:ext cx="4338955" cy="4237990"/>
                    </a:xfrm>
                    <a:prstGeom prst="rect">
                      <a:avLst/>
                    </a:prstGeom>
                  </pic:spPr>
                </pic:pic>
              </a:graphicData>
            </a:graphic>
          </wp:inline>
        </w:drawing>
      </w:r>
    </w:p>
    <w:p w14:paraId="6CABBC30">
      <w:pPr>
        <w:pStyle w:val="38"/>
        <w:bidi w:val="0"/>
        <w:rPr>
          <w:rFonts w:hint="eastAsia"/>
          <w:highlight w:val="none"/>
          <w:lang w:val="en-US" w:eastAsia="zh-CN"/>
        </w:rPr>
      </w:pPr>
      <w:r>
        <w:rPr>
          <w:highlight w:val="none"/>
        </w:rPr>
        <w:t>图3</w:t>
      </w:r>
      <w:r>
        <w:rPr>
          <w:rFonts w:hint="eastAsia"/>
          <w:highlight w:val="none"/>
          <w:lang w:val="en-US" w:eastAsia="zh-CN"/>
        </w:rPr>
        <w:t>.1.1</w:t>
      </w:r>
      <w:r>
        <w:rPr>
          <w:highlight w:val="none"/>
        </w:rPr>
        <w:t>-</w:t>
      </w:r>
      <w:r>
        <w:rPr>
          <w:highlight w:val="none"/>
        </w:rPr>
        <w:fldChar w:fldCharType="begin"/>
      </w:r>
      <w:r>
        <w:rPr>
          <w:highlight w:val="none"/>
        </w:rPr>
        <w:instrText xml:space="preserve"> SEQ 图3-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塔吊安拆施工管理组织机构图</w:t>
      </w:r>
    </w:p>
    <w:p w14:paraId="75DC6760">
      <w:pPr>
        <w:pStyle w:val="4"/>
        <w:tabs>
          <w:tab w:val="left" w:pos="0"/>
          <w:tab w:val="left" w:pos="630"/>
        </w:tabs>
        <w:bidi w:val="0"/>
        <w:rPr>
          <w:rFonts w:hint="eastAsia"/>
          <w:highlight w:val="none"/>
          <w:lang w:val="en-US" w:eastAsia="zh-CN"/>
        </w:rPr>
      </w:pPr>
      <w:bookmarkStart w:id="114" w:name="_Toc24913"/>
      <w:bookmarkStart w:id="115" w:name="_Toc11794"/>
      <w:r>
        <w:rPr>
          <w:rFonts w:hint="eastAsia"/>
          <w:highlight w:val="none"/>
          <w:lang w:val="en-US" w:eastAsia="zh-CN"/>
        </w:rPr>
        <w:t>3.1.2施工任务划分</w:t>
      </w:r>
      <w:bookmarkEnd w:id="114"/>
      <w:bookmarkEnd w:id="115"/>
    </w:p>
    <w:p w14:paraId="02C13859">
      <w:pPr>
        <w:bidi w:val="0"/>
        <w:spacing w:line="360" w:lineRule="auto"/>
        <w:ind w:firstLine="480" w:firstLineChars="20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项目经理部根据与建设单位签订的施工总承包合同，将塔吊安拆施工任务合法发包给具有相应资质的施工协作单位，项目经理部管理人员负责日常进度、安全、质量、资源配置等管理工作。</w:t>
      </w:r>
    </w:p>
    <w:p w14:paraId="56071326">
      <w:pPr>
        <w:pStyle w:val="38"/>
        <w:bidi w:val="0"/>
        <w:rPr>
          <w:rFonts w:hint="default"/>
          <w:highlight w:val="none"/>
          <w:lang w:val="en-US" w:eastAsia="zh-CN"/>
        </w:rPr>
      </w:pPr>
      <w:r>
        <w:rPr>
          <w:highlight w:val="none"/>
        </w:rPr>
        <w:t>表3</w:t>
      </w:r>
      <w:r>
        <w:rPr>
          <w:rFonts w:hint="eastAsia"/>
          <w:highlight w:val="none"/>
          <w:lang w:val="en-US" w:eastAsia="zh-CN"/>
        </w:rPr>
        <w:t>.1.2</w:t>
      </w:r>
      <w:r>
        <w:rPr>
          <w:highlight w:val="none"/>
        </w:rPr>
        <w:t>-</w:t>
      </w:r>
      <w:r>
        <w:rPr>
          <w:highlight w:val="none"/>
        </w:rPr>
        <w:fldChar w:fldCharType="begin"/>
      </w:r>
      <w:r>
        <w:rPr>
          <w:highlight w:val="none"/>
        </w:rPr>
        <w:instrText xml:space="preserve"> SEQ 表3-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塔吊安拆施工任务划分计划表</w:t>
      </w:r>
    </w:p>
    <w:tbl>
      <w:tblPr>
        <w:tblStyle w:val="28"/>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108" w:type="dxa"/>
          <w:bottom w:w="0" w:type="dxa"/>
          <w:right w:w="108" w:type="dxa"/>
        </w:tblCellMar>
      </w:tblPr>
      <w:tblGrid>
        <w:gridCol w:w="871"/>
        <w:gridCol w:w="3986"/>
        <w:gridCol w:w="1999"/>
        <w:gridCol w:w="1663"/>
      </w:tblGrid>
      <w:tr w14:paraId="46DDFF6F">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454" w:hRule="atLeast"/>
          <w:tblHeader/>
          <w:jc w:val="center"/>
        </w:trPr>
        <w:tc>
          <w:tcPr>
            <w:tcW w:w="511" w:type="pct"/>
            <w:tcBorders>
              <w:tl2br w:val="nil"/>
              <w:tr2bl w:val="nil"/>
            </w:tcBorders>
            <w:shd w:val="clear" w:color="auto" w:fill="DAE3F3" w:themeFill="accent5" w:themeFillTint="32"/>
            <w:vAlign w:val="center"/>
          </w:tcPr>
          <w:p w14:paraId="7C1EF0F3">
            <w:pPr>
              <w:pStyle w:val="102"/>
              <w:bidi w:val="0"/>
              <w:rPr>
                <w:rFonts w:hint="eastAsia"/>
                <w:highlight w:val="none"/>
                <w:lang w:val="en-US" w:eastAsia="zh-CN"/>
              </w:rPr>
            </w:pPr>
            <w:r>
              <w:rPr>
                <w:rFonts w:hint="eastAsia"/>
                <w:highlight w:val="none"/>
                <w:lang w:val="en-US" w:eastAsia="zh-CN"/>
              </w:rPr>
              <w:t>序号</w:t>
            </w:r>
          </w:p>
        </w:tc>
        <w:tc>
          <w:tcPr>
            <w:tcW w:w="2339" w:type="pct"/>
            <w:tcBorders>
              <w:tl2br w:val="nil"/>
              <w:tr2bl w:val="nil"/>
            </w:tcBorders>
            <w:shd w:val="clear" w:color="auto" w:fill="DAE3F3" w:themeFill="accent5" w:themeFillTint="32"/>
            <w:vAlign w:val="center"/>
          </w:tcPr>
          <w:p w14:paraId="1A66E425">
            <w:pPr>
              <w:pStyle w:val="102"/>
              <w:bidi w:val="0"/>
              <w:rPr>
                <w:rFonts w:hint="default"/>
                <w:highlight w:val="none"/>
                <w:lang w:val="en-US" w:eastAsia="zh-CN"/>
              </w:rPr>
            </w:pPr>
            <w:r>
              <w:rPr>
                <w:rFonts w:hint="eastAsia"/>
                <w:highlight w:val="none"/>
                <w:lang w:val="en-US" w:eastAsia="zh-CN"/>
              </w:rPr>
              <w:t>塔吊使用单位工程</w:t>
            </w:r>
          </w:p>
        </w:tc>
        <w:tc>
          <w:tcPr>
            <w:tcW w:w="1173" w:type="pct"/>
            <w:tcBorders>
              <w:tl2br w:val="nil"/>
              <w:tr2bl w:val="nil"/>
            </w:tcBorders>
            <w:shd w:val="clear" w:color="auto" w:fill="DAE3F3" w:themeFill="accent5" w:themeFillTint="32"/>
            <w:vAlign w:val="center"/>
          </w:tcPr>
          <w:p w14:paraId="633208B2">
            <w:pPr>
              <w:pStyle w:val="102"/>
              <w:bidi w:val="0"/>
              <w:rPr>
                <w:rFonts w:hint="default"/>
                <w:highlight w:val="none"/>
                <w:lang w:val="en-US" w:eastAsia="zh-CN"/>
              </w:rPr>
            </w:pPr>
            <w:r>
              <w:rPr>
                <w:rFonts w:hint="eastAsia"/>
                <w:highlight w:val="none"/>
                <w:lang w:val="en-US" w:eastAsia="zh-CN"/>
              </w:rPr>
              <w:t>专业分包单位</w:t>
            </w:r>
          </w:p>
        </w:tc>
        <w:tc>
          <w:tcPr>
            <w:tcW w:w="976" w:type="pct"/>
            <w:tcBorders>
              <w:tl2br w:val="nil"/>
              <w:tr2bl w:val="nil"/>
            </w:tcBorders>
            <w:shd w:val="clear" w:color="auto" w:fill="DAE3F3" w:themeFill="accent5" w:themeFillTint="32"/>
            <w:vAlign w:val="center"/>
          </w:tcPr>
          <w:p w14:paraId="5028BDB0">
            <w:pPr>
              <w:pStyle w:val="102"/>
              <w:bidi w:val="0"/>
              <w:rPr>
                <w:rFonts w:hint="eastAsia"/>
                <w:highlight w:val="none"/>
                <w:lang w:val="en-US" w:eastAsia="zh-CN"/>
              </w:rPr>
            </w:pPr>
            <w:r>
              <w:rPr>
                <w:rFonts w:hint="eastAsia"/>
                <w:highlight w:val="none"/>
                <w:lang w:val="en-US" w:eastAsia="zh-CN"/>
              </w:rPr>
              <w:t>备注</w:t>
            </w:r>
          </w:p>
        </w:tc>
      </w:tr>
      <w:tr w14:paraId="63C56147">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AE0903F">
            <w:pPr>
              <w:pStyle w:val="102"/>
              <w:bidi w:val="0"/>
              <w:rPr>
                <w:rFonts w:hint="eastAsia"/>
                <w:highlight w:val="none"/>
                <w:lang w:val="en-US" w:eastAsia="zh-CN"/>
              </w:rPr>
            </w:pPr>
            <w:r>
              <w:rPr>
                <w:rFonts w:hint="eastAsia"/>
                <w:highlight w:val="none"/>
                <w:lang w:val="en-US" w:eastAsia="zh-CN"/>
              </w:rPr>
              <w:t>1</w:t>
            </w:r>
          </w:p>
        </w:tc>
        <w:tc>
          <w:tcPr>
            <w:tcW w:w="2339" w:type="pct"/>
            <w:tcBorders>
              <w:tl2br w:val="nil"/>
              <w:tr2bl w:val="nil"/>
            </w:tcBorders>
            <w:vAlign w:val="center"/>
          </w:tcPr>
          <w:p w14:paraId="1D6C70ED">
            <w:pPr>
              <w:pStyle w:val="102"/>
              <w:bidi w:val="0"/>
              <w:rPr>
                <w:rFonts w:hint="default"/>
                <w:highlight w:val="none"/>
                <w:lang w:val="en-US" w:eastAsia="zh-CN"/>
              </w:rPr>
            </w:pPr>
            <w:r>
              <w:rPr>
                <w:rFonts w:hint="eastAsia"/>
                <w:highlight w:val="none"/>
                <w:lang w:val="en-US" w:eastAsia="zh-CN"/>
              </w:rPr>
              <w:t>新渡坪大桥</w:t>
            </w:r>
            <w:r>
              <w:rPr>
                <w:rFonts w:hint="default"/>
                <w:highlight w:val="none"/>
                <w:lang w:val="en-US" w:eastAsia="zh-CN"/>
              </w:rPr>
              <w:t>右幅1</w:t>
            </w:r>
            <w:r>
              <w:rPr>
                <w:rFonts w:hint="eastAsia"/>
                <w:highlight w:val="none"/>
                <w:lang w:val="en-US" w:eastAsia="zh-CN"/>
              </w:rPr>
              <w:t>7</w:t>
            </w:r>
            <w:r>
              <w:rPr>
                <w:rFonts w:hint="default"/>
                <w:highlight w:val="none"/>
                <w:lang w:val="en-US" w:eastAsia="zh-CN"/>
              </w:rPr>
              <w:t>#墩</w:t>
            </w:r>
            <w:r>
              <w:rPr>
                <w:rFonts w:hint="eastAsia"/>
                <w:highlight w:val="none"/>
                <w:lang w:val="en-US" w:eastAsia="zh-CN"/>
              </w:rPr>
              <w:t>施工。</w:t>
            </w:r>
          </w:p>
        </w:tc>
        <w:tc>
          <w:tcPr>
            <w:tcW w:w="1173" w:type="pct"/>
            <w:tcBorders>
              <w:tl2br w:val="nil"/>
              <w:tr2bl w:val="nil"/>
            </w:tcBorders>
            <w:vAlign w:val="center"/>
          </w:tcPr>
          <w:p w14:paraId="49646BEF">
            <w:pPr>
              <w:pStyle w:val="102"/>
              <w:bidi w:val="0"/>
              <w:rPr>
                <w:rFonts w:hint="default"/>
                <w:highlight w:val="none"/>
                <w:lang w:val="en-US" w:eastAsia="zh-CN"/>
              </w:rPr>
            </w:pPr>
            <w:r>
              <w:rPr>
                <w:rFonts w:hint="eastAsia"/>
                <w:highlight w:val="none"/>
                <w:lang w:val="en-US" w:eastAsia="zh-CN"/>
              </w:rPr>
              <w:t>四川科斗文智能装备有限公司</w:t>
            </w:r>
          </w:p>
        </w:tc>
        <w:tc>
          <w:tcPr>
            <w:tcW w:w="976" w:type="pct"/>
            <w:tcBorders>
              <w:tl2br w:val="nil"/>
              <w:tr2bl w:val="nil"/>
            </w:tcBorders>
            <w:vAlign w:val="center"/>
          </w:tcPr>
          <w:p w14:paraId="49934A5E">
            <w:pPr>
              <w:pStyle w:val="102"/>
              <w:bidi w:val="0"/>
              <w:rPr>
                <w:rFonts w:hint="default"/>
                <w:highlight w:val="none"/>
                <w:lang w:val="en-US" w:eastAsia="zh-CN"/>
              </w:rPr>
            </w:pPr>
            <w:r>
              <w:rPr>
                <w:rFonts w:hint="eastAsia"/>
                <w:highlight w:val="none"/>
                <w:lang w:val="en-US" w:eastAsia="zh-CN"/>
              </w:rPr>
              <w:t>考虑转场，实际进场塔吊为1台</w:t>
            </w:r>
          </w:p>
        </w:tc>
      </w:tr>
    </w:tbl>
    <w:p w14:paraId="47B3C373">
      <w:pPr>
        <w:pStyle w:val="3"/>
        <w:rPr>
          <w:rFonts w:hint="eastAsia"/>
          <w:highlight w:val="none"/>
          <w:lang w:val="en-US" w:eastAsia="zh-CN"/>
        </w:rPr>
      </w:pPr>
      <w:bookmarkStart w:id="116" w:name="_Toc24840"/>
      <w:bookmarkStart w:id="117" w:name="_Toc9350"/>
      <w:bookmarkStart w:id="118" w:name="_Toc14473"/>
      <w:r>
        <w:rPr>
          <w:rFonts w:hint="eastAsia"/>
          <w:highlight w:val="none"/>
        </w:rPr>
        <w:t>3.</w:t>
      </w:r>
      <w:r>
        <w:rPr>
          <w:rFonts w:hint="eastAsia"/>
          <w:highlight w:val="none"/>
          <w:lang w:val="en-US" w:eastAsia="zh-CN"/>
        </w:rPr>
        <w:t>2</w:t>
      </w:r>
      <w:r>
        <w:rPr>
          <w:rFonts w:hint="eastAsia"/>
          <w:highlight w:val="none"/>
        </w:rPr>
        <w:t xml:space="preserve"> </w:t>
      </w:r>
      <w:bookmarkEnd w:id="109"/>
      <w:bookmarkEnd w:id="110"/>
      <w:r>
        <w:rPr>
          <w:rFonts w:hint="eastAsia"/>
          <w:highlight w:val="none"/>
          <w:lang w:val="en-US" w:eastAsia="zh-CN"/>
        </w:rPr>
        <w:t>施工进度计划</w:t>
      </w:r>
      <w:bookmarkEnd w:id="116"/>
      <w:bookmarkEnd w:id="117"/>
      <w:bookmarkEnd w:id="118"/>
    </w:p>
    <w:p w14:paraId="6D0E8A41">
      <w:pPr>
        <w:bidi w:val="0"/>
        <w:spacing w:line="360" w:lineRule="auto"/>
        <w:ind w:firstLine="480" w:firstLineChars="200"/>
        <w:rPr>
          <w:rFonts w:hint="default"/>
          <w:highlight w:val="none"/>
          <w:lang w:val="en-US" w:eastAsia="zh-CN"/>
        </w:rPr>
      </w:pPr>
      <w:r>
        <w:rPr>
          <w:rFonts w:hint="default"/>
          <w:highlight w:val="none"/>
          <w:lang w:val="en-US" w:eastAsia="zh-CN"/>
        </w:rPr>
        <w:t>每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47C0409F">
      <w:pPr>
        <w:pStyle w:val="14"/>
        <w:bidi w:val="0"/>
        <w:rPr>
          <w:rFonts w:hint="eastAsia"/>
          <w:highlight w:val="none"/>
          <w:lang w:val="en-US" w:eastAsia="zh-CN"/>
        </w:rPr>
      </w:pPr>
      <w:r>
        <w:rPr>
          <w:highlight w:val="none"/>
        </w:rPr>
        <w:t>表3</w:t>
      </w:r>
      <w:r>
        <w:rPr>
          <w:rFonts w:hint="eastAsia"/>
          <w:highlight w:val="none"/>
          <w:lang w:val="en-US" w:eastAsia="zh-CN"/>
        </w:rPr>
        <w:t>.2</w:t>
      </w:r>
      <w:r>
        <w:rPr>
          <w:highlight w:val="none"/>
        </w:rPr>
        <w:t>-</w:t>
      </w:r>
      <w:r>
        <w:rPr>
          <w:rFonts w:hint="eastAsia"/>
          <w:highlight w:val="none"/>
          <w:lang w:val="en-US" w:eastAsia="zh-CN"/>
        </w:rPr>
        <w:t>1洗脚岭大桥主墩塔吊使用时间汇总表</w:t>
      </w:r>
    </w:p>
    <w:tbl>
      <w:tblPr>
        <w:tblStyle w:val="28"/>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0" w:type="dxa"/>
          <w:bottom w:w="0" w:type="dxa"/>
          <w:right w:w="0" w:type="dxa"/>
        </w:tblCellMar>
      </w:tblPr>
      <w:tblGrid>
        <w:gridCol w:w="692"/>
        <w:gridCol w:w="1640"/>
        <w:gridCol w:w="1590"/>
        <w:gridCol w:w="1590"/>
        <w:gridCol w:w="1410"/>
        <w:gridCol w:w="1411"/>
      </w:tblGrid>
      <w:tr w14:paraId="1F274790">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tblHeader/>
          <w:jc w:val="center"/>
        </w:trPr>
        <w:tc>
          <w:tcPr>
            <w:tcW w:w="415" w:type="pct"/>
            <w:tcBorders>
              <w:tl2br w:val="nil"/>
              <w:tr2bl w:val="nil"/>
            </w:tcBorders>
            <w:shd w:val="clear" w:color="auto" w:fill="DAE3F3" w:themeFill="accent5" w:themeFillTint="32"/>
            <w:noWrap/>
            <w:tcMar>
              <w:top w:w="15" w:type="dxa"/>
              <w:left w:w="15" w:type="dxa"/>
              <w:right w:w="15" w:type="dxa"/>
            </w:tcMar>
            <w:vAlign w:val="center"/>
          </w:tcPr>
          <w:p w14:paraId="4A24FD3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序号</w:t>
            </w:r>
          </w:p>
        </w:tc>
        <w:tc>
          <w:tcPr>
            <w:tcW w:w="984" w:type="pct"/>
            <w:tcBorders>
              <w:tl2br w:val="nil"/>
              <w:tr2bl w:val="nil"/>
            </w:tcBorders>
            <w:shd w:val="clear" w:color="auto" w:fill="DAE3F3" w:themeFill="accent5" w:themeFillTint="32"/>
            <w:noWrap/>
            <w:tcMar>
              <w:top w:w="15" w:type="dxa"/>
              <w:left w:w="15" w:type="dxa"/>
              <w:right w:w="15" w:type="dxa"/>
            </w:tcMar>
            <w:vAlign w:val="center"/>
          </w:tcPr>
          <w:p w14:paraId="7C97D3C8">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安装位置</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190FCF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塔吊型号</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C46BF4B">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计划开始时间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295A053A">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计划结束时间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55418459">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使用期限</w:t>
            </w:r>
          </w:p>
        </w:tc>
      </w:tr>
      <w:tr w14:paraId="2CB6A381">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jc w:val="center"/>
        </w:trPr>
        <w:tc>
          <w:tcPr>
            <w:tcW w:w="415" w:type="pct"/>
            <w:tcBorders>
              <w:tl2br w:val="nil"/>
              <w:tr2bl w:val="nil"/>
            </w:tcBorders>
            <w:noWrap/>
            <w:tcMar>
              <w:top w:w="15" w:type="dxa"/>
              <w:left w:w="15" w:type="dxa"/>
              <w:right w:w="15" w:type="dxa"/>
            </w:tcMar>
            <w:vAlign w:val="center"/>
          </w:tcPr>
          <w:p w14:paraId="5D256A41">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0"/>
                <w:szCs w:val="20"/>
                <w:highlight w:val="none"/>
                <w:u w:val="none"/>
                <w:lang w:val="en-US" w:eastAsia="zh-CN"/>
              </w:rPr>
            </w:pPr>
            <w:r>
              <w:rPr>
                <w:rFonts w:hint="eastAsia" w:cs="宋体"/>
                <w:i w:val="0"/>
                <w:color w:val="000000"/>
                <w:sz w:val="20"/>
                <w:szCs w:val="20"/>
                <w:highlight w:val="none"/>
                <w:u w:val="none"/>
                <w:lang w:val="en-US" w:eastAsia="zh-CN"/>
              </w:rPr>
              <w:t>1</w:t>
            </w:r>
          </w:p>
        </w:tc>
        <w:tc>
          <w:tcPr>
            <w:tcW w:w="984" w:type="pct"/>
            <w:tcBorders>
              <w:tl2br w:val="nil"/>
              <w:tr2bl w:val="nil"/>
            </w:tcBorders>
            <w:noWrap/>
            <w:tcMar>
              <w:top w:w="15" w:type="dxa"/>
              <w:left w:w="15" w:type="dxa"/>
              <w:right w:w="15" w:type="dxa"/>
            </w:tcMar>
            <w:vAlign w:val="center"/>
          </w:tcPr>
          <w:p w14:paraId="012547ED">
            <w:pPr>
              <w:spacing w:after="0" w:afterLines="0" w:line="240" w:lineRule="auto"/>
              <w:ind w:firstLine="0" w:firstLineChars="0"/>
              <w:jc w:val="center"/>
              <w:rPr>
                <w:rFonts w:hint="eastAsia" w:ascii="宋体" w:hAnsi="宋体" w:eastAsia="宋体" w:cs="宋体"/>
                <w:i w:val="0"/>
                <w:color w:val="000000"/>
                <w:sz w:val="18"/>
                <w:szCs w:val="18"/>
                <w:highlight w:val="none"/>
                <w:u w:val="none"/>
                <w:lang w:val="en-US" w:eastAsia="zh-CN"/>
              </w:rPr>
            </w:pPr>
            <w:r>
              <w:rPr>
                <w:rFonts w:hint="eastAsia" w:cs="宋体"/>
                <w:bCs/>
                <w:color w:val="000000" w:themeColor="text1"/>
                <w:sz w:val="18"/>
                <w:szCs w:val="18"/>
                <w:highlight w:val="none"/>
                <w:lang w:val="en-US" w:eastAsia="zh-CN"/>
                <w14:textFill>
                  <w14:solidFill>
                    <w14:schemeClr w14:val="tx1"/>
                  </w14:solidFill>
                </w14:textFill>
              </w:rPr>
              <w:t>新渡坪右</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幅</w:t>
            </w:r>
            <w:r>
              <w:rPr>
                <w:rFonts w:hint="eastAsia" w:cs="宋体"/>
                <w:bCs/>
                <w:color w:val="000000" w:themeColor="text1"/>
                <w:sz w:val="18"/>
                <w:szCs w:val="18"/>
                <w:highlight w:val="none"/>
                <w:lang w:val="en-US" w:eastAsia="zh-CN"/>
                <w14:textFill>
                  <w14:solidFill>
                    <w14:schemeClr w14:val="tx1"/>
                  </w14:solidFill>
                </w14:textFill>
              </w:rPr>
              <w:t>17</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#墩</w:t>
            </w:r>
          </w:p>
        </w:tc>
        <w:tc>
          <w:tcPr>
            <w:tcW w:w="954" w:type="pct"/>
            <w:tcBorders>
              <w:tl2br w:val="nil"/>
              <w:tr2bl w:val="nil"/>
            </w:tcBorders>
            <w:noWrap/>
            <w:tcMar>
              <w:top w:w="15" w:type="dxa"/>
              <w:left w:w="15" w:type="dxa"/>
              <w:right w:w="15" w:type="dxa"/>
            </w:tcMar>
            <w:vAlign w:val="center"/>
          </w:tcPr>
          <w:p w14:paraId="351361A5">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徐工</w:t>
            </w:r>
            <w:r>
              <w:rPr>
                <w:rFonts w:hint="eastAsia" w:cs="宋体"/>
                <w:bCs/>
                <w:color w:val="000000" w:themeColor="text1"/>
                <w:sz w:val="18"/>
                <w:szCs w:val="18"/>
                <w:highlight w:val="none"/>
                <w:lang w:val="en-US" w:eastAsia="zh-CN"/>
                <w14:textFill>
                  <w14:solidFill>
                    <w14:schemeClr w14:val="tx1"/>
                  </w14:solidFill>
                </w14:textFill>
              </w:rPr>
              <w:t>XGT7525-16</w:t>
            </w:r>
          </w:p>
        </w:tc>
        <w:tc>
          <w:tcPr>
            <w:tcW w:w="954" w:type="pct"/>
            <w:tcBorders>
              <w:tl2br w:val="nil"/>
              <w:tr2bl w:val="nil"/>
            </w:tcBorders>
            <w:noWrap/>
            <w:tcMar>
              <w:top w:w="15" w:type="dxa"/>
              <w:left w:w="15" w:type="dxa"/>
              <w:right w:w="15" w:type="dxa"/>
            </w:tcMar>
            <w:vAlign w:val="center"/>
          </w:tcPr>
          <w:p w14:paraId="67CA964F">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202</w:t>
            </w:r>
            <w:r>
              <w:rPr>
                <w:rFonts w:hint="eastAsia" w:cs="宋体"/>
                <w:i w:val="0"/>
                <w:iCs w:val="0"/>
                <w:color w:val="000000"/>
                <w:kern w:val="0"/>
                <w:sz w:val="18"/>
                <w:szCs w:val="18"/>
                <w:highlight w:val="none"/>
                <w:u w:val="none"/>
                <w:lang w:val="en-US" w:eastAsia="zh-CN" w:bidi="ar"/>
              </w:rPr>
              <w:t>4</w:t>
            </w:r>
            <w:r>
              <w:rPr>
                <w:rFonts w:hint="eastAsia" w:ascii="宋体" w:hAnsi="宋体" w:eastAsia="宋体" w:cs="宋体"/>
                <w:i w:val="0"/>
                <w:iCs w:val="0"/>
                <w:color w:val="000000"/>
                <w:kern w:val="0"/>
                <w:sz w:val="18"/>
                <w:szCs w:val="18"/>
                <w:highlight w:val="none"/>
                <w:u w:val="none"/>
                <w:lang w:val="en-US" w:eastAsia="zh-CN" w:bidi="ar"/>
              </w:rPr>
              <w:t>/</w:t>
            </w:r>
            <w:r>
              <w:rPr>
                <w:rFonts w:hint="eastAsia" w:cs="宋体"/>
                <w:i w:val="0"/>
                <w:iCs w:val="0"/>
                <w:color w:val="000000"/>
                <w:kern w:val="0"/>
                <w:sz w:val="18"/>
                <w:szCs w:val="18"/>
                <w:highlight w:val="none"/>
                <w:u w:val="none"/>
                <w:lang w:val="en-US" w:eastAsia="zh-CN" w:bidi="ar"/>
              </w:rPr>
              <w:t>12</w:t>
            </w:r>
            <w:r>
              <w:rPr>
                <w:rFonts w:hint="eastAsia" w:ascii="宋体" w:hAnsi="宋体" w:eastAsia="宋体" w:cs="宋体"/>
                <w:i w:val="0"/>
                <w:iCs w:val="0"/>
                <w:color w:val="000000"/>
                <w:kern w:val="0"/>
                <w:sz w:val="18"/>
                <w:szCs w:val="18"/>
                <w:highlight w:val="none"/>
                <w:u w:val="none"/>
                <w:lang w:val="en-US" w:eastAsia="zh-CN" w:bidi="ar"/>
              </w:rPr>
              <w:t>/</w:t>
            </w:r>
            <w:r>
              <w:rPr>
                <w:rFonts w:hint="eastAsia" w:cs="宋体"/>
                <w:i w:val="0"/>
                <w:iCs w:val="0"/>
                <w:color w:val="000000"/>
                <w:kern w:val="0"/>
                <w:sz w:val="18"/>
                <w:szCs w:val="18"/>
                <w:highlight w:val="none"/>
                <w:u w:val="none"/>
                <w:lang w:val="en-US" w:eastAsia="zh-CN" w:bidi="ar"/>
              </w:rPr>
              <w:t>15</w:t>
            </w:r>
          </w:p>
        </w:tc>
        <w:tc>
          <w:tcPr>
            <w:tcW w:w="846" w:type="pct"/>
            <w:tcBorders>
              <w:tl2br w:val="nil"/>
              <w:tr2bl w:val="nil"/>
            </w:tcBorders>
            <w:noWrap/>
            <w:tcMar>
              <w:top w:w="15" w:type="dxa"/>
              <w:left w:w="15" w:type="dxa"/>
              <w:right w:w="15" w:type="dxa"/>
            </w:tcMar>
            <w:vAlign w:val="center"/>
          </w:tcPr>
          <w:p w14:paraId="58383405">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2024/</w:t>
            </w:r>
            <w:r>
              <w:rPr>
                <w:rFonts w:hint="eastAsia" w:cs="宋体"/>
                <w:i w:val="0"/>
                <w:iCs w:val="0"/>
                <w:color w:val="000000"/>
                <w:kern w:val="0"/>
                <w:sz w:val="18"/>
                <w:szCs w:val="18"/>
                <w:highlight w:val="none"/>
                <w:u w:val="none"/>
                <w:lang w:val="en-US" w:eastAsia="zh-CN" w:bidi="ar"/>
              </w:rPr>
              <w:t>3</w:t>
            </w:r>
            <w:r>
              <w:rPr>
                <w:rFonts w:hint="eastAsia" w:ascii="宋体" w:hAnsi="宋体" w:eastAsia="宋体" w:cs="宋体"/>
                <w:i w:val="0"/>
                <w:iCs w:val="0"/>
                <w:color w:val="000000"/>
                <w:kern w:val="0"/>
                <w:sz w:val="18"/>
                <w:szCs w:val="18"/>
                <w:highlight w:val="none"/>
                <w:u w:val="none"/>
                <w:lang w:val="en-US" w:eastAsia="zh-CN" w:bidi="ar"/>
              </w:rPr>
              <w:t>/</w:t>
            </w:r>
            <w:r>
              <w:rPr>
                <w:rFonts w:hint="eastAsia" w:cs="宋体"/>
                <w:i w:val="0"/>
                <w:iCs w:val="0"/>
                <w:color w:val="000000"/>
                <w:kern w:val="0"/>
                <w:sz w:val="18"/>
                <w:szCs w:val="18"/>
                <w:highlight w:val="none"/>
                <w:u w:val="none"/>
                <w:lang w:val="en-US" w:eastAsia="zh-CN" w:bidi="ar"/>
              </w:rPr>
              <w:t>30</w:t>
            </w:r>
          </w:p>
        </w:tc>
        <w:tc>
          <w:tcPr>
            <w:tcW w:w="846" w:type="pct"/>
            <w:tcBorders>
              <w:tl2br w:val="nil"/>
              <w:tr2bl w:val="nil"/>
            </w:tcBorders>
            <w:noWrap/>
            <w:tcMar>
              <w:top w:w="15" w:type="dxa"/>
              <w:left w:w="15" w:type="dxa"/>
              <w:right w:w="15" w:type="dxa"/>
            </w:tcMar>
            <w:vAlign w:val="center"/>
          </w:tcPr>
          <w:p w14:paraId="66E95163">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r>
              <w:rPr>
                <w:rFonts w:hint="eastAsia" w:cs="宋体"/>
                <w:i w:val="0"/>
                <w:color w:val="000000"/>
                <w:sz w:val="18"/>
                <w:szCs w:val="18"/>
                <w:highlight w:val="none"/>
                <w:u w:val="none"/>
                <w:lang w:val="en-US" w:eastAsia="zh-CN"/>
              </w:rPr>
              <w:t>90</w:t>
            </w:r>
          </w:p>
        </w:tc>
      </w:tr>
    </w:tbl>
    <w:p w14:paraId="06320984">
      <w:pPr>
        <w:pStyle w:val="14"/>
        <w:bidi w:val="0"/>
        <w:rPr>
          <w:rFonts w:hint="eastAsia"/>
          <w:highlight w:val="none"/>
          <w:lang w:val="en-US" w:eastAsia="zh-CN"/>
        </w:rPr>
      </w:pPr>
      <w:r>
        <w:rPr>
          <w:highlight w:val="none"/>
        </w:rPr>
        <w:t>表3</w:t>
      </w:r>
      <w:r>
        <w:rPr>
          <w:rFonts w:hint="eastAsia"/>
          <w:highlight w:val="none"/>
          <w:lang w:val="en-US" w:eastAsia="zh-CN"/>
        </w:rPr>
        <w:t>.2</w:t>
      </w:r>
      <w:r>
        <w:rPr>
          <w:highlight w:val="none"/>
        </w:rPr>
        <w:t>-</w:t>
      </w:r>
      <w:r>
        <w:rPr>
          <w:rFonts w:hint="eastAsia"/>
          <w:highlight w:val="none"/>
          <w:lang w:val="en-US" w:eastAsia="zh-CN"/>
        </w:rPr>
        <w:t>2每台塔吊安装施工计划</w:t>
      </w:r>
    </w:p>
    <w:tbl>
      <w:tblPr>
        <w:tblStyle w:val="2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8"/>
        <w:gridCol w:w="5117"/>
        <w:gridCol w:w="2025"/>
      </w:tblGrid>
      <w:tr w14:paraId="4100B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811" w:type="pct"/>
            <w:gridSpan w:val="2"/>
            <w:tcBorders>
              <w:top w:val="double" w:color="0000E3" w:sz="4" w:space="0"/>
              <w:left w:val="double" w:color="0000E3" w:sz="4" w:space="0"/>
              <w:bottom w:val="single" w:color="0000E3" w:sz="8" w:space="0"/>
              <w:right w:val="single" w:color="0000E3" w:sz="8" w:space="0"/>
            </w:tcBorders>
            <w:shd w:val="clear" w:color="auto" w:fill="DAE3F3"/>
            <w:vAlign w:val="center"/>
          </w:tcPr>
          <w:p w14:paraId="055F33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工序</w:t>
            </w:r>
          </w:p>
        </w:tc>
        <w:tc>
          <w:tcPr>
            <w:tcW w:w="1188" w:type="pct"/>
            <w:tcBorders>
              <w:top w:val="double" w:color="0000E3" w:sz="4" w:space="0"/>
              <w:left w:val="single" w:color="0000E3" w:sz="8" w:space="0"/>
              <w:bottom w:val="single" w:color="0000E3" w:sz="8" w:space="0"/>
              <w:right w:val="double" w:color="0000E3" w:sz="4" w:space="0"/>
            </w:tcBorders>
            <w:shd w:val="clear" w:color="auto" w:fill="DAE3F3"/>
            <w:vAlign w:val="center"/>
          </w:tcPr>
          <w:p w14:paraId="433905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 期（天）</w:t>
            </w:r>
          </w:p>
        </w:tc>
      </w:tr>
      <w:tr w14:paraId="5D228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09" w:type="pct"/>
            <w:vMerge w:val="restart"/>
            <w:tcBorders>
              <w:top w:val="single" w:color="0000E3" w:sz="8" w:space="0"/>
              <w:left w:val="double" w:color="0000E3" w:sz="4" w:space="0"/>
              <w:bottom w:val="single" w:color="0000E3" w:sz="8" w:space="0"/>
              <w:right w:val="single" w:color="0000E3" w:sz="8" w:space="0"/>
            </w:tcBorders>
            <w:shd w:val="clear" w:color="auto" w:fill="auto"/>
            <w:vAlign w:val="center"/>
          </w:tcPr>
          <w:p w14:paraId="062E57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塔吊基础</w:t>
            </w: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F3D82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基础开挖及钢筋安装</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134E47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0427B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4CD1C77">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0260B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基础预埋</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09D6E6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525D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5F0604E9">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4207D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基础浇注</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46B073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5AE8E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7BA81003">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3E5B42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混凝土养护</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713EAF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r>
      <w:tr w14:paraId="709C5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restart"/>
            <w:tcBorders>
              <w:top w:val="single" w:color="0000E3" w:sz="8" w:space="0"/>
              <w:left w:val="double" w:color="0000E3" w:sz="4" w:space="0"/>
              <w:bottom w:val="single" w:color="0000E3" w:sz="8" w:space="0"/>
              <w:right w:val="single" w:color="0000E3" w:sz="8" w:space="0"/>
            </w:tcBorders>
            <w:shd w:val="clear" w:color="auto" w:fill="auto"/>
            <w:vAlign w:val="center"/>
          </w:tcPr>
          <w:p w14:paraId="39635F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安装塔身</w:t>
            </w: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064CA5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安装基础节+套架</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279723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7BA39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00BE242">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0ED346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安装回转和驾驶室</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51804F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6E1F7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3BAD905E">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BC93F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安装平衡臂</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053DF8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7E9C2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ADE3422">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6435D6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安装塔帽与驾驶</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24737E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05D2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B74401E">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C02BC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安装起重臂与配重</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49B52B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w:t>
            </w:r>
          </w:p>
        </w:tc>
      </w:tr>
      <w:tr w14:paraId="63717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3EC0E2C3">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356F7A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升至独立高度</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7177BD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w:t>
            </w:r>
          </w:p>
        </w:tc>
      </w:tr>
      <w:tr w14:paraId="244E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811" w:type="pct"/>
            <w:gridSpan w:val="2"/>
            <w:tcBorders>
              <w:top w:val="single" w:color="0000E3" w:sz="8" w:space="0"/>
              <w:left w:val="double" w:color="0000E3" w:sz="4" w:space="0"/>
              <w:bottom w:val="single" w:color="0000E3" w:sz="8" w:space="0"/>
              <w:right w:val="single" w:color="0000E3" w:sz="8" w:space="0"/>
            </w:tcBorders>
            <w:shd w:val="clear" w:color="auto" w:fill="auto"/>
            <w:vAlign w:val="center"/>
          </w:tcPr>
          <w:p w14:paraId="198C4B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安装塔机</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78F584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r>
      <w:tr w14:paraId="0C32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811" w:type="pct"/>
            <w:gridSpan w:val="2"/>
            <w:tcBorders>
              <w:top w:val="single" w:color="0000E3" w:sz="8" w:space="0"/>
              <w:left w:val="double" w:color="0000E3" w:sz="4" w:space="0"/>
              <w:bottom w:val="double" w:color="0000E3" w:sz="4" w:space="0"/>
              <w:right w:val="single" w:color="0000E3" w:sz="8" w:space="0"/>
            </w:tcBorders>
            <w:shd w:val="clear" w:color="auto" w:fill="auto"/>
            <w:vAlign w:val="center"/>
          </w:tcPr>
          <w:p w14:paraId="7E8B84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工期</w:t>
            </w:r>
          </w:p>
        </w:tc>
        <w:tc>
          <w:tcPr>
            <w:tcW w:w="1188" w:type="pct"/>
            <w:tcBorders>
              <w:top w:val="single" w:color="0000E3" w:sz="8" w:space="0"/>
              <w:left w:val="single" w:color="0000E3" w:sz="8" w:space="0"/>
              <w:bottom w:val="double" w:color="0000E3" w:sz="4" w:space="0"/>
              <w:right w:val="double" w:color="0000E3" w:sz="4" w:space="0"/>
            </w:tcBorders>
            <w:shd w:val="clear" w:color="auto" w:fill="auto"/>
            <w:vAlign w:val="center"/>
          </w:tcPr>
          <w:p w14:paraId="3A88E8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26.5</w:t>
            </w:r>
          </w:p>
        </w:tc>
      </w:tr>
    </w:tbl>
    <w:p w14:paraId="02B62905">
      <w:pPr>
        <w:pStyle w:val="45"/>
        <w:ind w:firstLine="480"/>
        <w:rPr>
          <w:rFonts w:hint="eastAsia"/>
          <w:highlight w:val="none"/>
        </w:rPr>
      </w:pPr>
      <w:r>
        <w:rPr>
          <w:rFonts w:hint="eastAsia"/>
          <w:highlight w:val="none"/>
        </w:rPr>
        <w:t>在保证安全、质量和环保的前提下，每台塔吊安装应在</w:t>
      </w:r>
      <w:r>
        <w:rPr>
          <w:highlight w:val="none"/>
        </w:rPr>
        <w:t>5</w:t>
      </w:r>
      <w:r>
        <w:rPr>
          <w:rFonts w:hint="eastAsia"/>
          <w:highlight w:val="none"/>
        </w:rPr>
        <w:t>天内完成，每次塔吊附着顶升应在2天内完成，每台塔吊拆除应在7天内完成。</w:t>
      </w:r>
    </w:p>
    <w:p w14:paraId="0CBB0D83">
      <w:pPr>
        <w:pStyle w:val="3"/>
        <w:rPr>
          <w:highlight w:val="none"/>
        </w:rPr>
      </w:pPr>
      <w:bookmarkStart w:id="119" w:name="_Toc12309"/>
      <w:bookmarkStart w:id="120" w:name="_Toc11288"/>
      <w:bookmarkStart w:id="121" w:name="_Toc10026"/>
      <w:bookmarkStart w:id="122" w:name="_Toc27494"/>
      <w:bookmarkStart w:id="123" w:name="_Toc29155"/>
      <w:r>
        <w:rPr>
          <w:rFonts w:hint="eastAsia"/>
          <w:highlight w:val="none"/>
        </w:rPr>
        <w:t>3</w:t>
      </w:r>
      <w:r>
        <w:rPr>
          <w:highlight w:val="none"/>
        </w:rPr>
        <w:t>.</w:t>
      </w:r>
      <w:r>
        <w:rPr>
          <w:rFonts w:hint="eastAsia"/>
          <w:highlight w:val="none"/>
          <w:lang w:val="en-US" w:eastAsia="zh-CN"/>
        </w:rPr>
        <w:t>3</w:t>
      </w:r>
      <w:r>
        <w:rPr>
          <w:highlight w:val="none"/>
        </w:rPr>
        <w:t xml:space="preserve"> </w:t>
      </w:r>
      <w:r>
        <w:rPr>
          <w:rFonts w:hint="eastAsia"/>
          <w:highlight w:val="none"/>
          <w:lang w:val="en-US" w:eastAsia="zh-CN"/>
        </w:rPr>
        <w:t>施工设备计划</w:t>
      </w:r>
      <w:bookmarkEnd w:id="119"/>
      <w:bookmarkEnd w:id="120"/>
      <w:bookmarkEnd w:id="121"/>
      <w:bookmarkEnd w:id="122"/>
      <w:bookmarkEnd w:id="123"/>
    </w:p>
    <w:p w14:paraId="0555F90B">
      <w:pPr>
        <w:pStyle w:val="14"/>
        <w:rPr>
          <w:rFonts w:hint="eastAsia" w:ascii="黑体" w:hAnsi="宋体" w:eastAsia="黑体" w:cs="黑体"/>
          <w:kern w:val="2"/>
          <w:sz w:val="21"/>
          <w:szCs w:val="21"/>
          <w:highlight w:val="none"/>
          <w:lang w:val="en-US" w:eastAsia="zh-CN" w:bidi="ar"/>
        </w:rPr>
      </w:pPr>
      <w:bookmarkStart w:id="124" w:name="_Toc6681"/>
      <w:bookmarkStart w:id="125" w:name="_Toc1366"/>
      <w:r>
        <w:rPr>
          <w:highlight w:val="none"/>
        </w:rPr>
        <w:t>表3-</w:t>
      </w:r>
      <w:r>
        <w:rPr>
          <w:rFonts w:hint="eastAsia"/>
          <w:highlight w:val="none"/>
          <w:lang w:val="en-US" w:eastAsia="zh-CN"/>
        </w:rPr>
        <w:t>3.1每台</w:t>
      </w:r>
      <w:r>
        <w:rPr>
          <w:rFonts w:hint="eastAsia" w:ascii="黑体" w:hAnsi="宋体" w:eastAsia="黑体" w:cs="黑体"/>
          <w:kern w:val="2"/>
          <w:sz w:val="21"/>
          <w:szCs w:val="21"/>
          <w:highlight w:val="none"/>
          <w:lang w:val="en-US" w:eastAsia="zh-CN" w:bidi="ar"/>
        </w:rPr>
        <w:t>塔吊基础施工设备表</w:t>
      </w:r>
    </w:p>
    <w:tbl>
      <w:tblPr>
        <w:tblStyle w:val="29"/>
        <w:tblW w:w="0" w:type="auto"/>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52"/>
        <w:gridCol w:w="1766"/>
        <w:gridCol w:w="1582"/>
        <w:gridCol w:w="1404"/>
        <w:gridCol w:w="2900"/>
      </w:tblGrid>
      <w:tr w14:paraId="329624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trPr>
        <w:tc>
          <w:tcPr>
            <w:tcW w:w="852" w:type="dxa"/>
            <w:tcBorders>
              <w:tl2br w:val="nil"/>
              <w:tr2bl w:val="nil"/>
            </w:tcBorders>
            <w:shd w:val="clear" w:color="auto" w:fill="DAE3F3" w:themeFill="accent5" w:themeFillTint="32"/>
            <w:noWrap w:val="0"/>
            <w:vAlign w:val="center"/>
          </w:tcPr>
          <w:p w14:paraId="58F33BE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序号</w:t>
            </w:r>
          </w:p>
        </w:tc>
        <w:tc>
          <w:tcPr>
            <w:tcW w:w="1766" w:type="dxa"/>
            <w:tcBorders>
              <w:tl2br w:val="nil"/>
              <w:tr2bl w:val="nil"/>
            </w:tcBorders>
            <w:shd w:val="clear" w:color="auto" w:fill="DAE3F3" w:themeFill="accent5" w:themeFillTint="32"/>
            <w:noWrap w:val="0"/>
            <w:vAlign w:val="center"/>
          </w:tcPr>
          <w:p w14:paraId="16F9460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名称</w:t>
            </w:r>
          </w:p>
        </w:tc>
        <w:tc>
          <w:tcPr>
            <w:tcW w:w="1582" w:type="dxa"/>
            <w:tcBorders>
              <w:tl2br w:val="nil"/>
              <w:tr2bl w:val="nil"/>
            </w:tcBorders>
            <w:shd w:val="clear" w:color="auto" w:fill="DAE3F3" w:themeFill="accent5" w:themeFillTint="32"/>
            <w:noWrap w:val="0"/>
            <w:vAlign w:val="center"/>
          </w:tcPr>
          <w:p w14:paraId="34FDA4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单位</w:t>
            </w:r>
          </w:p>
        </w:tc>
        <w:tc>
          <w:tcPr>
            <w:tcW w:w="1404" w:type="dxa"/>
            <w:tcBorders>
              <w:tl2br w:val="nil"/>
              <w:tr2bl w:val="nil"/>
            </w:tcBorders>
            <w:shd w:val="clear" w:color="auto" w:fill="DAE3F3" w:themeFill="accent5" w:themeFillTint="32"/>
            <w:noWrap w:val="0"/>
            <w:vAlign w:val="center"/>
          </w:tcPr>
          <w:p w14:paraId="7A73B7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数量</w:t>
            </w:r>
          </w:p>
        </w:tc>
        <w:tc>
          <w:tcPr>
            <w:tcW w:w="2900" w:type="dxa"/>
            <w:tcBorders>
              <w:tl2br w:val="nil"/>
              <w:tr2bl w:val="nil"/>
            </w:tcBorders>
            <w:shd w:val="clear" w:color="auto" w:fill="DAE3F3" w:themeFill="accent5" w:themeFillTint="32"/>
            <w:noWrap w:val="0"/>
            <w:vAlign w:val="center"/>
          </w:tcPr>
          <w:p w14:paraId="583D46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备注</w:t>
            </w:r>
          </w:p>
        </w:tc>
      </w:tr>
      <w:tr w14:paraId="72F851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AA243C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766" w:type="dxa"/>
            <w:tcBorders>
              <w:tl2br w:val="nil"/>
              <w:tr2bl w:val="nil"/>
            </w:tcBorders>
            <w:noWrap w:val="0"/>
            <w:vAlign w:val="center"/>
          </w:tcPr>
          <w:p w14:paraId="50434C8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挖掘机</w:t>
            </w:r>
          </w:p>
        </w:tc>
        <w:tc>
          <w:tcPr>
            <w:tcW w:w="1582" w:type="dxa"/>
            <w:tcBorders>
              <w:tl2br w:val="nil"/>
              <w:tr2bl w:val="nil"/>
            </w:tcBorders>
            <w:noWrap w:val="0"/>
            <w:vAlign w:val="center"/>
          </w:tcPr>
          <w:p w14:paraId="1194B6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9A47F8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2873DA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挖基坑、平场地</w:t>
            </w:r>
          </w:p>
        </w:tc>
      </w:tr>
      <w:tr w14:paraId="5068DB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68A2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766" w:type="dxa"/>
            <w:tcBorders>
              <w:tl2br w:val="nil"/>
              <w:tr2bl w:val="nil"/>
            </w:tcBorders>
            <w:noWrap w:val="0"/>
            <w:vAlign w:val="center"/>
          </w:tcPr>
          <w:p w14:paraId="03D5C52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装载机</w:t>
            </w:r>
          </w:p>
        </w:tc>
        <w:tc>
          <w:tcPr>
            <w:tcW w:w="1582" w:type="dxa"/>
            <w:tcBorders>
              <w:tl2br w:val="nil"/>
              <w:tr2bl w:val="nil"/>
            </w:tcBorders>
            <w:noWrap w:val="0"/>
            <w:vAlign w:val="center"/>
          </w:tcPr>
          <w:p w14:paraId="59281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B085C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784BC63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装渣</w:t>
            </w:r>
          </w:p>
        </w:tc>
      </w:tr>
      <w:tr w14:paraId="4E9AB35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124FE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766" w:type="dxa"/>
            <w:tcBorders>
              <w:tl2br w:val="nil"/>
              <w:tr2bl w:val="nil"/>
            </w:tcBorders>
            <w:noWrap w:val="0"/>
            <w:vAlign w:val="center"/>
          </w:tcPr>
          <w:p w14:paraId="670B04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自卸式汽车</w:t>
            </w:r>
          </w:p>
        </w:tc>
        <w:tc>
          <w:tcPr>
            <w:tcW w:w="1582" w:type="dxa"/>
            <w:tcBorders>
              <w:tl2br w:val="nil"/>
              <w:tr2bl w:val="nil"/>
            </w:tcBorders>
            <w:noWrap w:val="0"/>
            <w:vAlign w:val="center"/>
          </w:tcPr>
          <w:p w14:paraId="210E207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辆</w:t>
            </w:r>
          </w:p>
        </w:tc>
        <w:tc>
          <w:tcPr>
            <w:tcW w:w="1404" w:type="dxa"/>
            <w:tcBorders>
              <w:tl2br w:val="nil"/>
              <w:tr2bl w:val="nil"/>
            </w:tcBorders>
            <w:noWrap w:val="0"/>
            <w:vAlign w:val="center"/>
          </w:tcPr>
          <w:p w14:paraId="395AE3F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0FB2A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运渣</w:t>
            </w:r>
          </w:p>
        </w:tc>
      </w:tr>
      <w:tr w14:paraId="49CC45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90E8D8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766" w:type="dxa"/>
            <w:tcBorders>
              <w:tl2br w:val="nil"/>
              <w:tr2bl w:val="nil"/>
            </w:tcBorders>
            <w:noWrap w:val="0"/>
            <w:vAlign w:val="center"/>
          </w:tcPr>
          <w:p w14:paraId="3EB9EA2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模板</w:t>
            </w:r>
          </w:p>
        </w:tc>
        <w:tc>
          <w:tcPr>
            <w:tcW w:w="1582" w:type="dxa"/>
            <w:tcBorders>
              <w:tl2br w:val="nil"/>
              <w:tr2bl w:val="nil"/>
            </w:tcBorders>
            <w:noWrap w:val="0"/>
            <w:vAlign w:val="center"/>
          </w:tcPr>
          <w:p w14:paraId="4B9FB7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168636F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648C46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定型钢模板</w:t>
            </w:r>
          </w:p>
        </w:tc>
      </w:tr>
      <w:tr w14:paraId="79FB0D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C28D0B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766" w:type="dxa"/>
            <w:tcBorders>
              <w:tl2br w:val="nil"/>
              <w:tr2bl w:val="nil"/>
            </w:tcBorders>
            <w:noWrap w:val="0"/>
            <w:vAlign w:val="center"/>
          </w:tcPr>
          <w:p w14:paraId="1493B2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钢筋冷弯机</w:t>
            </w:r>
          </w:p>
        </w:tc>
        <w:tc>
          <w:tcPr>
            <w:tcW w:w="1582" w:type="dxa"/>
            <w:tcBorders>
              <w:tl2br w:val="nil"/>
              <w:tr2bl w:val="nil"/>
            </w:tcBorders>
            <w:noWrap w:val="0"/>
            <w:vAlign w:val="center"/>
          </w:tcPr>
          <w:p w14:paraId="43ABB97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20E728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332B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30AC2B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045DB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766" w:type="dxa"/>
            <w:tcBorders>
              <w:tl2br w:val="nil"/>
              <w:tr2bl w:val="nil"/>
            </w:tcBorders>
            <w:noWrap w:val="0"/>
            <w:vAlign w:val="center"/>
          </w:tcPr>
          <w:p w14:paraId="151EDE7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钢筋直切机</w:t>
            </w:r>
          </w:p>
        </w:tc>
        <w:tc>
          <w:tcPr>
            <w:tcW w:w="1582" w:type="dxa"/>
            <w:tcBorders>
              <w:tl2br w:val="nil"/>
              <w:tr2bl w:val="nil"/>
            </w:tcBorders>
            <w:noWrap w:val="0"/>
            <w:vAlign w:val="center"/>
          </w:tcPr>
          <w:p w14:paraId="1BDF6E5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73B29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0AEC74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1AE8720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4628F3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766" w:type="dxa"/>
            <w:tcBorders>
              <w:tl2br w:val="nil"/>
              <w:tr2bl w:val="nil"/>
            </w:tcBorders>
            <w:noWrap w:val="0"/>
            <w:vAlign w:val="center"/>
          </w:tcPr>
          <w:p w14:paraId="45C7EB0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钢筋调直机</w:t>
            </w:r>
          </w:p>
        </w:tc>
        <w:tc>
          <w:tcPr>
            <w:tcW w:w="1582" w:type="dxa"/>
            <w:tcBorders>
              <w:tl2br w:val="nil"/>
              <w:tr2bl w:val="nil"/>
            </w:tcBorders>
            <w:noWrap w:val="0"/>
            <w:vAlign w:val="center"/>
          </w:tcPr>
          <w:p w14:paraId="6025CC1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D106FF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55810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2A8839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648FBEC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766" w:type="dxa"/>
            <w:tcBorders>
              <w:tl2br w:val="nil"/>
              <w:tr2bl w:val="nil"/>
            </w:tcBorders>
            <w:noWrap w:val="0"/>
            <w:vAlign w:val="center"/>
          </w:tcPr>
          <w:p w14:paraId="6091D6D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电焊机</w:t>
            </w:r>
          </w:p>
        </w:tc>
        <w:tc>
          <w:tcPr>
            <w:tcW w:w="1582" w:type="dxa"/>
            <w:tcBorders>
              <w:tl2br w:val="nil"/>
              <w:tr2bl w:val="nil"/>
            </w:tcBorders>
            <w:noWrap w:val="0"/>
            <w:vAlign w:val="center"/>
          </w:tcPr>
          <w:p w14:paraId="02A2E43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1E92B2D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3C2E36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钢筋场</w:t>
            </w:r>
            <w:r>
              <w:rPr>
                <w:rFonts w:hint="eastAsia" w:ascii="仿宋" w:hAnsi="仿宋" w:eastAsia="仿宋" w:cs="仿宋"/>
                <w:b w:val="0"/>
                <w:bCs/>
                <w:sz w:val="21"/>
                <w:szCs w:val="21"/>
                <w:highlight w:val="none"/>
                <w:vertAlign w:val="baseline"/>
                <w:lang w:val="en-US" w:eastAsia="zh-CN"/>
              </w:rPr>
              <w:t>1台，现场1台</w:t>
            </w:r>
          </w:p>
        </w:tc>
      </w:tr>
      <w:tr w14:paraId="11F277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350CC7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766" w:type="dxa"/>
            <w:tcBorders>
              <w:tl2br w:val="nil"/>
              <w:tr2bl w:val="nil"/>
            </w:tcBorders>
            <w:noWrap w:val="0"/>
            <w:vAlign w:val="center"/>
          </w:tcPr>
          <w:p w14:paraId="7623F5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振捣棒</w:t>
            </w:r>
          </w:p>
        </w:tc>
        <w:tc>
          <w:tcPr>
            <w:tcW w:w="1582" w:type="dxa"/>
            <w:tcBorders>
              <w:tl2br w:val="nil"/>
              <w:tr2bl w:val="nil"/>
            </w:tcBorders>
            <w:noWrap w:val="0"/>
            <w:vAlign w:val="center"/>
          </w:tcPr>
          <w:p w14:paraId="39DED64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75CA1C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7832370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w:t>
            </w:r>
          </w:p>
        </w:tc>
      </w:tr>
      <w:tr w14:paraId="3540BC4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627984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766" w:type="dxa"/>
            <w:tcBorders>
              <w:tl2br w:val="nil"/>
              <w:tr2bl w:val="nil"/>
            </w:tcBorders>
            <w:noWrap w:val="0"/>
            <w:vAlign w:val="center"/>
          </w:tcPr>
          <w:p w14:paraId="4DD3AF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拌和站</w:t>
            </w:r>
          </w:p>
        </w:tc>
        <w:tc>
          <w:tcPr>
            <w:tcW w:w="1582" w:type="dxa"/>
            <w:tcBorders>
              <w:tl2br w:val="nil"/>
              <w:tr2bl w:val="nil"/>
            </w:tcBorders>
            <w:noWrap w:val="0"/>
            <w:vAlign w:val="center"/>
          </w:tcPr>
          <w:p w14:paraId="6621A61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0890EA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42816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673755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025C48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766" w:type="dxa"/>
            <w:tcBorders>
              <w:tl2br w:val="nil"/>
              <w:tr2bl w:val="nil"/>
            </w:tcBorders>
            <w:noWrap w:val="0"/>
            <w:vAlign w:val="center"/>
          </w:tcPr>
          <w:p w14:paraId="6205BC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混凝土罐车</w:t>
            </w:r>
          </w:p>
        </w:tc>
        <w:tc>
          <w:tcPr>
            <w:tcW w:w="1582" w:type="dxa"/>
            <w:tcBorders>
              <w:tl2br w:val="nil"/>
              <w:tr2bl w:val="nil"/>
            </w:tcBorders>
            <w:noWrap w:val="0"/>
            <w:vAlign w:val="center"/>
          </w:tcPr>
          <w:p w14:paraId="764A3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4919330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900" w:type="dxa"/>
            <w:tcBorders>
              <w:tl2br w:val="nil"/>
              <w:tr2bl w:val="nil"/>
            </w:tcBorders>
            <w:noWrap w:val="0"/>
            <w:vAlign w:val="center"/>
          </w:tcPr>
          <w:p w14:paraId="62B7A9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4FC629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EC5702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w:t>
            </w:r>
          </w:p>
        </w:tc>
        <w:tc>
          <w:tcPr>
            <w:tcW w:w="1766" w:type="dxa"/>
            <w:tcBorders>
              <w:tl2br w:val="nil"/>
              <w:tr2bl w:val="nil"/>
            </w:tcBorders>
            <w:noWrap w:val="0"/>
            <w:vAlign w:val="center"/>
          </w:tcPr>
          <w:p w14:paraId="3B393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吊车</w:t>
            </w:r>
          </w:p>
        </w:tc>
        <w:tc>
          <w:tcPr>
            <w:tcW w:w="1582" w:type="dxa"/>
            <w:tcBorders>
              <w:tl2br w:val="nil"/>
              <w:tr2bl w:val="nil"/>
            </w:tcBorders>
            <w:noWrap w:val="0"/>
            <w:vAlign w:val="center"/>
          </w:tcPr>
          <w:p w14:paraId="06A312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30B0B10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371562A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安装模板</w:t>
            </w:r>
          </w:p>
        </w:tc>
      </w:tr>
      <w:tr w14:paraId="124FCE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0FEECF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13</w:t>
            </w:r>
          </w:p>
        </w:tc>
        <w:tc>
          <w:tcPr>
            <w:tcW w:w="1766" w:type="dxa"/>
            <w:tcBorders>
              <w:tl2br w:val="nil"/>
              <w:tr2bl w:val="nil"/>
            </w:tcBorders>
            <w:noWrap w:val="0"/>
            <w:vAlign w:val="center"/>
          </w:tcPr>
          <w:p w14:paraId="0E670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测量仪器</w:t>
            </w:r>
          </w:p>
        </w:tc>
        <w:tc>
          <w:tcPr>
            <w:tcW w:w="1582" w:type="dxa"/>
            <w:tcBorders>
              <w:tl2br w:val="nil"/>
              <w:tr2bl w:val="nil"/>
            </w:tcBorders>
            <w:noWrap w:val="0"/>
            <w:vAlign w:val="center"/>
          </w:tcPr>
          <w:p w14:paraId="5D0E3F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2BBD7E3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F35FF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214D00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D03F30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14</w:t>
            </w:r>
          </w:p>
        </w:tc>
        <w:tc>
          <w:tcPr>
            <w:tcW w:w="1766" w:type="dxa"/>
            <w:tcBorders>
              <w:tl2br w:val="nil"/>
              <w:tr2bl w:val="nil"/>
            </w:tcBorders>
            <w:noWrap w:val="0"/>
            <w:vAlign w:val="center"/>
          </w:tcPr>
          <w:p w14:paraId="0AB38C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试验仪器</w:t>
            </w:r>
          </w:p>
        </w:tc>
        <w:tc>
          <w:tcPr>
            <w:tcW w:w="1582" w:type="dxa"/>
            <w:tcBorders>
              <w:tl2br w:val="nil"/>
              <w:tr2bl w:val="nil"/>
            </w:tcBorders>
            <w:noWrap w:val="0"/>
            <w:vAlign w:val="center"/>
          </w:tcPr>
          <w:p w14:paraId="3D5FE90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77F008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ADF89C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3EF439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F720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15</w:t>
            </w:r>
          </w:p>
        </w:tc>
        <w:tc>
          <w:tcPr>
            <w:tcW w:w="1766" w:type="dxa"/>
            <w:tcBorders>
              <w:tl2br w:val="nil"/>
              <w:tr2bl w:val="nil"/>
            </w:tcBorders>
            <w:noWrap w:val="0"/>
            <w:vAlign w:val="center"/>
          </w:tcPr>
          <w:p w14:paraId="27771A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板车</w:t>
            </w:r>
          </w:p>
        </w:tc>
        <w:tc>
          <w:tcPr>
            <w:tcW w:w="1582" w:type="dxa"/>
            <w:tcBorders>
              <w:tl2br w:val="nil"/>
              <w:tr2bl w:val="nil"/>
            </w:tcBorders>
            <w:noWrap w:val="0"/>
            <w:vAlign w:val="center"/>
          </w:tcPr>
          <w:p w14:paraId="13DE7D2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18BDED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A17F9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运送材料</w:t>
            </w:r>
          </w:p>
        </w:tc>
      </w:tr>
      <w:tr w14:paraId="5FC421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93633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c>
          <w:tcPr>
            <w:tcW w:w="1766" w:type="dxa"/>
            <w:tcBorders>
              <w:tl2br w:val="nil"/>
              <w:tr2bl w:val="nil"/>
            </w:tcBorders>
            <w:noWrap w:val="0"/>
            <w:vAlign w:val="center"/>
          </w:tcPr>
          <w:p w14:paraId="46D66F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小型夯实机</w:t>
            </w:r>
          </w:p>
        </w:tc>
        <w:tc>
          <w:tcPr>
            <w:tcW w:w="1582" w:type="dxa"/>
            <w:tcBorders>
              <w:tl2br w:val="nil"/>
              <w:tr2bl w:val="nil"/>
            </w:tcBorders>
            <w:noWrap w:val="0"/>
            <w:vAlign w:val="center"/>
          </w:tcPr>
          <w:p w14:paraId="09F1A09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1D78B2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65F37B0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夯实基础</w:t>
            </w:r>
          </w:p>
        </w:tc>
      </w:tr>
    </w:tbl>
    <w:p w14:paraId="3A0DC521">
      <w:pPr>
        <w:pStyle w:val="14"/>
        <w:bidi w:val="0"/>
        <w:rPr>
          <w:rFonts w:hint="eastAsia"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3.2每台</w:t>
      </w:r>
      <w:r>
        <w:rPr>
          <w:rFonts w:hint="eastAsia" w:ascii="黑体" w:hAnsi="宋体" w:eastAsia="黑体" w:cs="黑体"/>
          <w:kern w:val="2"/>
          <w:sz w:val="21"/>
          <w:szCs w:val="21"/>
          <w:highlight w:val="none"/>
          <w:lang w:val="en-US" w:eastAsia="zh-CN" w:bidi="ar"/>
        </w:rPr>
        <w:t>塔吊安装吊索具和专用工具的配备统计表</w:t>
      </w:r>
    </w:p>
    <w:tbl>
      <w:tblPr>
        <w:tblStyle w:val="28"/>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56"/>
        <w:gridCol w:w="1677"/>
        <w:gridCol w:w="1982"/>
        <w:gridCol w:w="1198"/>
        <w:gridCol w:w="1561"/>
        <w:gridCol w:w="1301"/>
      </w:tblGrid>
      <w:tr w14:paraId="3E3CE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DAE3F3" w:themeFill="accent5" w:themeFillTint="32"/>
            <w:noWrap w:val="0"/>
            <w:vAlign w:val="center"/>
          </w:tcPr>
          <w:p w14:paraId="20A9F4B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1677" w:type="dxa"/>
            <w:tcBorders>
              <w:tl2br w:val="nil"/>
              <w:tr2bl w:val="nil"/>
            </w:tcBorders>
            <w:shd w:val="clear" w:color="auto" w:fill="DAE3F3" w:themeFill="accent5" w:themeFillTint="32"/>
            <w:noWrap w:val="0"/>
            <w:vAlign w:val="center"/>
          </w:tcPr>
          <w:p w14:paraId="04D623C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名称</w:t>
            </w:r>
          </w:p>
        </w:tc>
        <w:tc>
          <w:tcPr>
            <w:tcW w:w="1982" w:type="dxa"/>
            <w:tcBorders>
              <w:tl2br w:val="nil"/>
              <w:tr2bl w:val="nil"/>
            </w:tcBorders>
            <w:shd w:val="clear" w:color="auto" w:fill="DAE3F3" w:themeFill="accent5" w:themeFillTint="32"/>
            <w:noWrap w:val="0"/>
            <w:vAlign w:val="center"/>
          </w:tcPr>
          <w:p w14:paraId="3132BAC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规格</w:t>
            </w:r>
          </w:p>
        </w:tc>
        <w:tc>
          <w:tcPr>
            <w:tcW w:w="1198" w:type="dxa"/>
            <w:tcBorders>
              <w:tl2br w:val="nil"/>
              <w:tr2bl w:val="nil"/>
            </w:tcBorders>
            <w:shd w:val="clear" w:color="auto" w:fill="DAE3F3" w:themeFill="accent5" w:themeFillTint="32"/>
            <w:noWrap w:val="0"/>
            <w:vAlign w:val="center"/>
          </w:tcPr>
          <w:p w14:paraId="3DB75DB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精度等级</w:t>
            </w:r>
          </w:p>
        </w:tc>
        <w:tc>
          <w:tcPr>
            <w:tcW w:w="1561" w:type="dxa"/>
            <w:tcBorders>
              <w:tl2br w:val="nil"/>
              <w:tr2bl w:val="nil"/>
            </w:tcBorders>
            <w:shd w:val="clear" w:color="auto" w:fill="DAE3F3" w:themeFill="accent5" w:themeFillTint="32"/>
            <w:noWrap w:val="0"/>
            <w:vAlign w:val="center"/>
          </w:tcPr>
          <w:p w14:paraId="73BECF5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301" w:type="dxa"/>
            <w:tcBorders>
              <w:tl2br w:val="nil"/>
              <w:tr2bl w:val="nil"/>
            </w:tcBorders>
            <w:shd w:val="clear" w:color="auto" w:fill="DAE3F3" w:themeFill="accent5" w:themeFillTint="32"/>
            <w:noWrap w:val="0"/>
            <w:vAlign w:val="center"/>
          </w:tcPr>
          <w:p w14:paraId="3E996A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备注</w:t>
            </w:r>
          </w:p>
        </w:tc>
      </w:tr>
      <w:tr w14:paraId="4BCC367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49C6EC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677" w:type="dxa"/>
            <w:tcBorders>
              <w:tl2br w:val="nil"/>
              <w:tr2bl w:val="nil"/>
            </w:tcBorders>
            <w:noWrap w:val="0"/>
            <w:vAlign w:val="center"/>
          </w:tcPr>
          <w:p w14:paraId="70612D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1982" w:type="dxa"/>
            <w:tcBorders>
              <w:tl2br w:val="nil"/>
              <w:tr2bl w:val="nil"/>
            </w:tcBorders>
            <w:noWrap w:val="0"/>
            <w:vAlign w:val="center"/>
          </w:tcPr>
          <w:p w14:paraId="01C4A2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80t</w:t>
            </w:r>
          </w:p>
        </w:tc>
        <w:tc>
          <w:tcPr>
            <w:tcW w:w="1198" w:type="dxa"/>
            <w:tcBorders>
              <w:tl2br w:val="nil"/>
              <w:tr2bl w:val="nil"/>
            </w:tcBorders>
            <w:noWrap w:val="0"/>
            <w:vAlign w:val="center"/>
          </w:tcPr>
          <w:p w14:paraId="601060B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A5920C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70F416A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7D2121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10C2B04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28B3F1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677" w:type="dxa"/>
            <w:tcBorders>
              <w:tl2br w:val="nil"/>
              <w:tr2bl w:val="nil"/>
            </w:tcBorders>
            <w:noWrap w:val="0"/>
            <w:vAlign w:val="center"/>
          </w:tcPr>
          <w:p w14:paraId="55E6594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1982" w:type="dxa"/>
            <w:tcBorders>
              <w:tl2br w:val="nil"/>
              <w:tr2bl w:val="nil"/>
            </w:tcBorders>
            <w:noWrap w:val="0"/>
            <w:vAlign w:val="center"/>
          </w:tcPr>
          <w:p w14:paraId="6853BA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80t</w:t>
            </w:r>
          </w:p>
        </w:tc>
        <w:tc>
          <w:tcPr>
            <w:tcW w:w="1198" w:type="dxa"/>
            <w:tcBorders>
              <w:tl2br w:val="nil"/>
              <w:tr2bl w:val="nil"/>
            </w:tcBorders>
            <w:noWrap w:val="0"/>
            <w:vAlign w:val="center"/>
          </w:tcPr>
          <w:p w14:paraId="6348DAA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2CD17E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1A04BB9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07465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7DF0E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074939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677" w:type="dxa"/>
            <w:tcBorders>
              <w:tl2br w:val="nil"/>
              <w:tr2bl w:val="nil"/>
            </w:tcBorders>
            <w:noWrap w:val="0"/>
            <w:vAlign w:val="center"/>
          </w:tcPr>
          <w:p w14:paraId="7F98DE5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钢丝绳扣</w:t>
            </w:r>
          </w:p>
        </w:tc>
        <w:tc>
          <w:tcPr>
            <w:tcW w:w="1982" w:type="dxa"/>
            <w:tcBorders>
              <w:tl2br w:val="nil"/>
              <w:tr2bl w:val="nil"/>
            </w:tcBorders>
            <w:noWrap w:val="0"/>
            <w:vAlign w:val="center"/>
          </w:tcPr>
          <w:p w14:paraId="18AF729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（24×6m</w:t>
            </w:r>
          </w:p>
        </w:tc>
        <w:tc>
          <w:tcPr>
            <w:tcW w:w="1198" w:type="dxa"/>
            <w:tcBorders>
              <w:tl2br w:val="nil"/>
              <w:tr2bl w:val="nil"/>
            </w:tcBorders>
            <w:noWrap w:val="0"/>
            <w:vAlign w:val="center"/>
          </w:tcPr>
          <w:p w14:paraId="4BAD46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6061BE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2对</w:t>
            </w:r>
          </w:p>
        </w:tc>
        <w:tc>
          <w:tcPr>
            <w:tcW w:w="1301" w:type="dxa"/>
            <w:tcBorders>
              <w:tl2br w:val="nil"/>
              <w:tr2bl w:val="nil"/>
            </w:tcBorders>
            <w:noWrap w:val="0"/>
            <w:vAlign w:val="center"/>
          </w:tcPr>
          <w:p w14:paraId="105889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BE8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5018BED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677" w:type="dxa"/>
            <w:tcBorders>
              <w:tl2br w:val="nil"/>
              <w:tr2bl w:val="nil"/>
            </w:tcBorders>
            <w:noWrap w:val="0"/>
            <w:vAlign w:val="center"/>
          </w:tcPr>
          <w:p w14:paraId="603296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钢丝绳扣</w:t>
            </w:r>
          </w:p>
        </w:tc>
        <w:tc>
          <w:tcPr>
            <w:tcW w:w="1982" w:type="dxa"/>
            <w:tcBorders>
              <w:tl2br w:val="nil"/>
              <w:tr2bl w:val="nil"/>
            </w:tcBorders>
            <w:noWrap w:val="0"/>
            <w:vAlign w:val="center"/>
          </w:tcPr>
          <w:p w14:paraId="5B0E30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（24×12m</w:t>
            </w:r>
          </w:p>
        </w:tc>
        <w:tc>
          <w:tcPr>
            <w:tcW w:w="1198" w:type="dxa"/>
            <w:tcBorders>
              <w:tl2br w:val="nil"/>
              <w:tr2bl w:val="nil"/>
            </w:tcBorders>
            <w:noWrap w:val="0"/>
            <w:vAlign w:val="center"/>
          </w:tcPr>
          <w:p w14:paraId="1E6B7F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2DD6B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1对</w:t>
            </w:r>
          </w:p>
        </w:tc>
        <w:tc>
          <w:tcPr>
            <w:tcW w:w="1301" w:type="dxa"/>
            <w:tcBorders>
              <w:tl2br w:val="nil"/>
              <w:tr2bl w:val="nil"/>
            </w:tcBorders>
            <w:noWrap w:val="0"/>
            <w:vAlign w:val="center"/>
          </w:tcPr>
          <w:p w14:paraId="19D7186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A75FA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ED5DE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677" w:type="dxa"/>
            <w:tcBorders>
              <w:tl2br w:val="nil"/>
              <w:tr2bl w:val="nil"/>
            </w:tcBorders>
            <w:noWrap w:val="0"/>
            <w:vAlign w:val="center"/>
          </w:tcPr>
          <w:p w14:paraId="6974AF9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钢丝绳扣</w:t>
            </w:r>
          </w:p>
        </w:tc>
        <w:tc>
          <w:tcPr>
            <w:tcW w:w="1982" w:type="dxa"/>
            <w:tcBorders>
              <w:tl2br w:val="nil"/>
              <w:tr2bl w:val="nil"/>
            </w:tcBorders>
            <w:noWrap w:val="0"/>
            <w:vAlign w:val="center"/>
          </w:tcPr>
          <w:p w14:paraId="2B1BD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（21×6m</w:t>
            </w:r>
          </w:p>
        </w:tc>
        <w:tc>
          <w:tcPr>
            <w:tcW w:w="1198" w:type="dxa"/>
            <w:tcBorders>
              <w:tl2br w:val="nil"/>
              <w:tr2bl w:val="nil"/>
            </w:tcBorders>
            <w:noWrap w:val="0"/>
            <w:vAlign w:val="center"/>
          </w:tcPr>
          <w:p w14:paraId="7EFA9C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0A1089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2对</w:t>
            </w:r>
          </w:p>
        </w:tc>
        <w:tc>
          <w:tcPr>
            <w:tcW w:w="1301" w:type="dxa"/>
            <w:tcBorders>
              <w:tl2br w:val="nil"/>
              <w:tr2bl w:val="nil"/>
            </w:tcBorders>
            <w:noWrap w:val="0"/>
            <w:vAlign w:val="center"/>
          </w:tcPr>
          <w:p w14:paraId="33CA054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8A41E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6AEC41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677" w:type="dxa"/>
            <w:tcBorders>
              <w:tl2br w:val="nil"/>
              <w:tr2bl w:val="nil"/>
            </w:tcBorders>
            <w:noWrap w:val="0"/>
            <w:vAlign w:val="center"/>
          </w:tcPr>
          <w:p w14:paraId="60D82D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钢丝绳扣</w:t>
            </w:r>
          </w:p>
        </w:tc>
        <w:tc>
          <w:tcPr>
            <w:tcW w:w="1982" w:type="dxa"/>
            <w:tcBorders>
              <w:tl2br w:val="nil"/>
              <w:tr2bl w:val="nil"/>
            </w:tcBorders>
            <w:noWrap w:val="0"/>
            <w:vAlign w:val="center"/>
          </w:tcPr>
          <w:p w14:paraId="071209C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（22×12m</w:t>
            </w:r>
          </w:p>
        </w:tc>
        <w:tc>
          <w:tcPr>
            <w:tcW w:w="1198" w:type="dxa"/>
            <w:tcBorders>
              <w:tl2br w:val="nil"/>
              <w:tr2bl w:val="nil"/>
            </w:tcBorders>
            <w:noWrap w:val="0"/>
            <w:vAlign w:val="center"/>
          </w:tcPr>
          <w:p w14:paraId="44EEB5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21F8B9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2对</w:t>
            </w:r>
          </w:p>
        </w:tc>
        <w:tc>
          <w:tcPr>
            <w:tcW w:w="1301" w:type="dxa"/>
            <w:tcBorders>
              <w:tl2br w:val="nil"/>
              <w:tr2bl w:val="nil"/>
            </w:tcBorders>
            <w:noWrap w:val="0"/>
            <w:vAlign w:val="center"/>
          </w:tcPr>
          <w:p w14:paraId="28FDC4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1F08C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5AEF7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677" w:type="dxa"/>
            <w:tcBorders>
              <w:tl2br w:val="nil"/>
              <w:tr2bl w:val="nil"/>
            </w:tcBorders>
            <w:noWrap w:val="0"/>
            <w:vAlign w:val="center"/>
          </w:tcPr>
          <w:p w14:paraId="55D75D0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钢丝绳扣</w:t>
            </w:r>
          </w:p>
        </w:tc>
        <w:tc>
          <w:tcPr>
            <w:tcW w:w="1982" w:type="dxa"/>
            <w:tcBorders>
              <w:tl2br w:val="nil"/>
              <w:tr2bl w:val="nil"/>
            </w:tcBorders>
            <w:noWrap w:val="0"/>
            <w:vAlign w:val="center"/>
          </w:tcPr>
          <w:p w14:paraId="0EA235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（22×6m</w:t>
            </w:r>
          </w:p>
        </w:tc>
        <w:tc>
          <w:tcPr>
            <w:tcW w:w="1198" w:type="dxa"/>
            <w:tcBorders>
              <w:tl2br w:val="nil"/>
              <w:tr2bl w:val="nil"/>
            </w:tcBorders>
            <w:noWrap w:val="0"/>
            <w:vAlign w:val="center"/>
          </w:tcPr>
          <w:p w14:paraId="33DA8E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0276A3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2对</w:t>
            </w:r>
          </w:p>
        </w:tc>
        <w:tc>
          <w:tcPr>
            <w:tcW w:w="1301" w:type="dxa"/>
            <w:tcBorders>
              <w:tl2br w:val="nil"/>
              <w:tr2bl w:val="nil"/>
            </w:tcBorders>
            <w:noWrap w:val="0"/>
            <w:vAlign w:val="center"/>
          </w:tcPr>
          <w:p w14:paraId="68E8308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F4A510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4CB49D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677" w:type="dxa"/>
            <w:tcBorders>
              <w:tl2br w:val="nil"/>
              <w:tr2bl w:val="nil"/>
            </w:tcBorders>
            <w:noWrap w:val="0"/>
            <w:vAlign w:val="center"/>
          </w:tcPr>
          <w:p w14:paraId="46506E7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倒链</w:t>
            </w:r>
          </w:p>
        </w:tc>
        <w:tc>
          <w:tcPr>
            <w:tcW w:w="1982" w:type="dxa"/>
            <w:tcBorders>
              <w:tl2br w:val="nil"/>
              <w:tr2bl w:val="nil"/>
            </w:tcBorders>
            <w:noWrap w:val="0"/>
            <w:vAlign w:val="center"/>
          </w:tcPr>
          <w:p w14:paraId="711BC6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2t、3t</w:t>
            </w:r>
          </w:p>
        </w:tc>
        <w:tc>
          <w:tcPr>
            <w:tcW w:w="1198" w:type="dxa"/>
            <w:tcBorders>
              <w:tl2br w:val="nil"/>
              <w:tr2bl w:val="nil"/>
            </w:tcBorders>
            <w:noWrap w:val="0"/>
            <w:vAlign w:val="center"/>
          </w:tcPr>
          <w:p w14:paraId="69901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7770F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各2个</w:t>
            </w:r>
          </w:p>
        </w:tc>
        <w:tc>
          <w:tcPr>
            <w:tcW w:w="1301" w:type="dxa"/>
            <w:tcBorders>
              <w:tl2br w:val="nil"/>
              <w:tr2bl w:val="nil"/>
            </w:tcBorders>
            <w:noWrap w:val="0"/>
            <w:vAlign w:val="center"/>
          </w:tcPr>
          <w:p w14:paraId="57634E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31B4B5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5A50F0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677" w:type="dxa"/>
            <w:tcBorders>
              <w:tl2br w:val="nil"/>
              <w:tr2bl w:val="nil"/>
            </w:tcBorders>
            <w:noWrap w:val="0"/>
            <w:vAlign w:val="center"/>
          </w:tcPr>
          <w:p w14:paraId="5ACB993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1982" w:type="dxa"/>
            <w:tcBorders>
              <w:tl2br w:val="nil"/>
              <w:tr2bl w:val="nil"/>
            </w:tcBorders>
            <w:noWrap w:val="0"/>
            <w:vAlign w:val="center"/>
          </w:tcPr>
          <w:p w14:paraId="6A2A641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10t</w:t>
            </w:r>
          </w:p>
        </w:tc>
        <w:tc>
          <w:tcPr>
            <w:tcW w:w="1198" w:type="dxa"/>
            <w:tcBorders>
              <w:tl2br w:val="nil"/>
              <w:tr2bl w:val="nil"/>
            </w:tcBorders>
            <w:noWrap w:val="0"/>
            <w:vAlign w:val="center"/>
          </w:tcPr>
          <w:p w14:paraId="650861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4437F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2个</w:t>
            </w:r>
          </w:p>
        </w:tc>
        <w:tc>
          <w:tcPr>
            <w:tcW w:w="1301" w:type="dxa"/>
            <w:tcBorders>
              <w:tl2br w:val="nil"/>
              <w:tr2bl w:val="nil"/>
            </w:tcBorders>
            <w:noWrap w:val="0"/>
            <w:vAlign w:val="center"/>
          </w:tcPr>
          <w:p w14:paraId="0F69D21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B587F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E4F75C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677" w:type="dxa"/>
            <w:tcBorders>
              <w:tl2br w:val="nil"/>
              <w:tr2bl w:val="nil"/>
            </w:tcBorders>
            <w:noWrap w:val="0"/>
            <w:vAlign w:val="center"/>
          </w:tcPr>
          <w:p w14:paraId="6B6B4B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1982" w:type="dxa"/>
            <w:tcBorders>
              <w:tl2br w:val="nil"/>
              <w:tr2bl w:val="nil"/>
            </w:tcBorders>
            <w:noWrap w:val="0"/>
            <w:vAlign w:val="center"/>
          </w:tcPr>
          <w:p w14:paraId="43A48C2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5t</w:t>
            </w:r>
          </w:p>
        </w:tc>
        <w:tc>
          <w:tcPr>
            <w:tcW w:w="1198" w:type="dxa"/>
            <w:tcBorders>
              <w:tl2br w:val="nil"/>
              <w:tr2bl w:val="nil"/>
            </w:tcBorders>
            <w:noWrap w:val="0"/>
            <w:vAlign w:val="center"/>
          </w:tcPr>
          <w:p w14:paraId="640C93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30C3B33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4个</w:t>
            </w:r>
          </w:p>
        </w:tc>
        <w:tc>
          <w:tcPr>
            <w:tcW w:w="1301" w:type="dxa"/>
            <w:tcBorders>
              <w:tl2br w:val="nil"/>
              <w:tr2bl w:val="nil"/>
            </w:tcBorders>
            <w:noWrap w:val="0"/>
            <w:vAlign w:val="center"/>
          </w:tcPr>
          <w:p w14:paraId="06F5D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08401D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19F352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677" w:type="dxa"/>
            <w:tcBorders>
              <w:tl2br w:val="nil"/>
              <w:tr2bl w:val="nil"/>
            </w:tcBorders>
            <w:noWrap w:val="0"/>
            <w:vAlign w:val="center"/>
          </w:tcPr>
          <w:p w14:paraId="286FE3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大锤</w:t>
            </w:r>
          </w:p>
        </w:tc>
        <w:tc>
          <w:tcPr>
            <w:tcW w:w="1982" w:type="dxa"/>
            <w:tcBorders>
              <w:tl2br w:val="nil"/>
              <w:tr2bl w:val="nil"/>
            </w:tcBorders>
            <w:noWrap w:val="0"/>
            <w:vAlign w:val="center"/>
          </w:tcPr>
          <w:p w14:paraId="254A85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20磅</w:t>
            </w:r>
          </w:p>
        </w:tc>
        <w:tc>
          <w:tcPr>
            <w:tcW w:w="1198" w:type="dxa"/>
            <w:tcBorders>
              <w:tl2br w:val="nil"/>
              <w:tr2bl w:val="nil"/>
            </w:tcBorders>
            <w:noWrap w:val="0"/>
            <w:vAlign w:val="center"/>
          </w:tcPr>
          <w:p w14:paraId="695531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5987A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4把</w:t>
            </w:r>
          </w:p>
        </w:tc>
        <w:tc>
          <w:tcPr>
            <w:tcW w:w="1301" w:type="dxa"/>
            <w:tcBorders>
              <w:tl2br w:val="nil"/>
              <w:tr2bl w:val="nil"/>
            </w:tcBorders>
            <w:noWrap w:val="0"/>
            <w:vAlign w:val="center"/>
          </w:tcPr>
          <w:p w14:paraId="6BCE79A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E09A7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2BBE82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w:t>
            </w:r>
          </w:p>
        </w:tc>
        <w:tc>
          <w:tcPr>
            <w:tcW w:w="1677" w:type="dxa"/>
            <w:tcBorders>
              <w:tl2br w:val="nil"/>
              <w:tr2bl w:val="nil"/>
            </w:tcBorders>
            <w:noWrap w:val="0"/>
            <w:vAlign w:val="center"/>
          </w:tcPr>
          <w:p w14:paraId="10C1A7B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手锤</w:t>
            </w:r>
          </w:p>
        </w:tc>
        <w:tc>
          <w:tcPr>
            <w:tcW w:w="1982" w:type="dxa"/>
            <w:tcBorders>
              <w:tl2br w:val="nil"/>
              <w:tr2bl w:val="nil"/>
            </w:tcBorders>
            <w:noWrap w:val="0"/>
            <w:vAlign w:val="center"/>
          </w:tcPr>
          <w:p w14:paraId="1752BA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8磅</w:t>
            </w:r>
          </w:p>
        </w:tc>
        <w:tc>
          <w:tcPr>
            <w:tcW w:w="1198" w:type="dxa"/>
            <w:tcBorders>
              <w:tl2br w:val="nil"/>
              <w:tr2bl w:val="nil"/>
            </w:tcBorders>
            <w:noWrap w:val="0"/>
            <w:vAlign w:val="center"/>
          </w:tcPr>
          <w:p w14:paraId="3AE64CC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1C571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2把</w:t>
            </w:r>
          </w:p>
        </w:tc>
        <w:tc>
          <w:tcPr>
            <w:tcW w:w="1301" w:type="dxa"/>
            <w:tcBorders>
              <w:tl2br w:val="nil"/>
              <w:tr2bl w:val="nil"/>
            </w:tcBorders>
            <w:noWrap w:val="0"/>
            <w:vAlign w:val="center"/>
          </w:tcPr>
          <w:p w14:paraId="3BA8B9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0C63B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E0677D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13</w:t>
            </w:r>
          </w:p>
        </w:tc>
        <w:tc>
          <w:tcPr>
            <w:tcW w:w="1677" w:type="dxa"/>
            <w:tcBorders>
              <w:tl2br w:val="nil"/>
              <w:tr2bl w:val="nil"/>
            </w:tcBorders>
            <w:noWrap w:val="0"/>
            <w:vAlign w:val="center"/>
          </w:tcPr>
          <w:p w14:paraId="70E5136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溜绳</w:t>
            </w:r>
          </w:p>
        </w:tc>
        <w:tc>
          <w:tcPr>
            <w:tcW w:w="1982" w:type="dxa"/>
            <w:tcBorders>
              <w:tl2br w:val="nil"/>
              <w:tr2bl w:val="nil"/>
            </w:tcBorders>
            <w:noWrap w:val="0"/>
            <w:vAlign w:val="center"/>
          </w:tcPr>
          <w:p w14:paraId="1BDEC7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（16（50m</w:t>
            </w:r>
          </w:p>
        </w:tc>
        <w:tc>
          <w:tcPr>
            <w:tcW w:w="1198" w:type="dxa"/>
            <w:tcBorders>
              <w:tl2br w:val="nil"/>
              <w:tr2bl w:val="nil"/>
            </w:tcBorders>
            <w:noWrap w:val="0"/>
            <w:vAlign w:val="center"/>
          </w:tcPr>
          <w:p w14:paraId="21CC4D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19610CF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30A34C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3FD5B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A6AF7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14</w:t>
            </w:r>
          </w:p>
        </w:tc>
        <w:tc>
          <w:tcPr>
            <w:tcW w:w="1677" w:type="dxa"/>
            <w:tcBorders>
              <w:tl2br w:val="nil"/>
              <w:tr2bl w:val="nil"/>
            </w:tcBorders>
            <w:noWrap w:val="0"/>
            <w:vAlign w:val="center"/>
          </w:tcPr>
          <w:p w14:paraId="0691CF7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小绳扣</w:t>
            </w:r>
          </w:p>
        </w:tc>
        <w:tc>
          <w:tcPr>
            <w:tcW w:w="1982" w:type="dxa"/>
            <w:tcBorders>
              <w:tl2br w:val="nil"/>
              <w:tr2bl w:val="nil"/>
            </w:tcBorders>
            <w:noWrap w:val="0"/>
            <w:vAlign w:val="center"/>
          </w:tcPr>
          <w:p w14:paraId="27C761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（17.5（2m</w:t>
            </w:r>
          </w:p>
        </w:tc>
        <w:tc>
          <w:tcPr>
            <w:tcW w:w="1198" w:type="dxa"/>
            <w:tcBorders>
              <w:tl2br w:val="nil"/>
              <w:tr2bl w:val="nil"/>
            </w:tcBorders>
            <w:noWrap w:val="0"/>
            <w:vAlign w:val="center"/>
          </w:tcPr>
          <w:p w14:paraId="6CD1C9B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2B37C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4832522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bl>
    <w:p w14:paraId="02C1B4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w:t>
      </w:r>
      <w:r>
        <w:rPr>
          <w:rFonts w:hint="eastAsia" w:ascii="仿宋" w:hAnsi="仿宋" w:eastAsia="仿宋" w:cs="仿宋"/>
          <w:color w:val="000000"/>
          <w:sz w:val="21"/>
          <w:szCs w:val="21"/>
          <w:highlight w:val="none"/>
        </w:rPr>
        <w:t>施工机械、机具进行检修，保证运转良好；做好易损、易坏件的备品工作；机械、机具有关的负荷实验、计量鉴定证书、使用证、能力鉴定等资料应齐全。</w:t>
      </w:r>
    </w:p>
    <w:p w14:paraId="61097A94">
      <w:pPr>
        <w:pStyle w:val="14"/>
        <w:spacing w:line="360" w:lineRule="auto"/>
        <w:ind w:firstLine="0" w:firstLineChars="0"/>
        <w:jc w:val="center"/>
        <w:rPr>
          <w:rFonts w:hint="eastAsia"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3.3每台</w:t>
      </w:r>
      <w:r>
        <w:rPr>
          <w:rFonts w:hint="eastAsia" w:ascii="黑体" w:hAnsi="宋体" w:eastAsia="黑体" w:cs="黑体"/>
          <w:kern w:val="2"/>
          <w:sz w:val="21"/>
          <w:szCs w:val="21"/>
          <w:highlight w:val="none"/>
          <w:lang w:val="en-US" w:eastAsia="zh-CN" w:bidi="ar"/>
        </w:rPr>
        <w:t>塔吊安装安全器具</w:t>
      </w:r>
    </w:p>
    <w:tbl>
      <w:tblPr>
        <w:tblStyle w:val="28"/>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21"/>
        <w:gridCol w:w="2408"/>
        <w:gridCol w:w="2127"/>
        <w:gridCol w:w="1560"/>
        <w:gridCol w:w="1522"/>
      </w:tblGrid>
      <w:tr w14:paraId="0E2835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shd w:val="clear" w:color="auto" w:fill="DAE3F3" w:themeFill="accent5" w:themeFillTint="32"/>
            <w:noWrap w:val="0"/>
            <w:vAlign w:val="center"/>
          </w:tcPr>
          <w:p w14:paraId="79B083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2408" w:type="dxa"/>
            <w:tcBorders>
              <w:tl2br w:val="nil"/>
              <w:tr2bl w:val="nil"/>
            </w:tcBorders>
            <w:shd w:val="clear" w:color="auto" w:fill="DAE3F3" w:themeFill="accent5" w:themeFillTint="32"/>
            <w:noWrap w:val="0"/>
            <w:vAlign w:val="center"/>
          </w:tcPr>
          <w:p w14:paraId="452AE7B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  称</w:t>
            </w:r>
          </w:p>
        </w:tc>
        <w:tc>
          <w:tcPr>
            <w:tcW w:w="2127" w:type="dxa"/>
            <w:tcBorders>
              <w:tl2br w:val="nil"/>
              <w:tr2bl w:val="nil"/>
            </w:tcBorders>
            <w:shd w:val="clear" w:color="auto" w:fill="DAE3F3" w:themeFill="accent5" w:themeFillTint="32"/>
            <w:noWrap w:val="0"/>
            <w:vAlign w:val="center"/>
          </w:tcPr>
          <w:p w14:paraId="426F995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  格</w:t>
            </w:r>
          </w:p>
        </w:tc>
        <w:tc>
          <w:tcPr>
            <w:tcW w:w="1560" w:type="dxa"/>
            <w:tcBorders>
              <w:tl2br w:val="nil"/>
              <w:tr2bl w:val="nil"/>
            </w:tcBorders>
            <w:shd w:val="clear" w:color="auto" w:fill="DAE3F3" w:themeFill="accent5" w:themeFillTint="32"/>
            <w:noWrap w:val="0"/>
            <w:vAlign w:val="center"/>
          </w:tcPr>
          <w:p w14:paraId="20DA9D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522" w:type="dxa"/>
            <w:tcBorders>
              <w:tl2br w:val="nil"/>
              <w:tr2bl w:val="nil"/>
            </w:tcBorders>
            <w:shd w:val="clear" w:color="auto" w:fill="DAE3F3" w:themeFill="accent5" w:themeFillTint="32"/>
            <w:noWrap w:val="0"/>
            <w:vAlign w:val="center"/>
          </w:tcPr>
          <w:p w14:paraId="4EB9D2C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数量</w:t>
            </w:r>
          </w:p>
        </w:tc>
      </w:tr>
      <w:tr w14:paraId="083EE4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AE160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408" w:type="dxa"/>
            <w:tcBorders>
              <w:tl2br w:val="nil"/>
              <w:tr2bl w:val="nil"/>
            </w:tcBorders>
            <w:noWrap w:val="0"/>
            <w:vAlign w:val="center"/>
          </w:tcPr>
          <w:p w14:paraId="7362A07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安全带</w:t>
            </w:r>
          </w:p>
        </w:tc>
        <w:tc>
          <w:tcPr>
            <w:tcW w:w="2127" w:type="dxa"/>
            <w:tcBorders>
              <w:tl2br w:val="nil"/>
              <w:tr2bl w:val="nil"/>
            </w:tcBorders>
            <w:noWrap w:val="0"/>
            <w:vAlign w:val="center"/>
          </w:tcPr>
          <w:p w14:paraId="3A8652E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15AB0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条</w:t>
            </w:r>
          </w:p>
        </w:tc>
        <w:tc>
          <w:tcPr>
            <w:tcW w:w="1522" w:type="dxa"/>
            <w:tcBorders>
              <w:tl2br w:val="nil"/>
              <w:tr2bl w:val="nil"/>
            </w:tcBorders>
            <w:noWrap w:val="0"/>
            <w:vAlign w:val="center"/>
          </w:tcPr>
          <w:p w14:paraId="6F7743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A199A7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59C521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408" w:type="dxa"/>
            <w:tcBorders>
              <w:tl2br w:val="nil"/>
              <w:tr2bl w:val="nil"/>
            </w:tcBorders>
            <w:noWrap w:val="0"/>
            <w:vAlign w:val="center"/>
          </w:tcPr>
          <w:p w14:paraId="3A8177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工具袋</w:t>
            </w:r>
          </w:p>
        </w:tc>
        <w:tc>
          <w:tcPr>
            <w:tcW w:w="2127" w:type="dxa"/>
            <w:tcBorders>
              <w:tl2br w:val="nil"/>
              <w:tr2bl w:val="nil"/>
            </w:tcBorders>
            <w:noWrap w:val="0"/>
            <w:vAlign w:val="center"/>
          </w:tcPr>
          <w:p w14:paraId="19EC5A3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5E5E6D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7F3558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4EE920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7FEB24A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408" w:type="dxa"/>
            <w:tcBorders>
              <w:tl2br w:val="nil"/>
              <w:tr2bl w:val="nil"/>
            </w:tcBorders>
            <w:noWrap w:val="0"/>
            <w:vAlign w:val="center"/>
          </w:tcPr>
          <w:p w14:paraId="1E6E030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安全帽</w:t>
            </w:r>
          </w:p>
        </w:tc>
        <w:tc>
          <w:tcPr>
            <w:tcW w:w="2127" w:type="dxa"/>
            <w:tcBorders>
              <w:tl2br w:val="nil"/>
              <w:tr2bl w:val="nil"/>
            </w:tcBorders>
            <w:noWrap w:val="0"/>
            <w:vAlign w:val="center"/>
          </w:tcPr>
          <w:p w14:paraId="562B887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189D08E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BE756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1FAB295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E0B776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2408" w:type="dxa"/>
            <w:tcBorders>
              <w:tl2br w:val="nil"/>
              <w:tr2bl w:val="nil"/>
            </w:tcBorders>
            <w:noWrap w:val="0"/>
            <w:vAlign w:val="center"/>
          </w:tcPr>
          <w:p w14:paraId="2D7B19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防滑鞋</w:t>
            </w:r>
          </w:p>
        </w:tc>
        <w:tc>
          <w:tcPr>
            <w:tcW w:w="2127" w:type="dxa"/>
            <w:tcBorders>
              <w:tl2br w:val="nil"/>
              <w:tr2bl w:val="nil"/>
            </w:tcBorders>
            <w:noWrap w:val="0"/>
            <w:vAlign w:val="center"/>
          </w:tcPr>
          <w:p w14:paraId="75E384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85594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44612C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5BB573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6F897BC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2408" w:type="dxa"/>
            <w:tcBorders>
              <w:tl2br w:val="nil"/>
              <w:tr2bl w:val="nil"/>
            </w:tcBorders>
            <w:noWrap w:val="0"/>
            <w:vAlign w:val="center"/>
          </w:tcPr>
          <w:p w14:paraId="31CFBD5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手套</w:t>
            </w:r>
          </w:p>
        </w:tc>
        <w:tc>
          <w:tcPr>
            <w:tcW w:w="2127" w:type="dxa"/>
            <w:tcBorders>
              <w:tl2br w:val="nil"/>
              <w:tr2bl w:val="nil"/>
            </w:tcBorders>
            <w:noWrap w:val="0"/>
            <w:vAlign w:val="center"/>
          </w:tcPr>
          <w:p w14:paraId="4A2170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3B39B6B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779AA3D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r>
      <w:tr w14:paraId="4888A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3A78EA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2408" w:type="dxa"/>
            <w:tcBorders>
              <w:tl2br w:val="nil"/>
              <w:tr2bl w:val="nil"/>
            </w:tcBorders>
            <w:noWrap w:val="0"/>
            <w:vAlign w:val="center"/>
          </w:tcPr>
          <w:p w14:paraId="468EAD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对讲机（口哨）</w:t>
            </w:r>
          </w:p>
        </w:tc>
        <w:tc>
          <w:tcPr>
            <w:tcW w:w="2127" w:type="dxa"/>
            <w:tcBorders>
              <w:tl2br w:val="nil"/>
              <w:tr2bl w:val="nil"/>
            </w:tcBorders>
            <w:noWrap w:val="0"/>
            <w:vAlign w:val="center"/>
          </w:tcPr>
          <w:p w14:paraId="495EB5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21FA60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61CE62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r>
    </w:tbl>
    <w:p w14:paraId="2323C993">
      <w:pPr>
        <w:pStyle w:val="3"/>
        <w:rPr>
          <w:rFonts w:hint="default"/>
          <w:highlight w:val="none"/>
          <w:lang w:val="en-US" w:eastAsia="zh-CN"/>
        </w:rPr>
      </w:pPr>
      <w:bookmarkStart w:id="126" w:name="_Toc19078"/>
      <w:r>
        <w:rPr>
          <w:rFonts w:hint="eastAsia"/>
          <w:highlight w:val="none"/>
        </w:rPr>
        <w:t>3.</w:t>
      </w:r>
      <w:r>
        <w:rPr>
          <w:rFonts w:hint="eastAsia"/>
          <w:highlight w:val="none"/>
          <w:lang w:val="en-US" w:eastAsia="zh-CN"/>
        </w:rPr>
        <w:t>4施工</w:t>
      </w:r>
      <w:r>
        <w:rPr>
          <w:rFonts w:hint="eastAsia"/>
          <w:highlight w:val="none"/>
        </w:rPr>
        <w:t>材料</w:t>
      </w:r>
      <w:r>
        <w:rPr>
          <w:rFonts w:hint="eastAsia"/>
          <w:highlight w:val="none"/>
          <w:lang w:val="en-US" w:eastAsia="zh-CN"/>
        </w:rPr>
        <w:t>与安全工机具</w:t>
      </w:r>
      <w:bookmarkEnd w:id="124"/>
      <w:bookmarkEnd w:id="125"/>
      <w:bookmarkEnd w:id="126"/>
    </w:p>
    <w:bookmarkEnd w:id="111"/>
    <w:p w14:paraId="5951855E">
      <w:pPr>
        <w:ind w:firstLine="480"/>
        <w:rPr>
          <w:highlight w:val="none"/>
        </w:rPr>
      </w:pPr>
      <w:bookmarkStart w:id="127" w:name="_Toc10409791"/>
      <w:r>
        <w:rPr>
          <w:rFonts w:hint="eastAsia"/>
          <w:highlight w:val="none"/>
        </w:rPr>
        <w:t>工程材料根据</w:t>
      </w:r>
      <w:r>
        <w:rPr>
          <w:rFonts w:hint="eastAsia"/>
          <w:highlight w:val="none"/>
          <w:lang w:val="en-US" w:eastAsia="zh-CN"/>
        </w:rPr>
        <w:t>工</w:t>
      </w:r>
      <w:r>
        <w:rPr>
          <w:rFonts w:hint="eastAsia"/>
          <w:highlight w:val="none"/>
        </w:rPr>
        <w:t>期要求，结合施工进度，在保证原材质量的前提下，所有工程材料满足业主及施工现场进度要求。</w:t>
      </w:r>
    </w:p>
    <w:p w14:paraId="67EAE5FD">
      <w:pPr>
        <w:ind w:firstLine="480"/>
        <w:rPr>
          <w:highlight w:val="none"/>
        </w:rPr>
      </w:pPr>
      <w:r>
        <w:rPr>
          <w:rFonts w:hint="eastAsia"/>
          <w:highlight w:val="none"/>
        </w:rPr>
        <w:t>水泥、钢材</w:t>
      </w:r>
      <w:r>
        <w:rPr>
          <w:rFonts w:hint="eastAsia"/>
          <w:highlight w:val="none"/>
          <w:lang w:val="en-US" w:eastAsia="zh-CN"/>
        </w:rPr>
        <w:t>等</w:t>
      </w:r>
      <w:r>
        <w:rPr>
          <w:rFonts w:hint="eastAsia"/>
          <w:highlight w:val="none"/>
        </w:rPr>
        <w:t>主材由业主方提供。</w:t>
      </w:r>
    </w:p>
    <w:p w14:paraId="04C2E8F3">
      <w:pPr>
        <w:ind w:firstLine="480"/>
        <w:rPr>
          <w:highlight w:val="none"/>
        </w:rPr>
      </w:pPr>
      <w:r>
        <w:rPr>
          <w:rFonts w:hint="eastAsia"/>
          <w:highlight w:val="none"/>
        </w:rPr>
        <w:t>项目通过自建拌合站专门负责供应混凝土，其生产能力及运输能力均能满足施工需求。</w:t>
      </w:r>
    </w:p>
    <w:p w14:paraId="03560A63">
      <w:pPr>
        <w:ind w:firstLine="480"/>
        <w:rPr>
          <w:rFonts w:hint="eastAsia"/>
          <w:highlight w:val="none"/>
        </w:rPr>
      </w:pPr>
      <w:r>
        <w:rPr>
          <w:rFonts w:hint="eastAsia"/>
          <w:highlight w:val="none"/>
        </w:rPr>
        <w:t>由项目部出资购买的材料及甲供材料，现场技术员均应按制度规定提前向物设部报备，其他施工辅材由现场技术员督促协作单位购买进场。</w:t>
      </w:r>
    </w:p>
    <w:p w14:paraId="3E3B6664">
      <w:pPr>
        <w:pStyle w:val="14"/>
        <w:spacing w:line="360" w:lineRule="auto"/>
        <w:ind w:firstLine="0" w:firstLineChars="0"/>
        <w:jc w:val="center"/>
        <w:rPr>
          <w:rFonts w:hint="default" w:ascii="黑体" w:hAnsi="宋体" w:eastAsia="黑体" w:cs="黑体"/>
          <w:kern w:val="2"/>
          <w:sz w:val="21"/>
          <w:szCs w:val="21"/>
          <w:highlight w:val="none"/>
          <w:lang w:val="en-US" w:eastAsia="zh-CN" w:bidi="ar"/>
        </w:rPr>
      </w:pPr>
      <w:r>
        <w:rPr>
          <w:highlight w:val="none"/>
        </w:rPr>
        <w:t>表3-</w:t>
      </w:r>
      <w:r>
        <w:rPr>
          <w:highlight w:val="none"/>
        </w:rPr>
        <w:fldChar w:fldCharType="begin"/>
      </w:r>
      <w:r>
        <w:rPr>
          <w:highlight w:val="none"/>
        </w:rPr>
        <w:instrText xml:space="preserve"> SEQ 表3- \* ARABIC </w:instrText>
      </w:r>
      <w:r>
        <w:rPr>
          <w:highlight w:val="none"/>
        </w:rPr>
        <w:fldChar w:fldCharType="separate"/>
      </w:r>
      <w:r>
        <w:rPr>
          <w:highlight w:val="none"/>
        </w:rPr>
        <w:t>4</w:t>
      </w:r>
      <w:r>
        <w:rPr>
          <w:highlight w:val="none"/>
        </w:rPr>
        <w:fldChar w:fldCharType="end"/>
      </w:r>
      <w:r>
        <w:rPr>
          <w:rFonts w:hint="eastAsia"/>
          <w:highlight w:val="none"/>
          <w:lang w:val="en-US" w:eastAsia="zh-CN"/>
        </w:rPr>
        <w:t>每台</w:t>
      </w:r>
      <w:r>
        <w:rPr>
          <w:rFonts w:hint="eastAsia" w:ascii="黑体" w:hAnsi="宋体" w:eastAsia="黑体" w:cs="黑体"/>
          <w:kern w:val="2"/>
          <w:sz w:val="21"/>
          <w:szCs w:val="21"/>
          <w:highlight w:val="none"/>
          <w:lang w:val="en-US" w:eastAsia="zh-CN" w:bidi="ar"/>
        </w:rPr>
        <w:t>塔吊基础材料用量表</w:t>
      </w:r>
    </w:p>
    <w:tbl>
      <w:tblPr>
        <w:tblStyle w:val="28"/>
        <w:tblW w:w="0" w:type="auto"/>
        <w:jc w:val="center"/>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382"/>
        <w:gridCol w:w="1382"/>
        <w:gridCol w:w="1382"/>
        <w:gridCol w:w="1382"/>
        <w:gridCol w:w="1382"/>
        <w:gridCol w:w="1594"/>
      </w:tblGrid>
      <w:tr w14:paraId="3529CAF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tblHeader/>
          <w:jc w:val="center"/>
        </w:trPr>
        <w:tc>
          <w:tcPr>
            <w:tcW w:w="1382" w:type="dxa"/>
            <w:tcBorders>
              <w:top w:val="doub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49B3D1B">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序号</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80BE9A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名称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23B723F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规格</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71B869B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根数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41B35144">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单位</w:t>
            </w:r>
          </w:p>
        </w:tc>
        <w:tc>
          <w:tcPr>
            <w:tcW w:w="1594" w:type="dxa"/>
            <w:tcBorders>
              <w:top w:val="doub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shd w:val="clear" w:color="auto" w:fill="DAE3F3" w:themeFill="accent5" w:themeFillTint="32"/>
            <w:noWrap/>
            <w:tcMar>
              <w:top w:w="15" w:type="dxa"/>
              <w:left w:w="15" w:type="dxa"/>
              <w:right w:w="15" w:type="dxa"/>
            </w:tcMar>
            <w:vAlign w:val="center"/>
          </w:tcPr>
          <w:p w14:paraId="0C748B9D">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数量</w:t>
            </w:r>
          </w:p>
        </w:tc>
      </w:tr>
      <w:tr w14:paraId="04E6B44B">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5B52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0F694D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5DBA7D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811CDE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12B437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531E99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64@1500mm</w:t>
            </w:r>
          </w:p>
        </w:tc>
      </w:tr>
      <w:tr w14:paraId="27C3B58C">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CD76FB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8731FB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4D2736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708E6D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00EA5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86B0E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64@1500mm</w:t>
            </w:r>
          </w:p>
        </w:tc>
      </w:tr>
      <w:tr w14:paraId="08379C4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4703B8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3</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BFD837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Φ25圆钢</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711D3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Q235B</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DF5FC6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843839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C550EB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r>
      <w:tr w14:paraId="55F4CD4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4C49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BCC290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Φ12钢筋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A8A7A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C87CC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80E373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D8090AB">
            <w:pPr>
              <w:keepNext w:val="0"/>
              <w:keepLines w:val="0"/>
              <w:widowControl/>
              <w:suppressLineNumbers w:val="0"/>
              <w:spacing w:line="240" w:lineRule="auto"/>
              <w:ind w:firstLine="0" w:firstLineChars="0"/>
              <w:jc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256@300mm</w:t>
            </w:r>
          </w:p>
        </w:tc>
      </w:tr>
      <w:tr w14:paraId="61B7DAA2">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B39799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880B7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水泥</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0C226D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P42.5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DA2F28D">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4FAA4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21CE01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w:t>
            </w:r>
          </w:p>
        </w:tc>
      </w:tr>
      <w:tr w14:paraId="10321D19">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9D06F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003D2D">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砂</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6C84E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2123C16">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FF19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2F1B72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52E68D7D">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4947B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7</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76147F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碎石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BC587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7AFE5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F13641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B606D5B">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37413FF8">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0279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FC75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接地杆</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EAA4514">
            <w:pPr>
              <w:spacing w:line="240" w:lineRule="auto"/>
              <w:ind w:firstLine="0" w:firstLineChars="0"/>
              <w:jc w:val="center"/>
              <w:rPr>
                <w:rFonts w:hint="eastAsia" w:ascii="仿宋" w:hAnsi="仿宋" w:eastAsia="仿宋" w:cs="仿宋"/>
                <w:i w:val="0"/>
                <w:color w:val="000000"/>
                <w:sz w:val="21"/>
                <w:szCs w:val="21"/>
                <w:highlight w:val="none"/>
                <w:u w:val="none"/>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DB8A368">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98CD5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7E2F602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1.7</w:t>
            </w:r>
          </w:p>
        </w:tc>
      </w:tr>
      <w:tr w14:paraId="6201DCB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59295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9</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8BE13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锚栓</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626B4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M12*40-8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4B55B20">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887BA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88691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r>
      <w:tr w14:paraId="01658BDE">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A7D49D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0A6C9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螺母</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6B70E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52DDC3E">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9607E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136536D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r>
      <w:tr w14:paraId="2F690EF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F72BBB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EDB24F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枕木</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12A48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20987C4">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17039C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358268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16</w:t>
            </w:r>
          </w:p>
        </w:tc>
      </w:tr>
      <w:tr w14:paraId="3B2A976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60584D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241DFB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麻绳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4FC926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F51AF4B">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91061B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9FD43C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50</w:t>
            </w:r>
          </w:p>
        </w:tc>
      </w:tr>
      <w:tr w14:paraId="0C6D0D66">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0EDE758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13</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212B544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预埋螺栓</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43399A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M48-1350</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7F63453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24</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606944F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double" w:color="2F5496" w:themeColor="accent5" w:themeShade="BF" w:sz="4" w:space="0"/>
              <w:right w:val="double" w:color="2F5496" w:themeColor="accent5" w:themeShade="BF" w:sz="4" w:space="0"/>
            </w:tcBorders>
            <w:noWrap/>
            <w:tcMar>
              <w:top w:w="15" w:type="dxa"/>
              <w:left w:w="15" w:type="dxa"/>
              <w:right w:w="15" w:type="dxa"/>
            </w:tcMar>
            <w:vAlign w:val="center"/>
          </w:tcPr>
          <w:p w14:paraId="151E691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24</w:t>
            </w:r>
          </w:p>
        </w:tc>
      </w:tr>
    </w:tbl>
    <w:p w14:paraId="73CCDFC3">
      <w:pPr>
        <w:adjustRightInd w:val="0"/>
        <w:snapToGrid w:val="0"/>
        <w:spacing w:line="360" w:lineRule="auto"/>
        <w:rPr>
          <w:rFonts w:ascii="宋体" w:hAnsi="宋体" w:eastAsia="宋体"/>
          <w:snapToGrid w:val="0"/>
          <w:kern w:val="0"/>
          <w:sz w:val="24"/>
          <w:szCs w:val="20"/>
          <w:highlight w:val="none"/>
        </w:rPr>
      </w:pPr>
      <w:r>
        <w:rPr>
          <w:rFonts w:hint="eastAsia" w:ascii="宋体" w:hAnsi="宋体" w:eastAsia="宋体"/>
          <w:snapToGrid w:val="0"/>
          <w:kern w:val="0"/>
          <w:sz w:val="24"/>
          <w:szCs w:val="20"/>
          <w:highlight w:val="none"/>
        </w:rPr>
        <w:br w:type="page"/>
      </w:r>
    </w:p>
    <w:p w14:paraId="208E5FBD">
      <w:pPr>
        <w:pStyle w:val="2"/>
        <w:numPr>
          <w:ilvl w:val="0"/>
          <w:numId w:val="0"/>
        </w:numPr>
        <w:ind w:leftChars="0"/>
        <w:jc w:val="center"/>
        <w:rPr>
          <w:highlight w:val="none"/>
        </w:rPr>
      </w:pPr>
      <w:bookmarkStart w:id="128" w:name="_Toc42642006"/>
      <w:bookmarkEnd w:id="128"/>
      <w:bookmarkStart w:id="129" w:name="_Toc42642007"/>
      <w:bookmarkEnd w:id="129"/>
      <w:bookmarkStart w:id="130" w:name="_Toc42642294"/>
      <w:bookmarkEnd w:id="130"/>
      <w:bookmarkStart w:id="131" w:name="_Toc42642293"/>
      <w:bookmarkEnd w:id="131"/>
      <w:bookmarkStart w:id="132" w:name="_Toc42641834"/>
      <w:bookmarkEnd w:id="132"/>
      <w:bookmarkStart w:id="133" w:name="_Toc42641835"/>
      <w:bookmarkEnd w:id="133"/>
      <w:bookmarkStart w:id="134" w:name="_Toc27229"/>
      <w:bookmarkStart w:id="135" w:name="_Toc3445"/>
      <w:r>
        <w:rPr>
          <w:rFonts w:hint="eastAsia"/>
          <w:highlight w:val="none"/>
          <w:lang w:val="en-US" w:eastAsia="zh-CN"/>
        </w:rPr>
        <w:t>4</w:t>
      </w:r>
      <w:r>
        <w:rPr>
          <w:rFonts w:hint="eastAsia"/>
          <w:highlight w:val="none"/>
        </w:rPr>
        <w:t>施工工艺</w:t>
      </w:r>
      <w:bookmarkEnd w:id="127"/>
      <w:bookmarkEnd w:id="134"/>
      <w:bookmarkEnd w:id="135"/>
    </w:p>
    <w:p w14:paraId="29758E03">
      <w:pPr>
        <w:pStyle w:val="3"/>
        <w:rPr>
          <w:highlight w:val="none"/>
        </w:rPr>
      </w:pPr>
      <w:bookmarkStart w:id="136" w:name="_Toc22706"/>
      <w:bookmarkStart w:id="137" w:name="_Toc27521"/>
      <w:bookmarkStart w:id="138" w:name="_Toc10409792"/>
      <w:r>
        <w:rPr>
          <w:rFonts w:hint="eastAsia"/>
          <w:highlight w:val="none"/>
          <w:lang w:val="en-US" w:eastAsia="zh-CN"/>
        </w:rPr>
        <w:t>4.1</w:t>
      </w:r>
      <w:r>
        <w:rPr>
          <w:rFonts w:hint="eastAsia"/>
          <w:highlight w:val="none"/>
        </w:rPr>
        <w:t>塔机安装施工工艺流程</w:t>
      </w:r>
      <w:bookmarkEnd w:id="136"/>
      <w:bookmarkEnd w:id="137"/>
    </w:p>
    <w:p w14:paraId="043A9B04">
      <w:pPr>
        <w:bidi w:val="0"/>
        <w:ind w:firstLine="480" w:firstLineChars="200"/>
        <w:rPr>
          <w:rFonts w:hint="default"/>
          <w:highlight w:val="none"/>
          <w:lang w:val="en-US" w:eastAsia="zh-CN"/>
        </w:rPr>
      </w:pPr>
      <w:bookmarkStart w:id="139" w:name="_Toc23545"/>
      <w:r>
        <w:rPr>
          <w:rFonts w:hint="default"/>
          <w:highlight w:val="none"/>
          <w:lang w:val="en-US" w:eastAsia="zh-CN"/>
        </w:rPr>
        <w:t>塔吊安装主要包括基础施工、部件组装、部件吊装、附着安装、顶升、调试等。</w:t>
      </w:r>
      <w:r>
        <w:rPr>
          <w:rFonts w:hint="eastAsia"/>
          <w:highlight w:val="none"/>
          <w:lang w:val="en-US" w:eastAsia="zh-CN"/>
        </w:rPr>
        <w:t>XGT7525-16</w:t>
      </w:r>
      <w:r>
        <w:rPr>
          <w:rFonts w:hint="default"/>
          <w:highlight w:val="none"/>
          <w:lang w:val="en-US" w:eastAsia="zh-CN"/>
        </w:rPr>
        <w:t>塔吊安装工艺流程如下：</w:t>
      </w:r>
    </w:p>
    <w:p w14:paraId="7B3C1C30">
      <w:pPr>
        <w:spacing w:line="360" w:lineRule="auto"/>
        <w:ind w:firstLine="480" w:firstLineChars="200"/>
        <w:rPr>
          <w:rFonts w:hint="default"/>
          <w:highlight w:val="none"/>
          <w:lang w:val="en-US" w:eastAsia="zh-CN"/>
        </w:rPr>
      </w:pPr>
      <w:r>
        <w:rPr>
          <w:rFonts w:hint="eastAsia"/>
          <w:highlight w:val="none"/>
          <w:lang w:val="en-US" w:eastAsia="zh-CN"/>
        </w:rPr>
        <w:t>安装基础节→安装爬升架→安装特殊节、回转支承单元→司机室安装→安装平衡臂臂节一和起重臂臂节一→安装平衡臂、平衡臂拉杆→安装一块3.64t平衡重→安装剩余起重臂→安装剩余平衡重→穿绕牵引、起升钢丝绳→塔机试运行</w:t>
      </w:r>
    </w:p>
    <w:p w14:paraId="6656207A">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eastAsia="宋体"/>
          <w:highlight w:val="none"/>
          <w:lang w:val="en-US" w:eastAsia="zh-CN"/>
        </w:rPr>
      </w:pPr>
      <w:bookmarkStart w:id="140" w:name="_Toc2763"/>
      <w:r>
        <w:rPr>
          <w:rFonts w:hint="eastAsia"/>
          <w:highlight w:val="none"/>
          <w:lang w:val="en-US" w:eastAsia="zh-CN"/>
        </w:rPr>
        <w:t>4.2主要设备选型</w:t>
      </w:r>
      <w:bookmarkEnd w:id="139"/>
      <w:bookmarkEnd w:id="140"/>
    </w:p>
    <w:p w14:paraId="0BA286F2">
      <w:pPr>
        <w:pStyle w:val="4"/>
        <w:bidi w:val="0"/>
        <w:rPr>
          <w:highlight w:val="none"/>
        </w:rPr>
      </w:pPr>
      <w:r>
        <w:rPr>
          <w:rFonts w:hint="eastAsia"/>
          <w:highlight w:val="none"/>
          <w:lang w:val="en-US" w:eastAsia="zh-CN"/>
        </w:rPr>
        <w:t>4</w:t>
      </w:r>
      <w:r>
        <w:rPr>
          <w:highlight w:val="none"/>
        </w:rPr>
        <w:t>.</w:t>
      </w: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rPr>
        <w:t xml:space="preserve"> 辅助起重设备选型</w:t>
      </w:r>
    </w:p>
    <w:p w14:paraId="0985545A">
      <w:pPr>
        <w:bidi w:val="0"/>
        <w:ind w:firstLine="480" w:firstLineChars="200"/>
        <w:rPr>
          <w:rFonts w:hint="default" w:eastAsia="宋体"/>
          <w:highlight w:val="none"/>
          <w:lang w:val="en-US" w:eastAsia="zh-CN"/>
        </w:rPr>
      </w:pPr>
      <w:r>
        <w:rPr>
          <w:rFonts w:hint="eastAsia"/>
          <w:highlight w:val="none"/>
          <w:lang w:val="en-US" w:eastAsia="zh-CN"/>
        </w:rPr>
        <w:t>结合XGT7525-16</w:t>
      </w:r>
      <w:r>
        <w:rPr>
          <w:rFonts w:hint="default"/>
          <w:highlight w:val="none"/>
          <w:lang w:val="en-US" w:eastAsia="zh-CN"/>
        </w:rPr>
        <w:t>塔吊</w:t>
      </w:r>
      <w:r>
        <w:rPr>
          <w:rFonts w:hint="eastAsia"/>
          <w:highlight w:val="none"/>
          <w:lang w:val="en-US" w:eastAsia="zh-CN"/>
        </w:rPr>
        <w:t>主要部件重量，选用</w:t>
      </w:r>
      <w:r>
        <w:rPr>
          <w:rFonts w:hint="default"/>
          <w:highlight w:val="none"/>
          <w:lang w:val="en-US" w:eastAsia="zh-CN"/>
        </w:rPr>
        <w:t>选用一台</w:t>
      </w:r>
      <w:r>
        <w:rPr>
          <w:rFonts w:hint="eastAsia"/>
          <w:highlight w:val="none"/>
          <w:lang w:val="en-US" w:eastAsia="zh-CN"/>
        </w:rPr>
        <w:t>STC500C5-8型</w:t>
      </w:r>
      <w:r>
        <w:rPr>
          <w:rFonts w:hint="default"/>
          <w:highlight w:val="none"/>
          <w:lang w:val="en-US" w:eastAsia="zh-CN"/>
        </w:rPr>
        <w:t>汽车吊进行塔吊部件组装</w:t>
      </w:r>
      <w:r>
        <w:rPr>
          <w:rFonts w:hint="eastAsia"/>
          <w:highlight w:val="none"/>
          <w:lang w:val="en-US" w:eastAsia="zh-CN"/>
        </w:rPr>
        <w:t>、</w:t>
      </w:r>
      <w:r>
        <w:rPr>
          <w:rFonts w:hint="default"/>
          <w:highlight w:val="none"/>
          <w:lang w:val="en-US" w:eastAsia="zh-CN"/>
        </w:rPr>
        <w:t>吊装</w:t>
      </w:r>
      <w:r>
        <w:rPr>
          <w:rFonts w:hint="eastAsia"/>
          <w:highlight w:val="none"/>
          <w:lang w:val="en-US" w:eastAsia="zh-CN"/>
        </w:rPr>
        <w:t>作业</w:t>
      </w:r>
      <w:r>
        <w:rPr>
          <w:rFonts w:hint="default"/>
          <w:highlight w:val="none"/>
          <w:lang w:val="en-US" w:eastAsia="zh-CN"/>
        </w:rPr>
        <w:t>，工作半径</w:t>
      </w:r>
      <w:r>
        <w:rPr>
          <w:rFonts w:hint="eastAsia"/>
          <w:highlight w:val="none"/>
          <w:lang w:val="en-US" w:eastAsia="zh-CN"/>
        </w:rPr>
        <w:t>16</w:t>
      </w:r>
      <w:r>
        <w:rPr>
          <w:rFonts w:hint="default"/>
          <w:highlight w:val="none"/>
          <w:lang w:val="en-US" w:eastAsia="zh-CN"/>
        </w:rPr>
        <w:t>米</w:t>
      </w:r>
      <w:r>
        <w:rPr>
          <w:rFonts w:hint="eastAsia"/>
          <w:highlight w:val="none"/>
          <w:lang w:val="en-US" w:eastAsia="zh-CN"/>
        </w:rPr>
        <w:t>，允许吊重7.9t＞5.835t(平衡重)</w:t>
      </w:r>
      <w:r>
        <w:rPr>
          <w:rFonts w:hint="default"/>
          <w:highlight w:val="none"/>
          <w:lang w:val="en-US" w:eastAsia="zh-CN"/>
        </w:rPr>
        <w:t>满足使用要求。</w:t>
      </w:r>
      <w:r>
        <w:rPr>
          <w:rFonts w:hint="eastAsia"/>
          <w:highlight w:val="none"/>
          <w:lang w:val="en-US" w:eastAsia="zh-CN"/>
        </w:rPr>
        <w:t>施工场地</w:t>
      </w:r>
      <w:r>
        <w:rPr>
          <w:rFonts w:hint="eastAsia"/>
          <w:highlight w:val="none"/>
        </w:rPr>
        <w:t>局部冲沟发育</w:t>
      </w:r>
      <w:r>
        <w:rPr>
          <w:rFonts w:hint="eastAsia"/>
          <w:highlight w:val="none"/>
          <w:lang w:eastAsia="zh-CN"/>
        </w:rPr>
        <w:t>，</w:t>
      </w:r>
      <w:r>
        <w:rPr>
          <w:rFonts w:hint="eastAsia"/>
          <w:highlight w:val="none"/>
          <w:lang w:val="en-US" w:eastAsia="zh-CN"/>
        </w:rPr>
        <w:t>原地面经过清表后</w:t>
      </w:r>
      <w:r>
        <w:rPr>
          <w:rFonts w:hint="eastAsia"/>
          <w:highlight w:val="none"/>
        </w:rPr>
        <w:t>上层杂填土、素填土已清理出场,现阶段场区内</w:t>
      </w:r>
      <w:r>
        <w:rPr>
          <w:rFonts w:hint="eastAsia"/>
          <w:highlight w:val="none"/>
          <w:lang w:val="en-US" w:eastAsia="zh-CN"/>
        </w:rPr>
        <w:t>基本采用片石、碎石土回填完善，</w:t>
      </w:r>
      <w:r>
        <w:rPr>
          <w:rFonts w:hint="eastAsia"/>
          <w:highlight w:val="none"/>
        </w:rPr>
        <w:t>地基土承载力</w:t>
      </w:r>
      <w:r>
        <w:rPr>
          <w:rFonts w:hint="eastAsia"/>
          <w:highlight w:val="none"/>
          <w:lang w:val="en-US" w:eastAsia="zh-CN"/>
        </w:rPr>
        <w:t>不低于</w:t>
      </w:r>
      <w:r>
        <w:rPr>
          <w:rFonts w:hint="eastAsia"/>
          <w:highlight w:val="none"/>
        </w:rPr>
        <w:t>150kpa</w:t>
      </w:r>
      <w:r>
        <w:rPr>
          <w:rFonts w:hint="eastAsia"/>
          <w:highlight w:val="none"/>
          <w:lang w:eastAsia="zh-CN"/>
        </w:rPr>
        <w:t>，</w:t>
      </w:r>
      <w:r>
        <w:rPr>
          <w:rFonts w:hint="eastAsia" w:ascii="宋体" w:hAnsi="宋体" w:eastAsia="宋体" w:cs="Times New Roman"/>
          <w:highlight w:val="none"/>
          <w:lang w:val="en-US" w:eastAsia="zh-CN"/>
        </w:rPr>
        <w:t>符合起重吊装作业要对吊装场地的地基承载力要求。</w:t>
      </w:r>
    </w:p>
    <w:p w14:paraId="2896B872">
      <w:pPr>
        <w:bidi w:val="0"/>
        <w:jc w:val="center"/>
        <w:rPr>
          <w:rFonts w:hint="eastAsia"/>
          <w:highlight w:val="none"/>
          <w:lang w:val="en-US" w:eastAsia="zh-CN"/>
        </w:rPr>
      </w:pPr>
      <w:r>
        <w:drawing>
          <wp:inline distT="0" distB="0" distL="114300" distR="114300">
            <wp:extent cx="5029835" cy="4096385"/>
            <wp:effectExtent l="0" t="0" r="18415" b="18415"/>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pic:cNvPicPr>
                  </pic:nvPicPr>
                  <pic:blipFill>
                    <a:blip r:embed="rId18"/>
                    <a:stretch>
                      <a:fillRect/>
                    </a:stretch>
                  </pic:blipFill>
                  <pic:spPr>
                    <a:xfrm>
                      <a:off x="0" y="0"/>
                      <a:ext cx="5029835" cy="4096385"/>
                    </a:xfrm>
                    <a:prstGeom prst="rect">
                      <a:avLst/>
                    </a:prstGeom>
                    <a:noFill/>
                    <a:ln>
                      <a:noFill/>
                    </a:ln>
                  </pic:spPr>
                </pic:pic>
              </a:graphicData>
            </a:graphic>
          </wp:inline>
        </w:drawing>
      </w:r>
    </w:p>
    <w:p w14:paraId="6DD8A754">
      <w:pPr>
        <w:pStyle w:val="38"/>
        <w:bidi w:val="0"/>
        <w:rPr>
          <w:rFonts w:hint="eastAsia"/>
          <w:highlight w:val="none"/>
          <w:lang w:val="en-US" w:eastAsia="zh-CN"/>
        </w:rPr>
      </w:pPr>
      <w:r>
        <w:rPr>
          <w:highlight w:val="none"/>
        </w:rPr>
        <w:t>图4</w:t>
      </w:r>
      <w:r>
        <w:rPr>
          <w:rFonts w:hint="eastAsia"/>
          <w:highlight w:val="none"/>
          <w:lang w:val="en-US" w:eastAsia="zh-CN"/>
        </w:rPr>
        <w:t>.2.1</w:t>
      </w:r>
      <w:r>
        <w:rPr>
          <w:highlight w:val="none"/>
        </w:rPr>
        <w:t>-</w:t>
      </w:r>
      <w:r>
        <w:rPr>
          <w:rFonts w:hint="eastAsia"/>
          <w:highlight w:val="none"/>
          <w:lang w:val="en-US" w:eastAsia="zh-CN"/>
        </w:rPr>
        <w:t>1 50吨</w:t>
      </w:r>
      <w:r>
        <w:rPr>
          <w:rFonts w:hint="eastAsia"/>
          <w:highlight w:val="none"/>
        </w:rPr>
        <w:t>汽车吊起重量表</w:t>
      </w:r>
    </w:p>
    <w:p w14:paraId="028A4FB4">
      <w:pPr>
        <w:bidi w:val="0"/>
        <w:jc w:val="center"/>
        <w:rPr>
          <w:rFonts w:hint="default" w:eastAsia="宋体"/>
          <w:highlight w:val="none"/>
          <w:lang w:val="en-US" w:eastAsia="zh-CN"/>
        </w:rPr>
      </w:pPr>
      <w:r>
        <w:drawing>
          <wp:inline distT="0" distB="0" distL="114300" distR="114300">
            <wp:extent cx="5272405" cy="6066790"/>
            <wp:effectExtent l="0" t="0" r="4445" b="10160"/>
            <wp:docPr id="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pic:cNvPicPr>
                      <a:picLocks noChangeAspect="1"/>
                    </pic:cNvPicPr>
                  </pic:nvPicPr>
                  <pic:blipFill>
                    <a:blip r:embed="rId19"/>
                    <a:stretch>
                      <a:fillRect/>
                    </a:stretch>
                  </pic:blipFill>
                  <pic:spPr>
                    <a:xfrm>
                      <a:off x="0" y="0"/>
                      <a:ext cx="5272405" cy="6066790"/>
                    </a:xfrm>
                    <a:prstGeom prst="rect">
                      <a:avLst/>
                    </a:prstGeom>
                    <a:noFill/>
                    <a:ln>
                      <a:noFill/>
                    </a:ln>
                  </pic:spPr>
                </pic:pic>
              </a:graphicData>
            </a:graphic>
          </wp:inline>
        </w:drawing>
      </w:r>
    </w:p>
    <w:p w14:paraId="5A66F51B">
      <w:pPr>
        <w:pStyle w:val="38"/>
        <w:bidi w:val="0"/>
        <w:rPr>
          <w:rFonts w:hint="eastAsia"/>
          <w:highlight w:val="none"/>
          <w:lang w:val="en-US" w:eastAsia="zh-CN"/>
        </w:rPr>
      </w:pPr>
      <w:r>
        <w:rPr>
          <w:highlight w:val="none"/>
        </w:rPr>
        <w:t>图4</w:t>
      </w:r>
      <w:r>
        <w:rPr>
          <w:rFonts w:hint="eastAsia"/>
          <w:highlight w:val="none"/>
          <w:lang w:val="en-US" w:eastAsia="zh-CN"/>
        </w:rPr>
        <w:t>.2.1</w:t>
      </w:r>
      <w:r>
        <w:rPr>
          <w:highlight w:val="none"/>
        </w:rPr>
        <w:t>-</w:t>
      </w:r>
      <w:r>
        <w:rPr>
          <w:rFonts w:hint="eastAsia"/>
          <w:highlight w:val="none"/>
          <w:lang w:val="en-US" w:eastAsia="zh-CN"/>
        </w:rPr>
        <w:t>2 50吨汽车吊起重性能曲线图</w:t>
      </w:r>
    </w:p>
    <w:p w14:paraId="1BEFDEAA">
      <w:pPr>
        <w:pStyle w:val="4"/>
        <w:bidi w:val="0"/>
        <w:rPr>
          <w:rFonts w:hint="eastAsia"/>
          <w:highlight w:val="none"/>
          <w:lang w:val="en-US" w:eastAsia="zh-CN"/>
        </w:rPr>
      </w:pPr>
      <w:r>
        <w:rPr>
          <w:rFonts w:hint="eastAsia"/>
          <w:highlight w:val="none"/>
          <w:lang w:val="en-US" w:eastAsia="zh-CN"/>
        </w:rPr>
        <w:t>4.2.2吊装钢丝绳选型</w:t>
      </w:r>
    </w:p>
    <w:tbl>
      <w:tblPr>
        <w:tblStyle w:val="28"/>
        <w:tblpPr w:leftFromText="180" w:rightFromText="180" w:vertAnchor="text" w:horzAnchor="page" w:tblpX="1802" w:tblpY="290"/>
        <w:tblOverlap w:val="never"/>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067"/>
        <w:gridCol w:w="2283"/>
        <w:gridCol w:w="994"/>
        <w:gridCol w:w="1135"/>
        <w:gridCol w:w="2271"/>
      </w:tblGrid>
      <w:tr w14:paraId="694849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40" w:hRule="atLeast"/>
        </w:trPr>
        <w:tc>
          <w:tcPr>
            <w:tcW w:w="451" w:type="pct"/>
            <w:tcBorders>
              <w:tl2br w:val="nil"/>
              <w:tr2bl w:val="nil"/>
            </w:tcBorders>
            <w:shd w:val="clear" w:color="auto" w:fill="D6DCE5" w:themeFill="text2" w:themeFillTint="32"/>
            <w:vAlign w:val="center"/>
          </w:tcPr>
          <w:p w14:paraId="45EDF43E">
            <w:pPr>
              <w:pStyle w:val="102"/>
              <w:bidi w:val="0"/>
              <w:rPr>
                <w:highlight w:val="none"/>
              </w:rPr>
            </w:pPr>
            <w:r>
              <w:rPr>
                <w:highlight w:val="none"/>
              </w:rPr>
              <w:t>序号</w:t>
            </w:r>
          </w:p>
        </w:tc>
        <w:tc>
          <w:tcPr>
            <w:tcW w:w="626" w:type="pct"/>
            <w:tcBorders>
              <w:tl2br w:val="nil"/>
              <w:tr2bl w:val="nil"/>
            </w:tcBorders>
            <w:shd w:val="clear" w:color="auto" w:fill="D6DCE5" w:themeFill="text2" w:themeFillTint="32"/>
            <w:vAlign w:val="center"/>
          </w:tcPr>
          <w:p w14:paraId="6AB55212">
            <w:pPr>
              <w:pStyle w:val="102"/>
              <w:bidi w:val="0"/>
              <w:rPr>
                <w:highlight w:val="none"/>
              </w:rPr>
            </w:pPr>
            <w:r>
              <w:rPr>
                <w:highlight w:val="none"/>
              </w:rPr>
              <w:t>设备名称</w:t>
            </w:r>
          </w:p>
        </w:tc>
        <w:tc>
          <w:tcPr>
            <w:tcW w:w="1339" w:type="pct"/>
            <w:tcBorders>
              <w:tl2br w:val="nil"/>
              <w:tr2bl w:val="nil"/>
            </w:tcBorders>
            <w:shd w:val="clear" w:color="auto" w:fill="D6DCE5" w:themeFill="text2" w:themeFillTint="32"/>
            <w:vAlign w:val="center"/>
          </w:tcPr>
          <w:p w14:paraId="44C1BADF">
            <w:pPr>
              <w:pStyle w:val="102"/>
              <w:bidi w:val="0"/>
              <w:rPr>
                <w:highlight w:val="none"/>
              </w:rPr>
            </w:pPr>
            <w:r>
              <w:rPr>
                <w:highlight w:val="none"/>
              </w:rPr>
              <w:t>规格型号</w:t>
            </w:r>
          </w:p>
        </w:tc>
        <w:tc>
          <w:tcPr>
            <w:tcW w:w="583" w:type="pct"/>
            <w:tcBorders>
              <w:tl2br w:val="nil"/>
              <w:tr2bl w:val="nil"/>
            </w:tcBorders>
            <w:shd w:val="clear" w:color="auto" w:fill="D6DCE5" w:themeFill="text2" w:themeFillTint="32"/>
            <w:vAlign w:val="center"/>
          </w:tcPr>
          <w:p w14:paraId="24D25795">
            <w:pPr>
              <w:pStyle w:val="102"/>
              <w:bidi w:val="0"/>
              <w:rPr>
                <w:highlight w:val="none"/>
              </w:rPr>
            </w:pPr>
            <w:r>
              <w:rPr>
                <w:rFonts w:hint="eastAsia"/>
                <w:highlight w:val="none"/>
              </w:rPr>
              <w:t>长度</w:t>
            </w:r>
          </w:p>
        </w:tc>
        <w:tc>
          <w:tcPr>
            <w:tcW w:w="666" w:type="pct"/>
            <w:tcBorders>
              <w:tl2br w:val="nil"/>
              <w:tr2bl w:val="nil"/>
            </w:tcBorders>
            <w:shd w:val="clear" w:color="auto" w:fill="D6DCE5" w:themeFill="text2" w:themeFillTint="32"/>
            <w:vAlign w:val="center"/>
          </w:tcPr>
          <w:p w14:paraId="03BF394B">
            <w:pPr>
              <w:pStyle w:val="102"/>
              <w:bidi w:val="0"/>
              <w:rPr>
                <w:highlight w:val="none"/>
              </w:rPr>
            </w:pPr>
            <w:r>
              <w:rPr>
                <w:highlight w:val="none"/>
              </w:rPr>
              <w:t>数量</w:t>
            </w:r>
          </w:p>
        </w:tc>
        <w:tc>
          <w:tcPr>
            <w:tcW w:w="1332" w:type="pct"/>
            <w:tcBorders>
              <w:tl2br w:val="nil"/>
              <w:tr2bl w:val="nil"/>
            </w:tcBorders>
            <w:shd w:val="clear" w:color="auto" w:fill="D6DCE5" w:themeFill="text2" w:themeFillTint="32"/>
            <w:vAlign w:val="center"/>
          </w:tcPr>
          <w:p w14:paraId="19D954B9">
            <w:pPr>
              <w:pStyle w:val="102"/>
              <w:bidi w:val="0"/>
              <w:rPr>
                <w:highlight w:val="none"/>
              </w:rPr>
            </w:pPr>
            <w:r>
              <w:rPr>
                <w:rFonts w:hint="eastAsia"/>
                <w:highlight w:val="none"/>
              </w:rPr>
              <w:t>吊装部位</w:t>
            </w:r>
          </w:p>
        </w:tc>
      </w:tr>
      <w:tr w14:paraId="313369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tcBorders>
              <w:tl2br w:val="nil"/>
              <w:tr2bl w:val="nil"/>
            </w:tcBorders>
            <w:vAlign w:val="center"/>
          </w:tcPr>
          <w:p w14:paraId="31FC69A1">
            <w:pPr>
              <w:pStyle w:val="102"/>
              <w:bidi w:val="0"/>
              <w:rPr>
                <w:rFonts w:hint="eastAsia"/>
                <w:highlight w:val="none"/>
              </w:rPr>
            </w:pPr>
            <w:r>
              <w:rPr>
                <w:rFonts w:hint="eastAsia"/>
                <w:highlight w:val="none"/>
              </w:rPr>
              <w:t>1</w:t>
            </w:r>
          </w:p>
        </w:tc>
        <w:tc>
          <w:tcPr>
            <w:tcW w:w="626" w:type="pct"/>
            <w:tcBorders>
              <w:tl2br w:val="nil"/>
              <w:tr2bl w:val="nil"/>
            </w:tcBorders>
            <w:vAlign w:val="center"/>
          </w:tcPr>
          <w:p w14:paraId="3F45016F">
            <w:pPr>
              <w:pStyle w:val="102"/>
              <w:bidi w:val="0"/>
              <w:rPr>
                <w:rFonts w:hint="eastAsia"/>
                <w:highlight w:val="none"/>
              </w:rPr>
            </w:pPr>
            <w:r>
              <w:rPr>
                <w:rFonts w:hint="eastAsia"/>
                <w:highlight w:val="none"/>
              </w:rPr>
              <w:t>钢丝绳</w:t>
            </w:r>
          </w:p>
        </w:tc>
        <w:tc>
          <w:tcPr>
            <w:tcW w:w="1339" w:type="pct"/>
            <w:tcBorders>
              <w:tl2br w:val="nil"/>
              <w:tr2bl w:val="nil"/>
            </w:tcBorders>
            <w:vAlign w:val="center"/>
          </w:tcPr>
          <w:p w14:paraId="1E112A88">
            <w:pPr>
              <w:pStyle w:val="102"/>
              <w:bidi w:val="0"/>
              <w:rPr>
                <w:rFonts w:hint="eastAsia"/>
                <w:highlight w:val="none"/>
              </w:rPr>
            </w:pPr>
            <w:r>
              <w:rPr>
                <w:rFonts w:hint="eastAsia"/>
                <w:highlight w:val="none"/>
              </w:rPr>
              <w:t>6×37－φ20mm-1670</w:t>
            </w:r>
          </w:p>
        </w:tc>
        <w:tc>
          <w:tcPr>
            <w:tcW w:w="583" w:type="pct"/>
            <w:tcBorders>
              <w:tl2br w:val="nil"/>
              <w:tr2bl w:val="nil"/>
            </w:tcBorders>
            <w:vAlign w:val="center"/>
          </w:tcPr>
          <w:p w14:paraId="72366575">
            <w:pPr>
              <w:pStyle w:val="102"/>
              <w:bidi w:val="0"/>
              <w:rPr>
                <w:rFonts w:hint="eastAsia"/>
                <w:highlight w:val="none"/>
              </w:rPr>
            </w:pPr>
            <w:r>
              <w:rPr>
                <w:rFonts w:hint="eastAsia"/>
                <w:highlight w:val="none"/>
              </w:rPr>
              <w:t>4m</w:t>
            </w:r>
          </w:p>
        </w:tc>
        <w:tc>
          <w:tcPr>
            <w:tcW w:w="666" w:type="pct"/>
            <w:tcBorders>
              <w:tl2br w:val="nil"/>
              <w:tr2bl w:val="nil"/>
            </w:tcBorders>
            <w:vAlign w:val="center"/>
          </w:tcPr>
          <w:p w14:paraId="09FB2E65">
            <w:pPr>
              <w:pStyle w:val="102"/>
              <w:bidi w:val="0"/>
              <w:rPr>
                <w:rFonts w:hint="eastAsia"/>
                <w:highlight w:val="none"/>
              </w:rPr>
            </w:pPr>
            <w:r>
              <w:rPr>
                <w:rFonts w:hint="eastAsia"/>
                <w:highlight w:val="none"/>
              </w:rPr>
              <w:t>4根</w:t>
            </w:r>
          </w:p>
        </w:tc>
        <w:tc>
          <w:tcPr>
            <w:tcW w:w="1332" w:type="pct"/>
            <w:tcBorders>
              <w:tl2br w:val="nil"/>
              <w:tr2bl w:val="nil"/>
            </w:tcBorders>
            <w:vAlign w:val="center"/>
          </w:tcPr>
          <w:p w14:paraId="13392DE5">
            <w:pPr>
              <w:pStyle w:val="102"/>
              <w:bidi w:val="0"/>
              <w:rPr>
                <w:rFonts w:hint="eastAsia"/>
                <w:highlight w:val="none"/>
                <w:lang w:val="en-US" w:eastAsia="zh-CN"/>
              </w:rPr>
            </w:pPr>
            <w:r>
              <w:rPr>
                <w:rFonts w:hint="eastAsia"/>
                <w:highlight w:val="none"/>
                <w:lang w:eastAsia="zh-CN"/>
              </w:rPr>
              <w:t>回转支承</w:t>
            </w:r>
            <w:r>
              <w:rPr>
                <w:rFonts w:hint="eastAsia"/>
                <w:highlight w:val="none"/>
              </w:rPr>
              <w:t>、基础节、爬升节、过渡节、平衡</w:t>
            </w:r>
          </w:p>
        </w:tc>
      </w:tr>
      <w:tr w14:paraId="63A473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tcBorders>
              <w:tl2br w:val="nil"/>
              <w:tr2bl w:val="nil"/>
            </w:tcBorders>
            <w:vAlign w:val="center"/>
          </w:tcPr>
          <w:p w14:paraId="6828DE43">
            <w:pPr>
              <w:pStyle w:val="102"/>
              <w:bidi w:val="0"/>
              <w:rPr>
                <w:rFonts w:hint="eastAsia"/>
                <w:highlight w:val="none"/>
              </w:rPr>
            </w:pPr>
            <w:r>
              <w:rPr>
                <w:rFonts w:hint="eastAsia"/>
                <w:highlight w:val="none"/>
              </w:rPr>
              <w:t>2</w:t>
            </w:r>
          </w:p>
        </w:tc>
        <w:tc>
          <w:tcPr>
            <w:tcW w:w="626" w:type="pct"/>
            <w:tcBorders>
              <w:tl2br w:val="nil"/>
              <w:tr2bl w:val="nil"/>
            </w:tcBorders>
            <w:vAlign w:val="center"/>
          </w:tcPr>
          <w:p w14:paraId="5474DE00">
            <w:pPr>
              <w:pStyle w:val="102"/>
              <w:bidi w:val="0"/>
              <w:rPr>
                <w:rFonts w:hint="eastAsia"/>
                <w:highlight w:val="none"/>
              </w:rPr>
            </w:pPr>
            <w:r>
              <w:rPr>
                <w:rFonts w:hint="eastAsia"/>
                <w:highlight w:val="none"/>
              </w:rPr>
              <w:t>钢丝绳</w:t>
            </w:r>
          </w:p>
        </w:tc>
        <w:tc>
          <w:tcPr>
            <w:tcW w:w="1339" w:type="pct"/>
            <w:tcBorders>
              <w:tl2br w:val="nil"/>
              <w:tr2bl w:val="nil"/>
            </w:tcBorders>
            <w:vAlign w:val="center"/>
          </w:tcPr>
          <w:p w14:paraId="300CF209">
            <w:pPr>
              <w:pStyle w:val="102"/>
              <w:bidi w:val="0"/>
              <w:rPr>
                <w:rFonts w:hint="eastAsia"/>
                <w:highlight w:val="none"/>
              </w:rPr>
            </w:pPr>
            <w:r>
              <w:rPr>
                <w:rFonts w:hint="eastAsia"/>
                <w:highlight w:val="none"/>
              </w:rPr>
              <w:t>6×37－φ20mm-1670</w:t>
            </w:r>
          </w:p>
        </w:tc>
        <w:tc>
          <w:tcPr>
            <w:tcW w:w="583" w:type="pct"/>
            <w:tcBorders>
              <w:tl2br w:val="nil"/>
              <w:tr2bl w:val="nil"/>
            </w:tcBorders>
            <w:vAlign w:val="center"/>
          </w:tcPr>
          <w:p w14:paraId="55671CE9">
            <w:pPr>
              <w:pStyle w:val="102"/>
              <w:bidi w:val="0"/>
              <w:rPr>
                <w:rFonts w:hint="eastAsia"/>
                <w:highlight w:val="none"/>
              </w:rPr>
            </w:pPr>
            <w:r>
              <w:rPr>
                <w:rFonts w:hint="eastAsia"/>
                <w:highlight w:val="none"/>
              </w:rPr>
              <w:t>8m</w:t>
            </w:r>
          </w:p>
        </w:tc>
        <w:tc>
          <w:tcPr>
            <w:tcW w:w="666" w:type="pct"/>
            <w:tcBorders>
              <w:tl2br w:val="nil"/>
              <w:tr2bl w:val="nil"/>
            </w:tcBorders>
            <w:vAlign w:val="center"/>
          </w:tcPr>
          <w:p w14:paraId="4FB651BE">
            <w:pPr>
              <w:pStyle w:val="102"/>
              <w:bidi w:val="0"/>
              <w:rPr>
                <w:rFonts w:hint="eastAsia"/>
                <w:highlight w:val="none"/>
              </w:rPr>
            </w:pPr>
            <w:r>
              <w:rPr>
                <w:rFonts w:hint="eastAsia"/>
                <w:highlight w:val="none"/>
              </w:rPr>
              <w:t>4根</w:t>
            </w:r>
          </w:p>
        </w:tc>
        <w:tc>
          <w:tcPr>
            <w:tcW w:w="1332" w:type="pct"/>
            <w:tcBorders>
              <w:tl2br w:val="nil"/>
              <w:tr2bl w:val="nil"/>
            </w:tcBorders>
            <w:vAlign w:val="center"/>
          </w:tcPr>
          <w:p w14:paraId="7549F1D2">
            <w:pPr>
              <w:pStyle w:val="102"/>
              <w:bidi w:val="0"/>
              <w:rPr>
                <w:rFonts w:hint="eastAsia"/>
                <w:highlight w:val="none"/>
              </w:rPr>
            </w:pPr>
            <w:r>
              <w:rPr>
                <w:rFonts w:hint="eastAsia"/>
                <w:highlight w:val="none"/>
              </w:rPr>
              <w:t>平衡臂、起重臂</w:t>
            </w:r>
          </w:p>
        </w:tc>
      </w:tr>
    </w:tbl>
    <w:p w14:paraId="542E6234">
      <w:pPr>
        <w:pStyle w:val="14"/>
        <w:bidi w:val="0"/>
        <w:rPr>
          <w:highlight w:val="none"/>
        </w:rPr>
      </w:pPr>
      <w:r>
        <w:rPr>
          <w:rFonts w:hint="eastAsia"/>
          <w:highlight w:val="none"/>
        </w:rPr>
        <w:t>表</w:t>
      </w:r>
      <w:r>
        <w:rPr>
          <w:rFonts w:hint="eastAsia"/>
          <w:highlight w:val="none"/>
          <w:lang w:val="en-US" w:eastAsia="zh-CN"/>
        </w:rPr>
        <w:t>4</w:t>
      </w:r>
      <w:r>
        <w:rPr>
          <w:highlight w:val="none"/>
        </w:rPr>
        <w:t>.</w:t>
      </w:r>
      <w:r>
        <w:rPr>
          <w:rFonts w:hint="eastAsia"/>
          <w:highlight w:val="none"/>
          <w:lang w:val="en-US" w:eastAsia="zh-CN"/>
        </w:rPr>
        <w:t>2.2</w:t>
      </w:r>
      <w:r>
        <w:rPr>
          <w:highlight w:val="none"/>
        </w:rPr>
        <w:t>-</w:t>
      </w:r>
      <w:r>
        <w:rPr>
          <w:rFonts w:hint="eastAsia"/>
          <w:highlight w:val="none"/>
          <w:lang w:val="en-US" w:eastAsia="zh-CN"/>
        </w:rPr>
        <w:t>1</w:t>
      </w:r>
      <w:r>
        <w:rPr>
          <w:highlight w:val="none"/>
        </w:rPr>
        <w:t xml:space="preserve"> </w:t>
      </w:r>
      <w:r>
        <w:rPr>
          <w:rFonts w:hint="eastAsia"/>
          <w:highlight w:val="none"/>
        </w:rPr>
        <w:t>钢丝绳选型表</w:t>
      </w:r>
    </w:p>
    <w:p w14:paraId="6C316755">
      <w:pPr>
        <w:keepNext w:val="0"/>
        <w:keepLines w:val="0"/>
        <w:widowControl/>
        <w:suppressLineNumbers w:val="0"/>
        <w:spacing w:line="360" w:lineRule="auto"/>
        <w:ind w:firstLine="480" w:firstLineChars="200"/>
        <w:jc w:val="left"/>
        <w:rPr>
          <w:highlight w:val="none"/>
        </w:rPr>
      </w:pPr>
      <w:bookmarkStart w:id="141" w:name="_Toc25689"/>
      <w:r>
        <w:rPr>
          <w:rFonts w:hint="eastAsia" w:ascii="宋体" w:hAnsi="宋体" w:eastAsia="宋体" w:cs="宋体"/>
          <w:color w:val="000000"/>
          <w:kern w:val="0"/>
          <w:sz w:val="24"/>
          <w:szCs w:val="24"/>
          <w:highlight w:val="none"/>
          <w:lang w:val="en-US" w:eastAsia="zh-CN" w:bidi="ar"/>
        </w:rPr>
        <w:t>根据《一般用途钢丝绳吊索特性和技术条件》（</w:t>
      </w:r>
      <w:r>
        <w:rPr>
          <w:rFonts w:hint="default" w:ascii="Times New Roman" w:hAnsi="Times New Roman" w:eastAsia="宋体" w:cs="Times New Roman"/>
          <w:color w:val="000000"/>
          <w:kern w:val="0"/>
          <w:sz w:val="24"/>
          <w:szCs w:val="24"/>
          <w:highlight w:val="none"/>
          <w:lang w:val="en-US" w:eastAsia="zh-CN" w:bidi="ar"/>
        </w:rPr>
        <w:t>GB/T 16762-20</w:t>
      </w:r>
      <w:r>
        <w:rPr>
          <w:rFonts w:hint="eastAsia" w:ascii="Times New Roman" w:hAnsi="Times New Roman" w:eastAsia="宋体" w:cs="Times New Roman"/>
          <w:color w:val="000000"/>
          <w:kern w:val="0"/>
          <w:sz w:val="24"/>
          <w:szCs w:val="24"/>
          <w:highlight w:val="none"/>
          <w:lang w:val="en-US" w:eastAsia="zh-CN" w:bidi="ar"/>
        </w:rPr>
        <w:t>20</w:t>
      </w:r>
      <w:r>
        <w:rPr>
          <w:rFonts w:hint="eastAsia" w:ascii="宋体" w:hAnsi="宋体" w:eastAsia="宋体" w:cs="宋体"/>
          <w:color w:val="000000"/>
          <w:kern w:val="0"/>
          <w:sz w:val="24"/>
          <w:szCs w:val="24"/>
          <w:highlight w:val="none"/>
          <w:lang w:val="en-US" w:eastAsia="zh-CN" w:bidi="ar"/>
        </w:rPr>
        <w:t>），单肢吊索额定工作载荷计算公式为：</w:t>
      </w:r>
    </w:p>
    <w:p w14:paraId="72F8C8AD">
      <w:pPr>
        <w:spacing w:line="360" w:lineRule="auto"/>
        <w:jc w:val="center"/>
        <w:rPr>
          <w:rFonts w:hint="default"/>
          <w:highlight w:val="none"/>
          <w:lang w:val="en-US" w:eastAsia="zh-CN"/>
        </w:rPr>
      </w:pPr>
      <w:r>
        <w:rPr>
          <w:highlight w:val="none"/>
        </w:rPr>
        <w:drawing>
          <wp:inline distT="0" distB="0" distL="114300" distR="114300">
            <wp:extent cx="1877060" cy="573405"/>
            <wp:effectExtent l="0" t="0" r="2540" b="10795"/>
            <wp:docPr id="1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
                    <pic:cNvPicPr>
                      <a:picLocks noChangeAspect="1"/>
                    </pic:cNvPicPr>
                  </pic:nvPicPr>
                  <pic:blipFill>
                    <a:blip r:embed="rId20"/>
                    <a:stretch>
                      <a:fillRect/>
                    </a:stretch>
                  </pic:blipFill>
                  <pic:spPr>
                    <a:xfrm>
                      <a:off x="0" y="0"/>
                      <a:ext cx="1877060" cy="573405"/>
                    </a:xfrm>
                    <a:prstGeom prst="rect">
                      <a:avLst/>
                    </a:prstGeom>
                    <a:noFill/>
                    <a:ln>
                      <a:noFill/>
                    </a:ln>
                  </pic:spPr>
                </pic:pic>
              </a:graphicData>
            </a:graphic>
          </wp:inline>
        </w:drawing>
      </w:r>
    </w:p>
    <w:p w14:paraId="7FADF5F7">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其中：</w:t>
      </w:r>
      <w:r>
        <w:rPr>
          <w:rFonts w:hint="default" w:ascii="Times New Roman" w:hAnsi="Times New Roman" w:eastAsia="宋体" w:cs="Times New Roman"/>
          <w:b/>
          <w:bCs/>
          <w:i/>
          <w:iCs/>
          <w:color w:val="000000"/>
          <w:kern w:val="0"/>
          <w:sz w:val="24"/>
          <w:szCs w:val="24"/>
          <w:highlight w:val="none"/>
          <w:lang w:val="en-US" w:eastAsia="zh-CN" w:bidi="ar"/>
        </w:rPr>
        <w:t>WLL</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吊索额定工作载荷，单位为吨（</w:t>
      </w:r>
      <w:r>
        <w:rPr>
          <w:rFonts w:hint="default"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w:t>
      </w:r>
    </w:p>
    <w:p w14:paraId="40428C0E">
      <w:pPr>
        <w:keepNext w:val="0"/>
        <w:keepLines w:val="0"/>
        <w:widowControl/>
        <w:suppressLineNumbers w:val="0"/>
        <w:spacing w:line="360" w:lineRule="auto"/>
        <w:ind w:firstLine="1446" w:firstLineChars="600"/>
        <w:jc w:val="left"/>
        <w:rPr>
          <w:highlight w:val="none"/>
        </w:rPr>
      </w:pPr>
      <w:r>
        <w:rPr>
          <w:rFonts w:hint="default" w:ascii="Times New Roman" w:hAnsi="Times New Roman" w:eastAsia="宋体" w:cs="Times New Roman"/>
          <w:b/>
          <w:bCs/>
          <w:i/>
          <w:iCs/>
          <w:color w:val="000000"/>
          <w:kern w:val="0"/>
          <w:sz w:val="24"/>
          <w:szCs w:val="24"/>
          <w:highlight w:val="none"/>
          <w:lang w:val="en-US" w:eastAsia="zh-CN" w:bidi="ar"/>
        </w:rPr>
        <w:t>F</w:t>
      </w:r>
      <w:r>
        <w:rPr>
          <w:rFonts w:hint="default" w:ascii="Times New Roman" w:hAnsi="Times New Roman" w:eastAsia="宋体" w:cs="Times New Roman"/>
          <w:color w:val="000000"/>
          <w:kern w:val="0"/>
          <w:sz w:val="15"/>
          <w:szCs w:val="15"/>
          <w:highlight w:val="none"/>
          <w:lang w:val="en-US" w:eastAsia="zh-CN" w:bidi="ar"/>
        </w:rPr>
        <w:t>0</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钢丝绳最小破断拉力，单位为千牛（</w:t>
      </w:r>
      <w:r>
        <w:rPr>
          <w:rFonts w:hint="default" w:ascii="Times New Roman" w:hAnsi="Times New Roman" w:eastAsia="宋体" w:cs="Times New Roman"/>
          <w:color w:val="000000"/>
          <w:kern w:val="0"/>
          <w:sz w:val="24"/>
          <w:szCs w:val="24"/>
          <w:highlight w:val="none"/>
          <w:lang w:val="en-US" w:eastAsia="zh-CN" w:bidi="ar"/>
        </w:rPr>
        <w:t>kN</w:t>
      </w:r>
      <w:r>
        <w:rPr>
          <w:rFonts w:hint="eastAsia" w:ascii="宋体" w:hAnsi="宋体" w:eastAsia="宋体" w:cs="宋体"/>
          <w:color w:val="000000"/>
          <w:kern w:val="0"/>
          <w:sz w:val="24"/>
          <w:szCs w:val="24"/>
          <w:highlight w:val="none"/>
          <w:lang w:val="en-US" w:eastAsia="zh-CN" w:bidi="ar"/>
        </w:rPr>
        <w:t>）；</w:t>
      </w:r>
    </w:p>
    <w:p w14:paraId="3FD40744">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e</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接头形式效能近似系数，压制接头取</w:t>
      </w:r>
      <w:r>
        <w:rPr>
          <w:rFonts w:hint="default" w:ascii="Times New Roman" w:hAnsi="Times New Roman" w:eastAsia="宋体" w:cs="Times New Roman"/>
          <w:color w:val="000000"/>
          <w:kern w:val="0"/>
          <w:sz w:val="24"/>
          <w:szCs w:val="24"/>
          <w:highlight w:val="none"/>
          <w:lang w:val="en-US" w:eastAsia="zh-CN" w:bidi="ar"/>
        </w:rPr>
        <w:t>0.9</w:t>
      </w:r>
      <w:r>
        <w:rPr>
          <w:rFonts w:hint="eastAsia" w:ascii="宋体" w:hAnsi="宋体" w:eastAsia="宋体" w:cs="宋体"/>
          <w:color w:val="000000"/>
          <w:kern w:val="0"/>
          <w:sz w:val="24"/>
          <w:szCs w:val="24"/>
          <w:highlight w:val="none"/>
          <w:lang w:val="en-US" w:eastAsia="zh-CN" w:bidi="ar"/>
        </w:rPr>
        <w:t xml:space="preserve">，插编接头取 </w:t>
      </w:r>
      <w:r>
        <w:rPr>
          <w:rFonts w:hint="default" w:ascii="Times New Roman" w:hAnsi="Times New Roman" w:eastAsia="宋体" w:cs="Times New Roman"/>
          <w:color w:val="000000"/>
          <w:kern w:val="0"/>
          <w:sz w:val="24"/>
          <w:szCs w:val="24"/>
          <w:highlight w:val="none"/>
          <w:lang w:val="en-US" w:eastAsia="zh-CN" w:bidi="ar"/>
        </w:rPr>
        <w:t>0.75</w:t>
      </w:r>
      <w:r>
        <w:rPr>
          <w:rFonts w:hint="eastAsia" w:ascii="宋体" w:hAnsi="宋体" w:eastAsia="宋体" w:cs="宋体"/>
          <w:color w:val="000000"/>
          <w:kern w:val="0"/>
          <w:sz w:val="24"/>
          <w:szCs w:val="24"/>
          <w:highlight w:val="none"/>
          <w:lang w:val="en-US" w:eastAsia="zh-CN" w:bidi="ar"/>
        </w:rPr>
        <w:t>；</w:t>
      </w:r>
    </w:p>
    <w:p w14:paraId="6FF1BE8B">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u</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安全系数，一般取</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w:t>
      </w:r>
    </w:p>
    <w:p w14:paraId="74ABAB97">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m</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质量与力的转换系数，取值为</w:t>
      </w:r>
      <w:r>
        <w:rPr>
          <w:rFonts w:hint="default" w:ascii="Times New Roman" w:hAnsi="Times New Roman" w:eastAsia="宋体" w:cs="Times New Roman"/>
          <w:color w:val="000000"/>
          <w:kern w:val="0"/>
          <w:sz w:val="24"/>
          <w:szCs w:val="24"/>
          <w:highlight w:val="none"/>
          <w:lang w:val="en-US" w:eastAsia="zh-CN" w:bidi="ar"/>
        </w:rPr>
        <w:t>9.80665</w:t>
      </w:r>
      <w:r>
        <w:rPr>
          <w:rFonts w:hint="eastAsia" w:ascii="宋体" w:hAnsi="宋体" w:eastAsia="宋体" w:cs="宋体"/>
          <w:color w:val="000000"/>
          <w:kern w:val="0"/>
          <w:sz w:val="24"/>
          <w:szCs w:val="24"/>
          <w:highlight w:val="none"/>
          <w:lang w:val="en-US" w:eastAsia="zh-CN" w:bidi="ar"/>
        </w:rPr>
        <w:t>。组装吊索额定工作载荷计算公式：</w:t>
      </w:r>
    </w:p>
    <w:p w14:paraId="2F22C46B">
      <w:pPr>
        <w:pStyle w:val="11"/>
        <w:spacing w:line="360" w:lineRule="auto"/>
        <w:ind w:left="0" w:leftChars="0" w:firstLine="0" w:firstLineChars="0"/>
        <w:jc w:val="center"/>
        <w:rPr>
          <w:highlight w:val="none"/>
        </w:rPr>
      </w:pPr>
      <w:r>
        <w:rPr>
          <w:highlight w:val="none"/>
        </w:rPr>
        <w:drawing>
          <wp:inline distT="0" distB="0" distL="114300" distR="114300">
            <wp:extent cx="2289175" cy="560705"/>
            <wp:effectExtent l="0" t="0" r="9525" b="10795"/>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pic:cNvPicPr>
                  </pic:nvPicPr>
                  <pic:blipFill>
                    <a:blip r:embed="rId21"/>
                    <a:stretch>
                      <a:fillRect/>
                    </a:stretch>
                  </pic:blipFill>
                  <pic:spPr>
                    <a:xfrm>
                      <a:off x="0" y="0"/>
                      <a:ext cx="2289175" cy="560705"/>
                    </a:xfrm>
                    <a:prstGeom prst="rect">
                      <a:avLst/>
                    </a:prstGeom>
                    <a:noFill/>
                    <a:ln>
                      <a:noFill/>
                    </a:ln>
                  </pic:spPr>
                </pic:pic>
              </a:graphicData>
            </a:graphic>
          </wp:inline>
        </w:drawing>
      </w:r>
    </w:p>
    <w:p w14:paraId="29C6558C">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其中：</w:t>
      </w:r>
      <w:r>
        <w:rPr>
          <w:rFonts w:hint="default" w:ascii="Times New Roman" w:hAnsi="Times New Roman" w:eastAsia="宋体" w:cs="Times New Roman"/>
          <w:b/>
          <w:bCs/>
          <w:i/>
          <w:iCs/>
          <w:color w:val="000000"/>
          <w:kern w:val="0"/>
          <w:sz w:val="24"/>
          <w:szCs w:val="24"/>
          <w:highlight w:val="none"/>
          <w:lang w:val="en-US" w:eastAsia="zh-CN" w:bidi="ar"/>
        </w:rPr>
        <w:t>WLL</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吊索额定工作载荷，单位为吨（</w:t>
      </w:r>
      <w:r>
        <w:rPr>
          <w:rFonts w:hint="default"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 xml:space="preserve">）； </w:t>
      </w:r>
    </w:p>
    <w:p w14:paraId="34A17C9C">
      <w:pPr>
        <w:keepNext w:val="0"/>
        <w:keepLines w:val="0"/>
        <w:widowControl/>
        <w:suppressLineNumbers w:val="0"/>
        <w:spacing w:line="360" w:lineRule="auto"/>
        <w:ind w:firstLine="1446" w:firstLineChars="600"/>
        <w:jc w:val="left"/>
        <w:rPr>
          <w:highlight w:val="none"/>
        </w:rPr>
      </w:pPr>
      <w:r>
        <w:rPr>
          <w:rFonts w:hint="default" w:ascii="Times New Roman" w:hAnsi="Times New Roman" w:eastAsia="宋体" w:cs="Times New Roman"/>
          <w:b/>
          <w:bCs/>
          <w:i/>
          <w:iCs/>
          <w:color w:val="000000"/>
          <w:kern w:val="0"/>
          <w:sz w:val="24"/>
          <w:szCs w:val="24"/>
          <w:highlight w:val="none"/>
          <w:lang w:val="en-US" w:eastAsia="zh-CN" w:bidi="ar"/>
        </w:rPr>
        <w:t>F</w:t>
      </w:r>
      <w:r>
        <w:rPr>
          <w:rFonts w:hint="default" w:ascii="Times New Roman" w:hAnsi="Times New Roman" w:eastAsia="宋体" w:cs="Times New Roman"/>
          <w:color w:val="000000"/>
          <w:kern w:val="0"/>
          <w:sz w:val="15"/>
          <w:szCs w:val="15"/>
          <w:highlight w:val="none"/>
          <w:lang w:val="en-US" w:eastAsia="zh-CN" w:bidi="ar"/>
        </w:rPr>
        <w:t>0</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钢丝绳最小破断拉力，单位为千牛（</w:t>
      </w:r>
      <w:r>
        <w:rPr>
          <w:rFonts w:hint="default" w:ascii="Times New Roman" w:hAnsi="Times New Roman" w:eastAsia="宋体" w:cs="Times New Roman"/>
          <w:color w:val="000000"/>
          <w:kern w:val="0"/>
          <w:sz w:val="24"/>
          <w:szCs w:val="24"/>
          <w:highlight w:val="none"/>
          <w:lang w:val="en-US" w:eastAsia="zh-CN" w:bidi="ar"/>
        </w:rPr>
        <w:t>kN</w:t>
      </w:r>
      <w:r>
        <w:rPr>
          <w:rFonts w:hint="eastAsia" w:ascii="宋体" w:hAnsi="宋体" w:eastAsia="宋体" w:cs="宋体"/>
          <w:color w:val="000000"/>
          <w:kern w:val="0"/>
          <w:sz w:val="24"/>
          <w:szCs w:val="24"/>
          <w:highlight w:val="none"/>
          <w:lang w:val="en-US" w:eastAsia="zh-CN" w:bidi="ar"/>
        </w:rPr>
        <w:t>）；</w:t>
      </w:r>
    </w:p>
    <w:p w14:paraId="13DFB36B">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e</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接头形式效能近似系数，压制接头取 </w:t>
      </w:r>
      <w:r>
        <w:rPr>
          <w:rFonts w:hint="default" w:ascii="Times New Roman" w:hAnsi="Times New Roman" w:eastAsia="宋体" w:cs="Times New Roman"/>
          <w:color w:val="000000"/>
          <w:kern w:val="0"/>
          <w:sz w:val="24"/>
          <w:szCs w:val="24"/>
          <w:highlight w:val="none"/>
          <w:lang w:val="en-US" w:eastAsia="zh-CN" w:bidi="ar"/>
        </w:rPr>
        <w:t>0.9</w:t>
      </w:r>
      <w:r>
        <w:rPr>
          <w:rFonts w:hint="eastAsia" w:ascii="宋体" w:hAnsi="宋体" w:eastAsia="宋体" w:cs="宋体"/>
          <w:color w:val="000000"/>
          <w:kern w:val="0"/>
          <w:sz w:val="24"/>
          <w:szCs w:val="24"/>
          <w:highlight w:val="none"/>
          <w:lang w:val="en-US" w:eastAsia="zh-CN" w:bidi="ar"/>
        </w:rPr>
        <w:t xml:space="preserve">，插编接头取 </w:t>
      </w:r>
      <w:r>
        <w:rPr>
          <w:rFonts w:hint="default" w:ascii="Times New Roman" w:hAnsi="Times New Roman" w:eastAsia="宋体" w:cs="Times New Roman"/>
          <w:color w:val="000000"/>
          <w:kern w:val="0"/>
          <w:sz w:val="24"/>
          <w:szCs w:val="24"/>
          <w:highlight w:val="none"/>
          <w:lang w:val="en-US" w:eastAsia="zh-CN" w:bidi="ar"/>
        </w:rPr>
        <w:t>0.75</w:t>
      </w:r>
      <w:r>
        <w:rPr>
          <w:rFonts w:hint="eastAsia" w:ascii="宋体" w:hAnsi="宋体" w:eastAsia="宋体" w:cs="宋体"/>
          <w:color w:val="000000"/>
          <w:kern w:val="0"/>
          <w:sz w:val="24"/>
          <w:szCs w:val="24"/>
          <w:highlight w:val="none"/>
          <w:lang w:val="en-US" w:eastAsia="zh-CN" w:bidi="ar"/>
        </w:rPr>
        <w:t xml:space="preserve">； </w:t>
      </w:r>
    </w:p>
    <w:p w14:paraId="54038735">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肢的数量与垂直方向角度的相关系数（即而定工作载荷计算系数） </w:t>
      </w:r>
    </w:p>
    <w:p w14:paraId="1464350C">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u</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安全系数，一般取</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w:t>
      </w:r>
    </w:p>
    <w:p w14:paraId="47DA92F5">
      <w:pPr>
        <w:keepNext w:val="0"/>
        <w:keepLines w:val="0"/>
        <w:widowControl/>
        <w:suppressLineNumbers w:val="0"/>
        <w:spacing w:line="360" w:lineRule="auto"/>
        <w:ind w:firstLine="1440" w:firstLineChars="600"/>
        <w:jc w:val="left"/>
        <w:rPr>
          <w:highlight w:val="none"/>
        </w:rPr>
      </w:pP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m</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质量与力的转换系数，取值为</w:t>
      </w:r>
      <w:r>
        <w:rPr>
          <w:rFonts w:hint="default" w:ascii="Times New Roman" w:hAnsi="Times New Roman" w:eastAsia="宋体" w:cs="Times New Roman"/>
          <w:color w:val="000000"/>
          <w:kern w:val="0"/>
          <w:sz w:val="24"/>
          <w:szCs w:val="24"/>
          <w:highlight w:val="none"/>
          <w:lang w:val="en-US" w:eastAsia="zh-CN" w:bidi="ar"/>
        </w:rPr>
        <w:t>9.80665</w:t>
      </w:r>
    </w:p>
    <w:p w14:paraId="27961084">
      <w:pPr>
        <w:pStyle w:val="14"/>
        <w:bidi w:val="0"/>
        <w:rPr>
          <w:rFonts w:hint="eastAsia"/>
          <w:highlight w:val="none"/>
          <w:lang w:val="en-US" w:eastAsia="zh-CN"/>
        </w:rPr>
      </w:pPr>
      <w:r>
        <w:rPr>
          <w:rFonts w:hint="eastAsia"/>
          <w:highlight w:val="none"/>
          <w:lang w:val="en-US" w:eastAsia="zh-CN"/>
        </w:rPr>
        <w:t>表 4.2.2-2 钢丝绳额定工作载荷计算系数</w:t>
      </w:r>
    </w:p>
    <w:p w14:paraId="63BAFEDF">
      <w:pPr>
        <w:spacing w:line="360" w:lineRule="auto"/>
        <w:rPr>
          <w:highlight w:val="none"/>
        </w:rPr>
      </w:pPr>
      <w:r>
        <w:rPr>
          <w:highlight w:val="none"/>
        </w:rPr>
        <w:drawing>
          <wp:inline distT="0" distB="0" distL="114300" distR="114300">
            <wp:extent cx="5690235" cy="1616710"/>
            <wp:effectExtent l="0" t="0" r="12065" b="8890"/>
            <wp:docPr id="1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pic:cNvPicPr>
                      <a:picLocks noChangeAspect="1"/>
                    </pic:cNvPicPr>
                  </pic:nvPicPr>
                  <pic:blipFill>
                    <a:blip r:embed="rId22"/>
                    <a:stretch>
                      <a:fillRect/>
                    </a:stretch>
                  </pic:blipFill>
                  <pic:spPr>
                    <a:xfrm>
                      <a:off x="0" y="0"/>
                      <a:ext cx="5690235" cy="1616710"/>
                    </a:xfrm>
                    <a:prstGeom prst="rect">
                      <a:avLst/>
                    </a:prstGeom>
                    <a:noFill/>
                    <a:ln>
                      <a:noFill/>
                    </a:ln>
                  </pic:spPr>
                </pic:pic>
              </a:graphicData>
            </a:graphic>
          </wp:inline>
        </w:drawing>
      </w:r>
    </w:p>
    <w:p w14:paraId="59C2204C">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根据《建筑施工起重吊装安全技术规范》（</w:t>
      </w:r>
      <w:r>
        <w:rPr>
          <w:rFonts w:hint="default" w:ascii="Times New Roman" w:hAnsi="Times New Roman" w:eastAsia="宋体" w:cs="Times New Roman"/>
          <w:color w:val="000000"/>
          <w:kern w:val="0"/>
          <w:sz w:val="24"/>
          <w:szCs w:val="24"/>
          <w:highlight w:val="none"/>
          <w:lang w:val="en-US" w:eastAsia="zh-CN" w:bidi="ar"/>
        </w:rPr>
        <w:t>JGJ 276-2012</w:t>
      </w:r>
      <w:r>
        <w:rPr>
          <w:rFonts w:hint="eastAsia" w:ascii="宋体" w:hAnsi="宋体" w:eastAsia="宋体" w:cs="宋体"/>
          <w:color w:val="000000"/>
          <w:kern w:val="0"/>
          <w:sz w:val="24"/>
          <w:szCs w:val="24"/>
          <w:highlight w:val="none"/>
          <w:lang w:val="en-US" w:eastAsia="zh-CN" w:bidi="ar"/>
        </w:rPr>
        <w:t xml:space="preserve">）： </w:t>
      </w:r>
    </w:p>
    <w:p w14:paraId="2E8A340E">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）吊索两端的绳套应采用压制接头；</w:t>
      </w:r>
    </w:p>
    <w:p w14:paraId="7E91EB6B">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）吊索的安全系数取值分为：当利用吊索上的吊钩、卡环钩挂重物上的起重吊环时，不应小于</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；当用吊索直接捆绑重物，且吊索与重物棱角间采取了妥善的保护措施时，应取</w:t>
      </w:r>
      <w:r>
        <w:rPr>
          <w:rFonts w:hint="default" w:ascii="Times New Roman" w:hAnsi="Times New Roman" w:eastAsia="宋体" w:cs="Times New Roman"/>
          <w:color w:val="000000"/>
          <w:kern w:val="0"/>
          <w:sz w:val="24"/>
          <w:szCs w:val="24"/>
          <w:highlight w:val="none"/>
          <w:lang w:val="en-US" w:eastAsia="zh-CN" w:bidi="ar"/>
        </w:rPr>
        <w:t>6~8</w:t>
      </w:r>
      <w:r>
        <w:rPr>
          <w:rFonts w:hint="eastAsia" w:ascii="宋体" w:hAnsi="宋体" w:eastAsia="宋体" w:cs="宋体"/>
          <w:color w:val="000000"/>
          <w:kern w:val="0"/>
          <w:sz w:val="24"/>
          <w:szCs w:val="24"/>
          <w:highlight w:val="none"/>
          <w:lang w:val="en-US" w:eastAsia="zh-CN" w:bidi="ar"/>
        </w:rPr>
        <w:t>；当吊重、大或精密的重物时，除应采取妥善保护措施外，安全系数应取</w:t>
      </w:r>
      <w:r>
        <w:rPr>
          <w:rFonts w:hint="default" w:ascii="Times New Roman" w:hAnsi="Times New Roman" w:eastAsia="宋体" w:cs="Times New Roman"/>
          <w:color w:val="000000"/>
          <w:kern w:val="0"/>
          <w:sz w:val="24"/>
          <w:szCs w:val="24"/>
          <w:highlight w:val="none"/>
          <w:lang w:val="en-US" w:eastAsia="zh-CN" w:bidi="ar"/>
        </w:rPr>
        <w:t>10</w:t>
      </w:r>
      <w:r>
        <w:rPr>
          <w:rFonts w:hint="eastAsia" w:ascii="宋体" w:hAnsi="宋体" w:eastAsia="宋体" w:cs="宋体"/>
          <w:color w:val="000000"/>
          <w:kern w:val="0"/>
          <w:sz w:val="24"/>
          <w:szCs w:val="24"/>
          <w:highlight w:val="none"/>
          <w:lang w:val="en-US" w:eastAsia="zh-CN" w:bidi="ar"/>
        </w:rPr>
        <w:t>；</w:t>
      </w:r>
    </w:p>
    <w:p w14:paraId="2C116C64">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）吊索与所吊构件间的水平夹角应为</w:t>
      </w:r>
      <w:r>
        <w:rPr>
          <w:rFonts w:hint="default" w:ascii="Times New Roman" w:hAnsi="Times New Roman" w:eastAsia="宋体" w:cs="Times New Roman"/>
          <w:color w:val="000000"/>
          <w:kern w:val="0"/>
          <w:sz w:val="24"/>
          <w:szCs w:val="24"/>
          <w:highlight w:val="none"/>
          <w:lang w:val="en-US" w:eastAsia="zh-CN" w:bidi="ar"/>
        </w:rPr>
        <w:t>45~60</w:t>
      </w:r>
      <w:r>
        <w:rPr>
          <w:rFonts w:hint="eastAsia" w:ascii="宋体" w:hAnsi="宋体" w:eastAsia="宋体" w:cs="宋体"/>
          <w:color w:val="000000"/>
          <w:kern w:val="0"/>
          <w:sz w:val="24"/>
          <w:szCs w:val="24"/>
          <w:highlight w:val="none"/>
          <w:lang w:val="en-US" w:eastAsia="zh-CN" w:bidi="ar"/>
        </w:rPr>
        <w:t>°；</w:t>
      </w:r>
    </w:p>
    <w:p w14:paraId="58689850">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极限工况计算。以平衡重吊装为极限工况。选用</w:t>
      </w:r>
      <w:r>
        <w:rPr>
          <w:rFonts w:hint="eastAsia"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根长度</w:t>
      </w:r>
      <w:r>
        <w:rPr>
          <w:rFonts w:hint="eastAsia" w:ascii="Times New Roman" w:hAnsi="Times New Roman" w:eastAsia="宋体"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m</w:t>
      </w:r>
      <w:r>
        <w:rPr>
          <w:rFonts w:hint="eastAsia" w:ascii="宋体" w:hAnsi="宋体" w:eastAsia="宋体" w:cs="宋体"/>
          <w:color w:val="000000"/>
          <w:kern w:val="0"/>
          <w:sz w:val="24"/>
          <w:szCs w:val="24"/>
          <w:highlight w:val="none"/>
          <w:lang w:val="en-US" w:eastAsia="zh-CN" w:bidi="ar"/>
        </w:rPr>
        <w:t>、直径</w:t>
      </w:r>
      <w:r>
        <w:rPr>
          <w:rFonts w:hint="eastAsia" w:ascii="Times New Roman" w:hAnsi="Times New Roman" w:eastAsia="宋体" w:cs="Times New Roman"/>
          <w:color w:val="000000"/>
          <w:kern w:val="0"/>
          <w:sz w:val="24"/>
          <w:szCs w:val="24"/>
          <w:highlight w:val="none"/>
          <w:lang w:val="en-US" w:eastAsia="zh-CN" w:bidi="ar"/>
        </w:rPr>
        <w:t>20</w:t>
      </w:r>
      <w:r>
        <w:rPr>
          <w:rFonts w:hint="default" w:ascii="Times New Roman" w:hAnsi="Times New Roman" w:eastAsia="宋体" w:cs="Times New Roman"/>
          <w:color w:val="000000"/>
          <w:kern w:val="0"/>
          <w:sz w:val="24"/>
          <w:szCs w:val="24"/>
          <w:highlight w:val="none"/>
          <w:lang w:val="en-US" w:eastAsia="zh-CN" w:bidi="ar"/>
        </w:rPr>
        <w:t>mm</w:t>
      </w:r>
      <w:r>
        <w:rPr>
          <w:rFonts w:hint="eastAsia" w:ascii="宋体" w:hAnsi="宋体" w:eastAsia="宋体" w:cs="宋体"/>
          <w:color w:val="000000"/>
          <w:kern w:val="0"/>
          <w:sz w:val="24"/>
          <w:szCs w:val="24"/>
          <w:highlight w:val="none"/>
          <w:lang w:val="en-US" w:eastAsia="zh-CN" w:bidi="ar"/>
        </w:rPr>
        <w:t>、公称抗拉强度为</w:t>
      </w:r>
      <w:r>
        <w:rPr>
          <w:rFonts w:hint="default" w:ascii="Times New Roman" w:hAnsi="Times New Roman" w:eastAsia="宋体" w:cs="Times New Roman"/>
          <w:color w:val="000000"/>
          <w:kern w:val="0"/>
          <w:sz w:val="24"/>
          <w:szCs w:val="24"/>
          <w:highlight w:val="none"/>
          <w:lang w:val="en-US" w:eastAsia="zh-CN" w:bidi="ar"/>
        </w:rPr>
        <w:t>1</w:t>
      </w:r>
      <w:r>
        <w:rPr>
          <w:rFonts w:hint="eastAsia" w:ascii="Times New Roman" w:hAnsi="Times New Roman" w:eastAsia="宋体"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70MPa</w:t>
      </w:r>
      <w:r>
        <w:rPr>
          <w:rFonts w:hint="eastAsia" w:ascii="宋体" w:hAnsi="宋体" w:eastAsia="宋体" w:cs="宋体"/>
          <w:color w:val="000000"/>
          <w:kern w:val="0"/>
          <w:sz w:val="24"/>
          <w:szCs w:val="24"/>
          <w:highlight w:val="none"/>
          <w:lang w:val="en-US" w:eastAsia="zh-CN" w:bidi="ar"/>
        </w:rPr>
        <w:t>的</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37S</w:t>
      </w:r>
      <w:r>
        <w:rPr>
          <w:rFonts w:hint="eastAsia" w:ascii="宋体" w:hAnsi="宋体" w:eastAsia="宋体" w:cs="宋体"/>
          <w:color w:val="000000"/>
          <w:kern w:val="0"/>
          <w:sz w:val="24"/>
          <w:szCs w:val="24"/>
          <w:highlight w:val="none"/>
          <w:lang w:val="en-US" w:eastAsia="zh-CN" w:bidi="ar"/>
        </w:rPr>
        <w:t>规格的纤维芯钢丝绳。</w:t>
      </w:r>
    </w:p>
    <w:p w14:paraId="2FB94592">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取</w:t>
      </w: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e</w:t>
      </w:r>
      <w:r>
        <w:rPr>
          <w:rFonts w:hint="default" w:ascii="Times New Roman" w:hAnsi="Times New Roman" w:eastAsia="宋体" w:cs="Times New Roman"/>
          <w:color w:val="000000"/>
          <w:kern w:val="0"/>
          <w:sz w:val="24"/>
          <w:szCs w:val="24"/>
          <w:highlight w:val="none"/>
          <w:lang w:val="en-US" w:eastAsia="zh-CN" w:bidi="ar"/>
        </w:rPr>
        <w:t>=0.9</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24"/>
          <w:szCs w:val="24"/>
          <w:highlight w:val="none"/>
          <w:lang w:val="en-US" w:eastAsia="zh-CN" w:bidi="ar"/>
        </w:rPr>
        <w:t>=2.1</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i/>
          <w:iCs/>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u</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。根据《重要用途钢丝绳》（</w:t>
      </w:r>
      <w:r>
        <w:rPr>
          <w:rFonts w:hint="default" w:ascii="Times New Roman" w:hAnsi="Times New Roman" w:eastAsia="宋体" w:cs="Times New Roman"/>
          <w:color w:val="000000"/>
          <w:kern w:val="0"/>
          <w:sz w:val="24"/>
          <w:szCs w:val="24"/>
          <w:highlight w:val="none"/>
          <w:lang w:val="en-US" w:eastAsia="zh-CN" w:bidi="ar"/>
        </w:rPr>
        <w:t>GB/T 20118-2017</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20</w:t>
      </w:r>
      <w:r>
        <w:rPr>
          <w:rFonts w:hint="default" w:ascii="Times New Roman" w:hAnsi="Times New Roman" w:eastAsia="宋体" w:cs="Times New Roman"/>
          <w:color w:val="000000"/>
          <w:kern w:val="0"/>
          <w:sz w:val="24"/>
          <w:szCs w:val="24"/>
          <w:highlight w:val="none"/>
          <w:lang w:val="en-US" w:eastAsia="zh-CN" w:bidi="ar"/>
        </w:rPr>
        <w:t xml:space="preserve"> 6×37S-FC1</w:t>
      </w:r>
      <w:r>
        <w:rPr>
          <w:rFonts w:hint="eastAsia" w:ascii="Times New Roman" w:hAnsi="Times New Roman" w:eastAsia="宋体"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70</w:t>
      </w:r>
      <w:r>
        <w:rPr>
          <w:rFonts w:hint="eastAsia" w:ascii="宋体" w:hAnsi="宋体" w:eastAsia="宋体" w:cs="宋体"/>
          <w:color w:val="000000"/>
          <w:kern w:val="0"/>
          <w:sz w:val="24"/>
          <w:szCs w:val="24"/>
          <w:highlight w:val="none"/>
          <w:lang w:val="en-US" w:eastAsia="zh-CN" w:bidi="ar"/>
        </w:rPr>
        <w:t>钢丝绳的最小破断拉力</w:t>
      </w:r>
      <w:r>
        <w:rPr>
          <w:rFonts w:hint="default" w:ascii="Times New Roman" w:hAnsi="Times New Roman" w:eastAsia="宋体" w:cs="Times New Roman"/>
          <w:b/>
          <w:bCs/>
          <w:i/>
          <w:iCs/>
          <w:color w:val="000000"/>
          <w:kern w:val="0"/>
          <w:sz w:val="24"/>
          <w:szCs w:val="24"/>
          <w:highlight w:val="none"/>
          <w:lang w:val="en-US" w:eastAsia="zh-CN" w:bidi="ar"/>
        </w:rPr>
        <w:t>F</w:t>
      </w:r>
      <w:r>
        <w:rPr>
          <w:rFonts w:hint="default" w:ascii="Times New Roman" w:hAnsi="Times New Roman" w:eastAsia="宋体" w:cs="Times New Roman"/>
          <w:color w:val="000000"/>
          <w:kern w:val="0"/>
          <w:sz w:val="15"/>
          <w:szCs w:val="15"/>
          <w:highlight w:val="none"/>
          <w:lang w:val="en-US" w:eastAsia="zh-CN" w:bidi="ar"/>
        </w:rPr>
        <w:t>0</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220×1.226=269.72</w:t>
      </w:r>
      <w:r>
        <w:rPr>
          <w:rFonts w:hint="default" w:ascii="Times New Roman" w:hAnsi="Times New Roman" w:eastAsia="宋体" w:cs="Times New Roman"/>
          <w:color w:val="000000"/>
          <w:kern w:val="0"/>
          <w:sz w:val="24"/>
          <w:szCs w:val="24"/>
          <w:highlight w:val="none"/>
          <w:lang w:val="en-US" w:eastAsia="zh-CN" w:bidi="ar"/>
        </w:rPr>
        <w:t>kN</w:t>
      </w:r>
      <w:r>
        <w:rPr>
          <w:rFonts w:hint="eastAsia" w:ascii="宋体" w:hAnsi="宋体" w:eastAsia="宋体" w:cs="宋体"/>
          <w:color w:val="000000"/>
          <w:kern w:val="0"/>
          <w:sz w:val="24"/>
          <w:szCs w:val="24"/>
          <w:highlight w:val="none"/>
          <w:lang w:val="en-US" w:eastAsia="zh-CN" w:bidi="ar"/>
        </w:rPr>
        <w:t>。因此，钢丝绳极限工作载荷为：</w:t>
      </w:r>
    </w:p>
    <w:p w14:paraId="385312C8">
      <w:pPr>
        <w:keepNext w:val="0"/>
        <w:keepLines w:val="0"/>
        <w:widowControl/>
        <w:suppressLineNumbers w:val="0"/>
        <w:spacing w:line="360" w:lineRule="auto"/>
        <w:jc w:val="center"/>
        <w:rPr>
          <w:highlight w:val="none"/>
        </w:rPr>
      </w:pPr>
      <w:r>
        <w:rPr>
          <w:rFonts w:hint="default" w:ascii="Times New Roman" w:hAnsi="Times New Roman" w:eastAsia="宋体" w:cs="Times New Roman"/>
          <w:b/>
          <w:bCs/>
          <w:i/>
          <w:iCs/>
          <w:color w:val="000000"/>
          <w:kern w:val="0"/>
          <w:sz w:val="26"/>
          <w:szCs w:val="26"/>
          <w:highlight w:val="none"/>
          <w:lang w:val="en-US" w:eastAsia="zh-CN" w:bidi="ar"/>
        </w:rPr>
        <w:t>WLL</w:t>
      </w:r>
      <w:r>
        <w:rPr>
          <w:rFonts w:hint="eastAsia" w:ascii="宋体" w:hAnsi="宋体" w:eastAsia="宋体" w:cs="宋体"/>
          <w:color w:val="000000"/>
          <w:kern w:val="0"/>
          <w:sz w:val="26"/>
          <w:szCs w:val="26"/>
          <w:highlight w:val="none"/>
          <w:lang w:val="en-US" w:eastAsia="zh-CN" w:bidi="ar"/>
        </w:rPr>
        <w:t>=</w:t>
      </w:r>
      <w:r>
        <w:rPr>
          <w:rFonts w:hint="eastAsia" w:ascii="Times New Roman" w:hAnsi="Times New Roman" w:eastAsia="宋体" w:cs="Times New Roman"/>
          <w:color w:val="000000"/>
          <w:kern w:val="0"/>
          <w:sz w:val="26"/>
          <w:szCs w:val="26"/>
          <w:highlight w:val="none"/>
          <w:lang w:val="en-US" w:eastAsia="zh-CN" w:bidi="ar"/>
        </w:rPr>
        <w:t>269.72</w:t>
      </w:r>
      <w:r>
        <w:rPr>
          <w:rFonts w:hint="default" w:ascii="Times New Roman" w:hAnsi="Times New Roman" w:eastAsia="宋体" w:cs="Times New Roman"/>
          <w:color w:val="000000"/>
          <w:kern w:val="0"/>
          <w:sz w:val="26"/>
          <w:szCs w:val="26"/>
          <w:highlight w:val="none"/>
          <w:lang w:val="en-US" w:eastAsia="zh-CN" w:bidi="ar"/>
        </w:rPr>
        <w:t>kN</w:t>
      </w:r>
      <w:r>
        <w:rPr>
          <w:rFonts w:ascii="Symbol" w:hAnsi="Symbol" w:eastAsia="宋体" w:cs="Symbol"/>
          <w:color w:val="000000"/>
          <w:kern w:val="0"/>
          <w:sz w:val="26"/>
          <w:szCs w:val="26"/>
          <w:highlight w:val="none"/>
          <w:lang w:val="en-US" w:eastAsia="zh-CN" w:bidi="ar"/>
        </w:rPr>
        <w:t xml:space="preserve"> </w:t>
      </w:r>
      <w:r>
        <w:rPr>
          <w:rFonts w:hint="default" w:ascii="Times New Roman" w:hAnsi="Times New Roman" w:eastAsia="宋体" w:cs="Times New Roman"/>
          <w:color w:val="000000"/>
          <w:kern w:val="0"/>
          <w:sz w:val="26"/>
          <w:szCs w:val="26"/>
          <w:highlight w:val="none"/>
          <w:lang w:val="en-US" w:eastAsia="zh-CN" w:bidi="ar"/>
        </w:rPr>
        <w:t>0</w:t>
      </w:r>
      <w:r>
        <w:rPr>
          <w:rFonts w:hint="eastAsia" w:ascii="宋体" w:hAnsi="宋体" w:eastAsia="宋体" w:cs="宋体"/>
          <w:color w:val="000000"/>
          <w:kern w:val="0"/>
          <w:sz w:val="26"/>
          <w:szCs w:val="26"/>
          <w:highlight w:val="none"/>
          <w:lang w:val="en-US" w:eastAsia="zh-CN" w:bidi="ar"/>
        </w:rPr>
        <w:t>.</w:t>
      </w:r>
      <w:r>
        <w:rPr>
          <w:rFonts w:hint="default" w:ascii="Times New Roman" w:hAnsi="Times New Roman" w:eastAsia="宋体" w:cs="Times New Roman"/>
          <w:color w:val="000000"/>
          <w:kern w:val="0"/>
          <w:sz w:val="26"/>
          <w:szCs w:val="26"/>
          <w:highlight w:val="none"/>
          <w:lang w:val="en-US" w:eastAsia="zh-CN" w:bidi="ar"/>
        </w:rPr>
        <w:t>9</w:t>
      </w:r>
      <w:r>
        <w:rPr>
          <w:rFonts w:hint="default" w:ascii="Symbol" w:hAnsi="Symbol" w:eastAsia="宋体" w:cs="Symbol"/>
          <w:color w:val="000000"/>
          <w:kern w:val="0"/>
          <w:sz w:val="26"/>
          <w:szCs w:val="26"/>
          <w:highlight w:val="none"/>
          <w:lang w:val="en-US" w:eastAsia="zh-CN" w:bidi="ar"/>
        </w:rPr>
        <w:t xml:space="preserve"> </w:t>
      </w:r>
      <w:r>
        <w:rPr>
          <w:rFonts w:hint="default" w:ascii="Times New Roman" w:hAnsi="Times New Roman" w:eastAsia="宋体" w:cs="Times New Roman"/>
          <w:color w:val="000000"/>
          <w:kern w:val="0"/>
          <w:sz w:val="26"/>
          <w:szCs w:val="26"/>
          <w:highlight w:val="none"/>
          <w:lang w:val="en-US" w:eastAsia="zh-CN" w:bidi="ar"/>
        </w:rPr>
        <w:t>2</w:t>
      </w:r>
      <w:r>
        <w:rPr>
          <w:rFonts w:hint="eastAsia" w:ascii="宋体" w:hAnsi="宋体" w:eastAsia="宋体" w:cs="宋体"/>
          <w:color w:val="000000"/>
          <w:kern w:val="0"/>
          <w:sz w:val="26"/>
          <w:szCs w:val="26"/>
          <w:highlight w:val="none"/>
          <w:lang w:val="en-US" w:eastAsia="zh-CN" w:bidi="ar"/>
        </w:rPr>
        <w:t>.</w:t>
      </w:r>
      <w:r>
        <w:rPr>
          <w:rFonts w:hint="default" w:ascii="Times New Roman" w:hAnsi="Times New Roman" w:eastAsia="宋体" w:cs="Times New Roman"/>
          <w:color w:val="000000"/>
          <w:kern w:val="0"/>
          <w:sz w:val="26"/>
          <w:szCs w:val="26"/>
          <w:highlight w:val="none"/>
          <w:lang w:val="en-US" w:eastAsia="zh-CN" w:bidi="ar"/>
        </w:rPr>
        <w:t>1</w:t>
      </w:r>
      <w:r>
        <w:rPr>
          <w:rFonts w:hint="eastAsia" w:ascii="宋体" w:hAnsi="宋体" w:eastAsia="宋体" w:cs="宋体"/>
          <w:color w:val="000000"/>
          <w:kern w:val="0"/>
          <w:sz w:val="26"/>
          <w:szCs w:val="26"/>
          <w:highlight w:val="none"/>
          <w:lang w:val="en-US" w:eastAsia="zh-CN" w:bidi="ar"/>
        </w:rPr>
        <w:t>/</w:t>
      </w:r>
      <w:r>
        <w:rPr>
          <w:rFonts w:hint="default" w:ascii="Times New Roman" w:hAnsi="Times New Roman" w:eastAsia="宋体" w:cs="Times New Roman"/>
          <w:color w:val="000000"/>
          <w:kern w:val="0"/>
          <w:sz w:val="26"/>
          <w:szCs w:val="26"/>
          <w:highlight w:val="none"/>
          <w:lang w:val="en-US" w:eastAsia="zh-CN" w:bidi="ar"/>
        </w:rPr>
        <w:t>9</w:t>
      </w:r>
      <w:r>
        <w:rPr>
          <w:rFonts w:hint="eastAsia" w:ascii="宋体" w:hAnsi="宋体" w:eastAsia="宋体" w:cs="宋体"/>
          <w:color w:val="000000"/>
          <w:kern w:val="0"/>
          <w:sz w:val="26"/>
          <w:szCs w:val="26"/>
          <w:highlight w:val="none"/>
          <w:lang w:val="en-US" w:eastAsia="zh-CN" w:bidi="ar"/>
        </w:rPr>
        <w:t>.</w:t>
      </w:r>
      <w:r>
        <w:rPr>
          <w:rFonts w:hint="default" w:ascii="Times New Roman" w:hAnsi="Times New Roman" w:eastAsia="宋体" w:cs="Times New Roman"/>
          <w:color w:val="000000"/>
          <w:kern w:val="0"/>
          <w:sz w:val="26"/>
          <w:szCs w:val="26"/>
          <w:highlight w:val="none"/>
          <w:lang w:val="en-US" w:eastAsia="zh-CN" w:bidi="ar"/>
        </w:rPr>
        <w:t>80665</w:t>
      </w:r>
      <w:r>
        <w:rPr>
          <w:rFonts w:hint="eastAsia" w:ascii="宋体" w:hAnsi="宋体" w:eastAsia="宋体" w:cs="宋体"/>
          <w:color w:val="000000"/>
          <w:kern w:val="0"/>
          <w:sz w:val="26"/>
          <w:szCs w:val="26"/>
          <w:highlight w:val="none"/>
          <w:lang w:val="en-US" w:eastAsia="zh-CN" w:bidi="ar"/>
        </w:rPr>
        <w:t>/</w:t>
      </w:r>
      <w:r>
        <w:rPr>
          <w:rFonts w:hint="default" w:ascii="Times New Roman" w:hAnsi="Times New Roman" w:eastAsia="宋体" w:cs="Times New Roman"/>
          <w:color w:val="000000"/>
          <w:kern w:val="0"/>
          <w:sz w:val="26"/>
          <w:szCs w:val="26"/>
          <w:highlight w:val="none"/>
          <w:lang w:val="en-US" w:eastAsia="zh-CN" w:bidi="ar"/>
        </w:rPr>
        <w:t>6</w:t>
      </w:r>
      <w:r>
        <w:rPr>
          <w:rFonts w:hint="eastAsia" w:ascii="宋体" w:hAnsi="宋体" w:eastAsia="宋体" w:cs="宋体"/>
          <w:color w:val="000000"/>
          <w:kern w:val="0"/>
          <w:sz w:val="26"/>
          <w:szCs w:val="26"/>
          <w:highlight w:val="none"/>
          <w:lang w:val="en-US" w:eastAsia="zh-CN" w:bidi="ar"/>
        </w:rPr>
        <w:t>=</w:t>
      </w:r>
      <w:r>
        <w:rPr>
          <w:rFonts w:hint="eastAsia" w:ascii="Times New Roman" w:hAnsi="Times New Roman" w:eastAsia="宋体" w:cs="Times New Roman"/>
          <w:color w:val="000000"/>
          <w:kern w:val="0"/>
          <w:sz w:val="26"/>
          <w:szCs w:val="26"/>
          <w:highlight w:val="none"/>
          <w:lang w:val="en-US" w:eastAsia="zh-CN" w:bidi="ar"/>
        </w:rPr>
        <w:t>8.66</w:t>
      </w:r>
      <w:r>
        <w:rPr>
          <w:rFonts w:hint="default" w:ascii="Times New Roman" w:hAnsi="Times New Roman" w:eastAsia="宋体" w:cs="Times New Roman"/>
          <w:color w:val="000000"/>
          <w:kern w:val="0"/>
          <w:sz w:val="26"/>
          <w:szCs w:val="26"/>
          <w:highlight w:val="none"/>
          <w:lang w:val="en-US" w:eastAsia="zh-CN" w:bidi="ar"/>
        </w:rPr>
        <w:t>t</w:t>
      </w:r>
      <w:r>
        <w:rPr>
          <w:rFonts w:hint="eastAsia" w:ascii="宋体" w:hAnsi="宋体" w:eastAsia="宋体" w:cs="宋体"/>
          <w:color w:val="000000"/>
          <w:kern w:val="0"/>
          <w:sz w:val="26"/>
          <w:szCs w:val="26"/>
          <w:highlight w:val="none"/>
          <w:lang w:val="en-US" w:eastAsia="zh-CN" w:bidi="ar"/>
        </w:rPr>
        <w:t>＞</w:t>
      </w:r>
      <w:r>
        <w:rPr>
          <w:rFonts w:hint="default" w:ascii="Times New Roman" w:hAnsi="Times New Roman" w:eastAsia="宋体" w:cs="Times New Roman"/>
          <w:b/>
          <w:bCs/>
          <w:i/>
          <w:iCs/>
          <w:color w:val="000000"/>
          <w:kern w:val="0"/>
          <w:sz w:val="26"/>
          <w:szCs w:val="26"/>
          <w:highlight w:val="none"/>
          <w:lang w:val="en-US" w:eastAsia="zh-CN" w:bidi="ar"/>
        </w:rPr>
        <w:t>WL</w:t>
      </w:r>
      <w:r>
        <w:rPr>
          <w:rFonts w:hint="default" w:ascii="Symbol" w:hAnsi="Symbol" w:eastAsia="宋体" w:cs="Symbol"/>
          <w:color w:val="000000"/>
          <w:kern w:val="0"/>
          <w:sz w:val="26"/>
          <w:szCs w:val="26"/>
          <w:highlight w:val="none"/>
          <w:lang w:val="en-US" w:eastAsia="zh-CN" w:bidi="ar"/>
        </w:rPr>
        <w:t xml:space="preserve"> </w:t>
      </w:r>
      <w:r>
        <w:rPr>
          <w:rFonts w:hint="eastAsia" w:ascii="Times New Roman" w:hAnsi="Times New Roman" w:eastAsia="宋体" w:cs="Times New Roman"/>
          <w:color w:val="000000"/>
          <w:kern w:val="0"/>
          <w:sz w:val="26"/>
          <w:szCs w:val="26"/>
          <w:highlight w:val="none"/>
          <w:lang w:val="en-US" w:eastAsia="zh-CN" w:bidi="ar"/>
        </w:rPr>
        <w:t>3.2</w:t>
      </w:r>
      <w:r>
        <w:rPr>
          <w:rFonts w:hint="default" w:ascii="Times New Roman" w:hAnsi="Times New Roman" w:eastAsia="宋体" w:cs="Times New Roman"/>
          <w:color w:val="000000"/>
          <w:kern w:val="0"/>
          <w:sz w:val="26"/>
          <w:szCs w:val="26"/>
          <w:highlight w:val="none"/>
          <w:lang w:val="en-US" w:eastAsia="zh-CN" w:bidi="ar"/>
        </w:rPr>
        <w:t>t</w:t>
      </w:r>
    </w:p>
    <w:p w14:paraId="74CB6B59">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经验算，极限工况下20</w:t>
      </w:r>
      <w:r>
        <w:rPr>
          <w:rFonts w:hint="default" w:ascii="Times New Roman" w:hAnsi="Times New Roman" w:eastAsia="宋体" w:cs="Times New Roman"/>
          <w:color w:val="000000"/>
          <w:kern w:val="0"/>
          <w:sz w:val="24"/>
          <w:szCs w:val="24"/>
          <w:highlight w:val="none"/>
          <w:lang w:val="en-US" w:eastAsia="zh-CN" w:bidi="ar"/>
        </w:rPr>
        <w:t xml:space="preserve"> 6×37S-FC1</w:t>
      </w:r>
      <w:r>
        <w:rPr>
          <w:rFonts w:hint="eastAsia" w:ascii="Times New Roman" w:hAnsi="Times New Roman" w:eastAsia="宋体"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 xml:space="preserve">70 </w:t>
      </w:r>
      <w:r>
        <w:rPr>
          <w:rFonts w:hint="eastAsia" w:ascii="宋体" w:hAnsi="宋体" w:eastAsia="宋体" w:cs="宋体"/>
          <w:color w:val="000000"/>
          <w:kern w:val="0"/>
          <w:sz w:val="24"/>
          <w:szCs w:val="24"/>
          <w:highlight w:val="none"/>
          <w:lang w:val="en-US" w:eastAsia="zh-CN" w:bidi="ar"/>
        </w:rPr>
        <w:t>钢丝绳满足使用要求。</w:t>
      </w:r>
    </w:p>
    <w:p w14:paraId="512BCD86">
      <w:pPr>
        <w:keepNext w:val="0"/>
        <w:keepLines w:val="0"/>
        <w:widowControl/>
        <w:suppressLineNumbers w:val="0"/>
        <w:jc w:val="left"/>
        <w:rPr>
          <w:rFonts w:hint="eastAsia" w:eastAsia="宋体"/>
          <w:highlight w:val="none"/>
          <w:lang w:eastAsia="zh-CN"/>
        </w:rPr>
      </w:pPr>
      <w:r>
        <w:rPr>
          <w:rFonts w:hint="eastAsia" w:eastAsia="宋体"/>
          <w:highlight w:val="none"/>
          <w:lang w:eastAsia="zh-CN"/>
        </w:rPr>
        <w:drawing>
          <wp:inline distT="0" distB="0" distL="114300" distR="114300">
            <wp:extent cx="5274310" cy="3312160"/>
            <wp:effectExtent l="0" t="0" r="8890" b="2540"/>
            <wp:docPr id="181" name="图片 181" descr="OVM%34FR~S}[UG59Q6]$2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OVM%34FR~S}[UG59Q6]$27V"/>
                    <pic:cNvPicPr>
                      <a:picLocks noChangeAspect="1"/>
                    </pic:cNvPicPr>
                  </pic:nvPicPr>
                  <pic:blipFill>
                    <a:blip r:embed="rId23"/>
                    <a:stretch>
                      <a:fillRect/>
                    </a:stretch>
                  </pic:blipFill>
                  <pic:spPr>
                    <a:xfrm>
                      <a:off x="0" y="0"/>
                      <a:ext cx="5274310" cy="3312160"/>
                    </a:xfrm>
                    <a:prstGeom prst="rect">
                      <a:avLst/>
                    </a:prstGeom>
                  </pic:spPr>
                </pic:pic>
              </a:graphicData>
            </a:graphic>
          </wp:inline>
        </w:drawing>
      </w:r>
    </w:p>
    <w:p w14:paraId="745FC354">
      <w:pPr>
        <w:keepNext w:val="0"/>
        <w:keepLines w:val="0"/>
        <w:widowControl/>
        <w:suppressLineNumbers w:val="0"/>
        <w:jc w:val="left"/>
        <w:rPr>
          <w:rFonts w:hint="eastAsia"/>
          <w:sz w:val="21"/>
          <w:szCs w:val="21"/>
          <w:highlight w:val="none"/>
        </w:rPr>
      </w:pPr>
      <w:r>
        <w:rPr>
          <w:rFonts w:hint="eastAsia"/>
          <w:sz w:val="21"/>
          <w:szCs w:val="21"/>
          <w:highlight w:val="none"/>
          <w:lang w:val="en-US" w:eastAsia="zh-CN"/>
        </w:rPr>
        <w:t>注：</w:t>
      </w:r>
      <w:r>
        <w:rPr>
          <w:rFonts w:hint="eastAsia"/>
          <w:sz w:val="21"/>
          <w:szCs w:val="21"/>
          <w:highlight w:val="none"/>
        </w:rPr>
        <w:t>钢丝绳6*37的最小钢丝绳破断拉力总和=钢丝绳最小破断拉力×1.226(纤维芯)或×1.321(钢芯)</w:t>
      </w:r>
    </w:p>
    <w:p w14:paraId="168BFC03">
      <w:pPr>
        <w:pStyle w:val="3"/>
        <w:rPr>
          <w:rFonts w:hint="eastAsia"/>
          <w:highlight w:val="none"/>
          <w:lang w:val="en-US" w:eastAsia="zh-CN"/>
        </w:rPr>
      </w:pPr>
      <w:bookmarkStart w:id="142" w:name="_Toc14018"/>
      <w:r>
        <w:rPr>
          <w:rFonts w:hint="eastAsia"/>
          <w:highlight w:val="none"/>
          <w:lang w:val="en-US" w:eastAsia="zh-CN"/>
        </w:rPr>
        <w:t>4.</w:t>
      </w:r>
      <w:bookmarkEnd w:id="138"/>
      <w:r>
        <w:rPr>
          <w:rFonts w:hint="eastAsia"/>
          <w:highlight w:val="none"/>
          <w:lang w:val="en-US" w:eastAsia="zh-CN"/>
        </w:rPr>
        <w:t xml:space="preserve">3 </w:t>
      </w:r>
      <w:bookmarkStart w:id="143" w:name="_Toc6030"/>
      <w:r>
        <w:rPr>
          <w:rFonts w:hint="eastAsia"/>
          <w:highlight w:val="none"/>
          <w:lang w:val="en-US" w:eastAsia="zh-CN"/>
        </w:rPr>
        <w:t>塔机安装前施工准备</w:t>
      </w:r>
      <w:bookmarkEnd w:id="141"/>
      <w:bookmarkEnd w:id="142"/>
      <w:bookmarkEnd w:id="143"/>
    </w:p>
    <w:p w14:paraId="00BF59A8">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.1</w:t>
      </w:r>
      <w:r>
        <w:rPr>
          <w:rFonts w:hint="eastAsia"/>
          <w:highlight w:val="none"/>
          <w:lang w:val="en-US" w:eastAsia="zh-CN"/>
        </w:rPr>
        <w:t>工艺准备</w:t>
      </w:r>
    </w:p>
    <w:p w14:paraId="6B15E3C3">
      <w:pPr>
        <w:bidi w:val="0"/>
        <w:spacing w:line="360" w:lineRule="auto"/>
        <w:ind w:firstLine="480" w:firstLineChars="200"/>
        <w:rPr>
          <w:rFonts w:hint="eastAsia"/>
          <w:highlight w:val="none"/>
        </w:rPr>
      </w:pPr>
      <w:r>
        <w:rPr>
          <w:rFonts w:hint="eastAsia"/>
          <w:highlight w:val="none"/>
        </w:rPr>
        <w:t>塔吊基础钢平台制作：吊装前，应根据</w:t>
      </w:r>
      <w:r>
        <w:rPr>
          <w:rFonts w:hint="eastAsia"/>
          <w:highlight w:val="none"/>
          <w:lang w:val="en-US" w:eastAsia="zh-CN"/>
        </w:rPr>
        <w:t>XGT7525-16</w:t>
      </w:r>
      <w:r>
        <w:rPr>
          <w:rFonts w:hint="eastAsia"/>
          <w:highlight w:val="none"/>
        </w:rPr>
        <w:t>塔式起重机的支反力及尺寸误差要求设计制作基础钢平台，制作完成后应对结构主材、焊缝及施工工艺进行检查，确认是否符合设计和塔式起重机基础规范要求。</w:t>
      </w:r>
    </w:p>
    <w:p w14:paraId="10EC24C7">
      <w:pPr>
        <w:bidi w:val="0"/>
        <w:spacing w:line="360" w:lineRule="auto"/>
        <w:ind w:firstLine="480" w:firstLineChars="200"/>
        <w:rPr>
          <w:rFonts w:hint="eastAsia"/>
          <w:highlight w:val="none"/>
        </w:rPr>
      </w:pPr>
      <w:r>
        <w:rPr>
          <w:rFonts w:hint="eastAsia"/>
          <w:highlight w:val="none"/>
        </w:rPr>
        <w:t>使用前需安装单位、项目部协同监理工程师及业主合验，并确认合格后方能用于安装施工。</w:t>
      </w:r>
    </w:p>
    <w:p w14:paraId="72063E45">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2组织准备</w:t>
      </w:r>
    </w:p>
    <w:p w14:paraId="3A24FDE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（1）施工队伍应有合格的安装资质，且熟悉塔式起重机安</w:t>
      </w:r>
      <w:r>
        <w:rPr>
          <w:rFonts w:hint="eastAsia" w:ascii="宋体" w:hAnsi="宋体" w:eastAsia="宋体"/>
          <w:highlight w:val="none"/>
          <w:lang w:val="en-US" w:eastAsia="zh-CN"/>
        </w:rPr>
        <w:t>装</w:t>
      </w:r>
      <w:r>
        <w:rPr>
          <w:rFonts w:hint="eastAsia" w:ascii="宋体" w:hAnsi="宋体" w:eastAsia="宋体"/>
          <w:highlight w:val="none"/>
        </w:rPr>
        <w:t>工艺。</w:t>
      </w:r>
    </w:p>
    <w:p w14:paraId="7D69A8D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（2）成立安装安全领导小组和安装工作小组，对整个安装过程进行有效监管。</w:t>
      </w:r>
    </w:p>
    <w:p w14:paraId="440117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（3）组织学习安全技术措施，现场进行技术交底，落实每项工作。</w:t>
      </w:r>
    </w:p>
    <w:p w14:paraId="1D4D1EC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（4）所有进行安装的有关人员，均需持证上岗，并针对本工程经过培训。</w:t>
      </w:r>
    </w:p>
    <w:p w14:paraId="3569AA60">
      <w:pPr>
        <w:bidi w:val="0"/>
        <w:spacing w:line="360" w:lineRule="auto"/>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w:t>
      </w:r>
      <w:r>
        <w:rPr>
          <w:rFonts w:hint="eastAsia"/>
          <w:highlight w:val="none"/>
          <w:lang w:val="en-US" w:eastAsia="zh-CN"/>
        </w:rPr>
        <w:t>5</w:t>
      </w:r>
      <w:r>
        <w:rPr>
          <w:rFonts w:hint="default" w:ascii="宋体" w:hAnsi="宋体" w:eastAsia="宋体"/>
          <w:highlight w:val="none"/>
          <w:lang w:val="en-US" w:eastAsia="zh-CN"/>
        </w:rPr>
        <w:t>）塔吊在施工现场的安装位置，必须保证塔吊的最大旋转部分与周围建筑物的距离不小于1.5m，塔吊任何部位与架空电线的安全距离应符合下表的规定。</w:t>
      </w:r>
    </w:p>
    <w:p w14:paraId="25CDD003">
      <w:pPr>
        <w:bidi w:val="0"/>
        <w:spacing w:line="360" w:lineRule="auto"/>
        <w:ind w:firstLine="480" w:firstLineChars="200"/>
        <w:jc w:val="center"/>
        <w:rPr>
          <w:rFonts w:hint="default" w:ascii="宋体" w:hAnsi="宋体" w:eastAsia="宋体"/>
          <w:highlight w:val="none"/>
          <w:lang w:val="en-US" w:eastAsia="zh-CN"/>
        </w:rPr>
      </w:pPr>
      <w:r>
        <w:rPr>
          <w:rFonts w:hint="eastAsia" w:ascii="宋体" w:hAnsi="宋体" w:eastAsia="宋体"/>
          <w:highlight w:val="none"/>
        </w:rPr>
        <w:t>表4-</w:t>
      </w:r>
      <w:r>
        <w:rPr>
          <w:rFonts w:hint="eastAsia" w:ascii="宋体" w:hAnsi="宋体" w:eastAsia="宋体"/>
          <w:highlight w:val="none"/>
        </w:rPr>
        <w:fldChar w:fldCharType="begin"/>
      </w:r>
      <w:r>
        <w:rPr>
          <w:rFonts w:hint="eastAsia" w:ascii="宋体" w:hAnsi="宋体" w:eastAsia="宋体"/>
          <w:highlight w:val="none"/>
        </w:rPr>
        <w:instrText xml:space="preserve"> SEQ 表4- \* ARABIC </w:instrText>
      </w:r>
      <w:r>
        <w:rPr>
          <w:rFonts w:hint="eastAsia" w:ascii="宋体" w:hAnsi="宋体" w:eastAsia="宋体"/>
          <w:highlight w:val="none"/>
        </w:rPr>
        <w:fldChar w:fldCharType="separate"/>
      </w:r>
      <w:r>
        <w:rPr>
          <w:rFonts w:hint="eastAsia" w:ascii="宋体" w:hAnsi="宋体" w:eastAsia="宋体"/>
          <w:highlight w:val="none"/>
        </w:rPr>
        <w:t>3</w:t>
      </w:r>
      <w:r>
        <w:rPr>
          <w:rFonts w:hint="eastAsia" w:ascii="宋体" w:hAnsi="宋体" w:eastAsia="宋体"/>
          <w:highlight w:val="none"/>
        </w:rPr>
        <w:fldChar w:fldCharType="end"/>
      </w:r>
      <w:r>
        <w:rPr>
          <w:rFonts w:hint="eastAsia" w:ascii="宋体" w:hAnsi="宋体" w:eastAsia="宋体"/>
          <w:highlight w:val="none"/>
          <w:lang w:val="en-US" w:eastAsia="zh-CN"/>
        </w:rPr>
        <w:t>起重机在带电线路之间安全距离</w:t>
      </w:r>
    </w:p>
    <w:tbl>
      <w:tblPr>
        <w:tblStyle w:val="28"/>
        <w:tblW w:w="4999"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15" w:type="dxa"/>
          <w:left w:w="15" w:type="dxa"/>
          <w:bottom w:w="15" w:type="dxa"/>
          <w:right w:w="15" w:type="dxa"/>
        </w:tblCellMar>
      </w:tblPr>
      <w:tblGrid>
        <w:gridCol w:w="2698"/>
        <w:gridCol w:w="857"/>
        <w:gridCol w:w="1129"/>
        <w:gridCol w:w="1129"/>
        <w:gridCol w:w="1654"/>
        <w:gridCol w:w="867"/>
      </w:tblGrid>
      <w:tr w14:paraId="7D4DA87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restart"/>
            <w:tcBorders>
              <w:tl2br w:val="nil"/>
              <w:tr2bl w:val="nil"/>
            </w:tcBorders>
            <w:shd w:val="clear" w:color="auto" w:fill="DAE3F3" w:themeFill="accent5" w:themeFillTint="32"/>
            <w:noWrap/>
            <w:vAlign w:val="center"/>
          </w:tcPr>
          <w:p w14:paraId="208A6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安全距离/m</w:t>
            </w:r>
          </w:p>
        </w:tc>
        <w:tc>
          <w:tcPr>
            <w:tcW w:w="3380" w:type="pct"/>
            <w:gridSpan w:val="5"/>
            <w:tcBorders>
              <w:tl2br w:val="nil"/>
              <w:tr2bl w:val="nil"/>
            </w:tcBorders>
            <w:shd w:val="clear" w:color="auto" w:fill="DAE3F3" w:themeFill="accent5" w:themeFillTint="32"/>
            <w:noWrap/>
            <w:vAlign w:val="center"/>
          </w:tcPr>
          <w:p w14:paraId="1878F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电压/kV</w:t>
            </w:r>
          </w:p>
        </w:tc>
      </w:tr>
      <w:tr w14:paraId="444F176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continue"/>
            <w:tcBorders>
              <w:tl2br w:val="nil"/>
              <w:tr2bl w:val="nil"/>
            </w:tcBorders>
            <w:shd w:val="clear" w:color="auto" w:fill="DAE3F3" w:themeFill="accent5" w:themeFillTint="32"/>
            <w:noWrap/>
            <w:vAlign w:val="center"/>
          </w:tcPr>
          <w:p w14:paraId="371B2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p>
        </w:tc>
        <w:tc>
          <w:tcPr>
            <w:tcW w:w="514" w:type="pct"/>
            <w:tcBorders>
              <w:tl2br w:val="nil"/>
              <w:tr2bl w:val="nil"/>
            </w:tcBorders>
            <w:shd w:val="clear" w:color="auto" w:fill="DAE3F3" w:themeFill="accent5" w:themeFillTint="32"/>
            <w:noWrap/>
            <w:vAlign w:val="center"/>
          </w:tcPr>
          <w:p w14:paraId="438F7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677" w:type="pct"/>
            <w:tcBorders>
              <w:tl2br w:val="nil"/>
              <w:tr2bl w:val="nil"/>
            </w:tcBorders>
            <w:shd w:val="clear" w:color="auto" w:fill="DAE3F3" w:themeFill="accent5" w:themeFillTint="32"/>
            <w:noWrap/>
            <w:vAlign w:val="center"/>
          </w:tcPr>
          <w:p w14:paraId="64F65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1~15</w:t>
            </w:r>
          </w:p>
        </w:tc>
        <w:tc>
          <w:tcPr>
            <w:tcW w:w="677" w:type="pct"/>
            <w:tcBorders>
              <w:tl2br w:val="nil"/>
              <w:tr2bl w:val="nil"/>
            </w:tcBorders>
            <w:shd w:val="clear" w:color="auto" w:fill="DAE3F3" w:themeFill="accent5" w:themeFillTint="32"/>
            <w:noWrap/>
            <w:vAlign w:val="center"/>
          </w:tcPr>
          <w:p w14:paraId="46BA2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20</w:t>
            </w:r>
            <w:r>
              <w:rPr>
                <w:rFonts w:hint="eastAsia" w:ascii="宋体" w:hAnsi="宋体" w:eastAsia="宋体"/>
                <w:highlight w:val="none"/>
                <w:lang w:val="en-US" w:eastAsia="zh-CN"/>
              </w:rPr>
              <w:t>~</w:t>
            </w:r>
            <w:r>
              <w:rPr>
                <w:rFonts w:hint="default" w:ascii="宋体" w:hAnsi="宋体" w:eastAsia="宋体"/>
                <w:highlight w:val="none"/>
                <w:lang w:val="en-US" w:eastAsia="zh-CN"/>
              </w:rPr>
              <w:t>40</w:t>
            </w:r>
          </w:p>
        </w:tc>
        <w:tc>
          <w:tcPr>
            <w:tcW w:w="992" w:type="pct"/>
            <w:tcBorders>
              <w:tl2br w:val="nil"/>
              <w:tr2bl w:val="nil"/>
            </w:tcBorders>
            <w:shd w:val="clear" w:color="auto" w:fill="DAE3F3" w:themeFill="accent5" w:themeFillTint="32"/>
            <w:noWrap/>
            <w:vAlign w:val="center"/>
          </w:tcPr>
          <w:p w14:paraId="54192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60~110</w:t>
            </w:r>
          </w:p>
        </w:tc>
        <w:tc>
          <w:tcPr>
            <w:tcW w:w="519" w:type="pct"/>
            <w:tcBorders>
              <w:tl2br w:val="nil"/>
              <w:tr2bl w:val="nil"/>
            </w:tcBorders>
            <w:shd w:val="clear" w:color="auto" w:fill="DAE3F3" w:themeFill="accent5" w:themeFillTint="32"/>
            <w:noWrap/>
            <w:vAlign w:val="center"/>
          </w:tcPr>
          <w:p w14:paraId="7A62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22</w:t>
            </w:r>
            <w:r>
              <w:rPr>
                <w:rFonts w:hint="eastAsia" w:ascii="宋体" w:hAnsi="宋体" w:eastAsia="宋体"/>
                <w:highlight w:val="none"/>
                <w:lang w:val="en-US" w:eastAsia="zh-CN"/>
              </w:rPr>
              <w:t>0</w:t>
            </w:r>
          </w:p>
        </w:tc>
      </w:tr>
      <w:tr w14:paraId="24C5C5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17B6F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沿垂直方向</w:t>
            </w:r>
          </w:p>
        </w:tc>
        <w:tc>
          <w:tcPr>
            <w:tcW w:w="514" w:type="pct"/>
            <w:tcBorders>
              <w:tl2br w:val="nil"/>
              <w:tr2bl w:val="nil"/>
            </w:tcBorders>
            <w:shd w:val="clear" w:color="auto" w:fill="auto"/>
            <w:noWrap/>
            <w:vAlign w:val="center"/>
          </w:tcPr>
          <w:p w14:paraId="58460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677" w:type="pct"/>
            <w:tcBorders>
              <w:tl2br w:val="nil"/>
              <w:tr2bl w:val="nil"/>
            </w:tcBorders>
            <w:shd w:val="clear" w:color="auto" w:fill="auto"/>
            <w:noWrap/>
            <w:vAlign w:val="center"/>
          </w:tcPr>
          <w:p w14:paraId="43BD1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3.</w:t>
            </w:r>
            <w:r>
              <w:rPr>
                <w:rFonts w:hint="eastAsia" w:ascii="宋体" w:hAnsi="宋体" w:eastAsia="宋体"/>
                <w:highlight w:val="none"/>
                <w:lang w:val="en-US" w:eastAsia="zh-CN"/>
              </w:rPr>
              <w:t>0</w:t>
            </w:r>
          </w:p>
        </w:tc>
        <w:tc>
          <w:tcPr>
            <w:tcW w:w="677" w:type="pct"/>
            <w:tcBorders>
              <w:tl2br w:val="nil"/>
              <w:tr2bl w:val="nil"/>
            </w:tcBorders>
            <w:shd w:val="clear" w:color="auto" w:fill="auto"/>
            <w:noWrap/>
            <w:vAlign w:val="center"/>
          </w:tcPr>
          <w:p w14:paraId="32930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992" w:type="pct"/>
            <w:tcBorders>
              <w:tl2br w:val="nil"/>
              <w:tr2bl w:val="nil"/>
            </w:tcBorders>
            <w:shd w:val="clear" w:color="auto" w:fill="auto"/>
            <w:noWrap/>
            <w:vAlign w:val="center"/>
          </w:tcPr>
          <w:p w14:paraId="270B8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5</w:t>
            </w:r>
            <w:r>
              <w:rPr>
                <w:rFonts w:hint="eastAsia" w:ascii="宋体" w:hAnsi="宋体" w:eastAsia="宋体"/>
                <w:highlight w:val="none"/>
                <w:lang w:val="en-US" w:eastAsia="zh-CN"/>
              </w:rPr>
              <w:t>.0</w:t>
            </w:r>
          </w:p>
        </w:tc>
        <w:tc>
          <w:tcPr>
            <w:tcW w:w="519" w:type="pct"/>
            <w:tcBorders>
              <w:tl2br w:val="nil"/>
              <w:tr2bl w:val="nil"/>
            </w:tcBorders>
            <w:shd w:val="clear" w:color="auto" w:fill="auto"/>
            <w:noWrap/>
            <w:vAlign w:val="center"/>
          </w:tcPr>
          <w:p w14:paraId="2B53E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r w14:paraId="6007C5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74E18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沿水平方向</w:t>
            </w:r>
          </w:p>
        </w:tc>
        <w:tc>
          <w:tcPr>
            <w:tcW w:w="514" w:type="pct"/>
            <w:tcBorders>
              <w:tl2br w:val="nil"/>
              <w:tr2bl w:val="nil"/>
            </w:tcBorders>
            <w:shd w:val="clear" w:color="auto" w:fill="auto"/>
            <w:noWrap/>
            <w:vAlign w:val="center"/>
          </w:tcPr>
          <w:p w14:paraId="0366C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r>
              <w:rPr>
                <w:rFonts w:hint="eastAsia" w:ascii="宋体" w:hAnsi="宋体" w:eastAsia="宋体"/>
                <w:highlight w:val="none"/>
                <w:lang w:val="en-US" w:eastAsia="zh-CN"/>
              </w:rPr>
              <w:t>0</w:t>
            </w:r>
          </w:p>
        </w:tc>
        <w:tc>
          <w:tcPr>
            <w:tcW w:w="677" w:type="pct"/>
            <w:tcBorders>
              <w:tl2br w:val="nil"/>
              <w:tr2bl w:val="nil"/>
            </w:tcBorders>
            <w:shd w:val="clear" w:color="auto" w:fill="auto"/>
            <w:noWrap/>
            <w:vAlign w:val="center"/>
          </w:tcPr>
          <w:p w14:paraId="76867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677" w:type="pct"/>
            <w:tcBorders>
              <w:tl2br w:val="nil"/>
              <w:tr2bl w:val="nil"/>
            </w:tcBorders>
            <w:shd w:val="clear" w:color="auto" w:fill="auto"/>
            <w:noWrap/>
            <w:vAlign w:val="center"/>
          </w:tcPr>
          <w:p w14:paraId="4F40A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w:t>
            </w:r>
            <w:r>
              <w:rPr>
                <w:rFonts w:hint="eastAsia" w:ascii="宋体" w:hAnsi="宋体" w:eastAsia="宋体"/>
                <w:highlight w:val="none"/>
                <w:lang w:val="en-US" w:eastAsia="zh-CN"/>
              </w:rPr>
              <w:t>.0</w:t>
            </w:r>
          </w:p>
        </w:tc>
        <w:tc>
          <w:tcPr>
            <w:tcW w:w="992" w:type="pct"/>
            <w:tcBorders>
              <w:tl2br w:val="nil"/>
              <w:tr2bl w:val="nil"/>
            </w:tcBorders>
            <w:shd w:val="clear" w:color="auto" w:fill="auto"/>
            <w:noWrap/>
            <w:vAlign w:val="center"/>
          </w:tcPr>
          <w:p w14:paraId="3332F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519" w:type="pct"/>
            <w:tcBorders>
              <w:tl2br w:val="nil"/>
              <w:tr2bl w:val="nil"/>
            </w:tcBorders>
            <w:shd w:val="clear" w:color="auto" w:fill="auto"/>
            <w:noWrap/>
            <w:vAlign w:val="center"/>
          </w:tcPr>
          <w:p w14:paraId="20DB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bl>
    <w:p w14:paraId="4DA858A3">
      <w:pPr>
        <w:bidi w:val="0"/>
        <w:spacing w:line="360" w:lineRule="auto"/>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w:t>
      </w:r>
      <w:r>
        <w:rPr>
          <w:rFonts w:hint="eastAsia"/>
          <w:highlight w:val="none"/>
          <w:lang w:val="en-US" w:eastAsia="zh-CN"/>
        </w:rPr>
        <w:t>6</w:t>
      </w:r>
      <w:r>
        <w:rPr>
          <w:rFonts w:hint="eastAsia" w:ascii="宋体" w:hAnsi="宋体" w:eastAsia="宋体"/>
          <w:highlight w:val="none"/>
          <w:lang w:val="en-US" w:eastAsia="zh-CN"/>
        </w:rPr>
        <w:t>）</w:t>
      </w:r>
      <w:r>
        <w:rPr>
          <w:rFonts w:hint="default" w:ascii="宋体" w:hAnsi="宋体" w:eastAsia="宋体"/>
          <w:highlight w:val="none"/>
          <w:lang w:val="en-US" w:eastAsia="zh-CN"/>
        </w:rPr>
        <w:t>两台塔机之间的最小架设距离应保证处于低位塔机的起重臂端部与另一台塔机的塔身之间至少有2m的距离</w:t>
      </w:r>
      <w:r>
        <w:rPr>
          <w:rFonts w:hint="eastAsia" w:ascii="宋体" w:hAnsi="宋体" w:eastAsia="宋体"/>
          <w:highlight w:val="none"/>
          <w:lang w:val="en-US" w:eastAsia="zh-CN"/>
        </w:rPr>
        <w:t>；</w:t>
      </w:r>
      <w:r>
        <w:rPr>
          <w:rFonts w:hint="default" w:ascii="宋体" w:hAnsi="宋体" w:eastAsia="宋体"/>
          <w:highlight w:val="none"/>
          <w:lang w:val="en-US" w:eastAsia="zh-CN"/>
        </w:rPr>
        <w:t>处于高位塔机的最低位置的部件</w:t>
      </w:r>
      <w:r>
        <w:rPr>
          <w:rFonts w:hint="eastAsia" w:ascii="宋体" w:hAnsi="宋体" w:eastAsia="宋体"/>
          <w:highlight w:val="none"/>
          <w:lang w:val="en-US" w:eastAsia="zh-CN"/>
        </w:rPr>
        <w:t>（</w:t>
      </w:r>
      <w:r>
        <w:rPr>
          <w:rFonts w:hint="default" w:ascii="宋体" w:hAnsi="宋体" w:eastAsia="宋体"/>
          <w:highlight w:val="none"/>
          <w:lang w:val="en-US" w:eastAsia="zh-CN"/>
        </w:rPr>
        <w:t>吊钩升至最高点或平衡重的最低部位</w:t>
      </w:r>
      <w:r>
        <w:rPr>
          <w:rFonts w:hint="eastAsia" w:ascii="宋体" w:hAnsi="宋体" w:eastAsia="宋体"/>
          <w:highlight w:val="none"/>
          <w:lang w:val="en-US" w:eastAsia="zh-CN"/>
        </w:rPr>
        <w:t>）</w:t>
      </w:r>
      <w:r>
        <w:rPr>
          <w:rFonts w:hint="default" w:ascii="宋体" w:hAnsi="宋体" w:eastAsia="宋体"/>
          <w:highlight w:val="none"/>
          <w:lang w:val="en-US" w:eastAsia="zh-CN"/>
        </w:rPr>
        <w:t>与低位塔机中处于最高位置部件之间的垂直距离不应小于2m</w:t>
      </w:r>
      <w:r>
        <w:rPr>
          <w:rFonts w:hint="eastAsia" w:ascii="宋体" w:hAnsi="宋体" w:eastAsia="宋体"/>
          <w:highlight w:val="none"/>
          <w:lang w:val="en-US" w:eastAsia="zh-CN"/>
        </w:rPr>
        <w:t>。</w:t>
      </w:r>
    </w:p>
    <w:p w14:paraId="51B1023A">
      <w:pPr>
        <w:bidi w:val="0"/>
        <w:ind w:left="0" w:leftChars="0" w:firstLine="0" w:firstLineChars="0"/>
        <w:jc w:val="center"/>
        <w:rPr>
          <w:highlight w:val="none"/>
        </w:rPr>
      </w:pPr>
      <w:r>
        <w:rPr>
          <w:highlight w:val="none"/>
        </w:rPr>
        <w:drawing>
          <wp:inline distT="0" distB="0" distL="0" distR="0">
            <wp:extent cx="2167890" cy="3743325"/>
            <wp:effectExtent l="0" t="0" r="381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rcRect l="8275" t="3236" r="4255" b="2941"/>
                    <a:stretch>
                      <a:fillRect/>
                    </a:stretch>
                  </pic:blipFill>
                  <pic:spPr>
                    <a:xfrm>
                      <a:off x="0" y="0"/>
                      <a:ext cx="2167890" cy="3743325"/>
                    </a:xfrm>
                    <a:prstGeom prst="rect">
                      <a:avLst/>
                    </a:prstGeom>
                    <a:ln>
                      <a:noFill/>
                    </a:ln>
                  </pic:spPr>
                </pic:pic>
              </a:graphicData>
            </a:graphic>
          </wp:inline>
        </w:drawing>
      </w:r>
    </w:p>
    <w:p w14:paraId="6576141D">
      <w:pPr>
        <w:pStyle w:val="14"/>
        <w:bidi w:val="0"/>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4</w:t>
      </w:r>
      <w:r>
        <w:rPr>
          <w:highlight w:val="none"/>
        </w:rPr>
        <w:fldChar w:fldCharType="end"/>
      </w:r>
      <w:r>
        <w:rPr>
          <w:rFonts w:hint="eastAsia"/>
          <w:highlight w:val="none"/>
          <w:lang w:val="en-US" w:eastAsia="zh-CN"/>
        </w:rPr>
        <w:t>相邻塔机安装示意图</w:t>
      </w:r>
    </w:p>
    <w:p w14:paraId="007C6CB6">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3</w:t>
      </w:r>
      <w:r>
        <w:rPr>
          <w:rFonts w:hint="eastAsia"/>
          <w:highlight w:val="none"/>
        </w:rPr>
        <w:t>工索具、起重设备</w:t>
      </w:r>
      <w:r>
        <w:rPr>
          <w:rFonts w:hint="eastAsia"/>
          <w:highlight w:val="none"/>
          <w:lang w:val="en-US" w:eastAsia="zh-CN"/>
        </w:rPr>
        <w:t>准备</w:t>
      </w:r>
    </w:p>
    <w:p w14:paraId="1589AD04">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（1）准备好安装人员的安全带，安全绳，防滑鞋，安全帽等。</w:t>
      </w:r>
    </w:p>
    <w:p w14:paraId="4FABCD2E">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（2）定好吊装主要部件的尺寸，重量，高度，确定起重设备规格，并准备好吊装机具，安装工具（扳手、大锤、钢丝绳、手拉葫芦、氧气乙炔）等。</w:t>
      </w:r>
    </w:p>
    <w:p w14:paraId="016BFDB2">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（3）所有起重设备应进行试吊，确保设备完好。</w:t>
      </w:r>
    </w:p>
    <w:p w14:paraId="629301A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（4）所有手动吊装、焊接、测量等工具，均需经计量检验合格，方可用于本工程。</w:t>
      </w:r>
    </w:p>
    <w:p w14:paraId="2FAA8BD8">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4检查准备</w:t>
      </w:r>
    </w:p>
    <w:p w14:paraId="5169E823">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正式施工前，做好主要施工机具和分项工艺的检验工作。根据检验结果，对工艺进行进一步的修改及细化。</w:t>
      </w:r>
    </w:p>
    <w:p w14:paraId="46BF7F5C">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（1）设备检查</w:t>
      </w:r>
    </w:p>
    <w:p w14:paraId="7EFE75D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a塔吊所有钢构件无变形、无裂纹；塔吊所有电机机座是否固定牢靠，传动部位有无变形、裂纹；</w:t>
      </w:r>
    </w:p>
    <w:p w14:paraId="6E7FC72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b塔吊所有滑轮部位有无防钢丝绳脱槽装置，滑轮轴有无磨损，滑轮座是否固定牢靠；塔吊所有防护栏杆是否完好，焊接牢靠，无锈蚀；</w:t>
      </w:r>
    </w:p>
    <w:p w14:paraId="02C340F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c塔吊所有柱销孔和销柱体符合要求，无晃动、无严重磨损；</w:t>
      </w:r>
    </w:p>
    <w:p w14:paraId="3631657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d塔吊所有柱销上的开口销是否配套，并开口；</w:t>
      </w:r>
    </w:p>
    <w:p w14:paraId="173292B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e检查钢丝绳磨损状况；检查顶升套架围栏支撑连接部位部件是否完好；</w:t>
      </w:r>
    </w:p>
    <w:p w14:paraId="25339D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f检查顶升套架机构滑动部位及支撑的爪钩等处是否完好；</w:t>
      </w:r>
    </w:p>
    <w:p w14:paraId="22A8C7D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 xml:space="preserve">g检查顶升套架标准节安装推入机构是否完好，各部件无变形； </w:t>
      </w:r>
    </w:p>
    <w:p w14:paraId="7131C63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h检查回转支撑机构是否润滑良好，螺栓是否紧固；</w:t>
      </w:r>
    </w:p>
    <w:p w14:paraId="739EFBB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i检查电器是否完好无损，电缆线无老化、裸露，各电气绝缘保证良好；</w:t>
      </w:r>
    </w:p>
    <w:p w14:paraId="394BD18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2CA1520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k检查刹车部位是否完好，刹车皮是否磨损严重；</w:t>
      </w:r>
    </w:p>
    <w:p w14:paraId="04B8435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l查塔吊小车行走轮是否润滑良好，有无严重磨损和裂纹；检查配重、配重吊环是否牢固，完好。</w:t>
      </w:r>
    </w:p>
    <w:p w14:paraId="24362B61">
      <w:pPr>
        <w:pStyle w:val="3"/>
        <w:bidi w:val="0"/>
        <w:rPr>
          <w:rFonts w:hint="eastAsia"/>
          <w:highlight w:val="none"/>
        </w:rPr>
      </w:pPr>
      <w:bookmarkStart w:id="144" w:name="_Toc4365"/>
      <w:bookmarkStart w:id="145" w:name="_Toc32654"/>
      <w:r>
        <w:rPr>
          <w:rFonts w:hint="eastAsia"/>
          <w:highlight w:val="none"/>
        </w:rPr>
        <w:t>4.</w:t>
      </w:r>
      <w:r>
        <w:rPr>
          <w:rFonts w:hint="eastAsia"/>
          <w:highlight w:val="none"/>
          <w:lang w:val="en-US" w:eastAsia="zh-CN"/>
        </w:rPr>
        <w:t>4</w:t>
      </w:r>
      <w:r>
        <w:rPr>
          <w:rFonts w:hint="eastAsia"/>
          <w:highlight w:val="none"/>
        </w:rPr>
        <w:t xml:space="preserve"> 塔机安装具体步骤</w:t>
      </w:r>
      <w:bookmarkEnd w:id="144"/>
      <w:bookmarkEnd w:id="145"/>
    </w:p>
    <w:p w14:paraId="60F0F265">
      <w:pPr>
        <w:pStyle w:val="4"/>
        <w:bidi w:val="0"/>
        <w:rPr>
          <w:rFonts w:hint="default"/>
          <w:highlight w:val="none"/>
          <w:lang w:val="en-US" w:eastAsia="zh-CN"/>
        </w:rPr>
      </w:pPr>
      <w:r>
        <w:rPr>
          <w:rFonts w:hint="eastAsia"/>
          <w:highlight w:val="none"/>
        </w:rPr>
        <w:t>4.</w:t>
      </w:r>
      <w:r>
        <w:rPr>
          <w:rFonts w:hint="eastAsia"/>
          <w:highlight w:val="none"/>
          <w:lang w:val="en-US" w:eastAsia="zh-CN"/>
        </w:rPr>
        <w:t>4</w:t>
      </w:r>
      <w:r>
        <w:rPr>
          <w:rFonts w:hint="eastAsia"/>
          <w:highlight w:val="none"/>
        </w:rPr>
        <w:t>.1塔吊基础</w:t>
      </w:r>
      <w:r>
        <w:rPr>
          <w:rFonts w:hint="eastAsia"/>
          <w:highlight w:val="none"/>
          <w:lang w:val="en-US" w:eastAsia="zh-CN"/>
        </w:rPr>
        <w:t>安装与验收</w:t>
      </w:r>
    </w:p>
    <w:p w14:paraId="4350E5DA">
      <w:pPr>
        <w:bidi w:val="0"/>
        <w:ind w:firstLine="480" w:firstLineChars="200"/>
        <w:rPr>
          <w:rFonts w:hint="default"/>
          <w:highlight w:val="none"/>
          <w:lang w:val="en-US" w:eastAsia="zh-CN"/>
        </w:rPr>
      </w:pPr>
      <w:bookmarkStart w:id="146" w:name="_Toc436231254"/>
      <w:bookmarkStart w:id="147" w:name="_Toc437075970"/>
      <w:bookmarkStart w:id="148" w:name="_Toc530055670"/>
      <w:bookmarkStart w:id="149" w:name="_Toc436231006"/>
      <w:bookmarkStart w:id="150" w:name="_Toc455129802"/>
      <w:r>
        <w:rPr>
          <w:rFonts w:hint="eastAsia"/>
          <w:highlight w:val="none"/>
          <w:lang w:val="en-US" w:eastAsia="zh-CN"/>
        </w:rPr>
        <w:t>徐工XGT7525-16</w:t>
      </w:r>
      <w:r>
        <w:rPr>
          <w:rFonts w:hint="default"/>
          <w:highlight w:val="none"/>
          <w:lang w:val="en-US" w:eastAsia="zh-CN"/>
        </w:rPr>
        <w:t>塔吊基础选用预埋螺栓固定的方式，在桥墩承台外侧制作尺寸为</w:t>
      </w:r>
      <w:r>
        <w:rPr>
          <w:rFonts w:hint="eastAsia"/>
          <w:highlight w:val="none"/>
          <w:lang w:val="en-US" w:eastAsia="zh-CN"/>
        </w:rPr>
        <w:t>7.5</w:t>
      </w:r>
      <w:r>
        <w:rPr>
          <w:rFonts w:hint="default"/>
          <w:highlight w:val="none"/>
          <w:lang w:val="en-US" w:eastAsia="zh-CN"/>
        </w:rPr>
        <w:t>m</w:t>
      </w:r>
      <w:r>
        <w:rPr>
          <w:rFonts w:hint="eastAsia"/>
          <w:highlight w:val="none"/>
          <w:lang w:val="en-US" w:eastAsia="zh-CN"/>
        </w:rPr>
        <w:t>×7.5</w:t>
      </w:r>
      <w:r>
        <w:rPr>
          <w:rFonts w:hint="default"/>
          <w:highlight w:val="none"/>
          <w:lang w:val="en-US" w:eastAsia="zh-CN"/>
        </w:rPr>
        <w:t>m</w:t>
      </w:r>
      <w:r>
        <w:rPr>
          <w:rFonts w:hint="eastAsia"/>
          <w:highlight w:val="none"/>
          <w:lang w:val="en-US" w:eastAsia="zh-CN"/>
        </w:rPr>
        <w:t>×1.65</w:t>
      </w:r>
      <w:r>
        <w:rPr>
          <w:rFonts w:hint="default"/>
          <w:highlight w:val="none"/>
          <w:lang w:val="en-US" w:eastAsia="zh-CN"/>
        </w:rPr>
        <w:t>m</w:t>
      </w:r>
      <w:r>
        <w:rPr>
          <w:rFonts w:hint="eastAsia"/>
          <w:highlight w:val="none"/>
          <w:lang w:val="en-US" w:eastAsia="zh-CN"/>
        </w:rPr>
        <w:t>的</w:t>
      </w:r>
      <w:r>
        <w:rPr>
          <w:rFonts w:hint="default"/>
          <w:highlight w:val="none"/>
          <w:lang w:val="en-US" w:eastAsia="zh-CN"/>
        </w:rPr>
        <w:t>基础。如下图、表所示：</w:t>
      </w:r>
    </w:p>
    <w:p w14:paraId="46A78D1A">
      <w:pPr>
        <w:bidi w:val="0"/>
        <w:ind w:left="0" w:leftChars="0" w:firstLine="0" w:firstLineChars="0"/>
        <w:jc w:val="center"/>
        <w:rPr>
          <w:highlight w:val="none"/>
        </w:rPr>
      </w:pPr>
      <w:r>
        <w:drawing>
          <wp:inline distT="0" distB="0" distL="114300" distR="114300">
            <wp:extent cx="4772025" cy="5057775"/>
            <wp:effectExtent l="0" t="0" r="9525" b="9525"/>
            <wp:docPr id="3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0"/>
                    <pic:cNvPicPr>
                      <a:picLocks noChangeAspect="1"/>
                    </pic:cNvPicPr>
                  </pic:nvPicPr>
                  <pic:blipFill>
                    <a:blip r:embed="rId25"/>
                    <a:stretch>
                      <a:fillRect/>
                    </a:stretch>
                  </pic:blipFill>
                  <pic:spPr>
                    <a:xfrm>
                      <a:off x="0" y="0"/>
                      <a:ext cx="4772025" cy="5057775"/>
                    </a:xfrm>
                    <a:prstGeom prst="rect">
                      <a:avLst/>
                    </a:prstGeom>
                    <a:noFill/>
                    <a:ln>
                      <a:noFill/>
                    </a:ln>
                  </pic:spPr>
                </pic:pic>
              </a:graphicData>
            </a:graphic>
          </wp:inline>
        </w:drawing>
      </w:r>
    </w:p>
    <w:p w14:paraId="1DB684C5">
      <w:pPr>
        <w:pStyle w:val="14"/>
        <w:bidi w:val="0"/>
        <w:rPr>
          <w:rFonts w:hint="default"/>
          <w:highlight w:val="none"/>
          <w:lang w:val="en-US" w:eastAsia="zh-CN"/>
        </w:rPr>
      </w:pPr>
      <w:r>
        <w:rPr>
          <w:rFonts w:hint="default"/>
          <w:highlight w:val="none"/>
          <w:lang w:val="en-US" w:eastAsia="zh-CN"/>
        </w:rPr>
        <w:t>图4-3塔机基础施工图</w:t>
      </w:r>
    </w:p>
    <w:p w14:paraId="4EE77707">
      <w:pPr>
        <w:pStyle w:val="5"/>
        <w:tabs>
          <w:tab w:val="left" w:pos="0"/>
        </w:tabs>
        <w:bidi w:val="0"/>
        <w:rPr>
          <w:rFonts w:hint="eastAsia"/>
          <w:highlight w:val="none"/>
          <w:lang w:val="en-US" w:eastAsia="zh-CN"/>
        </w:rPr>
      </w:pPr>
      <w:r>
        <w:rPr>
          <w:rFonts w:hint="eastAsia"/>
          <w:highlight w:val="none"/>
          <w:lang w:val="en-US" w:eastAsia="zh-CN"/>
        </w:rPr>
        <w:t>4.4.1.1基坑开挖及检测</w:t>
      </w:r>
    </w:p>
    <w:p w14:paraId="6C00101D">
      <w:pPr>
        <w:bidi w:val="0"/>
        <w:ind w:firstLine="480" w:firstLineChars="200"/>
        <w:rPr>
          <w:rFonts w:hint="default"/>
          <w:highlight w:val="none"/>
          <w:lang w:val="en-US" w:eastAsia="zh-CN"/>
        </w:rPr>
      </w:pPr>
      <w:r>
        <w:rPr>
          <w:rFonts w:hint="default"/>
          <w:highlight w:val="none"/>
          <w:lang w:val="en-US" w:eastAsia="zh-CN"/>
        </w:rPr>
        <w:t>（1）基坑开挖采用人工配合机械开挖，开挖时候按照1</w:t>
      </w:r>
      <w:r>
        <w:rPr>
          <w:rFonts w:hint="eastAsia"/>
          <w:highlight w:val="none"/>
          <w:lang w:val="en-US" w:eastAsia="zh-CN"/>
        </w:rPr>
        <w:t>：</w:t>
      </w:r>
      <w:r>
        <w:rPr>
          <w:rFonts w:hint="default"/>
          <w:highlight w:val="none"/>
          <w:lang w:val="en-US" w:eastAsia="zh-CN"/>
        </w:rPr>
        <w:t>1坡度开挖，基底预留20cm人工清理并找平。</w:t>
      </w:r>
    </w:p>
    <w:p w14:paraId="65E4E385">
      <w:pPr>
        <w:bidi w:val="0"/>
        <w:ind w:firstLine="480" w:firstLineChars="200"/>
        <w:rPr>
          <w:rFonts w:hint="default"/>
          <w:highlight w:val="none"/>
          <w:lang w:val="en-US" w:eastAsia="zh-CN"/>
        </w:rPr>
      </w:pPr>
      <w:r>
        <w:rPr>
          <w:rFonts w:hint="default"/>
          <w:highlight w:val="none"/>
          <w:lang w:val="en-US" w:eastAsia="zh-CN"/>
        </w:rPr>
        <w:t>（2）基坑底部设置临时排水沟，在低处设置集水井。</w:t>
      </w:r>
    </w:p>
    <w:p w14:paraId="206CCD95">
      <w:pPr>
        <w:bidi w:val="0"/>
        <w:ind w:firstLine="480" w:firstLineChars="200"/>
        <w:rPr>
          <w:rFonts w:hint="default"/>
          <w:highlight w:val="none"/>
          <w:lang w:val="en-US" w:eastAsia="zh-CN"/>
        </w:rPr>
      </w:pPr>
      <w:r>
        <w:rPr>
          <w:rFonts w:hint="default"/>
          <w:highlight w:val="none"/>
          <w:lang w:val="en-US" w:eastAsia="zh-CN"/>
        </w:rPr>
        <w:t>（3）基坑开挖完成后，在四周采用钢管护栏围挡，在一侧安装活动门，便于施工人员出入，护栏安装要求：立杆间距2m，高1.2m，横杆上下间距60cm，安装2排，护栏周围安装钢筋防护网，并做好明显警示标志及标识牌。</w:t>
      </w:r>
    </w:p>
    <w:p w14:paraId="77AD0CCE">
      <w:pPr>
        <w:bidi w:val="0"/>
        <w:ind w:left="0" w:leftChars="0" w:firstLine="0" w:firstLineChars="0"/>
        <w:jc w:val="center"/>
        <w:rPr>
          <w:rFonts w:cs="宋体"/>
          <w:position w:val="-60"/>
          <w:sz w:val="20"/>
          <w:szCs w:val="20"/>
          <w:highlight w:val="none"/>
        </w:rPr>
      </w:pPr>
      <w:r>
        <w:rPr>
          <w:rFonts w:cs="宋体"/>
          <w:position w:val="-60"/>
          <w:sz w:val="20"/>
          <w:szCs w:val="20"/>
          <w:highlight w:val="none"/>
        </w:rPr>
        <w:drawing>
          <wp:inline distT="0" distB="0" distL="0" distR="0">
            <wp:extent cx="5255895" cy="1781175"/>
            <wp:effectExtent l="0" t="0" r="1905" b="9525"/>
            <wp:docPr id="35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214.png"/>
                    <pic:cNvPicPr>
                      <a:picLocks noChangeAspect="1"/>
                    </pic:cNvPicPr>
                  </pic:nvPicPr>
                  <pic:blipFill>
                    <a:blip r:embed="rId26" cstate="print"/>
                    <a:stretch>
                      <a:fillRect/>
                    </a:stretch>
                  </pic:blipFill>
                  <pic:spPr>
                    <a:xfrm>
                      <a:off x="0" y="0"/>
                      <a:ext cx="5255895" cy="1781175"/>
                    </a:xfrm>
                    <a:prstGeom prst="rect">
                      <a:avLst/>
                    </a:prstGeom>
                  </pic:spPr>
                </pic:pic>
              </a:graphicData>
            </a:graphic>
          </wp:inline>
        </w:drawing>
      </w:r>
    </w:p>
    <w:p w14:paraId="3694F72B">
      <w:pPr>
        <w:pStyle w:val="14"/>
        <w:bidi w:val="0"/>
        <w:ind w:left="0" w:leftChars="0" w:firstLine="0" w:firstLineChars="0"/>
        <w:jc w:val="center"/>
        <w:rPr>
          <w:rFonts w:hint="default" w:eastAsia="黑体" w:cs="宋体"/>
          <w:position w:val="-60"/>
          <w:sz w:val="20"/>
          <w:szCs w:val="20"/>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5</w:t>
      </w:r>
      <w:r>
        <w:rPr>
          <w:highlight w:val="none"/>
        </w:rPr>
        <w:fldChar w:fldCharType="end"/>
      </w:r>
      <w:r>
        <w:rPr>
          <w:rFonts w:hint="eastAsia"/>
          <w:highlight w:val="none"/>
          <w:lang w:val="en-US" w:eastAsia="zh-CN"/>
        </w:rPr>
        <w:t>防护栏杆示意图</w:t>
      </w:r>
    </w:p>
    <w:p w14:paraId="506AF958">
      <w:pPr>
        <w:bidi w:val="0"/>
        <w:ind w:firstLine="480" w:firstLineChars="200"/>
        <w:rPr>
          <w:rFonts w:hint="default"/>
          <w:highlight w:val="none"/>
          <w:lang w:val="en-US" w:eastAsia="zh-CN"/>
        </w:rPr>
      </w:pPr>
      <w:r>
        <w:rPr>
          <w:rFonts w:hint="default"/>
          <w:highlight w:val="none"/>
          <w:lang w:val="en-US" w:eastAsia="zh-CN"/>
        </w:rPr>
        <w:t>（4）基坑开挖完毕后，通知试验室进行地基承载力进行检测，</w:t>
      </w:r>
      <w:r>
        <w:rPr>
          <w:rFonts w:hint="eastAsia"/>
          <w:highlight w:val="none"/>
          <w:lang w:val="en-US" w:eastAsia="zh-CN"/>
        </w:rPr>
        <w:t>XGT7525-16</w:t>
      </w:r>
      <w:r>
        <w:rPr>
          <w:rFonts w:hint="default"/>
          <w:highlight w:val="none"/>
          <w:lang w:val="en-US" w:eastAsia="zh-CN"/>
        </w:rPr>
        <w:t>要求地基承载力不少于180kpa。</w:t>
      </w:r>
    </w:p>
    <w:p w14:paraId="6721AED0">
      <w:pPr>
        <w:pStyle w:val="5"/>
        <w:tabs>
          <w:tab w:val="left" w:pos="0"/>
        </w:tabs>
        <w:bidi w:val="0"/>
        <w:rPr>
          <w:rFonts w:hint="default"/>
          <w:highlight w:val="none"/>
          <w:lang w:val="en-US" w:eastAsia="zh-CN"/>
        </w:rPr>
      </w:pPr>
      <w:r>
        <w:rPr>
          <w:rFonts w:hint="eastAsia"/>
          <w:highlight w:val="none"/>
          <w:lang w:val="en-US" w:eastAsia="zh-CN"/>
        </w:rPr>
        <w:t>4.4.1.2垫层施工</w:t>
      </w:r>
    </w:p>
    <w:p w14:paraId="0A3E5E5A">
      <w:pPr>
        <w:ind w:firstLine="480" w:firstLineChars="200"/>
        <w:rPr>
          <w:rFonts w:hint="default"/>
          <w:highlight w:val="none"/>
          <w:lang w:val="en-US" w:eastAsia="zh-CN"/>
        </w:rPr>
      </w:pPr>
      <w:r>
        <w:rPr>
          <w:rFonts w:hint="default"/>
          <w:highlight w:val="none"/>
          <w:lang w:val="en-US" w:eastAsia="zh-CN"/>
        </w:rPr>
        <w:t>基坑地基承载力检验后，进行混凝土垫层施工。垫层采用C20混凝土浇筑，厚度为10cm，保湿养护7天。</w:t>
      </w:r>
    </w:p>
    <w:p w14:paraId="32905C9A">
      <w:pPr>
        <w:pStyle w:val="5"/>
        <w:tabs>
          <w:tab w:val="left" w:pos="0"/>
        </w:tabs>
        <w:bidi w:val="0"/>
        <w:rPr>
          <w:rFonts w:hint="default"/>
          <w:highlight w:val="none"/>
          <w:lang w:val="en-US" w:eastAsia="zh-CN"/>
        </w:rPr>
      </w:pPr>
      <w:r>
        <w:rPr>
          <w:rFonts w:hint="eastAsia"/>
          <w:highlight w:val="none"/>
          <w:lang w:val="en-US" w:eastAsia="zh-CN"/>
        </w:rPr>
        <w:t>4.4.1.3钢筋及预埋件施工</w:t>
      </w:r>
    </w:p>
    <w:p w14:paraId="1BA3D16E">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钢筋制作与安装</w:t>
      </w:r>
    </w:p>
    <w:p w14:paraId="7309C5E2">
      <w:pPr>
        <w:ind w:firstLine="480" w:firstLineChars="200"/>
        <w:rPr>
          <w:rFonts w:hint="default"/>
          <w:highlight w:val="none"/>
          <w:lang w:val="en-US" w:eastAsia="zh-CN"/>
        </w:rPr>
      </w:pPr>
      <w:r>
        <w:rPr>
          <w:rFonts w:hint="default"/>
          <w:highlight w:val="none"/>
          <w:lang w:val="en-US" w:eastAsia="zh-CN"/>
        </w:rPr>
        <w:t>钢筋统一在钢筋场冷弯成型，运至现场安装。</w:t>
      </w:r>
      <w:r>
        <w:rPr>
          <w:rFonts w:hint="eastAsia"/>
          <w:highlight w:val="none"/>
          <w:lang w:val="en-US" w:eastAsia="zh-CN"/>
        </w:rPr>
        <w:t>XGT7525-16</w:t>
      </w:r>
      <w:r>
        <w:rPr>
          <w:rFonts w:hint="default"/>
          <w:highlight w:val="none"/>
          <w:lang w:val="en-US" w:eastAsia="zh-CN"/>
        </w:rPr>
        <w:t>基础配筋：基础上、下两层水平筋采用HRB400直径Φ28钢筋，数量共128根；竖向架立筋采用HRB400直径Φ12钢筋，数量共256根。</w:t>
      </w:r>
    </w:p>
    <w:p w14:paraId="370A04C1">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钢筋焊接</w:t>
      </w:r>
    </w:p>
    <w:p w14:paraId="47EBE2E2">
      <w:pPr>
        <w:bidi w:val="0"/>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施工中钢筋的接头采用搭接电弧焊连接。要求钢筋的接头设置在受力较小处相互错开。在焊接接头长度区段内，要求同一根钢筋不得有两个接头，配置在接头长度区段内的受力钢筋，其接头的截面面积占总截面面积的百分率不超过50%。钢筋接头与钢筋弯曲处的距离不应小于10d，也不宜位于构件的最大弯矩处。主筋焊接采用双面焊，焊接长度不小于5d（d为钢筋直径），保证钢筋中心在同一轴线。</w:t>
      </w:r>
    </w:p>
    <w:p w14:paraId="0AB06E34">
      <w:pPr>
        <w:bidi w:val="0"/>
        <w:ind w:firstLine="48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钢筋骨架外观要求钢筋间距分布均匀，钢筋直顺，绑扎牢固，绑扎钢筋的绑线弯向里侧，不得进入混凝土保护层。主筋外面梅花形设置保护层垫块，以保证钢筋保护层厚度满足设计要求。钢筋保护层厚度为4cm。</w:t>
      </w:r>
    </w:p>
    <w:p w14:paraId="10EBC6F7">
      <w:pPr>
        <w:ind w:firstLine="482" w:firstLineChars="200"/>
        <w:rPr>
          <w:rFonts w:hint="default"/>
          <w:b/>
          <w:bCs/>
          <w:highlight w:val="none"/>
          <w:lang w:val="en-US" w:eastAsia="zh-CN"/>
        </w:rPr>
      </w:pPr>
      <w:r>
        <w:rPr>
          <w:rFonts w:hint="eastAsia"/>
          <w:b/>
          <w:bCs/>
          <w:highlight w:val="none"/>
          <w:lang w:val="en-US" w:eastAsia="zh-CN"/>
        </w:rPr>
        <w:t>3、</w:t>
      </w:r>
      <w:r>
        <w:rPr>
          <w:rFonts w:hint="default"/>
          <w:b/>
          <w:bCs/>
          <w:highlight w:val="none"/>
          <w:lang w:val="en-US" w:eastAsia="zh-CN"/>
        </w:rPr>
        <w:t>预埋螺栓</w:t>
      </w:r>
    </w:p>
    <w:p w14:paraId="43FC184A">
      <w:pPr>
        <w:ind w:firstLine="480" w:firstLineChars="200"/>
        <w:rPr>
          <w:rFonts w:hint="default"/>
          <w:highlight w:val="none"/>
          <w:lang w:val="en-US" w:eastAsia="zh-CN"/>
        </w:rPr>
      </w:pPr>
      <w:r>
        <w:rPr>
          <w:rFonts w:hint="default"/>
          <w:highlight w:val="none"/>
          <w:lang w:val="en-US" w:eastAsia="zh-CN"/>
        </w:rPr>
        <w:t>四组地脚螺栓（24根）相对位置必须准确</w:t>
      </w:r>
      <w:r>
        <w:rPr>
          <w:rFonts w:hint="eastAsia"/>
          <w:highlight w:val="none"/>
          <w:lang w:val="en-US" w:eastAsia="zh-CN"/>
        </w:rPr>
        <w:t>，</w:t>
      </w:r>
      <w:r>
        <w:rPr>
          <w:rFonts w:hint="default"/>
          <w:highlight w:val="none"/>
          <w:lang w:val="en-US" w:eastAsia="zh-CN"/>
        </w:rPr>
        <w:t>组装后必须保证地脚螺栓孔的对角线误差不大于2mm，确保固定基节的安装。地脚螺栓不允许焊接，也不允许敲击</w:t>
      </w:r>
      <w:r>
        <w:rPr>
          <w:rFonts w:hint="eastAsia"/>
          <w:highlight w:val="none"/>
          <w:lang w:val="en-US" w:eastAsia="zh-CN"/>
        </w:rPr>
        <w:t>。</w:t>
      </w:r>
      <w:r>
        <w:rPr>
          <w:rFonts w:hint="default"/>
          <w:highlight w:val="none"/>
          <w:lang w:val="en-US" w:eastAsia="zh-CN"/>
        </w:rPr>
        <w:t>M48-5</w:t>
      </w:r>
      <w:r>
        <w:rPr>
          <w:rFonts w:hint="eastAsia"/>
          <w:highlight w:val="none"/>
          <w:lang w:val="en-US" w:eastAsia="zh-CN"/>
        </w:rPr>
        <w:t>.</w:t>
      </w:r>
      <w:r>
        <w:rPr>
          <w:rFonts w:hint="default"/>
          <w:highlight w:val="none"/>
          <w:lang w:val="en-US" w:eastAsia="zh-CN"/>
        </w:rPr>
        <w:t>8级地脚螺栓预紧力为295kN。</w:t>
      </w:r>
    </w:p>
    <w:p w14:paraId="4A57BA3F">
      <w:pPr>
        <w:pStyle w:val="5"/>
        <w:tabs>
          <w:tab w:val="left" w:pos="0"/>
        </w:tabs>
        <w:bidi w:val="0"/>
        <w:rPr>
          <w:rFonts w:hint="default"/>
          <w:highlight w:val="none"/>
          <w:lang w:val="en-US" w:eastAsia="zh-CN"/>
        </w:rPr>
      </w:pPr>
      <w:r>
        <w:rPr>
          <w:rFonts w:hint="eastAsia"/>
          <w:highlight w:val="none"/>
          <w:lang w:val="en-US" w:eastAsia="zh-CN"/>
        </w:rPr>
        <w:t>4.4.1.4模板安装</w:t>
      </w:r>
    </w:p>
    <w:p w14:paraId="267B4666">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模板</w:t>
      </w:r>
    </w:p>
    <w:p w14:paraId="51348D66">
      <w:pPr>
        <w:ind w:firstLine="480" w:firstLineChars="200"/>
        <w:rPr>
          <w:rFonts w:hint="default"/>
          <w:highlight w:val="none"/>
          <w:lang w:val="en-US" w:eastAsia="zh-CN"/>
        </w:rPr>
      </w:pPr>
      <w:r>
        <w:rPr>
          <w:rFonts w:hint="default"/>
          <w:highlight w:val="none"/>
          <w:lang w:val="en-US" w:eastAsia="zh-CN"/>
        </w:rPr>
        <w:t>采用钢模板，模板在安装前，人工采用打磨机对模板进行打磨磨光，再进行涂刷脱模剂，从而保证承台砼的外面光洁、平整。</w:t>
      </w:r>
    </w:p>
    <w:p w14:paraId="15D62097">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模板安装</w:t>
      </w:r>
    </w:p>
    <w:p w14:paraId="4AD6CF65">
      <w:pPr>
        <w:ind w:firstLine="480" w:firstLineChars="200"/>
        <w:rPr>
          <w:rFonts w:hint="default"/>
          <w:highlight w:val="none"/>
          <w:lang w:val="en-US" w:eastAsia="zh-CN"/>
        </w:rPr>
      </w:pPr>
      <w:r>
        <w:rPr>
          <w:rFonts w:hint="default"/>
          <w:highlight w:val="none"/>
          <w:lang w:val="en-US" w:eastAsia="zh-CN"/>
        </w:rPr>
        <w:t>相邻两块模板连接采用螺栓连接，两模板间采用密封条进行密封，防止混凝土浇筑时漏浆。模板安装时，模板后背采用架子管、方木和丝杠顶托支撑牢固，排布间距55cm，模板外侧用双钢管作立楞，间距55cm，横楞采用双钢管支撑，间距为55cm。在两侧模之间采用φ20拉杆螺栓，水平间距为55cm，竖向间距为55cm。</w:t>
      </w:r>
    </w:p>
    <w:p w14:paraId="552A975A">
      <w:pPr>
        <w:pStyle w:val="5"/>
        <w:tabs>
          <w:tab w:val="left" w:pos="0"/>
        </w:tabs>
        <w:bidi w:val="0"/>
        <w:rPr>
          <w:rFonts w:hint="default"/>
          <w:highlight w:val="none"/>
          <w:lang w:val="en-US" w:eastAsia="zh-CN"/>
        </w:rPr>
      </w:pPr>
      <w:r>
        <w:rPr>
          <w:rFonts w:hint="eastAsia"/>
          <w:highlight w:val="none"/>
          <w:lang w:val="en-US" w:eastAsia="zh-CN"/>
        </w:rPr>
        <w:t>4.4.1.5混凝土浇筑</w:t>
      </w:r>
    </w:p>
    <w:p w14:paraId="6EE7B300">
      <w:pPr>
        <w:ind w:firstLine="480" w:firstLineChars="200"/>
        <w:rPr>
          <w:rFonts w:hint="default"/>
          <w:highlight w:val="none"/>
          <w:lang w:val="en-US" w:eastAsia="zh-CN"/>
        </w:rPr>
      </w:pPr>
      <w:r>
        <w:rPr>
          <w:rFonts w:hint="default"/>
          <w:highlight w:val="none"/>
          <w:lang w:val="en-US" w:eastAsia="zh-CN"/>
        </w:rPr>
        <w:t>浇筑砼之前，检查模板加固是否到位，预埋件和钢筋位置是否正确。基础砼必须一次性浇筑完成，中间不允许留施工缝，基础顶面要求压光，待砼强度达到规定强度时方可安装塔吊。</w:t>
      </w:r>
    </w:p>
    <w:p w14:paraId="7163562A">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混凝土运输</w:t>
      </w:r>
    </w:p>
    <w:p w14:paraId="6B5CFE1C">
      <w:pPr>
        <w:ind w:firstLine="480" w:firstLineChars="200"/>
        <w:rPr>
          <w:rFonts w:hint="default"/>
          <w:highlight w:val="none"/>
          <w:lang w:val="en-US" w:eastAsia="zh-CN"/>
        </w:rPr>
      </w:pPr>
      <w:r>
        <w:rPr>
          <w:rFonts w:hint="default"/>
          <w:highlight w:val="none"/>
          <w:lang w:val="en-US" w:eastAsia="zh-CN"/>
        </w:rPr>
        <w:t>混凝土在拌和站集中拌和，用混凝土罐车运送到施工现场。混凝土到达施工现场后，由现场试验人员、质检人员进行坍落度、均匀性等的检查。混凝土坍落度要求在8cm～12cm之间，混凝土采用钢滑槽溜入模或者泵车泵送入模，插入式振捣器人工振捣。</w:t>
      </w:r>
    </w:p>
    <w:p w14:paraId="432CE183">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混凝土浇筑分层</w:t>
      </w:r>
    </w:p>
    <w:p w14:paraId="6A13108D">
      <w:pPr>
        <w:ind w:firstLine="480" w:firstLineChars="200"/>
        <w:rPr>
          <w:rFonts w:hint="default"/>
          <w:highlight w:val="none"/>
          <w:lang w:val="en-US" w:eastAsia="zh-CN"/>
        </w:rPr>
      </w:pPr>
      <w:r>
        <w:rPr>
          <w:rFonts w:hint="default"/>
          <w:highlight w:val="none"/>
          <w:lang w:val="en-US" w:eastAsia="zh-CN"/>
        </w:rPr>
        <w:t>混凝土采用整体分层连续浇筑，每层浇筑厚度控制在30-50cm，在前层混凝土初凝前将次层混凝土浇筑完毕。分层示意见下图。</w:t>
      </w:r>
    </w:p>
    <w:p w14:paraId="2FA0EA62">
      <w:pPr>
        <w:bidi w:val="0"/>
        <w:ind w:left="0" w:leftChars="0" w:firstLine="0" w:firstLineChars="0"/>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eastAsia="zh-CN"/>
        </w:rPr>
        <w:drawing>
          <wp:inline distT="0" distB="0" distL="114300" distR="114300">
            <wp:extent cx="3933825" cy="3228975"/>
            <wp:effectExtent l="0" t="0" r="9525" b="9525"/>
            <wp:docPr id="30" name="图片 2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123"/>
                    <pic:cNvPicPr>
                      <a:picLocks noChangeAspect="1"/>
                    </pic:cNvPicPr>
                  </pic:nvPicPr>
                  <pic:blipFill>
                    <a:blip r:embed="rId27"/>
                    <a:srcRect l="12105" t="7216" r="10841" b="2577"/>
                    <a:stretch>
                      <a:fillRect/>
                    </a:stretch>
                  </pic:blipFill>
                  <pic:spPr>
                    <a:xfrm>
                      <a:off x="0" y="0"/>
                      <a:ext cx="3933825" cy="3228975"/>
                    </a:xfrm>
                    <a:prstGeom prst="rect">
                      <a:avLst/>
                    </a:prstGeom>
                    <a:noFill/>
                    <a:ln>
                      <a:noFill/>
                    </a:ln>
                  </pic:spPr>
                </pic:pic>
              </a:graphicData>
            </a:graphic>
          </wp:inline>
        </w:drawing>
      </w:r>
    </w:p>
    <w:p w14:paraId="74506B89">
      <w:pPr>
        <w:pStyle w:val="14"/>
        <w:bidi w:val="0"/>
        <w:ind w:left="0" w:leftChars="0" w:firstLine="0" w:firstLineChars="0"/>
        <w:jc w:val="center"/>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6</w:t>
      </w:r>
      <w:r>
        <w:rPr>
          <w:highlight w:val="none"/>
        </w:rPr>
        <w:fldChar w:fldCharType="end"/>
      </w:r>
      <w:r>
        <w:rPr>
          <w:rFonts w:hint="eastAsia"/>
          <w:highlight w:val="none"/>
          <w:lang w:val="en-US" w:eastAsia="zh-CN"/>
        </w:rPr>
        <w:t>混凝土分层浇筑示意图</w:t>
      </w:r>
    </w:p>
    <w:p w14:paraId="5684EE6A">
      <w:pPr>
        <w:ind w:firstLine="482" w:firstLineChars="200"/>
        <w:rPr>
          <w:rFonts w:hint="default"/>
          <w:b/>
          <w:bCs/>
          <w:highlight w:val="none"/>
          <w:lang w:val="en-US" w:eastAsia="zh-CN"/>
        </w:rPr>
      </w:pPr>
      <w:r>
        <w:rPr>
          <w:rFonts w:hint="eastAsia"/>
          <w:b/>
          <w:bCs/>
          <w:highlight w:val="none"/>
          <w:lang w:val="en-US" w:eastAsia="zh-CN"/>
        </w:rPr>
        <w:t>3、</w:t>
      </w:r>
      <w:r>
        <w:rPr>
          <w:rFonts w:hint="default"/>
          <w:b/>
          <w:bCs/>
          <w:highlight w:val="none"/>
          <w:lang w:val="en-US" w:eastAsia="zh-CN"/>
        </w:rPr>
        <w:t>混凝土浇筑顺序</w:t>
      </w:r>
    </w:p>
    <w:p w14:paraId="23AC07AB">
      <w:pPr>
        <w:ind w:firstLine="480" w:firstLineChars="200"/>
        <w:rPr>
          <w:rFonts w:hint="default"/>
          <w:highlight w:val="none"/>
          <w:lang w:val="en-US" w:eastAsia="zh-CN"/>
        </w:rPr>
      </w:pPr>
      <w:r>
        <w:rPr>
          <w:rFonts w:hint="default"/>
          <w:highlight w:val="none"/>
          <w:lang w:val="en-US" w:eastAsia="zh-CN"/>
        </w:rPr>
        <w:t>混凝土浇筑沿长边方向从一端向另一端进行。必要时采取多点同时浇筑，防止浇筑时间过长而产生施工缝。</w:t>
      </w:r>
    </w:p>
    <w:p w14:paraId="04C2B719">
      <w:pPr>
        <w:ind w:firstLine="482" w:firstLineChars="200"/>
        <w:rPr>
          <w:rFonts w:hint="default"/>
          <w:b/>
          <w:bCs/>
          <w:highlight w:val="none"/>
          <w:lang w:val="en-US" w:eastAsia="zh-CN"/>
        </w:rPr>
      </w:pPr>
      <w:r>
        <w:rPr>
          <w:rFonts w:hint="eastAsia"/>
          <w:b/>
          <w:bCs/>
          <w:highlight w:val="none"/>
          <w:lang w:val="en-US" w:eastAsia="zh-CN"/>
        </w:rPr>
        <w:t>4、</w:t>
      </w:r>
      <w:r>
        <w:rPr>
          <w:rFonts w:hint="default"/>
          <w:b/>
          <w:bCs/>
          <w:highlight w:val="none"/>
          <w:lang w:val="en-US" w:eastAsia="zh-CN"/>
        </w:rPr>
        <w:t>混凝土振捣</w:t>
      </w:r>
    </w:p>
    <w:p w14:paraId="4AB6886E">
      <w:pPr>
        <w:ind w:firstLine="480" w:firstLineChars="200"/>
        <w:rPr>
          <w:rFonts w:hint="default"/>
          <w:highlight w:val="none"/>
          <w:lang w:val="en-US" w:eastAsia="zh-CN"/>
        </w:rPr>
      </w:pPr>
      <w:r>
        <w:rPr>
          <w:rFonts w:hint="default"/>
          <w:highlight w:val="none"/>
          <w:lang w:val="en-US" w:eastAsia="zh-CN"/>
        </w:rPr>
        <w:t>混凝土振捣采用插入式振捣器振捣，插入式振捣器成梅花型布点，移动间距不超过振捣器作用半径的1.5倍（30cm）。与模板应保持10cm左右的距离；振捣器插入下层混凝土5～15cm；在每一处位置振动完毕后边振动边徐徐提出</w:t>
      </w:r>
      <w:r>
        <w:rPr>
          <w:rFonts w:hint="eastAsia"/>
          <w:highlight w:val="none"/>
          <w:lang w:val="en-US" w:eastAsia="zh-CN"/>
        </w:rPr>
        <w:t>，</w:t>
      </w:r>
      <w:r>
        <w:rPr>
          <w:rFonts w:hint="default"/>
          <w:highlight w:val="none"/>
          <w:lang w:val="en-US" w:eastAsia="zh-CN"/>
        </w:rPr>
        <w:t>振捣充分，直至混凝土表面泛浆、平坦、无气泡冒出，不再下沉为止。</w:t>
      </w:r>
    </w:p>
    <w:p w14:paraId="5D78602E">
      <w:pPr>
        <w:rPr>
          <w:rFonts w:hint="default"/>
          <w:highlight w:val="none"/>
          <w:lang w:val="en-US" w:eastAsia="zh-CN"/>
        </w:rPr>
      </w:pPr>
      <w:r>
        <w:rPr>
          <w:rFonts w:hint="default"/>
          <w:highlight w:val="none"/>
          <w:lang w:val="en-US" w:eastAsia="zh-CN"/>
        </w:rPr>
        <w:t>混凝土振捣采用二次振捣工艺，在混凝土浇筑后凝固前进行二次振捣，以排除混凝土因泌水在粗骨料、水平钢筋下部生成的水分和孔隙，从而增加混凝土的密实度，减少内部微裂缝，从而提高混凝土强度和抗裂性。</w:t>
      </w:r>
    </w:p>
    <w:p w14:paraId="2C0D498C">
      <w:pPr>
        <w:rPr>
          <w:rFonts w:hint="default"/>
          <w:highlight w:val="none"/>
          <w:lang w:val="en-US" w:eastAsia="zh-CN"/>
        </w:rPr>
      </w:pPr>
      <w:r>
        <w:rPr>
          <w:rFonts w:hint="default"/>
          <w:highlight w:val="none"/>
          <w:lang w:val="en-US" w:eastAsia="zh-CN"/>
        </w:rPr>
        <w:t>浇筑混凝土期间，设专人不定时检查支撑﹑模板等稳固情况，当发现有松动﹑变形﹑移位时，及时进行处理。</w:t>
      </w:r>
    </w:p>
    <w:p w14:paraId="7260CABD">
      <w:pPr>
        <w:ind w:firstLine="482" w:firstLineChars="200"/>
        <w:rPr>
          <w:rFonts w:hint="default"/>
          <w:b/>
          <w:bCs/>
          <w:highlight w:val="none"/>
          <w:lang w:val="en-US" w:eastAsia="zh-CN"/>
        </w:rPr>
      </w:pPr>
      <w:r>
        <w:rPr>
          <w:rFonts w:hint="eastAsia"/>
          <w:b/>
          <w:bCs/>
          <w:highlight w:val="none"/>
          <w:lang w:val="en-US" w:eastAsia="zh-CN"/>
        </w:rPr>
        <w:t>5、</w:t>
      </w:r>
      <w:r>
        <w:rPr>
          <w:rFonts w:hint="default"/>
          <w:b/>
          <w:bCs/>
          <w:highlight w:val="none"/>
          <w:lang w:val="en-US" w:eastAsia="zh-CN"/>
        </w:rPr>
        <w:t>顶面压光</w:t>
      </w:r>
    </w:p>
    <w:p w14:paraId="6BA10109">
      <w:pPr>
        <w:ind w:firstLine="480" w:firstLineChars="200"/>
        <w:rPr>
          <w:rFonts w:hint="default"/>
          <w:highlight w:val="none"/>
          <w:lang w:val="en-US" w:eastAsia="zh-CN"/>
        </w:rPr>
      </w:pPr>
      <w:r>
        <w:rPr>
          <w:rFonts w:hint="default"/>
          <w:highlight w:val="none"/>
          <w:lang w:val="en-US" w:eastAsia="zh-CN"/>
        </w:rPr>
        <w:t>浇筑成型后，人工用钢抹压茬赶平压光。混凝土初凝后，应立即进行覆盖，防止混凝土表面因水分散失而出现收缩裂缝。</w:t>
      </w:r>
    </w:p>
    <w:p w14:paraId="14151E20">
      <w:pPr>
        <w:pStyle w:val="5"/>
        <w:tabs>
          <w:tab w:val="left" w:pos="0"/>
        </w:tabs>
        <w:bidi w:val="0"/>
        <w:rPr>
          <w:rFonts w:hint="default"/>
          <w:highlight w:val="none"/>
          <w:lang w:val="en-US" w:eastAsia="zh-CN"/>
        </w:rPr>
      </w:pPr>
      <w:r>
        <w:rPr>
          <w:rFonts w:hint="eastAsia"/>
          <w:highlight w:val="none"/>
          <w:lang w:val="en-US" w:eastAsia="zh-CN"/>
        </w:rPr>
        <w:t>4.4.1.6混凝土养护</w:t>
      </w:r>
    </w:p>
    <w:p w14:paraId="209F6507">
      <w:pPr>
        <w:pageBreakBefore w:val="0"/>
        <w:widowControl w:val="0"/>
        <w:kinsoku/>
        <w:wordWrap/>
        <w:overflowPunct/>
        <w:topLinePunct w:val="0"/>
        <w:autoSpaceDE/>
        <w:autoSpaceDN/>
        <w:bidi w:val="0"/>
        <w:adjustRightInd/>
        <w:snapToGrid/>
        <w:ind w:firstLine="482" w:firstLineChars="200"/>
        <w:textAlignment w:val="auto"/>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覆盖</w:t>
      </w:r>
      <w:r>
        <w:rPr>
          <w:rFonts w:hint="eastAsia"/>
          <w:b/>
          <w:bCs/>
          <w:highlight w:val="none"/>
          <w:lang w:val="en-US" w:eastAsia="zh-CN"/>
        </w:rPr>
        <w:t>保温</w:t>
      </w:r>
      <w:r>
        <w:rPr>
          <w:rFonts w:hint="default"/>
          <w:b/>
          <w:bCs/>
          <w:highlight w:val="none"/>
          <w:lang w:val="en-US" w:eastAsia="zh-CN"/>
        </w:rPr>
        <w:t>保湿养护</w:t>
      </w:r>
    </w:p>
    <w:p w14:paraId="527E8CD2">
      <w:pPr>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混凝土浇筑完成初凝前，采用覆盖土工布洒水进行保湿养护。如果养护期间昼夜温差较大，在土工布上加盖塑料布进行保温，防止混凝土温差大而开裂。混凝土养护应设专人负责，保湿养护14天。覆盖土工布拆除时，选择在中午温度较高时候进行，防止混凝土外表温度与环境温度差过大而造成裂纹。</w:t>
      </w:r>
    </w:p>
    <w:p w14:paraId="2D0C5205">
      <w:pPr>
        <w:pageBreakBefore w:val="0"/>
        <w:widowControl w:val="0"/>
        <w:kinsoku/>
        <w:wordWrap/>
        <w:overflowPunct/>
        <w:topLinePunct w:val="0"/>
        <w:autoSpaceDE/>
        <w:autoSpaceDN/>
        <w:bidi w:val="0"/>
        <w:adjustRightInd/>
        <w:snapToGrid/>
        <w:ind w:firstLine="482" w:firstLineChars="200"/>
        <w:textAlignment w:val="auto"/>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模板拆除</w:t>
      </w:r>
    </w:p>
    <w:p w14:paraId="5A2BCABB">
      <w:pPr>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混凝土浇筑完成2天后，方可进行模板拆除。拆除时选择温度较高时候进行，模板拆除后立即进行覆盖养护。模板拆除遵循先装后拆、后装先拆的顺序，拆模过程中不得用大锤和撬棍死砸硬撬，要保证模板完整无损。如果模板与混凝土粘结较紧，应先用木槌敲击使之松动。拆下的模板、配件等严禁抛扔，以防脱模后模板掉落擦伤混凝土表面，模板、配件等要及时应维修整理，刷脱模剂，以备周转。</w:t>
      </w:r>
    </w:p>
    <w:p w14:paraId="238961B9">
      <w:pPr>
        <w:pStyle w:val="5"/>
        <w:tabs>
          <w:tab w:val="left" w:pos="0"/>
        </w:tabs>
        <w:bidi w:val="0"/>
        <w:rPr>
          <w:rFonts w:hint="default"/>
          <w:highlight w:val="none"/>
          <w:lang w:val="en-US" w:eastAsia="zh-CN"/>
        </w:rPr>
      </w:pPr>
      <w:r>
        <w:rPr>
          <w:rFonts w:hint="eastAsia"/>
          <w:highlight w:val="none"/>
          <w:lang w:val="en-US" w:eastAsia="zh-CN"/>
        </w:rPr>
        <w:t>4.4.1.7回填</w:t>
      </w:r>
    </w:p>
    <w:p w14:paraId="58AF42D9">
      <w:pPr>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经养护14天后，进行基坑回填，基坑回填分两次进行。首次填至承台顶往下0.2m处，不影响墩柱施工，待墩柱施工完成后再全部回填。回填地面略高于四周原地面避免坑洼积水</w:t>
      </w:r>
      <w:r>
        <w:rPr>
          <w:rFonts w:hint="eastAsia"/>
          <w:highlight w:val="none"/>
          <w:lang w:val="en-US" w:eastAsia="zh-CN"/>
        </w:rPr>
        <w:t>、</w:t>
      </w:r>
      <w:r>
        <w:rPr>
          <w:rFonts w:hint="default"/>
          <w:highlight w:val="none"/>
          <w:lang w:val="en-US" w:eastAsia="zh-CN"/>
        </w:rPr>
        <w:t>浸泡承台。回填时两侧对称进行，防止偏压损坏结构或影响结构的稳定性和使用功能。</w:t>
      </w:r>
    </w:p>
    <w:p w14:paraId="242B5A9F">
      <w:pPr>
        <w:pStyle w:val="5"/>
        <w:tabs>
          <w:tab w:val="left" w:pos="0"/>
        </w:tabs>
        <w:bidi w:val="0"/>
        <w:rPr>
          <w:rFonts w:hint="default"/>
          <w:highlight w:val="none"/>
          <w:lang w:val="en-US" w:eastAsia="zh-CN"/>
        </w:rPr>
      </w:pPr>
      <w:r>
        <w:rPr>
          <w:rFonts w:hint="eastAsia"/>
          <w:highlight w:val="none"/>
          <w:lang w:val="en-US" w:eastAsia="zh-CN"/>
        </w:rPr>
        <w:t>4.4.1.8接地绝缘</w:t>
      </w:r>
    </w:p>
    <w:p w14:paraId="59ECE937">
      <w:pPr>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在塔吊基础附近布置两根50*5等边角钢，分别插入土壤深度不小于2米，再将其用扁铁或16mm2的绝缘铜线连至塔吊基础节的对角，用两颗M24螺栓将其固定在根部，扁铁与角钢焊接长度不小于100mm，安装完成后，对其进行接地电阻摇测工作，要求接地电阻值≤4Ω。</w:t>
      </w:r>
    </w:p>
    <w:p w14:paraId="4D049582">
      <w:pPr>
        <w:pStyle w:val="5"/>
        <w:bidi w:val="0"/>
        <w:rPr>
          <w:rFonts w:hint="eastAsia"/>
          <w:highlight w:val="none"/>
          <w:lang w:val="en-US" w:eastAsia="zh-CN"/>
        </w:rPr>
      </w:pPr>
      <w:r>
        <w:rPr>
          <w:rFonts w:hint="eastAsia"/>
          <w:highlight w:val="none"/>
        </w:rPr>
        <w:t>4.</w:t>
      </w:r>
      <w:r>
        <w:rPr>
          <w:rFonts w:hint="eastAsia"/>
          <w:highlight w:val="none"/>
          <w:lang w:val="en-US" w:eastAsia="zh-CN"/>
        </w:rPr>
        <w:t>4</w:t>
      </w:r>
      <w:r>
        <w:rPr>
          <w:rFonts w:hint="eastAsia"/>
          <w:highlight w:val="none"/>
        </w:rPr>
        <w:t>.1.</w:t>
      </w:r>
      <w:r>
        <w:rPr>
          <w:rFonts w:hint="eastAsia"/>
          <w:highlight w:val="none"/>
          <w:lang w:val="en-US" w:eastAsia="zh-CN"/>
        </w:rPr>
        <w:t>9</w:t>
      </w:r>
      <w:r>
        <w:rPr>
          <w:rFonts w:hint="eastAsia"/>
          <w:highlight w:val="none"/>
        </w:rPr>
        <w:t>塔吊基础</w:t>
      </w:r>
      <w:r>
        <w:rPr>
          <w:rFonts w:hint="eastAsia"/>
          <w:highlight w:val="none"/>
          <w:lang w:val="en-US" w:eastAsia="zh-CN"/>
        </w:rPr>
        <w:t>验收</w:t>
      </w:r>
    </w:p>
    <w:p w14:paraId="649BF5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bookmarkStart w:id="151" w:name="_Toc13951"/>
      <w:bookmarkStart w:id="152" w:name="_Toc19212"/>
      <w:bookmarkStart w:id="153" w:name="_Toc13747"/>
      <w:r>
        <w:rPr>
          <w:rFonts w:hint="eastAsia"/>
          <w:highlight w:val="none"/>
          <w:lang w:eastAsia="zh-CN"/>
        </w:rPr>
        <w:t>（</w:t>
      </w:r>
      <w:r>
        <w:rPr>
          <w:rFonts w:hint="eastAsia"/>
          <w:highlight w:val="none"/>
          <w:lang w:val="en-US" w:eastAsia="zh-CN"/>
        </w:rPr>
        <w:t>1</w:t>
      </w:r>
      <w:r>
        <w:rPr>
          <w:rFonts w:hint="eastAsia"/>
          <w:highlight w:val="none"/>
          <w:lang w:eastAsia="zh-CN"/>
        </w:rPr>
        <w:t>）</w:t>
      </w:r>
      <w:bookmarkEnd w:id="151"/>
      <w:bookmarkEnd w:id="152"/>
      <w:bookmarkEnd w:id="153"/>
      <w:r>
        <w:rPr>
          <w:rFonts w:hint="eastAsia"/>
          <w:highlight w:val="none"/>
          <w:lang w:val="en-US" w:eastAsia="zh-CN"/>
        </w:rPr>
        <w:t>验收要求</w:t>
      </w:r>
    </w:p>
    <w:p w14:paraId="64184D4F">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a</w:t>
      </w:r>
      <w:r>
        <w:rPr>
          <w:rFonts w:hint="eastAsia"/>
          <w:highlight w:val="none"/>
        </w:rPr>
        <w:t>首先验收塔吊基础预埋件质量，要求预埋件由塔吊厂家提供，几何尺寸与安装塔吊相匹配，预埋件质量符合设计及规范要求。</w:t>
      </w:r>
    </w:p>
    <w:p w14:paraId="5DBDA9E7">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b</w:t>
      </w:r>
      <w:r>
        <w:rPr>
          <w:rFonts w:hint="eastAsia"/>
          <w:highlight w:val="none"/>
        </w:rPr>
        <w:t>塔吊预埋件安装位置由测量部进行放样，基础施工前对塔吊预埋件位置进行复核，要求偏差不大于1cm。</w:t>
      </w:r>
    </w:p>
    <w:p w14:paraId="79EB7263">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c</w:t>
      </w:r>
      <w:r>
        <w:rPr>
          <w:rFonts w:hint="eastAsia"/>
          <w:highlight w:val="none"/>
        </w:rPr>
        <w:t>塔吊预埋件位于承台部分要求加强现场加固，混凝土浇筑过程中塔吊基础预埋件位置振捣时振捣棒触碰预埋件，防止发生偏位。</w:t>
      </w:r>
    </w:p>
    <w:p w14:paraId="73ECE625">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d</w:t>
      </w:r>
      <w:r>
        <w:rPr>
          <w:rFonts w:hint="eastAsia"/>
          <w:highlight w:val="none"/>
        </w:rPr>
        <w:t>塔吊</w:t>
      </w:r>
      <w:r>
        <w:rPr>
          <w:highlight w:val="none"/>
        </w:rPr>
        <w:t>基础施工由项目部严格按照生产厂家提供的说明书要求完成，必须做好控制记录和质量验收证明资料。</w:t>
      </w:r>
    </w:p>
    <w:p w14:paraId="1C9E624E">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e</w:t>
      </w:r>
      <w:r>
        <w:rPr>
          <w:rFonts w:hint="eastAsia"/>
          <w:highlight w:val="none"/>
        </w:rPr>
        <w:t>塔吊</w:t>
      </w:r>
      <w:r>
        <w:rPr>
          <w:highlight w:val="none"/>
        </w:rPr>
        <w:t>基础承载力必须满足</w:t>
      </w:r>
      <w:r>
        <w:rPr>
          <w:rFonts w:hint="eastAsia"/>
          <w:highlight w:val="none"/>
        </w:rPr>
        <w:t>塔吊</w:t>
      </w:r>
      <w:r>
        <w:rPr>
          <w:highlight w:val="none"/>
        </w:rPr>
        <w:t>生产厂家说明书提供</w:t>
      </w:r>
      <w:r>
        <w:rPr>
          <w:rFonts w:hint="eastAsia"/>
          <w:highlight w:val="none"/>
        </w:rPr>
        <w:t>的基础荷载</w:t>
      </w:r>
      <w:r>
        <w:rPr>
          <w:highlight w:val="none"/>
        </w:rPr>
        <w:t>要求。</w:t>
      </w:r>
    </w:p>
    <w:p w14:paraId="082ECF71">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f</w:t>
      </w:r>
      <w:r>
        <w:rPr>
          <w:rFonts w:hint="eastAsia"/>
          <w:highlight w:val="none"/>
        </w:rPr>
        <w:t>塔吊</w:t>
      </w:r>
      <w:r>
        <w:rPr>
          <w:highlight w:val="none"/>
        </w:rPr>
        <w:t>基础防雷接地装置合格（不得大于4欧姆，重复接地电阻不得大于10欧姆）</w:t>
      </w:r>
      <w:r>
        <w:rPr>
          <w:rFonts w:hint="eastAsia"/>
          <w:highlight w:val="none"/>
        </w:rPr>
        <w:t>。</w:t>
      </w:r>
    </w:p>
    <w:p w14:paraId="0AAEEA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g</w:t>
      </w:r>
      <w:r>
        <w:rPr>
          <w:highlight w:val="none"/>
        </w:rPr>
        <w:t>确保固定底脚四个角水平度在1/1000以内；砼强度达到生产厂家提供的说明书要求，并</w:t>
      </w:r>
      <w:r>
        <w:rPr>
          <w:rFonts w:hint="eastAsia"/>
          <w:highlight w:val="none"/>
        </w:rPr>
        <w:t>经使用单位、监理单位、安装单位以及产权单位联合验</w:t>
      </w:r>
      <w:r>
        <w:rPr>
          <w:highlight w:val="none"/>
        </w:rPr>
        <w:t>收后方可安装</w:t>
      </w:r>
      <w:r>
        <w:rPr>
          <w:rFonts w:hint="eastAsia"/>
          <w:highlight w:val="none"/>
          <w:lang w:val="en-US" w:eastAsia="zh-CN"/>
        </w:rPr>
        <w:t>。</w:t>
      </w:r>
    </w:p>
    <w:p w14:paraId="2C9CEF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bookmarkStart w:id="154" w:name="_Toc8643"/>
      <w:bookmarkStart w:id="155" w:name="_Toc17284"/>
      <w:bookmarkStart w:id="156" w:name="_Toc914"/>
      <w:r>
        <w:rPr>
          <w:rFonts w:hint="eastAsia"/>
          <w:highlight w:val="none"/>
          <w:lang w:val="en-US" w:eastAsia="zh-CN"/>
        </w:rPr>
        <w:t>（2） 塔吊基础验收资料</w:t>
      </w:r>
      <w:bookmarkEnd w:id="154"/>
      <w:bookmarkEnd w:id="155"/>
      <w:bookmarkEnd w:id="156"/>
    </w:p>
    <w:p w14:paraId="025317BD">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rPr>
        <w:t>a</w:t>
      </w:r>
      <w:r>
        <w:rPr>
          <w:highlight w:val="none"/>
        </w:rPr>
        <w:t>砼基础强度试验报告；</w:t>
      </w:r>
    </w:p>
    <w:p w14:paraId="6BD5DCC1">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rPr>
        <w:t>b基础钢筋材质报告；</w:t>
      </w:r>
    </w:p>
    <w:p w14:paraId="63FB723B">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rPr>
        <w:t>c</w:t>
      </w:r>
      <w:r>
        <w:rPr>
          <w:highlight w:val="none"/>
        </w:rPr>
        <w:t>砼基础隐蔽工程验收资料；</w:t>
      </w:r>
    </w:p>
    <w:p w14:paraId="286D51C6">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rPr>
        <w:t>d</w:t>
      </w:r>
      <w:r>
        <w:rPr>
          <w:highlight w:val="none"/>
        </w:rPr>
        <w:t>基础制作技术方案；</w:t>
      </w:r>
    </w:p>
    <w:p w14:paraId="1F6D7E3E">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rPr>
        <w:t>e</w:t>
      </w:r>
      <w:r>
        <w:rPr>
          <w:highlight w:val="none"/>
        </w:rPr>
        <w:t>预埋件水平度测量报告；</w:t>
      </w:r>
    </w:p>
    <w:p w14:paraId="4CDF1011">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rPr>
        <w:t>f</w:t>
      </w:r>
      <w:r>
        <w:rPr>
          <w:highlight w:val="none"/>
        </w:rPr>
        <w:t>基础相关验收表格；</w:t>
      </w:r>
    </w:p>
    <w:p w14:paraId="6B6B500F">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总包项目部</w:t>
      </w:r>
      <w:r>
        <w:rPr>
          <w:rFonts w:hint="eastAsia"/>
          <w:highlight w:val="none"/>
        </w:rPr>
        <w:t>、监理</w:t>
      </w:r>
      <w:r>
        <w:rPr>
          <w:highlight w:val="none"/>
        </w:rPr>
        <w:t>单位</w:t>
      </w:r>
      <w:r>
        <w:rPr>
          <w:rFonts w:hint="eastAsia"/>
          <w:highlight w:val="none"/>
        </w:rPr>
        <w:t>、安装</w:t>
      </w:r>
      <w:r>
        <w:rPr>
          <w:highlight w:val="none"/>
        </w:rPr>
        <w:t>单位</w:t>
      </w:r>
      <w:r>
        <w:rPr>
          <w:rFonts w:hint="eastAsia"/>
          <w:highlight w:val="none"/>
        </w:rPr>
        <w:t>及产权单位</w:t>
      </w:r>
      <w:r>
        <w:rPr>
          <w:highlight w:val="none"/>
        </w:rPr>
        <w:t>相关负责人进行</w:t>
      </w:r>
      <w:r>
        <w:rPr>
          <w:rFonts w:hint="eastAsia"/>
          <w:highlight w:val="none"/>
        </w:rPr>
        <w:t>塔吊</w:t>
      </w:r>
      <w:r>
        <w:rPr>
          <w:highlight w:val="none"/>
        </w:rPr>
        <w:t>基础验收合格，并在验收表上签字认定后，方可进行安装作业。</w:t>
      </w:r>
    </w:p>
    <w:p w14:paraId="376FDC31">
      <w:pPr>
        <w:pStyle w:val="38"/>
        <w:bidi w:val="0"/>
        <w:rPr>
          <w:highlight w:val="none"/>
        </w:rPr>
      </w:pPr>
      <w:r>
        <w:rPr>
          <w:rFonts w:hint="eastAsia"/>
          <w:highlight w:val="none"/>
        </w:rPr>
        <w:t>表</w:t>
      </w:r>
      <w:r>
        <w:rPr>
          <w:highlight w:val="none"/>
        </w:rPr>
        <w:t>4.</w:t>
      </w:r>
      <w:r>
        <w:rPr>
          <w:rFonts w:hint="eastAsia"/>
          <w:highlight w:val="none"/>
          <w:lang w:val="en-US" w:eastAsia="zh-CN"/>
        </w:rPr>
        <w:t>4</w:t>
      </w:r>
      <w:r>
        <w:rPr>
          <w:highlight w:val="none"/>
        </w:rPr>
        <w:t xml:space="preserve">-1 </w:t>
      </w:r>
      <w:r>
        <w:rPr>
          <w:rFonts w:hint="eastAsia"/>
          <w:highlight w:val="none"/>
        </w:rPr>
        <w:t>塔吊安拆验收单位一览表</w:t>
      </w:r>
    </w:p>
    <w:tbl>
      <w:tblPr>
        <w:tblStyle w:val="28"/>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172"/>
        <w:gridCol w:w="6142"/>
      </w:tblGrid>
      <w:tr w14:paraId="322F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36" w:type="dxa"/>
            <w:tcBorders>
              <w:top w:val="double" w:color="auto" w:sz="4" w:space="0"/>
              <w:left w:val="double" w:color="auto" w:sz="4" w:space="0"/>
              <w:bottom w:val="double" w:color="auto" w:sz="4" w:space="0"/>
            </w:tcBorders>
            <w:shd w:val="clear" w:color="auto" w:fill="D6DCE5" w:themeFill="text2" w:themeFillTint="32"/>
            <w:vAlign w:val="center"/>
          </w:tcPr>
          <w:p w14:paraId="62B6BC82">
            <w:pPr>
              <w:pStyle w:val="102"/>
              <w:bidi w:val="0"/>
              <w:rPr>
                <w:rFonts w:hint="eastAsia"/>
                <w:highlight w:val="none"/>
              </w:rPr>
            </w:pPr>
            <w:r>
              <w:rPr>
                <w:rFonts w:hint="eastAsia"/>
                <w:highlight w:val="none"/>
              </w:rPr>
              <w:t>序号</w:t>
            </w:r>
          </w:p>
        </w:tc>
        <w:tc>
          <w:tcPr>
            <w:tcW w:w="2172" w:type="dxa"/>
            <w:tcBorders>
              <w:top w:val="double" w:color="auto" w:sz="4" w:space="0"/>
              <w:bottom w:val="double" w:color="auto" w:sz="4" w:space="0"/>
            </w:tcBorders>
            <w:shd w:val="clear" w:color="auto" w:fill="D6DCE5" w:themeFill="text2" w:themeFillTint="32"/>
            <w:vAlign w:val="center"/>
          </w:tcPr>
          <w:p w14:paraId="637C8D75">
            <w:pPr>
              <w:pStyle w:val="102"/>
              <w:bidi w:val="0"/>
              <w:rPr>
                <w:rFonts w:hint="eastAsia"/>
                <w:highlight w:val="none"/>
              </w:rPr>
            </w:pPr>
            <w:r>
              <w:rPr>
                <w:rFonts w:hint="eastAsia"/>
                <w:highlight w:val="none"/>
              </w:rPr>
              <w:t>项目</w:t>
            </w:r>
          </w:p>
        </w:tc>
        <w:tc>
          <w:tcPr>
            <w:tcW w:w="6142" w:type="dxa"/>
            <w:tcBorders>
              <w:top w:val="double" w:color="auto" w:sz="4" w:space="0"/>
              <w:bottom w:val="double" w:color="auto" w:sz="4" w:space="0"/>
              <w:right w:val="double" w:color="auto" w:sz="4" w:space="0"/>
            </w:tcBorders>
            <w:shd w:val="clear" w:color="auto" w:fill="D6DCE5" w:themeFill="text2" w:themeFillTint="32"/>
            <w:vAlign w:val="center"/>
          </w:tcPr>
          <w:p w14:paraId="1E9D41E4">
            <w:pPr>
              <w:pStyle w:val="102"/>
              <w:bidi w:val="0"/>
              <w:rPr>
                <w:rFonts w:hint="eastAsia"/>
                <w:highlight w:val="none"/>
              </w:rPr>
            </w:pPr>
            <w:r>
              <w:rPr>
                <w:rFonts w:hint="eastAsia"/>
                <w:highlight w:val="none"/>
              </w:rPr>
              <w:t>内容</w:t>
            </w:r>
          </w:p>
        </w:tc>
      </w:tr>
      <w:tr w14:paraId="7453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6" w:type="dxa"/>
            <w:tcBorders>
              <w:top w:val="double" w:color="auto" w:sz="4" w:space="0"/>
              <w:left w:val="double" w:color="auto" w:sz="4" w:space="0"/>
            </w:tcBorders>
            <w:shd w:val="clear" w:color="auto" w:fill="auto"/>
            <w:vAlign w:val="center"/>
          </w:tcPr>
          <w:p w14:paraId="0EA015F1">
            <w:pPr>
              <w:pStyle w:val="102"/>
              <w:bidi w:val="0"/>
              <w:rPr>
                <w:rFonts w:hint="eastAsia"/>
                <w:highlight w:val="none"/>
                <w:lang w:val="en-US" w:eastAsia="zh-CN"/>
              </w:rPr>
            </w:pPr>
            <w:r>
              <w:rPr>
                <w:rFonts w:hint="eastAsia"/>
                <w:highlight w:val="none"/>
                <w:lang w:val="en-US" w:eastAsia="zh-CN"/>
              </w:rPr>
              <w:t>1</w:t>
            </w:r>
          </w:p>
        </w:tc>
        <w:tc>
          <w:tcPr>
            <w:tcW w:w="2172" w:type="dxa"/>
            <w:tcBorders>
              <w:top w:val="double" w:color="auto" w:sz="4" w:space="0"/>
            </w:tcBorders>
            <w:shd w:val="clear" w:color="auto" w:fill="auto"/>
            <w:vAlign w:val="center"/>
          </w:tcPr>
          <w:p w14:paraId="06F17671">
            <w:pPr>
              <w:pStyle w:val="102"/>
              <w:bidi w:val="0"/>
              <w:rPr>
                <w:rFonts w:hint="eastAsia"/>
                <w:highlight w:val="none"/>
                <w:lang w:val="en-US" w:eastAsia="zh-CN"/>
              </w:rPr>
            </w:pPr>
            <w:r>
              <w:rPr>
                <w:rFonts w:hint="eastAsia"/>
                <w:highlight w:val="none"/>
                <w:lang w:val="en-US" w:eastAsia="zh-CN"/>
              </w:rPr>
              <w:t>建设单位</w:t>
            </w:r>
          </w:p>
        </w:tc>
        <w:tc>
          <w:tcPr>
            <w:tcW w:w="6142" w:type="dxa"/>
            <w:tcBorders>
              <w:top w:val="double" w:color="auto" w:sz="4" w:space="0"/>
              <w:right w:val="double" w:color="auto" w:sz="4" w:space="0"/>
            </w:tcBorders>
            <w:shd w:val="clear" w:color="auto" w:fill="auto"/>
            <w:vAlign w:val="center"/>
          </w:tcPr>
          <w:p w14:paraId="3CF580BE">
            <w:pPr>
              <w:pStyle w:val="102"/>
              <w:bidi w:val="0"/>
              <w:rPr>
                <w:rFonts w:hint="eastAsia"/>
                <w:highlight w:val="none"/>
              </w:rPr>
            </w:pPr>
            <w:r>
              <w:rPr>
                <w:rFonts w:hint="eastAsia"/>
                <w:highlight w:val="none"/>
                <w:lang w:val="en-US" w:eastAsia="zh-CN"/>
              </w:rPr>
              <w:t>广西桂贺高速公路有限公司</w:t>
            </w:r>
          </w:p>
        </w:tc>
      </w:tr>
      <w:tr w14:paraId="57EF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6" w:type="dxa"/>
            <w:tcBorders>
              <w:left w:val="double" w:color="auto" w:sz="4" w:space="0"/>
            </w:tcBorders>
            <w:shd w:val="clear" w:color="auto" w:fill="auto"/>
            <w:vAlign w:val="center"/>
          </w:tcPr>
          <w:p w14:paraId="177E5A88">
            <w:pPr>
              <w:pStyle w:val="102"/>
              <w:bidi w:val="0"/>
              <w:rPr>
                <w:rFonts w:hint="eastAsia"/>
                <w:highlight w:val="none"/>
                <w:lang w:val="en-US" w:eastAsia="zh-CN"/>
              </w:rPr>
            </w:pPr>
            <w:r>
              <w:rPr>
                <w:rFonts w:hint="eastAsia"/>
                <w:highlight w:val="none"/>
                <w:lang w:val="en-US" w:eastAsia="zh-CN"/>
              </w:rPr>
              <w:t>2</w:t>
            </w:r>
          </w:p>
        </w:tc>
        <w:tc>
          <w:tcPr>
            <w:tcW w:w="2172" w:type="dxa"/>
            <w:shd w:val="clear" w:color="auto" w:fill="auto"/>
            <w:vAlign w:val="center"/>
          </w:tcPr>
          <w:p w14:paraId="377AF8A7">
            <w:pPr>
              <w:pStyle w:val="102"/>
              <w:bidi w:val="0"/>
              <w:rPr>
                <w:rFonts w:hint="eastAsia"/>
                <w:highlight w:val="none"/>
                <w:lang w:val="en-US" w:eastAsia="zh-CN"/>
              </w:rPr>
            </w:pPr>
            <w:r>
              <w:rPr>
                <w:rFonts w:hint="eastAsia"/>
                <w:highlight w:val="none"/>
                <w:lang w:val="en-US" w:eastAsia="zh-CN"/>
              </w:rPr>
              <w:t>监理单位</w:t>
            </w:r>
          </w:p>
        </w:tc>
        <w:tc>
          <w:tcPr>
            <w:tcW w:w="6142" w:type="dxa"/>
            <w:tcBorders>
              <w:right w:val="double" w:color="auto" w:sz="4" w:space="0"/>
            </w:tcBorders>
            <w:shd w:val="clear" w:color="auto" w:fill="auto"/>
            <w:vAlign w:val="center"/>
          </w:tcPr>
          <w:p w14:paraId="32CA32AD">
            <w:pPr>
              <w:pStyle w:val="102"/>
              <w:bidi w:val="0"/>
              <w:rPr>
                <w:rFonts w:hint="eastAsia"/>
                <w:highlight w:val="none"/>
              </w:rPr>
            </w:pPr>
            <w:r>
              <w:rPr>
                <w:rFonts w:hint="eastAsia"/>
                <w:highlight w:val="none"/>
                <w:lang w:val="en-US" w:eastAsia="zh-CN"/>
              </w:rPr>
              <w:t>四川盛达兴工程项目管理</w:t>
            </w:r>
            <w:r>
              <w:rPr>
                <w:rFonts w:hint="eastAsia"/>
                <w:highlight w:val="none"/>
              </w:rPr>
              <w:t>有限公司</w:t>
            </w:r>
          </w:p>
        </w:tc>
      </w:tr>
      <w:tr w14:paraId="5C2A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6" w:type="dxa"/>
            <w:tcBorders>
              <w:left w:val="double" w:color="auto" w:sz="4" w:space="0"/>
            </w:tcBorders>
            <w:vAlign w:val="center"/>
          </w:tcPr>
          <w:p w14:paraId="22110B52">
            <w:pPr>
              <w:pStyle w:val="102"/>
              <w:bidi w:val="0"/>
              <w:rPr>
                <w:rFonts w:hint="eastAsia"/>
                <w:highlight w:val="none"/>
                <w:lang w:val="en-US" w:eastAsia="zh-CN"/>
              </w:rPr>
            </w:pPr>
            <w:r>
              <w:rPr>
                <w:rFonts w:hint="eastAsia"/>
                <w:highlight w:val="none"/>
                <w:lang w:val="en-US" w:eastAsia="zh-CN"/>
              </w:rPr>
              <w:t>3</w:t>
            </w:r>
          </w:p>
        </w:tc>
        <w:tc>
          <w:tcPr>
            <w:tcW w:w="2172" w:type="dxa"/>
            <w:vAlign w:val="center"/>
          </w:tcPr>
          <w:p w14:paraId="2166EF94">
            <w:pPr>
              <w:pStyle w:val="102"/>
              <w:bidi w:val="0"/>
              <w:rPr>
                <w:rFonts w:hint="eastAsia"/>
                <w:highlight w:val="none"/>
                <w:lang w:val="en-US" w:eastAsia="zh-CN"/>
              </w:rPr>
            </w:pPr>
            <w:r>
              <w:rPr>
                <w:rFonts w:hint="eastAsia"/>
                <w:highlight w:val="none"/>
                <w:lang w:val="en-US" w:eastAsia="zh-CN"/>
              </w:rPr>
              <w:t>塔吊使用单位</w:t>
            </w:r>
          </w:p>
        </w:tc>
        <w:tc>
          <w:tcPr>
            <w:tcW w:w="6142" w:type="dxa"/>
            <w:tcBorders>
              <w:right w:val="double" w:color="auto" w:sz="4" w:space="0"/>
            </w:tcBorders>
            <w:vAlign w:val="center"/>
          </w:tcPr>
          <w:p w14:paraId="1D036292">
            <w:pPr>
              <w:pStyle w:val="102"/>
              <w:bidi w:val="0"/>
              <w:rPr>
                <w:rFonts w:hint="eastAsia"/>
                <w:highlight w:val="none"/>
                <w:lang w:val="en-US" w:eastAsia="zh-CN"/>
              </w:rPr>
            </w:pPr>
            <w:r>
              <w:rPr>
                <w:rFonts w:hint="eastAsia"/>
                <w:highlight w:val="none"/>
                <w:lang w:val="en-US" w:eastAsia="zh-CN"/>
              </w:rPr>
              <w:t>中交第二航务工程局有限公司</w:t>
            </w:r>
          </w:p>
        </w:tc>
      </w:tr>
      <w:tr w14:paraId="6BAC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6" w:type="dxa"/>
            <w:tcBorders>
              <w:left w:val="double" w:color="auto" w:sz="4" w:space="0"/>
            </w:tcBorders>
            <w:vAlign w:val="center"/>
          </w:tcPr>
          <w:p w14:paraId="63A7585C">
            <w:pPr>
              <w:pStyle w:val="102"/>
              <w:bidi w:val="0"/>
              <w:rPr>
                <w:rFonts w:hint="eastAsia"/>
                <w:highlight w:val="none"/>
              </w:rPr>
            </w:pPr>
            <w:r>
              <w:rPr>
                <w:rFonts w:hint="eastAsia"/>
                <w:highlight w:val="none"/>
              </w:rPr>
              <w:t>4</w:t>
            </w:r>
          </w:p>
        </w:tc>
        <w:tc>
          <w:tcPr>
            <w:tcW w:w="2172" w:type="dxa"/>
            <w:vAlign w:val="center"/>
          </w:tcPr>
          <w:p w14:paraId="597E0CA1">
            <w:pPr>
              <w:pStyle w:val="102"/>
              <w:bidi w:val="0"/>
              <w:rPr>
                <w:rFonts w:hint="eastAsia"/>
                <w:highlight w:val="none"/>
              </w:rPr>
            </w:pPr>
            <w:r>
              <w:rPr>
                <w:rFonts w:hint="eastAsia"/>
                <w:highlight w:val="none"/>
              </w:rPr>
              <w:t>塔吊制造单位</w:t>
            </w:r>
          </w:p>
        </w:tc>
        <w:tc>
          <w:tcPr>
            <w:tcW w:w="6142" w:type="dxa"/>
            <w:tcBorders>
              <w:right w:val="double" w:color="auto" w:sz="4" w:space="0"/>
            </w:tcBorders>
            <w:vAlign w:val="center"/>
          </w:tcPr>
          <w:p w14:paraId="1E8F43B8">
            <w:pPr>
              <w:pStyle w:val="102"/>
              <w:bidi w:val="0"/>
              <w:rPr>
                <w:rFonts w:hint="eastAsia"/>
                <w:highlight w:val="none"/>
                <w:lang w:val="en-US" w:eastAsia="zh-CN"/>
              </w:rPr>
            </w:pPr>
            <w:r>
              <w:rPr>
                <w:rFonts w:hint="eastAsia"/>
                <w:highlight w:val="none"/>
                <w:lang w:val="en-US" w:eastAsia="zh-CN"/>
              </w:rPr>
              <w:t>徐工集团徐州建机工程机械有限公司</w:t>
            </w:r>
          </w:p>
        </w:tc>
      </w:tr>
      <w:tr w14:paraId="4DFE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6" w:type="dxa"/>
            <w:tcBorders>
              <w:left w:val="double" w:color="auto" w:sz="4" w:space="0"/>
            </w:tcBorders>
            <w:vAlign w:val="center"/>
          </w:tcPr>
          <w:p w14:paraId="3F552C07">
            <w:pPr>
              <w:pStyle w:val="102"/>
              <w:bidi w:val="0"/>
              <w:rPr>
                <w:rFonts w:hint="eastAsia"/>
                <w:highlight w:val="none"/>
              </w:rPr>
            </w:pPr>
            <w:r>
              <w:rPr>
                <w:rFonts w:hint="eastAsia"/>
                <w:highlight w:val="none"/>
              </w:rPr>
              <w:t>5</w:t>
            </w:r>
          </w:p>
        </w:tc>
        <w:tc>
          <w:tcPr>
            <w:tcW w:w="2172" w:type="dxa"/>
            <w:vAlign w:val="center"/>
          </w:tcPr>
          <w:p w14:paraId="5E65DC73">
            <w:pPr>
              <w:pStyle w:val="102"/>
              <w:bidi w:val="0"/>
              <w:rPr>
                <w:rFonts w:hint="eastAsia"/>
                <w:highlight w:val="none"/>
              </w:rPr>
            </w:pPr>
            <w:r>
              <w:rPr>
                <w:rFonts w:hint="eastAsia"/>
                <w:highlight w:val="none"/>
              </w:rPr>
              <w:t>塔吊安装单位</w:t>
            </w:r>
          </w:p>
        </w:tc>
        <w:tc>
          <w:tcPr>
            <w:tcW w:w="6142" w:type="dxa"/>
            <w:tcBorders>
              <w:right w:val="double" w:color="auto" w:sz="4" w:space="0"/>
            </w:tcBorders>
            <w:vAlign w:val="center"/>
          </w:tcPr>
          <w:p w14:paraId="26784CCF">
            <w:pPr>
              <w:pStyle w:val="102"/>
              <w:bidi w:val="0"/>
              <w:rPr>
                <w:rFonts w:hint="eastAsia"/>
                <w:highlight w:val="none"/>
                <w:lang w:val="en-US" w:eastAsia="zh-CN"/>
              </w:rPr>
            </w:pPr>
            <w:r>
              <w:rPr>
                <w:rFonts w:hint="eastAsia"/>
                <w:highlight w:val="none"/>
                <w:lang w:val="en-US" w:eastAsia="zh-CN"/>
              </w:rPr>
              <w:t>四川科斗文智能装备有限公司</w:t>
            </w:r>
          </w:p>
        </w:tc>
      </w:tr>
      <w:tr w14:paraId="7AD3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6" w:type="dxa"/>
            <w:tcBorders>
              <w:left w:val="double" w:color="auto" w:sz="4" w:space="0"/>
              <w:bottom w:val="double" w:color="auto" w:sz="4" w:space="0"/>
            </w:tcBorders>
            <w:vAlign w:val="center"/>
          </w:tcPr>
          <w:p w14:paraId="33D935C9">
            <w:pPr>
              <w:pStyle w:val="102"/>
              <w:bidi w:val="0"/>
              <w:rPr>
                <w:rFonts w:hint="eastAsia"/>
                <w:highlight w:val="none"/>
              </w:rPr>
            </w:pPr>
            <w:r>
              <w:rPr>
                <w:rFonts w:hint="eastAsia"/>
                <w:highlight w:val="none"/>
              </w:rPr>
              <w:t>6</w:t>
            </w:r>
          </w:p>
        </w:tc>
        <w:tc>
          <w:tcPr>
            <w:tcW w:w="2172" w:type="dxa"/>
            <w:tcBorders>
              <w:bottom w:val="double" w:color="auto" w:sz="4" w:space="0"/>
            </w:tcBorders>
            <w:vAlign w:val="center"/>
          </w:tcPr>
          <w:p w14:paraId="463B7079">
            <w:pPr>
              <w:pStyle w:val="102"/>
              <w:bidi w:val="0"/>
              <w:rPr>
                <w:rFonts w:hint="eastAsia"/>
                <w:highlight w:val="none"/>
              </w:rPr>
            </w:pPr>
            <w:r>
              <w:rPr>
                <w:rFonts w:hint="eastAsia"/>
                <w:highlight w:val="none"/>
              </w:rPr>
              <w:t>塔吊产权单位</w:t>
            </w:r>
          </w:p>
        </w:tc>
        <w:tc>
          <w:tcPr>
            <w:tcW w:w="6142" w:type="dxa"/>
            <w:tcBorders>
              <w:bottom w:val="double" w:color="auto" w:sz="4" w:space="0"/>
              <w:right w:val="double" w:color="auto" w:sz="4" w:space="0"/>
            </w:tcBorders>
            <w:vAlign w:val="center"/>
          </w:tcPr>
          <w:p w14:paraId="1C617BDE">
            <w:pPr>
              <w:pStyle w:val="102"/>
              <w:bidi w:val="0"/>
              <w:rPr>
                <w:rFonts w:hint="eastAsia"/>
                <w:highlight w:val="none"/>
                <w:lang w:val="en-US" w:eastAsia="zh-CN"/>
              </w:rPr>
            </w:pPr>
            <w:r>
              <w:rPr>
                <w:rFonts w:hint="eastAsia"/>
                <w:highlight w:val="none"/>
                <w:lang w:val="en-US" w:eastAsia="zh-CN"/>
              </w:rPr>
              <w:t>四川科斗文智能装备有限公司</w:t>
            </w:r>
          </w:p>
        </w:tc>
      </w:tr>
    </w:tbl>
    <w:p w14:paraId="060799AD">
      <w:pPr>
        <w:pStyle w:val="4"/>
        <w:tabs>
          <w:tab w:val="left" w:pos="0"/>
          <w:tab w:val="left" w:pos="630"/>
        </w:tabs>
        <w:bidi w:val="0"/>
        <w:rPr>
          <w:rFonts w:hint="default"/>
          <w:highlight w:val="none"/>
          <w:lang w:val="en-US" w:eastAsia="zh-CN"/>
        </w:rPr>
      </w:pPr>
      <w:r>
        <w:rPr>
          <w:rFonts w:hint="eastAsia"/>
          <w:highlight w:val="none"/>
        </w:rPr>
        <w:t>4.</w:t>
      </w:r>
      <w:r>
        <w:rPr>
          <w:rFonts w:hint="eastAsia"/>
          <w:highlight w:val="none"/>
          <w:lang w:val="en-US" w:eastAsia="zh-CN"/>
        </w:rPr>
        <w:t>4</w:t>
      </w:r>
      <w:r>
        <w:rPr>
          <w:rFonts w:hint="eastAsia"/>
          <w:highlight w:val="none"/>
        </w:rPr>
        <w:t>.2</w:t>
      </w:r>
      <w:bookmarkEnd w:id="146"/>
      <w:bookmarkEnd w:id="147"/>
      <w:bookmarkEnd w:id="148"/>
      <w:bookmarkEnd w:id="149"/>
      <w:bookmarkEnd w:id="150"/>
      <w:bookmarkStart w:id="157" w:name="_Toc21000"/>
      <w:bookmarkStart w:id="158" w:name="_Toc27855"/>
      <w:bookmarkStart w:id="159" w:name="_Toc29396"/>
      <w:r>
        <w:rPr>
          <w:rFonts w:hint="eastAsia"/>
          <w:highlight w:val="none"/>
          <w:lang w:val="en-US" w:eastAsia="zh-CN"/>
        </w:rPr>
        <w:t>塔吊安装步骤</w:t>
      </w:r>
      <w:bookmarkEnd w:id="157"/>
      <w:bookmarkEnd w:id="158"/>
      <w:bookmarkEnd w:id="159"/>
    </w:p>
    <w:p w14:paraId="18F195E6">
      <w:pPr>
        <w:spacing w:line="360" w:lineRule="auto"/>
        <w:ind w:firstLine="480" w:firstLineChars="200"/>
        <w:rPr>
          <w:rFonts w:hint="default"/>
          <w:highlight w:val="none"/>
          <w:lang w:val="en-US" w:eastAsia="zh-CN"/>
        </w:rPr>
      </w:pPr>
      <w:r>
        <w:rPr>
          <w:rFonts w:hint="eastAsia"/>
          <w:highlight w:val="none"/>
          <w:lang w:val="en-US" w:eastAsia="zh-CN"/>
        </w:rPr>
        <w:t>安装基础节→安装爬升架→安装特殊节、回转支承单元→司机室安装→安装平衡臂臂节一和起重臂臂节一→安装平衡臂、平衡臂拉杆→安装一块3.64t平衡重→安装剩余起重臂→安装剩余平衡重→穿绕牵引、起升钢丝绳→塔机试运行。</w:t>
      </w:r>
    </w:p>
    <w:p w14:paraId="4EC434BB">
      <w:pPr>
        <w:pStyle w:val="4"/>
        <w:tabs>
          <w:tab w:val="left" w:pos="0"/>
          <w:tab w:val="left" w:pos="630"/>
        </w:tabs>
        <w:bidi w:val="0"/>
        <w:rPr>
          <w:rFonts w:hint="default"/>
          <w:highlight w:val="none"/>
          <w:lang w:val="en-US" w:eastAsia="zh-CN"/>
        </w:rPr>
      </w:pPr>
      <w:bookmarkStart w:id="160" w:name="_Toc12424"/>
      <w:bookmarkStart w:id="161" w:name="_Toc26757"/>
      <w:bookmarkStart w:id="162" w:name="_Toc16960"/>
      <w:r>
        <w:rPr>
          <w:rFonts w:hint="eastAsia"/>
          <w:highlight w:val="none"/>
          <w:lang w:val="en-US" w:eastAsia="zh-CN"/>
        </w:rPr>
        <w:t>4.4.3 XGT7525-16</w:t>
      </w:r>
      <w:r>
        <w:rPr>
          <w:rFonts w:hint="default"/>
          <w:highlight w:val="none"/>
          <w:lang w:val="en-US" w:eastAsia="zh-CN"/>
        </w:rPr>
        <w:t>塔吊安装</w:t>
      </w:r>
      <w:bookmarkEnd w:id="160"/>
      <w:bookmarkEnd w:id="161"/>
      <w:bookmarkEnd w:id="162"/>
    </w:p>
    <w:p w14:paraId="0C5CDE75">
      <w:pPr>
        <w:pStyle w:val="5"/>
        <w:tabs>
          <w:tab w:val="left" w:pos="0"/>
        </w:tabs>
        <w:bidi w:val="0"/>
        <w:rPr>
          <w:rFonts w:hint="default"/>
          <w:highlight w:val="none"/>
          <w:lang w:val="en-US" w:eastAsia="zh-CN"/>
        </w:rPr>
      </w:pPr>
      <w:r>
        <w:rPr>
          <w:rFonts w:hint="eastAsia"/>
          <w:highlight w:val="none"/>
          <w:lang w:val="en-US" w:eastAsia="zh-CN"/>
        </w:rPr>
        <w:t>4.4.3.1吊装设备的设置</w:t>
      </w:r>
    </w:p>
    <w:p w14:paraId="1F20EA52">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塔吊各安装部件重量表及吊点位置</w:t>
      </w:r>
    </w:p>
    <w:p w14:paraId="2A18AC04">
      <w:pPr>
        <w:bidi w:val="0"/>
        <w:ind w:firstLine="480" w:firstLineChars="200"/>
        <w:rPr>
          <w:highlight w:val="none"/>
        </w:rPr>
      </w:pPr>
      <w:r>
        <w:rPr>
          <w:rFonts w:hint="eastAsia"/>
          <w:highlight w:val="none"/>
        </w:rPr>
        <w:t>安装臂架时吊索吊挂的位置：</w:t>
      </w:r>
    </w:p>
    <w:p w14:paraId="3A442A77">
      <w:pPr>
        <w:spacing w:line="360" w:lineRule="auto"/>
        <w:ind w:left="0" w:leftChars="0" w:firstLine="0" w:firstLineChars="0"/>
        <w:jc w:val="center"/>
        <w:rPr>
          <w:color w:val="000000"/>
          <w:szCs w:val="21"/>
          <w:highlight w:val="none"/>
        </w:rPr>
      </w:pPr>
      <w:r>
        <w:rPr>
          <w:color w:val="000000"/>
          <w:sz w:val="24"/>
          <w:szCs w:val="24"/>
          <w:highlight w:val="none"/>
        </w:rPr>
        <w:drawing>
          <wp:inline distT="0" distB="0" distL="114300" distR="114300">
            <wp:extent cx="4087495" cy="1127760"/>
            <wp:effectExtent l="0" t="0" r="8255" b="152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28"/>
                    <a:stretch>
                      <a:fillRect/>
                    </a:stretch>
                  </pic:blipFill>
                  <pic:spPr>
                    <a:xfrm>
                      <a:off x="0" y="0"/>
                      <a:ext cx="4087495" cy="1127760"/>
                    </a:xfrm>
                    <a:prstGeom prst="rect">
                      <a:avLst/>
                    </a:prstGeom>
                    <a:noFill/>
                    <a:ln w="9525" cap="flat" cmpd="sng">
                      <a:noFill/>
                      <a:prstDash val="solid"/>
                      <a:miter/>
                      <a:headEnd type="none" w="med" len="med"/>
                      <a:tailEnd type="none" w="med" len="med"/>
                    </a:ln>
                  </pic:spPr>
                </pic:pic>
              </a:graphicData>
            </a:graphic>
          </wp:inline>
        </w:drawing>
      </w:r>
    </w:p>
    <w:p w14:paraId="17E3BDF3">
      <w:pPr>
        <w:pStyle w:val="14"/>
        <w:rPr>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7</w:t>
      </w:r>
      <w:r>
        <w:rPr>
          <w:highlight w:val="none"/>
        </w:rPr>
        <w:fldChar w:fldCharType="end"/>
      </w:r>
      <w:r>
        <w:rPr>
          <w:rFonts w:hint="eastAsia"/>
          <w:highlight w:val="none"/>
        </w:rPr>
        <w:t>各个安装部件上均设置有固定吊点</w:t>
      </w:r>
      <w:bookmarkStart w:id="163" w:name="_Toc320967324"/>
    </w:p>
    <w:bookmarkEnd w:id="163"/>
    <w:p w14:paraId="6185F756">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塔吊安装用吊车型号、性能及布置位置</w:t>
      </w:r>
    </w:p>
    <w:p w14:paraId="6BB6CEE4">
      <w:pPr>
        <w:ind w:firstLine="480" w:firstLineChars="200"/>
        <w:rPr>
          <w:rFonts w:hint="default"/>
          <w:highlight w:val="none"/>
          <w:lang w:val="en-US" w:eastAsia="zh-CN"/>
        </w:rPr>
      </w:pPr>
      <w:r>
        <w:rPr>
          <w:rFonts w:hint="eastAsia"/>
          <w:highlight w:val="none"/>
          <w:lang w:val="en-US" w:eastAsia="zh-CN"/>
        </w:rPr>
        <w:t>XGT7525-16</w:t>
      </w:r>
      <w:r>
        <w:rPr>
          <w:rFonts w:hint="default"/>
          <w:highlight w:val="none"/>
          <w:lang w:val="en-US" w:eastAsia="zh-CN"/>
        </w:rPr>
        <w:t>塔吊安装汽车吊选择为：选用一台</w:t>
      </w:r>
      <w:r>
        <w:rPr>
          <w:rFonts w:hint="eastAsia"/>
          <w:highlight w:val="none"/>
          <w:lang w:val="en-US" w:eastAsia="zh-CN"/>
        </w:rPr>
        <w:t>50吨</w:t>
      </w:r>
      <w:r>
        <w:rPr>
          <w:rFonts w:hint="default"/>
          <w:highlight w:val="none"/>
          <w:lang w:val="en-US" w:eastAsia="zh-CN"/>
        </w:rPr>
        <w:t>汽车吊进行塔吊部件组装同时进行吊装，工作半径1</w:t>
      </w:r>
      <w:r>
        <w:rPr>
          <w:rFonts w:hint="eastAsia"/>
          <w:highlight w:val="none"/>
          <w:lang w:val="en-US" w:eastAsia="zh-CN"/>
        </w:rPr>
        <w:t>6</w:t>
      </w:r>
      <w:r>
        <w:rPr>
          <w:rFonts w:hint="default"/>
          <w:highlight w:val="none"/>
          <w:lang w:val="en-US" w:eastAsia="zh-CN"/>
        </w:rPr>
        <w:t>米</w:t>
      </w:r>
      <w:r>
        <w:rPr>
          <w:rFonts w:hint="eastAsia"/>
          <w:highlight w:val="none"/>
          <w:lang w:val="en-US" w:eastAsia="zh-CN"/>
        </w:rPr>
        <w:t>，</w:t>
      </w:r>
      <w:r>
        <w:rPr>
          <w:rFonts w:hint="default"/>
          <w:highlight w:val="none"/>
          <w:lang w:val="en-US" w:eastAsia="zh-CN"/>
        </w:rPr>
        <w:t>满足使用要求。</w:t>
      </w:r>
    </w:p>
    <w:p w14:paraId="49E0B11D">
      <w:pPr>
        <w:pStyle w:val="14"/>
        <w:bidi w:val="0"/>
        <w:spacing w:line="360" w:lineRule="auto"/>
        <w:ind w:left="0" w:leftChars="0" w:firstLine="0" w:firstLineChars="0"/>
        <w:jc w:val="center"/>
        <w:rPr>
          <w:rFonts w:hint="eastAsia"/>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4</w:t>
      </w:r>
      <w:r>
        <w:rPr>
          <w:highlight w:val="none"/>
        </w:rPr>
        <w:fldChar w:fldCharType="end"/>
      </w:r>
      <w:r>
        <w:rPr>
          <w:rFonts w:hint="eastAsia"/>
          <w:highlight w:val="none"/>
          <w:lang w:val="en-US" w:eastAsia="zh-CN"/>
        </w:rPr>
        <w:t>XGT7525-16塔吊各部件重量表</w:t>
      </w:r>
    </w:p>
    <w:p w14:paraId="0F0EF2E0">
      <w:pPr>
        <w:pStyle w:val="21"/>
        <w:ind w:left="0" w:leftChars="0" w:firstLine="0" w:firstLineChars="0"/>
        <w:jc w:val="center"/>
        <w:rPr>
          <w:b/>
          <w:bCs/>
          <w:highlight w:val="none"/>
        </w:rPr>
      </w:pPr>
    </w:p>
    <w:p w14:paraId="63017848">
      <w:pPr>
        <w:jc w:val="center"/>
        <w:rPr>
          <w:rFonts w:hint="default"/>
          <w:highlight w:val="none"/>
          <w:lang w:val="en-US" w:eastAsia="zh-CN"/>
        </w:rPr>
      </w:pPr>
      <w:r>
        <w:drawing>
          <wp:inline distT="0" distB="0" distL="114300" distR="114300">
            <wp:extent cx="4505325" cy="6153150"/>
            <wp:effectExtent l="0" t="0" r="9525" b="0"/>
            <wp:docPr id="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pic:cNvPicPr>
                      <a:picLocks noChangeAspect="1"/>
                    </pic:cNvPicPr>
                  </pic:nvPicPr>
                  <pic:blipFill>
                    <a:blip r:embed="rId29"/>
                    <a:stretch>
                      <a:fillRect/>
                    </a:stretch>
                  </pic:blipFill>
                  <pic:spPr>
                    <a:xfrm>
                      <a:off x="0" y="0"/>
                      <a:ext cx="4505325" cy="6153150"/>
                    </a:xfrm>
                    <a:prstGeom prst="rect">
                      <a:avLst/>
                    </a:prstGeom>
                    <a:noFill/>
                    <a:ln>
                      <a:noFill/>
                    </a:ln>
                  </pic:spPr>
                </pic:pic>
              </a:graphicData>
            </a:graphic>
          </wp:inline>
        </w:drawing>
      </w:r>
      <w:r>
        <w:drawing>
          <wp:inline distT="0" distB="0" distL="114300" distR="114300">
            <wp:extent cx="4495800" cy="5600700"/>
            <wp:effectExtent l="0" t="0" r="0" b="0"/>
            <wp:docPr id="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pic:cNvPicPr>
                      <a:picLocks noChangeAspect="1"/>
                    </pic:cNvPicPr>
                  </pic:nvPicPr>
                  <pic:blipFill>
                    <a:blip r:embed="rId30"/>
                    <a:stretch>
                      <a:fillRect/>
                    </a:stretch>
                  </pic:blipFill>
                  <pic:spPr>
                    <a:xfrm>
                      <a:off x="0" y="0"/>
                      <a:ext cx="4495800" cy="5600700"/>
                    </a:xfrm>
                    <a:prstGeom prst="rect">
                      <a:avLst/>
                    </a:prstGeom>
                    <a:noFill/>
                    <a:ln>
                      <a:noFill/>
                    </a:ln>
                  </pic:spPr>
                </pic:pic>
              </a:graphicData>
            </a:graphic>
          </wp:inline>
        </w:drawing>
      </w:r>
      <w:r>
        <w:drawing>
          <wp:inline distT="0" distB="0" distL="114300" distR="114300">
            <wp:extent cx="4514850" cy="6124575"/>
            <wp:effectExtent l="0" t="0" r="0" b="9525"/>
            <wp:docPr id="5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pic:cNvPicPr>
                      <a:picLocks noChangeAspect="1"/>
                    </pic:cNvPicPr>
                  </pic:nvPicPr>
                  <pic:blipFill>
                    <a:blip r:embed="rId31"/>
                    <a:stretch>
                      <a:fillRect/>
                    </a:stretch>
                  </pic:blipFill>
                  <pic:spPr>
                    <a:xfrm>
                      <a:off x="0" y="0"/>
                      <a:ext cx="4514850" cy="6124575"/>
                    </a:xfrm>
                    <a:prstGeom prst="rect">
                      <a:avLst/>
                    </a:prstGeom>
                    <a:noFill/>
                    <a:ln>
                      <a:noFill/>
                    </a:ln>
                  </pic:spPr>
                </pic:pic>
              </a:graphicData>
            </a:graphic>
          </wp:inline>
        </w:drawing>
      </w:r>
      <w:r>
        <w:rPr>
          <w:highlight w:val="none"/>
        </w:rPr>
        <w:drawing>
          <wp:inline distT="0" distB="0" distL="114300" distR="114300">
            <wp:extent cx="4619625" cy="6334125"/>
            <wp:effectExtent l="0" t="0" r="9525" b="9525"/>
            <wp:docPr id="1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
                    <pic:cNvPicPr>
                      <a:picLocks noChangeAspect="1"/>
                    </pic:cNvPicPr>
                  </pic:nvPicPr>
                  <pic:blipFill>
                    <a:blip r:embed="rId32"/>
                    <a:stretch>
                      <a:fillRect/>
                    </a:stretch>
                  </pic:blipFill>
                  <pic:spPr>
                    <a:xfrm>
                      <a:off x="0" y="0"/>
                      <a:ext cx="4619625" cy="6334125"/>
                    </a:xfrm>
                    <a:prstGeom prst="rect">
                      <a:avLst/>
                    </a:prstGeom>
                    <a:noFill/>
                    <a:ln>
                      <a:noFill/>
                    </a:ln>
                  </pic:spPr>
                </pic:pic>
              </a:graphicData>
            </a:graphic>
          </wp:inline>
        </w:drawing>
      </w:r>
    </w:p>
    <w:p w14:paraId="7F9BC603">
      <w:pPr>
        <w:bidi w:val="0"/>
        <w:ind w:left="0" w:leftChars="0" w:firstLine="0" w:firstLineChars="0"/>
        <w:jc w:val="center"/>
        <w:rPr>
          <w:rFonts w:hint="eastAsia" w:ascii="宋体" w:hAnsi="宋体" w:eastAsia="宋体" w:cs="宋体"/>
          <w:color w:val="000000"/>
          <w:sz w:val="24"/>
          <w:highlight w:val="none"/>
          <w:lang w:val="en-US" w:eastAsia="zh-CN"/>
        </w:rPr>
      </w:pPr>
      <w:r>
        <w:rPr>
          <w:highlight w:val="none"/>
        </w:rPr>
        <w:drawing>
          <wp:inline distT="0" distB="0" distL="114300" distR="114300">
            <wp:extent cx="5274310" cy="4825365"/>
            <wp:effectExtent l="0" t="0" r="254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stretch>
                      <a:fillRect/>
                    </a:stretch>
                  </pic:blipFill>
                  <pic:spPr>
                    <a:xfrm>
                      <a:off x="0" y="0"/>
                      <a:ext cx="5274310" cy="4825365"/>
                    </a:xfrm>
                    <a:prstGeom prst="rect">
                      <a:avLst/>
                    </a:prstGeom>
                    <a:noFill/>
                    <a:ln>
                      <a:noFill/>
                    </a:ln>
                  </pic:spPr>
                </pic:pic>
              </a:graphicData>
            </a:graphic>
          </wp:inline>
        </w:drawing>
      </w:r>
    </w:p>
    <w:p w14:paraId="4BFCCAC6">
      <w:pPr>
        <w:pStyle w:val="14"/>
        <w:bidi w:val="0"/>
        <w:ind w:left="0" w:leftChars="0" w:firstLine="0" w:firstLineChars="0"/>
        <w:jc w:val="center"/>
        <w:rPr>
          <w:rFonts w:hint="eastAsia"/>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8</w:t>
      </w:r>
      <w:r>
        <w:rPr>
          <w:highlight w:val="none"/>
        </w:rPr>
        <w:fldChar w:fldCharType="end"/>
      </w:r>
      <w:r>
        <w:rPr>
          <w:rFonts w:hint="eastAsia"/>
          <w:highlight w:val="none"/>
          <w:lang w:val="en-US" w:eastAsia="zh-CN"/>
        </w:rPr>
        <w:t xml:space="preserve"> 50t</w:t>
      </w:r>
      <w:r>
        <w:rPr>
          <w:rFonts w:hint="eastAsia"/>
          <w:highlight w:val="none"/>
        </w:rPr>
        <w:t>汽车吊起重量表</w:t>
      </w:r>
    </w:p>
    <w:p w14:paraId="5B785F34">
      <w:pPr>
        <w:ind w:left="0" w:leftChars="0" w:firstLine="0" w:firstLineChars="0"/>
        <w:jc w:val="center"/>
        <w:rPr>
          <w:rFonts w:hint="eastAsia" w:eastAsia="宋体"/>
          <w:highlight w:val="none"/>
          <w:lang w:eastAsia="zh-CN"/>
        </w:rPr>
      </w:pPr>
      <w:r>
        <w:rPr>
          <w:highlight w:val="none"/>
        </w:rPr>
        <w:drawing>
          <wp:inline distT="0" distB="0" distL="114300" distR="114300">
            <wp:extent cx="5270500" cy="5937885"/>
            <wp:effectExtent l="0" t="0" r="6350" b="571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34"/>
                    <a:stretch>
                      <a:fillRect/>
                    </a:stretch>
                  </pic:blipFill>
                  <pic:spPr>
                    <a:xfrm>
                      <a:off x="0" y="0"/>
                      <a:ext cx="5270500" cy="5937885"/>
                    </a:xfrm>
                    <a:prstGeom prst="rect">
                      <a:avLst/>
                    </a:prstGeom>
                    <a:noFill/>
                    <a:ln>
                      <a:noFill/>
                    </a:ln>
                  </pic:spPr>
                </pic:pic>
              </a:graphicData>
            </a:graphic>
          </wp:inline>
        </w:drawing>
      </w:r>
    </w:p>
    <w:p w14:paraId="66E414C3">
      <w:pPr>
        <w:pStyle w:val="14"/>
        <w:ind w:left="0" w:leftChars="0" w:firstLine="0" w:firstLineChars="0"/>
        <w:jc w:val="center"/>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9</w:t>
      </w:r>
      <w:r>
        <w:rPr>
          <w:highlight w:val="none"/>
        </w:rPr>
        <w:fldChar w:fldCharType="end"/>
      </w:r>
      <w:r>
        <w:rPr>
          <w:rFonts w:hint="eastAsia"/>
          <w:highlight w:val="none"/>
          <w:lang w:val="en-US" w:eastAsia="zh-CN"/>
        </w:rPr>
        <w:t xml:space="preserve"> 50t汽车吊起重性能曲线图</w:t>
      </w:r>
    </w:p>
    <w:p w14:paraId="49CFA25E">
      <w:pPr>
        <w:pStyle w:val="5"/>
        <w:tabs>
          <w:tab w:val="left" w:pos="0"/>
        </w:tabs>
        <w:bidi w:val="0"/>
        <w:rPr>
          <w:rFonts w:hint="eastAsia"/>
          <w:highlight w:val="none"/>
          <w:lang w:val="en-US" w:eastAsia="zh-CN"/>
        </w:rPr>
      </w:pPr>
      <w:r>
        <w:rPr>
          <w:rFonts w:hint="eastAsia" w:cs="宋体"/>
          <w:bCs/>
          <w:color w:val="000000" w:themeColor="text1"/>
          <w:highlight w:val="none"/>
          <w:lang w:val="en-US" w:eastAsia="zh-CN"/>
          <w14:textFill>
            <w14:solidFill>
              <w14:schemeClr w14:val="tx1"/>
            </w14:solidFill>
          </w14:textFill>
        </w:rPr>
        <w:t>4.4.3.2</w:t>
      </w:r>
      <w:r>
        <w:rPr>
          <w:rFonts w:hint="eastAsia" w:ascii="宋体" w:hAnsi="宋体" w:eastAsia="宋体" w:cs="宋体"/>
          <w:bCs/>
          <w:color w:val="000000" w:themeColor="text1"/>
          <w:highlight w:val="none"/>
          <w14:textFill>
            <w14:solidFill>
              <w14:schemeClr w14:val="tx1"/>
            </w14:solidFill>
          </w14:textFill>
        </w:rPr>
        <w:t>安装基础节及标准节</w:t>
      </w:r>
    </w:p>
    <w:p w14:paraId="41B95FBD">
      <w:pPr>
        <w:spacing w:after="120" w:line="360" w:lineRule="auto"/>
        <w:ind w:firstLine="480"/>
        <w:rPr>
          <w:rFonts w:hint="eastAsia" w:ascii="宋体" w:hAnsi="宋体" w:eastAsia="宋体" w:cs="宋体"/>
          <w:highlight w:val="none"/>
        </w:rPr>
      </w:pPr>
      <w:r>
        <w:rPr>
          <w:rFonts w:hint="eastAsia" w:ascii="宋体" w:hAnsi="宋体" w:eastAsia="宋体" w:cs="宋体"/>
          <w:highlight w:val="none"/>
        </w:rPr>
        <w:t>塔机初次安装</w:t>
      </w:r>
      <w:r>
        <w:rPr>
          <w:rFonts w:hint="eastAsia" w:cs="宋体"/>
          <w:highlight w:val="none"/>
          <w:lang w:val="en-US" w:eastAsia="zh-CN"/>
        </w:rPr>
        <w:t>2</w:t>
      </w:r>
      <w:r>
        <w:rPr>
          <w:rFonts w:hint="eastAsia" w:ascii="宋体" w:hAnsi="宋体" w:eastAsia="宋体" w:cs="宋体"/>
          <w:highlight w:val="none"/>
        </w:rPr>
        <w:t>节基础节。</w:t>
      </w:r>
    </w:p>
    <w:p w14:paraId="50068BED">
      <w:pPr>
        <w:ind w:left="0" w:leftChars="0" w:firstLine="0" w:firstLineChars="0"/>
        <w:jc w:val="center"/>
        <w:rPr>
          <w:highlight w:val="none"/>
        </w:rPr>
      </w:pPr>
      <w:r>
        <w:drawing>
          <wp:inline distT="0" distB="0" distL="114300" distR="114300">
            <wp:extent cx="3060065" cy="2971800"/>
            <wp:effectExtent l="0" t="0" r="6985" b="0"/>
            <wp:docPr id="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pic:cNvPicPr>
                      <a:picLocks noChangeAspect="1"/>
                    </pic:cNvPicPr>
                  </pic:nvPicPr>
                  <pic:blipFill>
                    <a:blip r:embed="rId35"/>
                    <a:stretch>
                      <a:fillRect/>
                    </a:stretch>
                  </pic:blipFill>
                  <pic:spPr>
                    <a:xfrm>
                      <a:off x="0" y="0"/>
                      <a:ext cx="3060065" cy="2971800"/>
                    </a:xfrm>
                    <a:prstGeom prst="rect">
                      <a:avLst/>
                    </a:prstGeom>
                    <a:noFill/>
                    <a:ln>
                      <a:noFill/>
                    </a:ln>
                  </pic:spPr>
                </pic:pic>
              </a:graphicData>
            </a:graphic>
          </wp:inline>
        </w:drawing>
      </w:r>
      <w:r>
        <w:drawing>
          <wp:inline distT="0" distB="0" distL="114300" distR="114300">
            <wp:extent cx="2524125" cy="4591050"/>
            <wp:effectExtent l="0" t="0" r="9525" b="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36"/>
                    <a:stretch>
                      <a:fillRect/>
                    </a:stretch>
                  </pic:blipFill>
                  <pic:spPr>
                    <a:xfrm>
                      <a:off x="0" y="0"/>
                      <a:ext cx="2524125" cy="4591050"/>
                    </a:xfrm>
                    <a:prstGeom prst="rect">
                      <a:avLst/>
                    </a:prstGeom>
                    <a:noFill/>
                    <a:ln>
                      <a:noFill/>
                    </a:ln>
                  </pic:spPr>
                </pic:pic>
              </a:graphicData>
            </a:graphic>
          </wp:inline>
        </w:drawing>
      </w:r>
      <w:r>
        <w:drawing>
          <wp:inline distT="0" distB="0" distL="114300" distR="114300">
            <wp:extent cx="2514600" cy="4610100"/>
            <wp:effectExtent l="0" t="0" r="0" b="0"/>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37"/>
                    <a:stretch>
                      <a:fillRect/>
                    </a:stretch>
                  </pic:blipFill>
                  <pic:spPr>
                    <a:xfrm>
                      <a:off x="0" y="0"/>
                      <a:ext cx="2514600" cy="4610100"/>
                    </a:xfrm>
                    <a:prstGeom prst="rect">
                      <a:avLst/>
                    </a:prstGeom>
                    <a:noFill/>
                    <a:ln>
                      <a:noFill/>
                    </a:ln>
                  </pic:spPr>
                </pic:pic>
              </a:graphicData>
            </a:graphic>
          </wp:inline>
        </w:drawing>
      </w:r>
    </w:p>
    <w:p w14:paraId="51E04350">
      <w:pPr>
        <w:pStyle w:val="14"/>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10</w:t>
      </w:r>
      <w:r>
        <w:rPr>
          <w:highlight w:val="none"/>
        </w:rPr>
        <w:fldChar w:fldCharType="end"/>
      </w:r>
      <w:r>
        <w:rPr>
          <w:rFonts w:hint="eastAsia"/>
          <w:highlight w:val="none"/>
          <w:lang w:val="en-US" w:eastAsia="zh-CN"/>
        </w:rPr>
        <w:t>基础节吊装示意图</w:t>
      </w:r>
    </w:p>
    <w:p w14:paraId="287F4BEA">
      <w:pPr>
        <w:pStyle w:val="5"/>
        <w:tabs>
          <w:tab w:val="left" w:pos="0"/>
        </w:tabs>
        <w:bidi w:val="0"/>
        <w:rPr>
          <w:rFonts w:hint="eastAsia"/>
          <w:highlight w:val="none"/>
          <w:lang w:val="en-US" w:eastAsia="zh-CN"/>
        </w:rPr>
      </w:pPr>
      <w:r>
        <w:rPr>
          <w:rFonts w:hint="eastAsia"/>
          <w:highlight w:val="none"/>
          <w:lang w:val="en-US" w:eastAsia="zh-CN"/>
        </w:rPr>
        <w:t>4.4.3.3吊装爬升架</w:t>
      </w:r>
    </w:p>
    <w:p w14:paraId="027D9AC9">
      <w:pPr>
        <w:ind w:firstLine="480" w:firstLineChars="200"/>
        <w:rPr>
          <w:rFonts w:hint="eastAsia"/>
          <w:highlight w:val="none"/>
          <w:lang w:val="en-US" w:eastAsia="zh-CN"/>
        </w:rPr>
      </w:pPr>
      <w:r>
        <w:rPr>
          <w:rFonts w:hint="eastAsia"/>
          <w:highlight w:val="none"/>
          <w:lang w:val="en-US" w:eastAsia="zh-CN"/>
        </w:rPr>
        <w:t>爬升架组装完毕后，如下图所示，将吊具挂在爬升架上，拉紧。钢丝绳吊起。切记安装顶升油缸的位置必须与塔身踏步同侧。将爬升架缓慢套装在塔身节外侧。将爬升架上的爬爪放在基础节上部的踏步上，再调整好爬升导轮与标准节的间隙（间隙最好为2～3mm）。安装好顶升油缸，将液压泵站吊装到平台一角，接好油管，检查液压系统的运转情况，应保证油泵电机风扇叶片旋向应与外壳箭头标识一致，以避免烧坏油泵。如有错误，则应重新接好电机接线。</w:t>
      </w:r>
    </w:p>
    <w:p w14:paraId="0F2369F1">
      <w:pPr>
        <w:bidi w:val="0"/>
        <w:ind w:left="0" w:leftChars="0" w:firstLine="0" w:firstLineChars="0"/>
        <w:jc w:val="center"/>
        <w:rPr>
          <w:rFonts w:hint="eastAsia"/>
          <w:highlight w:val="none"/>
          <w:lang w:val="en-US" w:eastAsia="zh-CN"/>
        </w:rPr>
      </w:pPr>
      <w:r>
        <w:drawing>
          <wp:inline distT="0" distB="0" distL="114300" distR="114300">
            <wp:extent cx="3060065" cy="2971800"/>
            <wp:effectExtent l="0" t="0" r="6985" b="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35"/>
                    <a:stretch>
                      <a:fillRect/>
                    </a:stretch>
                  </pic:blipFill>
                  <pic:spPr>
                    <a:xfrm>
                      <a:off x="0" y="0"/>
                      <a:ext cx="3060065" cy="2971800"/>
                    </a:xfrm>
                    <a:prstGeom prst="rect">
                      <a:avLst/>
                    </a:prstGeom>
                    <a:noFill/>
                    <a:ln>
                      <a:noFill/>
                    </a:ln>
                  </pic:spPr>
                </pic:pic>
              </a:graphicData>
            </a:graphic>
          </wp:inline>
        </w:drawing>
      </w:r>
      <w:r>
        <w:drawing>
          <wp:inline distT="0" distB="0" distL="114300" distR="114300">
            <wp:extent cx="2394585" cy="4062095"/>
            <wp:effectExtent l="0" t="0" r="5715" b="14605"/>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38"/>
                    <a:stretch>
                      <a:fillRect/>
                    </a:stretch>
                  </pic:blipFill>
                  <pic:spPr>
                    <a:xfrm>
                      <a:off x="0" y="0"/>
                      <a:ext cx="2394585" cy="4062095"/>
                    </a:xfrm>
                    <a:prstGeom prst="rect">
                      <a:avLst/>
                    </a:prstGeom>
                    <a:noFill/>
                    <a:ln>
                      <a:noFill/>
                    </a:ln>
                  </pic:spPr>
                </pic:pic>
              </a:graphicData>
            </a:graphic>
          </wp:inline>
        </w:drawing>
      </w:r>
    </w:p>
    <w:p w14:paraId="5300592F">
      <w:pPr>
        <w:pStyle w:val="14"/>
        <w:bidi w:val="0"/>
        <w:rPr>
          <w:rFonts w:hint="eastAsia"/>
          <w:highlight w:val="none"/>
          <w:lang w:val="en-US" w:eastAsia="zh-CN"/>
        </w:rPr>
      </w:pPr>
      <w:bookmarkStart w:id="164" w:name="_Toc12300"/>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14</w:t>
      </w:r>
      <w:r>
        <w:rPr>
          <w:highlight w:val="none"/>
        </w:rPr>
        <w:fldChar w:fldCharType="end"/>
      </w:r>
      <w:r>
        <w:rPr>
          <w:rFonts w:hint="eastAsia"/>
          <w:highlight w:val="none"/>
          <w:lang w:val="en-US" w:eastAsia="zh-CN"/>
        </w:rPr>
        <w:t>顶升套架总成整体吊装示意图</w:t>
      </w:r>
      <w:bookmarkEnd w:id="164"/>
    </w:p>
    <w:p w14:paraId="50E87C0A">
      <w:pPr>
        <w:pStyle w:val="5"/>
        <w:tabs>
          <w:tab w:val="left" w:pos="0"/>
        </w:tabs>
        <w:bidi w:val="0"/>
        <w:rPr>
          <w:rFonts w:hint="default"/>
          <w:highlight w:val="none"/>
          <w:lang w:val="en-US" w:eastAsia="zh-CN"/>
        </w:rPr>
      </w:pPr>
      <w:bookmarkStart w:id="165" w:name="_Toc8128"/>
      <w:bookmarkStart w:id="166" w:name="_Toc7277"/>
      <w:r>
        <w:rPr>
          <w:rFonts w:hint="eastAsia"/>
          <w:highlight w:val="none"/>
          <w:lang w:val="en-US" w:eastAsia="zh-CN"/>
        </w:rPr>
        <w:t>4.4.3.5安装</w:t>
      </w:r>
      <w:bookmarkEnd w:id="165"/>
      <w:bookmarkEnd w:id="166"/>
      <w:r>
        <w:rPr>
          <w:rFonts w:hint="eastAsia"/>
          <w:highlight w:val="none"/>
          <w:lang w:val="en-US" w:eastAsia="zh-CN"/>
        </w:rPr>
        <w:t>特殊节、回转支承单元</w:t>
      </w:r>
    </w:p>
    <w:p w14:paraId="330B1E2B">
      <w:pPr>
        <w:bidi w:val="0"/>
        <w:ind w:left="0" w:leftChars="0" w:firstLine="0" w:firstLineChars="0"/>
        <w:jc w:val="center"/>
        <w:rPr>
          <w:rFonts w:hint="eastAsia"/>
          <w:highlight w:val="none"/>
          <w:lang w:val="en-US" w:eastAsia="zh-CN"/>
        </w:rPr>
      </w:pPr>
      <w:r>
        <w:drawing>
          <wp:inline distT="0" distB="0" distL="114300" distR="114300">
            <wp:extent cx="3060065" cy="2971800"/>
            <wp:effectExtent l="0" t="0" r="6985" b="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35"/>
                    <a:stretch>
                      <a:fillRect/>
                    </a:stretch>
                  </pic:blipFill>
                  <pic:spPr>
                    <a:xfrm>
                      <a:off x="0" y="0"/>
                      <a:ext cx="3060065" cy="2971800"/>
                    </a:xfrm>
                    <a:prstGeom prst="rect">
                      <a:avLst/>
                    </a:prstGeom>
                    <a:noFill/>
                    <a:ln>
                      <a:noFill/>
                    </a:ln>
                  </pic:spPr>
                </pic:pic>
              </a:graphicData>
            </a:graphic>
          </wp:inline>
        </w:drawing>
      </w:r>
      <w:r>
        <w:drawing>
          <wp:inline distT="0" distB="0" distL="114300" distR="114300">
            <wp:extent cx="2343150" cy="4524375"/>
            <wp:effectExtent l="0" t="0" r="0" b="9525"/>
            <wp:docPr id="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pic:cNvPicPr>
                      <a:picLocks noChangeAspect="1"/>
                    </pic:cNvPicPr>
                  </pic:nvPicPr>
                  <pic:blipFill>
                    <a:blip r:embed="rId39"/>
                    <a:stretch>
                      <a:fillRect/>
                    </a:stretch>
                  </pic:blipFill>
                  <pic:spPr>
                    <a:xfrm>
                      <a:off x="0" y="0"/>
                      <a:ext cx="2343150" cy="4524375"/>
                    </a:xfrm>
                    <a:prstGeom prst="rect">
                      <a:avLst/>
                    </a:prstGeom>
                    <a:noFill/>
                    <a:ln>
                      <a:noFill/>
                    </a:ln>
                  </pic:spPr>
                </pic:pic>
              </a:graphicData>
            </a:graphic>
          </wp:inline>
        </w:drawing>
      </w:r>
      <w:r>
        <w:drawing>
          <wp:inline distT="0" distB="0" distL="114300" distR="114300">
            <wp:extent cx="2609850" cy="4591050"/>
            <wp:effectExtent l="0" t="0" r="0" b="0"/>
            <wp:docPr id="7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pic:cNvPicPr>
                      <a:picLocks noChangeAspect="1"/>
                    </pic:cNvPicPr>
                  </pic:nvPicPr>
                  <pic:blipFill>
                    <a:blip r:embed="rId40"/>
                    <a:stretch>
                      <a:fillRect/>
                    </a:stretch>
                  </pic:blipFill>
                  <pic:spPr>
                    <a:xfrm>
                      <a:off x="0" y="0"/>
                      <a:ext cx="2609850" cy="4591050"/>
                    </a:xfrm>
                    <a:prstGeom prst="rect">
                      <a:avLst/>
                    </a:prstGeom>
                    <a:noFill/>
                    <a:ln>
                      <a:noFill/>
                    </a:ln>
                  </pic:spPr>
                </pic:pic>
              </a:graphicData>
            </a:graphic>
          </wp:inline>
        </w:drawing>
      </w:r>
    </w:p>
    <w:p w14:paraId="68DC4224">
      <w:pPr>
        <w:pStyle w:val="5"/>
        <w:tabs>
          <w:tab w:val="left" w:pos="0"/>
        </w:tabs>
        <w:bidi w:val="0"/>
        <w:rPr>
          <w:rFonts w:hint="default"/>
          <w:highlight w:val="none"/>
          <w:lang w:val="en-US" w:eastAsia="zh-CN"/>
        </w:rPr>
      </w:pPr>
      <w:r>
        <w:rPr>
          <w:rFonts w:hint="eastAsia"/>
          <w:highlight w:val="none"/>
          <w:lang w:val="en-US" w:eastAsia="zh-CN"/>
        </w:rPr>
        <w:t>4.4.3.6安装平衡臂臂节一和起重臂臂节一</w:t>
      </w:r>
    </w:p>
    <w:p w14:paraId="01CF89E1">
      <w:pPr>
        <w:bidi w:val="0"/>
        <w:ind w:left="0" w:leftChars="0" w:firstLine="0" w:firstLineChars="0"/>
        <w:jc w:val="center"/>
        <w:rPr>
          <w:rFonts w:hint="eastAsia"/>
          <w:highlight w:val="none"/>
          <w:lang w:val="en-US" w:eastAsia="zh-CN"/>
        </w:rPr>
      </w:pPr>
      <w:r>
        <w:drawing>
          <wp:inline distT="0" distB="0" distL="114300" distR="114300">
            <wp:extent cx="2759075" cy="2659380"/>
            <wp:effectExtent l="0" t="0" r="3175" b="7620"/>
            <wp:docPr id="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pic:cNvPicPr>
                  </pic:nvPicPr>
                  <pic:blipFill>
                    <a:blip r:embed="rId41"/>
                    <a:stretch>
                      <a:fillRect/>
                    </a:stretch>
                  </pic:blipFill>
                  <pic:spPr>
                    <a:xfrm>
                      <a:off x="0" y="0"/>
                      <a:ext cx="2759075" cy="2659380"/>
                    </a:xfrm>
                    <a:prstGeom prst="rect">
                      <a:avLst/>
                    </a:prstGeom>
                    <a:noFill/>
                    <a:ln>
                      <a:noFill/>
                    </a:ln>
                  </pic:spPr>
                </pic:pic>
              </a:graphicData>
            </a:graphic>
          </wp:inline>
        </w:drawing>
      </w:r>
      <w:r>
        <w:drawing>
          <wp:inline distT="0" distB="0" distL="114300" distR="114300">
            <wp:extent cx="1862455" cy="3328670"/>
            <wp:effectExtent l="0" t="0" r="4445" b="5080"/>
            <wp:docPr id="7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1"/>
                    <pic:cNvPicPr>
                      <a:picLocks noChangeAspect="1"/>
                    </pic:cNvPicPr>
                  </pic:nvPicPr>
                  <pic:blipFill>
                    <a:blip r:embed="rId42"/>
                    <a:stretch>
                      <a:fillRect/>
                    </a:stretch>
                  </pic:blipFill>
                  <pic:spPr>
                    <a:xfrm>
                      <a:off x="0" y="0"/>
                      <a:ext cx="1862455" cy="3328670"/>
                    </a:xfrm>
                    <a:prstGeom prst="rect">
                      <a:avLst/>
                    </a:prstGeom>
                    <a:noFill/>
                    <a:ln>
                      <a:noFill/>
                    </a:ln>
                  </pic:spPr>
                </pic:pic>
              </a:graphicData>
            </a:graphic>
          </wp:inline>
        </w:drawing>
      </w:r>
      <w:r>
        <w:drawing>
          <wp:inline distT="0" distB="0" distL="114300" distR="114300">
            <wp:extent cx="2560955" cy="2416175"/>
            <wp:effectExtent l="0" t="0" r="10795" b="3175"/>
            <wp:docPr id="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pic:cNvPicPr>
                  </pic:nvPicPr>
                  <pic:blipFill>
                    <a:blip r:embed="rId43"/>
                    <a:stretch>
                      <a:fillRect/>
                    </a:stretch>
                  </pic:blipFill>
                  <pic:spPr>
                    <a:xfrm>
                      <a:off x="0" y="0"/>
                      <a:ext cx="2560955" cy="2416175"/>
                    </a:xfrm>
                    <a:prstGeom prst="rect">
                      <a:avLst/>
                    </a:prstGeom>
                    <a:noFill/>
                    <a:ln>
                      <a:noFill/>
                    </a:ln>
                  </pic:spPr>
                </pic:pic>
              </a:graphicData>
            </a:graphic>
          </wp:inline>
        </w:drawing>
      </w:r>
      <w:r>
        <w:drawing>
          <wp:inline distT="0" distB="0" distL="114300" distR="114300">
            <wp:extent cx="2028190" cy="3631565"/>
            <wp:effectExtent l="0" t="0" r="10160" b="6985"/>
            <wp:docPr id="7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pic:cNvPicPr>
                      <a:picLocks noChangeAspect="1"/>
                    </pic:cNvPicPr>
                  </pic:nvPicPr>
                  <pic:blipFill>
                    <a:blip r:embed="rId44"/>
                    <a:stretch>
                      <a:fillRect/>
                    </a:stretch>
                  </pic:blipFill>
                  <pic:spPr>
                    <a:xfrm>
                      <a:off x="0" y="0"/>
                      <a:ext cx="2028190" cy="3631565"/>
                    </a:xfrm>
                    <a:prstGeom prst="rect">
                      <a:avLst/>
                    </a:prstGeom>
                    <a:noFill/>
                    <a:ln>
                      <a:noFill/>
                    </a:ln>
                  </pic:spPr>
                </pic:pic>
              </a:graphicData>
            </a:graphic>
          </wp:inline>
        </w:drawing>
      </w:r>
    </w:p>
    <w:p w14:paraId="39127B2F">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21</w:t>
      </w:r>
      <w:r>
        <w:rPr>
          <w:highlight w:val="none"/>
        </w:rPr>
        <w:fldChar w:fldCharType="end"/>
      </w:r>
      <w:r>
        <w:rPr>
          <w:rFonts w:hint="eastAsia"/>
          <w:highlight w:val="none"/>
          <w:lang w:val="en-US" w:eastAsia="zh-CN"/>
        </w:rPr>
        <w:t>安装平衡臂臂节一和起重臂臂节一</w:t>
      </w:r>
    </w:p>
    <w:p w14:paraId="7587E44A">
      <w:pPr>
        <w:pStyle w:val="5"/>
        <w:tabs>
          <w:tab w:val="left" w:pos="0"/>
        </w:tabs>
        <w:bidi w:val="0"/>
        <w:rPr>
          <w:rFonts w:hint="eastAsia" w:cstheme="majorBidi"/>
          <w:b/>
          <w:bCs/>
          <w:color w:val="000000" w:themeColor="text1"/>
          <w:kern w:val="2"/>
          <w:sz w:val="24"/>
          <w:szCs w:val="28"/>
          <w:highlight w:val="none"/>
          <w:lang w:val="en-US" w:eastAsia="zh-CN" w:bidi="ar-SA"/>
          <w14:textFill>
            <w14:solidFill>
              <w14:schemeClr w14:val="tx1"/>
            </w14:solidFill>
          </w14:textFill>
        </w:rPr>
      </w:pPr>
      <w:bookmarkStart w:id="167" w:name="_Toc25574"/>
      <w:bookmarkStart w:id="168" w:name="_Toc11593"/>
      <w:r>
        <w:rPr>
          <w:rFonts w:hint="eastAsia" w:cstheme="majorBidi"/>
          <w:b/>
          <w:bCs/>
          <w:color w:val="000000" w:themeColor="text1"/>
          <w:kern w:val="2"/>
          <w:sz w:val="24"/>
          <w:szCs w:val="28"/>
          <w:highlight w:val="none"/>
          <w:lang w:val="en-US" w:eastAsia="zh-CN" w:bidi="ar-SA"/>
          <w14:textFill>
            <w14:solidFill>
              <w14:schemeClr w14:val="tx1"/>
            </w14:solidFill>
          </w14:textFill>
        </w:rPr>
        <w:t>4.4.3.7安装平衡臂和平衡臂拉杆</w:t>
      </w:r>
    </w:p>
    <w:p w14:paraId="3BF84136">
      <w:pPr>
        <w:jc w:val="center"/>
        <w:rPr>
          <w:rFonts w:hint="default"/>
          <w:lang w:val="en-US" w:eastAsia="zh-CN"/>
        </w:rPr>
      </w:pPr>
      <w:r>
        <w:drawing>
          <wp:inline distT="0" distB="0" distL="114300" distR="114300">
            <wp:extent cx="3293110" cy="3321685"/>
            <wp:effectExtent l="0" t="0" r="2540" b="12065"/>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pic:cNvPicPr>
                  </pic:nvPicPr>
                  <pic:blipFill>
                    <a:blip r:embed="rId45"/>
                    <a:stretch>
                      <a:fillRect/>
                    </a:stretch>
                  </pic:blipFill>
                  <pic:spPr>
                    <a:xfrm>
                      <a:off x="0" y="0"/>
                      <a:ext cx="3293110" cy="3321685"/>
                    </a:xfrm>
                    <a:prstGeom prst="rect">
                      <a:avLst/>
                    </a:prstGeom>
                    <a:noFill/>
                    <a:ln>
                      <a:noFill/>
                    </a:ln>
                  </pic:spPr>
                </pic:pic>
              </a:graphicData>
            </a:graphic>
          </wp:inline>
        </w:drawing>
      </w:r>
      <w:r>
        <w:drawing>
          <wp:inline distT="0" distB="0" distL="114300" distR="114300">
            <wp:extent cx="4781550" cy="4591050"/>
            <wp:effectExtent l="0" t="0" r="0" b="0"/>
            <wp:docPr id="7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pic:cNvPicPr>
                      <a:picLocks noChangeAspect="1"/>
                    </pic:cNvPicPr>
                  </pic:nvPicPr>
                  <pic:blipFill>
                    <a:blip r:embed="rId46"/>
                    <a:stretch>
                      <a:fillRect/>
                    </a:stretch>
                  </pic:blipFill>
                  <pic:spPr>
                    <a:xfrm>
                      <a:off x="0" y="0"/>
                      <a:ext cx="4781550" cy="4591050"/>
                    </a:xfrm>
                    <a:prstGeom prst="rect">
                      <a:avLst/>
                    </a:prstGeom>
                    <a:noFill/>
                    <a:ln>
                      <a:noFill/>
                    </a:ln>
                  </pic:spPr>
                </pic:pic>
              </a:graphicData>
            </a:graphic>
          </wp:inline>
        </w:drawing>
      </w:r>
    </w:p>
    <w:p w14:paraId="5F8112AC">
      <w:pPr>
        <w:pStyle w:val="5"/>
        <w:tabs>
          <w:tab w:val="left" w:pos="0"/>
        </w:tabs>
        <w:bidi w:val="0"/>
        <w:rPr>
          <w:rFonts w:hint="eastAsia"/>
          <w:highlight w:val="none"/>
          <w:lang w:val="en-US" w:eastAsia="zh-CN"/>
        </w:rPr>
      </w:pPr>
      <w:r>
        <w:rPr>
          <w:rFonts w:hint="eastAsia"/>
          <w:highlight w:val="none"/>
          <w:lang w:val="en-US" w:eastAsia="zh-CN"/>
        </w:rPr>
        <w:t>4.4.3.9安装一块平衡重</w:t>
      </w:r>
      <w:bookmarkEnd w:id="167"/>
      <w:bookmarkEnd w:id="168"/>
    </w:p>
    <w:p w14:paraId="17E731F6">
      <w:pPr>
        <w:bidi w:val="0"/>
        <w:ind w:left="0" w:leftChars="0" w:firstLine="0" w:firstLineChars="0"/>
        <w:jc w:val="center"/>
        <w:rPr>
          <w:rFonts w:hint="eastAsia"/>
          <w:highlight w:val="none"/>
          <w:lang w:val="en-US" w:eastAsia="zh-CN"/>
        </w:rPr>
      </w:pPr>
      <w:r>
        <w:drawing>
          <wp:inline distT="0" distB="0" distL="114300" distR="114300">
            <wp:extent cx="3293110" cy="3321685"/>
            <wp:effectExtent l="0" t="0" r="2540" b="12065"/>
            <wp:docPr id="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pic:cNvPicPr>
                      <a:picLocks noChangeAspect="1"/>
                    </pic:cNvPicPr>
                  </pic:nvPicPr>
                  <pic:blipFill>
                    <a:blip r:embed="rId45"/>
                    <a:stretch>
                      <a:fillRect/>
                    </a:stretch>
                  </pic:blipFill>
                  <pic:spPr>
                    <a:xfrm>
                      <a:off x="0" y="0"/>
                      <a:ext cx="3293110" cy="3321685"/>
                    </a:xfrm>
                    <a:prstGeom prst="rect">
                      <a:avLst/>
                    </a:prstGeom>
                    <a:noFill/>
                    <a:ln>
                      <a:noFill/>
                    </a:ln>
                  </pic:spPr>
                </pic:pic>
              </a:graphicData>
            </a:graphic>
          </wp:inline>
        </w:drawing>
      </w:r>
      <w:r>
        <w:drawing>
          <wp:inline distT="0" distB="0" distL="114300" distR="114300">
            <wp:extent cx="4943475" cy="4619625"/>
            <wp:effectExtent l="0" t="0" r="9525" b="9525"/>
            <wp:docPr id="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pic:cNvPicPr>
                      <a:picLocks noChangeAspect="1"/>
                    </pic:cNvPicPr>
                  </pic:nvPicPr>
                  <pic:blipFill>
                    <a:blip r:embed="rId47"/>
                    <a:stretch>
                      <a:fillRect/>
                    </a:stretch>
                  </pic:blipFill>
                  <pic:spPr>
                    <a:xfrm>
                      <a:off x="0" y="0"/>
                      <a:ext cx="4943475" cy="4619625"/>
                    </a:xfrm>
                    <a:prstGeom prst="rect">
                      <a:avLst/>
                    </a:prstGeom>
                    <a:noFill/>
                    <a:ln>
                      <a:noFill/>
                    </a:ln>
                  </pic:spPr>
                </pic:pic>
              </a:graphicData>
            </a:graphic>
          </wp:inline>
        </w:drawing>
      </w:r>
    </w:p>
    <w:p w14:paraId="50F74128">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23</w:t>
      </w:r>
      <w:r>
        <w:rPr>
          <w:highlight w:val="none"/>
        </w:rPr>
        <w:fldChar w:fldCharType="end"/>
      </w:r>
      <w:r>
        <w:rPr>
          <w:rFonts w:hint="eastAsia"/>
          <w:highlight w:val="none"/>
          <w:lang w:val="en-US" w:eastAsia="zh-CN"/>
        </w:rPr>
        <w:t>吊装平衡重</w:t>
      </w:r>
    </w:p>
    <w:p w14:paraId="1658A5B0">
      <w:pPr>
        <w:pStyle w:val="5"/>
        <w:tabs>
          <w:tab w:val="left" w:pos="0"/>
        </w:tabs>
        <w:bidi w:val="0"/>
        <w:rPr>
          <w:rFonts w:hint="eastAsia"/>
          <w:highlight w:val="none"/>
          <w:lang w:val="en-US" w:eastAsia="zh-CN"/>
        </w:rPr>
      </w:pPr>
      <w:bookmarkStart w:id="169" w:name="_Toc21892"/>
      <w:bookmarkStart w:id="170" w:name="_Toc23299"/>
      <w:r>
        <w:rPr>
          <w:rFonts w:hint="eastAsia"/>
          <w:highlight w:val="none"/>
          <w:lang w:val="en-US" w:eastAsia="zh-CN"/>
        </w:rPr>
        <w:t>4.4.3.10安装剩余起重臂</w:t>
      </w:r>
      <w:bookmarkEnd w:id="169"/>
      <w:bookmarkEnd w:id="170"/>
    </w:p>
    <w:p w14:paraId="673EF3D4">
      <w:pPr>
        <w:bidi w:val="0"/>
        <w:ind w:left="0" w:leftChars="0" w:firstLine="0" w:firstLineChars="0"/>
        <w:jc w:val="center"/>
        <w:rPr>
          <w:rFonts w:hint="eastAsia"/>
          <w:highlight w:val="none"/>
          <w:lang w:val="en-US" w:eastAsia="zh-CN"/>
        </w:rPr>
      </w:pPr>
      <w:r>
        <w:drawing>
          <wp:inline distT="0" distB="0" distL="114300" distR="114300">
            <wp:extent cx="3208020" cy="3215005"/>
            <wp:effectExtent l="0" t="0" r="11430" b="4445"/>
            <wp:docPr id="7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7"/>
                    <pic:cNvPicPr>
                      <a:picLocks noChangeAspect="1"/>
                    </pic:cNvPicPr>
                  </pic:nvPicPr>
                  <pic:blipFill>
                    <a:blip r:embed="rId48"/>
                    <a:stretch>
                      <a:fillRect/>
                    </a:stretch>
                  </pic:blipFill>
                  <pic:spPr>
                    <a:xfrm>
                      <a:off x="0" y="0"/>
                      <a:ext cx="3208020" cy="3215005"/>
                    </a:xfrm>
                    <a:prstGeom prst="rect">
                      <a:avLst/>
                    </a:prstGeom>
                    <a:noFill/>
                    <a:ln>
                      <a:noFill/>
                    </a:ln>
                  </pic:spPr>
                </pic:pic>
              </a:graphicData>
            </a:graphic>
          </wp:inline>
        </w:drawing>
      </w:r>
      <w:r>
        <w:drawing>
          <wp:inline distT="0" distB="0" distL="114300" distR="114300">
            <wp:extent cx="4648200" cy="4724400"/>
            <wp:effectExtent l="0" t="0" r="0" b="0"/>
            <wp:docPr id="8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8"/>
                    <pic:cNvPicPr>
                      <a:picLocks noChangeAspect="1"/>
                    </pic:cNvPicPr>
                  </pic:nvPicPr>
                  <pic:blipFill>
                    <a:blip r:embed="rId49"/>
                    <a:stretch>
                      <a:fillRect/>
                    </a:stretch>
                  </pic:blipFill>
                  <pic:spPr>
                    <a:xfrm>
                      <a:off x="0" y="0"/>
                      <a:ext cx="4648200" cy="4724400"/>
                    </a:xfrm>
                    <a:prstGeom prst="rect">
                      <a:avLst/>
                    </a:prstGeom>
                    <a:noFill/>
                    <a:ln>
                      <a:noFill/>
                    </a:ln>
                  </pic:spPr>
                </pic:pic>
              </a:graphicData>
            </a:graphic>
          </wp:inline>
        </w:drawing>
      </w:r>
      <w:r>
        <w:drawing>
          <wp:inline distT="0" distB="0" distL="114300" distR="114300">
            <wp:extent cx="4037330" cy="4001135"/>
            <wp:effectExtent l="0" t="0" r="1270" b="18415"/>
            <wp:docPr id="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
                    <pic:cNvPicPr>
                      <a:picLocks noChangeAspect="1"/>
                    </pic:cNvPicPr>
                  </pic:nvPicPr>
                  <pic:blipFill>
                    <a:blip r:embed="rId50"/>
                    <a:stretch>
                      <a:fillRect/>
                    </a:stretch>
                  </pic:blipFill>
                  <pic:spPr>
                    <a:xfrm>
                      <a:off x="0" y="0"/>
                      <a:ext cx="4037330" cy="4001135"/>
                    </a:xfrm>
                    <a:prstGeom prst="rect">
                      <a:avLst/>
                    </a:prstGeom>
                    <a:noFill/>
                    <a:ln>
                      <a:noFill/>
                    </a:ln>
                  </pic:spPr>
                </pic:pic>
              </a:graphicData>
            </a:graphic>
          </wp:inline>
        </w:drawing>
      </w:r>
      <w:r>
        <w:drawing>
          <wp:inline distT="0" distB="0" distL="114300" distR="114300">
            <wp:extent cx="5269865" cy="4478655"/>
            <wp:effectExtent l="0" t="0" r="6985" b="17145"/>
            <wp:docPr id="8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0"/>
                    <pic:cNvPicPr>
                      <a:picLocks noChangeAspect="1"/>
                    </pic:cNvPicPr>
                  </pic:nvPicPr>
                  <pic:blipFill>
                    <a:blip r:embed="rId51"/>
                    <a:stretch>
                      <a:fillRect/>
                    </a:stretch>
                  </pic:blipFill>
                  <pic:spPr>
                    <a:xfrm>
                      <a:off x="0" y="0"/>
                      <a:ext cx="5269865" cy="4478655"/>
                    </a:xfrm>
                    <a:prstGeom prst="rect">
                      <a:avLst/>
                    </a:prstGeom>
                    <a:noFill/>
                    <a:ln>
                      <a:noFill/>
                    </a:ln>
                  </pic:spPr>
                </pic:pic>
              </a:graphicData>
            </a:graphic>
          </wp:inline>
        </w:drawing>
      </w:r>
      <w:r>
        <w:drawing>
          <wp:inline distT="0" distB="0" distL="114300" distR="114300">
            <wp:extent cx="3846195" cy="3787140"/>
            <wp:effectExtent l="0" t="0" r="1905" b="3810"/>
            <wp:docPr id="8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1"/>
                    <pic:cNvPicPr>
                      <a:picLocks noChangeAspect="1"/>
                    </pic:cNvPicPr>
                  </pic:nvPicPr>
                  <pic:blipFill>
                    <a:blip r:embed="rId52"/>
                    <a:stretch>
                      <a:fillRect/>
                    </a:stretch>
                  </pic:blipFill>
                  <pic:spPr>
                    <a:xfrm>
                      <a:off x="0" y="0"/>
                      <a:ext cx="3846195" cy="3787140"/>
                    </a:xfrm>
                    <a:prstGeom prst="rect">
                      <a:avLst/>
                    </a:prstGeom>
                    <a:noFill/>
                    <a:ln>
                      <a:noFill/>
                    </a:ln>
                  </pic:spPr>
                </pic:pic>
              </a:graphicData>
            </a:graphic>
          </wp:inline>
        </w:drawing>
      </w:r>
      <w:r>
        <w:drawing>
          <wp:inline distT="0" distB="0" distL="114300" distR="114300">
            <wp:extent cx="5272405" cy="3397250"/>
            <wp:effectExtent l="0" t="0" r="4445" b="12700"/>
            <wp:docPr id="8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pic:cNvPicPr>
                      <a:picLocks noChangeAspect="1"/>
                    </pic:cNvPicPr>
                  </pic:nvPicPr>
                  <pic:blipFill>
                    <a:blip r:embed="rId53"/>
                    <a:stretch>
                      <a:fillRect/>
                    </a:stretch>
                  </pic:blipFill>
                  <pic:spPr>
                    <a:xfrm>
                      <a:off x="0" y="0"/>
                      <a:ext cx="5272405" cy="3397250"/>
                    </a:xfrm>
                    <a:prstGeom prst="rect">
                      <a:avLst/>
                    </a:prstGeom>
                    <a:noFill/>
                    <a:ln>
                      <a:noFill/>
                    </a:ln>
                  </pic:spPr>
                </pic:pic>
              </a:graphicData>
            </a:graphic>
          </wp:inline>
        </w:drawing>
      </w:r>
    </w:p>
    <w:p w14:paraId="6840CAE9">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27</w:t>
      </w:r>
      <w:r>
        <w:rPr>
          <w:highlight w:val="none"/>
        </w:rPr>
        <w:fldChar w:fldCharType="end"/>
      </w:r>
      <w:r>
        <w:rPr>
          <w:rFonts w:hint="eastAsia"/>
          <w:highlight w:val="none"/>
          <w:lang w:val="en-US" w:eastAsia="zh-CN"/>
        </w:rPr>
        <w:t>吊装起重臂总成</w:t>
      </w:r>
    </w:p>
    <w:p w14:paraId="570E76F2">
      <w:pPr>
        <w:pStyle w:val="5"/>
        <w:tabs>
          <w:tab w:val="left" w:pos="0"/>
        </w:tabs>
        <w:bidi w:val="0"/>
        <w:rPr>
          <w:rFonts w:hint="eastAsia"/>
          <w:highlight w:val="none"/>
          <w:lang w:val="en-US" w:eastAsia="zh-CN"/>
        </w:rPr>
      </w:pPr>
      <w:r>
        <w:rPr>
          <w:rFonts w:hint="eastAsia"/>
          <w:highlight w:val="none"/>
          <w:lang w:val="en-US" w:eastAsia="zh-CN"/>
        </w:rPr>
        <w:t>4.4.3.11安装剩余平衡重</w:t>
      </w:r>
    </w:p>
    <w:p w14:paraId="0C815A6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208C695C">
      <w:pPr>
        <w:pStyle w:val="14"/>
        <w:rPr>
          <w:rFonts w:hint="eastAsia" w:eastAsia="黑体"/>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6</w:t>
      </w:r>
      <w:r>
        <w:rPr>
          <w:highlight w:val="none"/>
        </w:rPr>
        <w:fldChar w:fldCharType="end"/>
      </w:r>
      <w:r>
        <w:rPr>
          <w:rFonts w:hint="eastAsia"/>
          <w:highlight w:val="none"/>
        </w:rPr>
        <w:t>平衡重安装</w:t>
      </w:r>
      <w:r>
        <w:rPr>
          <w:rFonts w:hint="eastAsia"/>
          <w:highlight w:val="none"/>
          <w:lang w:val="en-US" w:eastAsia="zh-CN"/>
        </w:rPr>
        <w:t>表</w:t>
      </w:r>
    </w:p>
    <w:p w14:paraId="6D515655">
      <w:pPr>
        <w:bidi w:val="0"/>
        <w:ind w:left="0" w:leftChars="0" w:firstLine="0" w:firstLineChars="0"/>
        <w:jc w:val="center"/>
        <w:rPr>
          <w:highlight w:val="none"/>
        </w:rPr>
      </w:pPr>
      <w:r>
        <w:drawing>
          <wp:inline distT="0" distB="0" distL="114300" distR="114300">
            <wp:extent cx="3771900" cy="1676400"/>
            <wp:effectExtent l="0" t="0" r="0" b="0"/>
            <wp:docPr id="9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3"/>
                    <pic:cNvPicPr>
                      <a:picLocks noChangeAspect="1"/>
                    </pic:cNvPicPr>
                  </pic:nvPicPr>
                  <pic:blipFill>
                    <a:blip r:embed="rId54"/>
                    <a:stretch>
                      <a:fillRect/>
                    </a:stretch>
                  </pic:blipFill>
                  <pic:spPr>
                    <a:xfrm>
                      <a:off x="0" y="0"/>
                      <a:ext cx="3771900" cy="1676400"/>
                    </a:xfrm>
                    <a:prstGeom prst="rect">
                      <a:avLst/>
                    </a:prstGeom>
                    <a:noFill/>
                    <a:ln>
                      <a:noFill/>
                    </a:ln>
                  </pic:spPr>
                </pic:pic>
              </a:graphicData>
            </a:graphic>
          </wp:inline>
        </w:drawing>
      </w:r>
    </w:p>
    <w:p w14:paraId="3A02EB6E">
      <w:pPr>
        <w:bidi w:val="0"/>
        <w:ind w:left="0" w:leftChars="0" w:firstLine="0" w:firstLineChars="0"/>
        <w:jc w:val="center"/>
        <w:rPr>
          <w:rFonts w:hint="eastAsia"/>
          <w:highlight w:val="none"/>
          <w:lang w:val="en-US" w:eastAsia="zh-CN"/>
        </w:rPr>
      </w:pPr>
      <w:r>
        <w:drawing>
          <wp:inline distT="0" distB="0" distL="114300" distR="114300">
            <wp:extent cx="4391025" cy="4457700"/>
            <wp:effectExtent l="0" t="0" r="9525" b="0"/>
            <wp:docPr id="9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4"/>
                    <pic:cNvPicPr>
                      <a:picLocks noChangeAspect="1"/>
                    </pic:cNvPicPr>
                  </pic:nvPicPr>
                  <pic:blipFill>
                    <a:blip r:embed="rId55"/>
                    <a:stretch>
                      <a:fillRect/>
                    </a:stretch>
                  </pic:blipFill>
                  <pic:spPr>
                    <a:xfrm>
                      <a:off x="0" y="0"/>
                      <a:ext cx="4391025" cy="4457700"/>
                    </a:xfrm>
                    <a:prstGeom prst="rect">
                      <a:avLst/>
                    </a:prstGeom>
                    <a:noFill/>
                    <a:ln>
                      <a:noFill/>
                    </a:ln>
                  </pic:spPr>
                </pic:pic>
              </a:graphicData>
            </a:graphic>
          </wp:inline>
        </w:drawing>
      </w:r>
      <w:r>
        <w:drawing>
          <wp:inline distT="0" distB="0" distL="114300" distR="114300">
            <wp:extent cx="5271135" cy="2746375"/>
            <wp:effectExtent l="0" t="0" r="5715" b="15875"/>
            <wp:docPr id="9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pic:cNvPicPr>
                      <a:picLocks noChangeAspect="1"/>
                    </pic:cNvPicPr>
                  </pic:nvPicPr>
                  <pic:blipFill>
                    <a:blip r:embed="rId56"/>
                    <a:stretch>
                      <a:fillRect/>
                    </a:stretch>
                  </pic:blipFill>
                  <pic:spPr>
                    <a:xfrm>
                      <a:off x="0" y="0"/>
                      <a:ext cx="5271135" cy="2746375"/>
                    </a:xfrm>
                    <a:prstGeom prst="rect">
                      <a:avLst/>
                    </a:prstGeom>
                    <a:noFill/>
                    <a:ln>
                      <a:noFill/>
                    </a:ln>
                  </pic:spPr>
                </pic:pic>
              </a:graphicData>
            </a:graphic>
          </wp:inline>
        </w:drawing>
      </w:r>
    </w:p>
    <w:p w14:paraId="763539B0">
      <w:pPr>
        <w:pStyle w:val="5"/>
        <w:tabs>
          <w:tab w:val="left" w:pos="0"/>
        </w:tabs>
        <w:bidi w:val="0"/>
        <w:rPr>
          <w:rFonts w:hint="eastAsia"/>
          <w:highlight w:val="none"/>
          <w:lang w:val="en-US" w:eastAsia="zh-CN"/>
        </w:rPr>
      </w:pPr>
      <w:r>
        <w:rPr>
          <w:rFonts w:hint="eastAsia"/>
          <w:highlight w:val="none"/>
          <w:lang w:val="en-US" w:eastAsia="zh-CN"/>
        </w:rPr>
        <w:t>4.4.3.12安装电控系统</w:t>
      </w:r>
    </w:p>
    <w:p w14:paraId="2D32D989">
      <w:pPr>
        <w:bidi w:val="0"/>
        <w:ind w:firstLine="480" w:firstLineChars="200"/>
        <w:rPr>
          <w:rFonts w:hint="eastAsia"/>
          <w:highlight w:val="none"/>
          <w:lang w:val="en-US" w:eastAsia="zh-CN"/>
        </w:rPr>
      </w:pPr>
      <w:r>
        <w:rPr>
          <w:rFonts w:hint="eastAsia"/>
          <w:highlight w:val="none"/>
          <w:lang w:val="en-US" w:eastAsia="zh-CN"/>
        </w:rPr>
        <w:t>起重臂安装完成后，司机室、各机构及相关安全装置就全部可以进行接线试电调试。其中除了起重量限制、变幅机构及其安全限位装置以外，其他电控系统在平衡臂安装完成后就可以进行接线安装。</w:t>
      </w:r>
    </w:p>
    <w:p w14:paraId="7985E5ED">
      <w:pPr>
        <w:bidi w:val="0"/>
        <w:rPr>
          <w:rFonts w:hint="eastAsia"/>
          <w:highlight w:val="none"/>
          <w:lang w:val="en-US" w:eastAsia="zh-CN"/>
        </w:rPr>
      </w:pPr>
      <w:r>
        <w:rPr>
          <w:rFonts w:hint="eastAsia"/>
          <w:highlight w:val="none"/>
          <w:lang w:val="en-US" w:eastAsia="zh-CN"/>
        </w:rPr>
        <w:t>安全警示灯、风速仪安装位置见下图。</w:t>
      </w:r>
    </w:p>
    <w:p w14:paraId="2FC2B2F1">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7325" cy="1515110"/>
            <wp:effectExtent l="0" t="0" r="9525" b="8890"/>
            <wp:docPr id="2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4"/>
                    <pic:cNvPicPr>
                      <a:picLocks noChangeAspect="1"/>
                    </pic:cNvPicPr>
                  </pic:nvPicPr>
                  <pic:blipFill>
                    <a:blip r:embed="rId57"/>
                    <a:stretch>
                      <a:fillRect/>
                    </a:stretch>
                  </pic:blipFill>
                  <pic:spPr>
                    <a:xfrm>
                      <a:off x="0" y="0"/>
                      <a:ext cx="5267325" cy="1515110"/>
                    </a:xfrm>
                    <a:prstGeom prst="rect">
                      <a:avLst/>
                    </a:prstGeom>
                    <a:noFill/>
                    <a:ln>
                      <a:noFill/>
                    </a:ln>
                  </pic:spPr>
                </pic:pic>
              </a:graphicData>
            </a:graphic>
          </wp:inline>
        </w:drawing>
      </w:r>
    </w:p>
    <w:p w14:paraId="526C6F91">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28</w:t>
      </w:r>
      <w:r>
        <w:rPr>
          <w:highlight w:val="none"/>
        </w:rPr>
        <w:fldChar w:fldCharType="end"/>
      </w:r>
      <w:r>
        <w:rPr>
          <w:rFonts w:hint="eastAsia"/>
          <w:highlight w:val="none"/>
          <w:lang w:val="en-US" w:eastAsia="zh-CN"/>
        </w:rPr>
        <w:t>警示灯和风速仪安装位置示意图</w:t>
      </w:r>
    </w:p>
    <w:p w14:paraId="7E2EF767">
      <w:pPr>
        <w:pStyle w:val="5"/>
        <w:tabs>
          <w:tab w:val="left" w:pos="0"/>
        </w:tabs>
        <w:bidi w:val="0"/>
        <w:rPr>
          <w:rFonts w:hint="eastAsia"/>
          <w:highlight w:val="none"/>
          <w:lang w:val="en-US" w:eastAsia="zh-CN"/>
        </w:rPr>
      </w:pPr>
      <w:bookmarkStart w:id="171" w:name="_Toc20890"/>
      <w:bookmarkStart w:id="172" w:name="_Toc7930"/>
      <w:r>
        <w:rPr>
          <w:rFonts w:hint="eastAsia"/>
          <w:highlight w:val="none"/>
          <w:lang w:val="en-US" w:eastAsia="zh-CN"/>
        </w:rPr>
        <w:t>4.4.3.13起升机构绕绳系统</w:t>
      </w:r>
      <w:bookmarkEnd w:id="171"/>
      <w:bookmarkEnd w:id="172"/>
    </w:p>
    <w:p w14:paraId="5209844B">
      <w:pPr>
        <w:bidi w:val="0"/>
        <w:ind w:firstLine="480" w:firstLineChars="200"/>
        <w:rPr>
          <w:rFonts w:hint="eastAsia"/>
          <w:highlight w:val="none"/>
          <w:lang w:val="en-US" w:eastAsia="zh-CN"/>
        </w:rPr>
      </w:pPr>
      <w:r>
        <w:rPr>
          <w:rFonts w:hint="eastAsia"/>
          <w:highlight w:val="none"/>
          <w:lang w:val="en-US" w:eastAsia="zh-CN"/>
        </w:rPr>
        <w:t>（1）将载重小车开至起重臂臂根，并在载重小车正下方的地面上放置临时支架，吊钩竖直固定。</w:t>
      </w:r>
    </w:p>
    <w:p w14:paraId="5FF94290">
      <w:pPr>
        <w:bidi w:val="0"/>
        <w:ind w:firstLine="480" w:firstLineChars="200"/>
        <w:rPr>
          <w:rFonts w:hint="eastAsia"/>
          <w:highlight w:val="none"/>
          <w:lang w:val="en-US" w:eastAsia="zh-CN"/>
        </w:rPr>
      </w:pPr>
      <w:r>
        <w:rPr>
          <w:rFonts w:hint="eastAsia"/>
          <w:highlight w:val="none"/>
          <w:lang w:val="en-US" w:eastAsia="zh-CN"/>
        </w:rPr>
        <w:t>（2）从起升机构卷筒拉出起升绳的绳头，同时启动起升机构下降档，将钢丝绳依次穿过起重臂臂节1上的起重量限制器滑轮、起重臂臂节1臂根转向滑轮，并穿过载重小车和吊钩上的滑轮组。起升钢丝绳穿绳如下图所示：</w:t>
      </w:r>
    </w:p>
    <w:p w14:paraId="00F82840">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8595" cy="1437005"/>
            <wp:effectExtent l="0" t="0" r="8255" b="10795"/>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pic:cNvPicPr>
                  </pic:nvPicPr>
                  <pic:blipFill>
                    <a:blip r:embed="rId58"/>
                    <a:stretch>
                      <a:fillRect/>
                    </a:stretch>
                  </pic:blipFill>
                  <pic:spPr>
                    <a:xfrm>
                      <a:off x="0" y="0"/>
                      <a:ext cx="5268595" cy="1437005"/>
                    </a:xfrm>
                    <a:prstGeom prst="rect">
                      <a:avLst/>
                    </a:prstGeom>
                    <a:noFill/>
                    <a:ln>
                      <a:noFill/>
                    </a:ln>
                  </pic:spPr>
                </pic:pic>
              </a:graphicData>
            </a:graphic>
          </wp:inline>
        </w:drawing>
      </w:r>
    </w:p>
    <w:p w14:paraId="66C307C4">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4712970" cy="2268220"/>
            <wp:effectExtent l="0" t="0" r="11430" b="17780"/>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59"/>
                    <a:stretch>
                      <a:fillRect/>
                    </a:stretch>
                  </pic:blipFill>
                  <pic:spPr>
                    <a:xfrm>
                      <a:off x="0" y="0"/>
                      <a:ext cx="4712970" cy="2268220"/>
                    </a:xfrm>
                    <a:prstGeom prst="rect">
                      <a:avLst/>
                    </a:prstGeom>
                    <a:noFill/>
                    <a:ln>
                      <a:noFill/>
                    </a:ln>
                  </pic:spPr>
                </pic:pic>
              </a:graphicData>
            </a:graphic>
          </wp:inline>
        </w:drawing>
      </w:r>
    </w:p>
    <w:p w14:paraId="268D419B">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29</w:t>
      </w:r>
      <w:r>
        <w:rPr>
          <w:highlight w:val="none"/>
        </w:rPr>
        <w:fldChar w:fldCharType="end"/>
      </w:r>
      <w:r>
        <w:rPr>
          <w:rFonts w:hint="eastAsia"/>
          <w:highlight w:val="none"/>
          <w:lang w:val="en-US" w:eastAsia="zh-CN"/>
        </w:rPr>
        <w:t>起升钢丝绳绕绳示意图</w:t>
      </w:r>
    </w:p>
    <w:p w14:paraId="5300E770">
      <w:pPr>
        <w:bidi w:val="0"/>
        <w:ind w:firstLine="480" w:firstLineChars="200"/>
        <w:rPr>
          <w:rFonts w:hint="eastAsia"/>
          <w:highlight w:val="none"/>
          <w:lang w:val="en-US" w:eastAsia="zh-CN"/>
        </w:rPr>
      </w:pPr>
      <w:r>
        <w:rPr>
          <w:rFonts w:hint="eastAsia"/>
          <w:highlight w:val="none"/>
          <w:lang w:val="en-US" w:eastAsia="zh-CN"/>
        </w:rPr>
        <w:t>（3）用两个绳夹将起升绳固定在载重小车上的合适位置，并留不小于 1.2 米的余量。</w:t>
      </w:r>
    </w:p>
    <w:p w14:paraId="3165E4F2">
      <w:pPr>
        <w:bidi w:val="0"/>
        <w:ind w:firstLine="480" w:firstLineChars="200"/>
        <w:rPr>
          <w:rFonts w:hint="eastAsia"/>
          <w:highlight w:val="none"/>
          <w:lang w:val="en-US" w:eastAsia="zh-CN"/>
        </w:rPr>
      </w:pPr>
      <w:r>
        <w:rPr>
          <w:rFonts w:hint="eastAsia"/>
          <w:highlight w:val="none"/>
          <w:lang w:val="en-US" w:eastAsia="zh-CN"/>
        </w:rPr>
        <w:t>（4）将起重臂臂尖节防扭装置上拆下楔形接头，将起升绳与其连接，并把起升绳的尾部用软的钢丝绑住，见图 5-40 所示，再使其折回后用固定绳夹固定住。</w:t>
      </w:r>
    </w:p>
    <w:p w14:paraId="678BECAC">
      <w:pPr>
        <w:bidi w:val="0"/>
        <w:ind w:firstLine="480" w:firstLineChars="200"/>
        <w:rPr>
          <w:rFonts w:hint="eastAsia"/>
          <w:highlight w:val="none"/>
          <w:lang w:val="en-US" w:eastAsia="zh-CN"/>
        </w:rPr>
      </w:pPr>
      <w:r>
        <w:rPr>
          <w:rFonts w:hint="eastAsia"/>
          <w:highlight w:val="none"/>
          <w:lang w:val="en-US" w:eastAsia="zh-CN"/>
        </w:rPr>
        <w:t>（5）缓慢启动起升机构，提升吊钩至离地 1 米高处，确认起升钢丝绳已固定牢固。</w:t>
      </w:r>
    </w:p>
    <w:p w14:paraId="1BFECB69">
      <w:pPr>
        <w:bidi w:val="0"/>
        <w:ind w:firstLine="480" w:firstLineChars="200"/>
        <w:rPr>
          <w:rFonts w:hint="eastAsia"/>
          <w:highlight w:val="none"/>
          <w:lang w:val="en-US" w:eastAsia="zh-CN"/>
        </w:rPr>
      </w:pPr>
      <w:r>
        <w:rPr>
          <w:rFonts w:hint="eastAsia"/>
          <w:highlight w:val="none"/>
          <w:lang w:val="en-US" w:eastAsia="zh-CN"/>
        </w:rPr>
        <w:t xml:space="preserve">（6）启动变幅机构将载重小车和吊钩开至起重臂臂尖。 </w:t>
      </w:r>
    </w:p>
    <w:p w14:paraId="729E7011">
      <w:pPr>
        <w:bidi w:val="0"/>
        <w:ind w:firstLine="480" w:firstLineChars="200"/>
        <w:rPr>
          <w:rFonts w:hint="eastAsia"/>
          <w:highlight w:val="none"/>
          <w:lang w:val="en-US" w:eastAsia="zh-CN"/>
        </w:rPr>
      </w:pPr>
      <w:r>
        <w:rPr>
          <w:rFonts w:hint="eastAsia"/>
          <w:highlight w:val="none"/>
          <w:lang w:val="en-US" w:eastAsia="zh-CN"/>
        </w:rPr>
        <w:t>（7）将楔形接头固定在臂尖防扭装置上，缓慢把小车下降到臂尖下面的支架上，拆卸载重小车上固定起升绳的绳夹，松开起升钢丝绳。</w:t>
      </w:r>
    </w:p>
    <w:p w14:paraId="5A13FCF3">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2221865" cy="1304290"/>
            <wp:effectExtent l="0" t="0" r="6985" b="1016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60"/>
                    <a:stretch>
                      <a:fillRect/>
                    </a:stretch>
                  </pic:blipFill>
                  <pic:spPr>
                    <a:xfrm>
                      <a:off x="0" y="0"/>
                      <a:ext cx="2221865" cy="1304290"/>
                    </a:xfrm>
                    <a:prstGeom prst="rect">
                      <a:avLst/>
                    </a:prstGeom>
                    <a:noFill/>
                    <a:ln>
                      <a:noFill/>
                    </a:ln>
                  </pic:spPr>
                </pic:pic>
              </a:graphicData>
            </a:graphic>
          </wp:inline>
        </w:drawing>
      </w:r>
    </w:p>
    <w:p w14:paraId="0D939F5E">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30</w:t>
      </w:r>
      <w:r>
        <w:rPr>
          <w:highlight w:val="none"/>
        </w:rPr>
        <w:fldChar w:fldCharType="end"/>
      </w:r>
      <w:r>
        <w:rPr>
          <w:rFonts w:hint="eastAsia"/>
          <w:highlight w:val="none"/>
          <w:lang w:val="en-US" w:eastAsia="zh-CN"/>
        </w:rPr>
        <w:t>钢丝绳固定示意图</w:t>
      </w:r>
    </w:p>
    <w:p w14:paraId="13B230F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注意：</w:t>
      </w:r>
    </w:p>
    <w:p w14:paraId="1972C3A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◆起升绳为不旋转钢丝绳时，塔机在工作状态本防扭装置应锁紧图4-31中螺钉3和5锁紧。</w:t>
      </w:r>
    </w:p>
    <w:p w14:paraId="62912B9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◆起升绳抗旋转钢丝绳时，塔机在工作状态本防扭装置应将锁紧螺钉3和5打开。</w:t>
      </w:r>
    </w:p>
    <w:p w14:paraId="5E0AB47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◆新换钢丝绳后，空载运行时吊钩旋转，此时应打开防扭装置。</w:t>
      </w:r>
    </w:p>
    <w:p w14:paraId="463085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◆塔机在长时间使用后，钢丝绳伸长并产生轻微扭转，此时应暂时打开防扭装置，待钢丝绳张紧后再次锁紧。</w:t>
      </w:r>
    </w:p>
    <w:p w14:paraId="597020E2">
      <w:pPr>
        <w:bidi w:val="0"/>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◆一旦钢丝绳散股，防扭装置将会加速钢丝绳的破坏，所以应及时更换钢丝绳。</w:t>
      </w:r>
    </w:p>
    <w:p w14:paraId="2B33586F">
      <w:pPr>
        <w:bidi w:val="0"/>
        <w:ind w:left="0" w:leftChars="0" w:firstLine="0" w:firstLineChars="0"/>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drawing>
          <wp:inline distT="0" distB="0" distL="114300" distR="114300">
            <wp:extent cx="3166745" cy="1403985"/>
            <wp:effectExtent l="0" t="0" r="14605" b="5715"/>
            <wp:docPr id="2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9"/>
                    <pic:cNvPicPr>
                      <a:picLocks noChangeAspect="1"/>
                    </pic:cNvPicPr>
                  </pic:nvPicPr>
                  <pic:blipFill>
                    <a:blip r:embed="rId61"/>
                    <a:stretch>
                      <a:fillRect/>
                    </a:stretch>
                  </pic:blipFill>
                  <pic:spPr>
                    <a:xfrm>
                      <a:off x="0" y="0"/>
                      <a:ext cx="3166745" cy="1403985"/>
                    </a:xfrm>
                    <a:prstGeom prst="rect">
                      <a:avLst/>
                    </a:prstGeom>
                    <a:noFill/>
                    <a:ln>
                      <a:noFill/>
                    </a:ln>
                  </pic:spPr>
                </pic:pic>
              </a:graphicData>
            </a:graphic>
          </wp:inline>
        </w:drawing>
      </w:r>
    </w:p>
    <w:p w14:paraId="14AB9E6D">
      <w:pPr>
        <w:pStyle w:val="14"/>
        <w:bidi w:val="0"/>
        <w:rPr>
          <w:rFonts w:hint="eastAsia" w:ascii="宋体" w:hAnsi="宋体" w:eastAsia="宋体" w:cs="宋体"/>
          <w:highlight w:val="none"/>
          <w:lang w:val="en-US" w:eastAsia="zh-CN"/>
        </w:rPr>
      </w:pPr>
      <w:r>
        <w:rPr>
          <w:rFonts w:hint="eastAsia" w:ascii="宋体" w:hAnsi="宋体" w:eastAsia="宋体" w:cs="宋体"/>
          <w:highlight w:val="none"/>
        </w:rPr>
        <w:t>图4-</w:t>
      </w:r>
      <w:r>
        <w:rPr>
          <w:rFonts w:hint="eastAsia" w:ascii="宋体" w:hAnsi="宋体" w:eastAsia="宋体" w:cs="宋体"/>
          <w:highlight w:val="none"/>
        </w:rPr>
        <w:fldChar w:fldCharType="begin"/>
      </w:r>
      <w:r>
        <w:rPr>
          <w:rFonts w:hint="eastAsia" w:ascii="宋体" w:hAnsi="宋体" w:eastAsia="宋体" w:cs="宋体"/>
          <w:highlight w:val="none"/>
        </w:rPr>
        <w:instrText xml:space="preserve"> SEQ 图4- \* ARABIC </w:instrText>
      </w:r>
      <w:r>
        <w:rPr>
          <w:rFonts w:hint="eastAsia" w:ascii="宋体" w:hAnsi="宋体" w:eastAsia="宋体" w:cs="宋体"/>
          <w:highlight w:val="none"/>
        </w:rPr>
        <w:fldChar w:fldCharType="separate"/>
      </w:r>
      <w:r>
        <w:rPr>
          <w:rFonts w:hint="eastAsia" w:ascii="宋体" w:hAnsi="宋体" w:eastAsia="宋体" w:cs="宋体"/>
          <w:highlight w:val="none"/>
        </w:rPr>
        <w:t>31</w:t>
      </w:r>
      <w:r>
        <w:rPr>
          <w:rFonts w:hint="eastAsia" w:ascii="宋体" w:hAnsi="宋体" w:eastAsia="宋体" w:cs="宋体"/>
          <w:highlight w:val="none"/>
        </w:rPr>
        <w:fldChar w:fldCharType="end"/>
      </w:r>
      <w:r>
        <w:rPr>
          <w:rFonts w:hint="eastAsia" w:ascii="宋体" w:hAnsi="宋体" w:eastAsia="宋体" w:cs="宋体"/>
          <w:highlight w:val="none"/>
          <w:lang w:val="en-US" w:eastAsia="zh-CN"/>
        </w:rPr>
        <w:t>防扭装置</w:t>
      </w:r>
    </w:p>
    <w:p w14:paraId="00C4A67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注意：</w:t>
      </w:r>
    </w:p>
    <w:p w14:paraId="75392DB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钩穿绳安全警示：不论爬升架工作平台或是引进平台，均不能承载吊钩重量，严禁将吊钩放置在上述平台上进行吊钩的钢丝绳穿绳操作；塔机高度较高时，可将吊钩回转至建筑物上方，将吊钩放置在有足够承载能力的楼面或建筑物顶面上，再进行吊钩的穿绳操作。</w:t>
      </w:r>
    </w:p>
    <w:p w14:paraId="6EA73D93">
      <w:pPr>
        <w:pStyle w:val="5"/>
        <w:tabs>
          <w:tab w:val="left" w:pos="0"/>
        </w:tabs>
        <w:bidi w:val="0"/>
        <w:rPr>
          <w:rFonts w:hint="eastAsia"/>
          <w:highlight w:val="none"/>
          <w:lang w:val="en-US" w:eastAsia="zh-CN"/>
        </w:rPr>
      </w:pPr>
      <w:bookmarkStart w:id="173" w:name="_Toc6001"/>
      <w:bookmarkStart w:id="174" w:name="_Toc22543"/>
      <w:r>
        <w:rPr>
          <w:rFonts w:hint="eastAsia"/>
          <w:highlight w:val="none"/>
          <w:lang w:val="en-US" w:eastAsia="zh-CN"/>
        </w:rPr>
        <w:t>4.4.3.14接电源及试运转</w:t>
      </w:r>
      <w:bookmarkEnd w:id="173"/>
      <w:bookmarkEnd w:id="174"/>
    </w:p>
    <w:p w14:paraId="0EE0CA4C">
      <w:pPr>
        <w:bidi w:val="0"/>
        <w:ind w:firstLine="480" w:firstLineChars="200"/>
        <w:rPr>
          <w:rFonts w:hint="eastAsia"/>
          <w:highlight w:val="none"/>
          <w:lang w:val="en-US" w:eastAsia="zh-CN"/>
        </w:rPr>
      </w:pPr>
      <w:r>
        <w:rPr>
          <w:rFonts w:hint="eastAsia"/>
          <w:highlight w:val="none"/>
          <w:lang w:val="en-US" w:eastAsia="zh-CN"/>
        </w:rPr>
        <w:t>按电路图的要求接通所有电路的电源，试开动各机构进行运转，检查各机构运转是否正确，同时检查各处钢丝绳是否处于正常工作状态，是否与结构件有干涉，所有不正常情况均应予以排除。</w:t>
      </w:r>
    </w:p>
    <w:p w14:paraId="4351EF0F">
      <w:pPr>
        <w:pStyle w:val="5"/>
        <w:tabs>
          <w:tab w:val="left" w:pos="0"/>
        </w:tabs>
        <w:bidi w:val="0"/>
        <w:rPr>
          <w:rFonts w:hint="eastAsia"/>
          <w:highlight w:val="none"/>
          <w:lang w:val="en-US" w:eastAsia="zh-CN"/>
        </w:rPr>
      </w:pPr>
      <w:r>
        <w:rPr>
          <w:rFonts w:hint="eastAsia"/>
          <w:highlight w:val="none"/>
          <w:lang w:val="en-US" w:eastAsia="zh-CN"/>
        </w:rPr>
        <w:t>4.4.3.15倍率切换</w:t>
      </w:r>
    </w:p>
    <w:p w14:paraId="7BA8245A">
      <w:pPr>
        <w:bidi w:val="0"/>
        <w:ind w:firstLine="480" w:firstLineChars="200"/>
        <w:rPr>
          <w:rFonts w:hint="eastAsia"/>
          <w:highlight w:val="none"/>
          <w:lang w:val="en-US" w:eastAsia="zh-CN"/>
        </w:rPr>
      </w:pPr>
      <w:r>
        <w:rPr>
          <w:rFonts w:hint="eastAsia"/>
          <w:highlight w:val="none"/>
          <w:lang w:val="en-US" w:eastAsia="zh-CN"/>
        </w:rPr>
        <w:t>换倍率装置是一个带有活动滑轮的挂体，当其与吊钩连成一体时，起升钢丝绳系统为4倍率，当挂体与吊钩脱离并顶在载重小车底面时，起升钢丝绳系统则变为2倍率。见下图：</w:t>
      </w:r>
    </w:p>
    <w:p w14:paraId="4E106479">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2996565" cy="1440180"/>
            <wp:effectExtent l="0" t="0" r="13335" b="7620"/>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pic:cNvPicPr>
                  </pic:nvPicPr>
                  <pic:blipFill>
                    <a:blip r:embed="rId62"/>
                    <a:stretch>
                      <a:fillRect/>
                    </a:stretch>
                  </pic:blipFill>
                  <pic:spPr>
                    <a:xfrm>
                      <a:off x="0" y="0"/>
                      <a:ext cx="2996565" cy="1440180"/>
                    </a:xfrm>
                    <a:prstGeom prst="rect">
                      <a:avLst/>
                    </a:prstGeom>
                    <a:noFill/>
                    <a:ln>
                      <a:noFill/>
                    </a:ln>
                  </pic:spPr>
                </pic:pic>
              </a:graphicData>
            </a:graphic>
          </wp:inline>
        </w:drawing>
      </w:r>
    </w:p>
    <w:p w14:paraId="311D176D">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1-小车 2-上滑轮组 3-下滑轮组</w:t>
      </w:r>
    </w:p>
    <w:p w14:paraId="0A5F3CBB">
      <w:pPr>
        <w:pStyle w:val="14"/>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32</w:t>
      </w:r>
      <w:r>
        <w:rPr>
          <w:highlight w:val="none"/>
        </w:rPr>
        <w:fldChar w:fldCharType="end"/>
      </w:r>
      <w:r>
        <w:rPr>
          <w:rFonts w:hint="eastAsia"/>
          <w:highlight w:val="none"/>
          <w:lang w:val="en-US" w:eastAsia="zh-CN"/>
        </w:rPr>
        <w:t>倍率转换示意图</w:t>
      </w:r>
    </w:p>
    <w:p w14:paraId="015B334B">
      <w:pPr>
        <w:bidi w:val="0"/>
        <w:ind w:firstLine="480" w:firstLineChars="200"/>
        <w:rPr>
          <w:rFonts w:hint="eastAsia"/>
          <w:highlight w:val="none"/>
          <w:lang w:val="en-US" w:eastAsia="zh-CN"/>
        </w:rPr>
      </w:pPr>
      <w:r>
        <w:rPr>
          <w:rFonts w:hint="eastAsia"/>
          <w:highlight w:val="none"/>
          <w:lang w:val="en-US" w:eastAsia="zh-CN"/>
        </w:rPr>
        <w:t>变倍率在无载荷、低速、没有摆动的情况下，在吊臂根部进行的。无论是二倍率变四倍率，还是四倍率变二倍率，都必须先将旁路开关旋转至旁路状态，使高度限位不起作用；转换完成后，必须将旁路开关恢复原有状态。</w:t>
      </w:r>
    </w:p>
    <w:p w14:paraId="73326A81">
      <w:pPr>
        <w:bidi w:val="0"/>
        <w:ind w:firstLine="480" w:firstLineChars="200"/>
        <w:rPr>
          <w:rFonts w:hint="eastAsia"/>
          <w:highlight w:val="none"/>
          <w:lang w:val="en-US" w:eastAsia="zh-CN"/>
        </w:rPr>
      </w:pPr>
      <w:r>
        <w:rPr>
          <w:rFonts w:hint="eastAsia"/>
          <w:highlight w:val="none"/>
          <w:lang w:val="en-US" w:eastAsia="zh-CN"/>
        </w:rPr>
        <w:t>当需要用2倍率工作时，操纵起升机构，使吊钩向下运动并着地，拔出挂体销轴，然后开动起升机构，收紧钢丝绳，使挂体上升至与载重小车接触。注意：起升机构的排绳情况不得有乱绳情况出现。这样起升钢丝绳系统就转换成2倍率。</w:t>
      </w:r>
    </w:p>
    <w:p w14:paraId="499CE997">
      <w:pPr>
        <w:bidi w:val="0"/>
        <w:ind w:firstLine="480" w:firstLineChars="200"/>
        <w:rPr>
          <w:rFonts w:hint="eastAsia"/>
          <w:highlight w:val="none"/>
          <w:lang w:val="en-US" w:eastAsia="zh-CN"/>
        </w:rPr>
      </w:pPr>
      <w:r>
        <w:rPr>
          <w:rFonts w:hint="eastAsia"/>
          <w:highlight w:val="none"/>
          <w:lang w:val="en-US" w:eastAsia="zh-CN"/>
        </w:rPr>
        <w:t>若要再将起升钢丝绳系统转换4倍率，则又操纵起升机构，放下吊钩至地面，并使挂体落回到吊钩的挂体槽内。插上销轴和开口销，并充分张开开口销。这样起升钢丝绳系统就自动转换为4倍率。</w:t>
      </w:r>
    </w:p>
    <w:p w14:paraId="4F4295FC">
      <w:pPr>
        <w:bidi w:val="0"/>
        <w:ind w:firstLine="480" w:firstLineChars="200"/>
        <w:rPr>
          <w:rFonts w:hint="eastAsia"/>
          <w:highlight w:val="none"/>
          <w:lang w:val="en-US" w:eastAsia="zh-CN"/>
        </w:rPr>
      </w:pPr>
      <w:r>
        <w:rPr>
          <w:rFonts w:hint="eastAsia"/>
          <w:highlight w:val="none"/>
          <w:lang w:val="en-US" w:eastAsia="zh-CN"/>
        </w:rPr>
        <w:t>塔机施工高度超过独立高度时换倍率操作建议：为防止4倍率变为2倍率时有冲顶可能、2倍率变为4倍率时吊钩上挂体无法落到地面的情况发生，建议在地面进行换倍率操作。</w:t>
      </w:r>
    </w:p>
    <w:p w14:paraId="0F6EEAE8">
      <w:pPr>
        <w:pStyle w:val="4"/>
        <w:tabs>
          <w:tab w:val="left" w:pos="0"/>
          <w:tab w:val="left" w:pos="630"/>
        </w:tabs>
        <w:bidi w:val="0"/>
        <w:rPr>
          <w:rFonts w:hint="eastAsia"/>
          <w:highlight w:val="none"/>
          <w:lang w:val="en-US" w:eastAsia="zh-CN"/>
        </w:rPr>
      </w:pPr>
      <w:bookmarkStart w:id="175" w:name="_Toc17460"/>
      <w:bookmarkStart w:id="176" w:name="_Toc13630"/>
      <w:bookmarkStart w:id="177" w:name="_Toc22118"/>
      <w:r>
        <w:rPr>
          <w:rFonts w:hint="eastAsia"/>
          <w:highlight w:val="none"/>
          <w:lang w:val="en-US" w:eastAsia="zh-CN"/>
        </w:rPr>
        <w:t>4.4.4塔吊顶升</w:t>
      </w:r>
      <w:bookmarkEnd w:id="175"/>
      <w:bookmarkEnd w:id="176"/>
      <w:bookmarkEnd w:id="177"/>
    </w:p>
    <w:p w14:paraId="278E3BA5">
      <w:pPr>
        <w:pStyle w:val="5"/>
        <w:tabs>
          <w:tab w:val="left" w:pos="0"/>
        </w:tabs>
        <w:bidi w:val="0"/>
        <w:rPr>
          <w:rFonts w:hint="eastAsia"/>
          <w:highlight w:val="none"/>
          <w:lang w:val="en-US" w:eastAsia="zh-CN"/>
        </w:rPr>
      </w:pPr>
      <w:r>
        <w:rPr>
          <w:rFonts w:hint="eastAsia"/>
          <w:highlight w:val="none"/>
          <w:lang w:val="en-US" w:eastAsia="zh-CN"/>
        </w:rPr>
        <w:t>4.4.4.1准备工作</w:t>
      </w:r>
    </w:p>
    <w:p w14:paraId="4870BFBC">
      <w:pPr>
        <w:ind w:firstLine="480" w:firstLineChars="200"/>
        <w:rPr>
          <w:rFonts w:hint="eastAsia"/>
          <w:highlight w:val="none"/>
          <w:lang w:val="en-US" w:eastAsia="zh-CN"/>
        </w:rPr>
      </w:pPr>
      <w:r>
        <w:rPr>
          <w:rFonts w:hint="eastAsia"/>
          <w:highlight w:val="none"/>
          <w:lang w:val="en-US" w:eastAsia="zh-CN"/>
        </w:rPr>
        <w:t>（1）按液压泵站要求给其油箱加油。确认电动机接线正确，风扇旋向右旋，手动阀操纵杆操纵自如，无卡滞。</w:t>
      </w:r>
    </w:p>
    <w:p w14:paraId="592BFE42">
      <w:pPr>
        <w:ind w:firstLine="480" w:firstLineChars="200"/>
        <w:rPr>
          <w:rFonts w:hint="eastAsia"/>
          <w:highlight w:val="none"/>
          <w:lang w:val="en-US" w:eastAsia="zh-CN"/>
        </w:rPr>
      </w:pPr>
      <w:r>
        <w:rPr>
          <w:rFonts w:hint="eastAsia"/>
          <w:highlight w:val="none"/>
          <w:lang w:val="en-US" w:eastAsia="zh-CN"/>
        </w:rPr>
        <w:t xml:space="preserve">（2）清理好各个标准节，在标准节连接销孔内涂上黄油，将待顶升加高用的标准节排成一排，放在顶升位置时起重臂的正下方，这样能使塔机在整个顶升加节过程中不用回转机构，能使顶升加节过程所用时间最短。 </w:t>
      </w:r>
    </w:p>
    <w:p w14:paraId="3C801FF1">
      <w:pPr>
        <w:ind w:firstLine="480" w:firstLineChars="200"/>
        <w:rPr>
          <w:rFonts w:hint="eastAsia"/>
          <w:highlight w:val="none"/>
          <w:lang w:val="en-US" w:eastAsia="zh-CN"/>
        </w:rPr>
      </w:pPr>
      <w:r>
        <w:rPr>
          <w:rFonts w:hint="eastAsia"/>
          <w:highlight w:val="none"/>
          <w:lang w:val="en-US" w:eastAsia="zh-CN"/>
        </w:rPr>
        <w:t xml:space="preserve">（3）放松电缆长度略大于总的顶升高度，并紧固好电缆。 </w:t>
      </w:r>
    </w:p>
    <w:p w14:paraId="7E3137C4">
      <w:pPr>
        <w:ind w:firstLine="480" w:firstLineChars="200"/>
        <w:rPr>
          <w:rFonts w:hint="eastAsia"/>
          <w:highlight w:val="none"/>
          <w:lang w:val="en-US" w:eastAsia="zh-CN"/>
        </w:rPr>
      </w:pPr>
      <w:r>
        <w:rPr>
          <w:rFonts w:hint="eastAsia"/>
          <w:highlight w:val="none"/>
          <w:lang w:val="en-US" w:eastAsia="zh-CN"/>
        </w:rPr>
        <w:t>（4）顶升前先将随机所配的5芯电缆（一头是一只四相极插头，另一头是五根散线（含1根地线PE））接到顶升泵站接线端子上，然后将插头插入主控柜侧壁的四相极插座内，并将驾配箱柜门面板上“顶升运行开关”打到“ON”状态，此时回转变幅限制到一档，这样就可以通过液压泵站上的操作手柄进行顶升操作。</w:t>
      </w:r>
    </w:p>
    <w:p w14:paraId="23A8EA5F">
      <w:pPr>
        <w:ind w:firstLine="480" w:firstLineChars="200"/>
        <w:rPr>
          <w:rFonts w:hint="eastAsia"/>
          <w:highlight w:val="none"/>
          <w:lang w:val="en-US" w:eastAsia="zh-CN"/>
        </w:rPr>
      </w:pPr>
      <w:r>
        <w:rPr>
          <w:rFonts w:hint="eastAsia"/>
          <w:highlight w:val="none"/>
          <w:lang w:val="en-US" w:eastAsia="zh-CN"/>
        </w:rPr>
        <w:t>（5）将起重臂旋转至爬升架前方，平衡臂处于爬升架的后方（顶升油缸正好位于平衡臂正下方）。</w:t>
      </w:r>
    </w:p>
    <w:p w14:paraId="67E65370">
      <w:pPr>
        <w:ind w:firstLine="480" w:firstLineChars="200"/>
        <w:rPr>
          <w:rFonts w:hint="eastAsia"/>
          <w:highlight w:val="none"/>
          <w:lang w:val="en-US" w:eastAsia="zh-CN"/>
        </w:rPr>
      </w:pPr>
      <w:r>
        <w:rPr>
          <w:rFonts w:hint="eastAsia"/>
          <w:highlight w:val="none"/>
          <w:lang w:val="en-US" w:eastAsia="zh-CN"/>
        </w:rPr>
        <w:t>（6）在爬升架平台上准备好塔身销轴。</w:t>
      </w:r>
    </w:p>
    <w:p w14:paraId="56AB74C4">
      <w:pPr>
        <w:pStyle w:val="5"/>
        <w:tabs>
          <w:tab w:val="left" w:pos="0"/>
        </w:tabs>
        <w:bidi w:val="0"/>
        <w:rPr>
          <w:rFonts w:hint="eastAsia"/>
          <w:highlight w:val="none"/>
          <w:lang w:val="en-US" w:eastAsia="zh-CN"/>
        </w:rPr>
      </w:pPr>
      <w:r>
        <w:rPr>
          <w:rFonts w:hint="eastAsia"/>
          <w:highlight w:val="none"/>
          <w:lang w:val="en-US" w:eastAsia="zh-CN"/>
        </w:rPr>
        <w:t>4.4.4.2顶升注意事项</w:t>
      </w:r>
    </w:p>
    <w:p w14:paraId="0800436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（1）顶升前塔机回转部分必须进行配平。</w:t>
      </w:r>
    </w:p>
    <w:p w14:paraId="73FDBB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（2）塔机最高处风速大于 14m/s 时，不得进行顶升作业。</w:t>
      </w:r>
    </w:p>
    <w:p w14:paraId="2A768F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（3）顶升作业前，一定要检查顶升系统的工作是否正常。</w:t>
      </w:r>
    </w:p>
    <w:p w14:paraId="590098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（4）检查滚轮间隙，当滚轮间隙大于 3mm 时，需要调整间隙到 1-3mm。</w:t>
      </w:r>
    </w:p>
    <w:p w14:paraId="3D5954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（5）严禁在顶升系统正在顶起或已顶起时进行吊重（上升或下降）。</w:t>
      </w:r>
    </w:p>
    <w:p w14:paraId="0C80B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（6）严禁在顶升系统正在顶起或已顶起时进行小车移动。</w:t>
      </w:r>
    </w:p>
    <w:p w14:paraId="495C43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（7）顶升过程中必须保证起重臂与引入标准节方向一致，并利用回转机构制动器将起重臂制动住，载重小车必须停在顶升配平位置。</w:t>
      </w:r>
    </w:p>
    <w:p w14:paraId="720373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（8）若要连续加高几节标准节，则每加完一节后，用塔机自身起吊下一节标准节前，塔身各主弦杆和过渡节必须用4个Φ70的销轴连接。</w:t>
      </w:r>
    </w:p>
    <w:p w14:paraId="059977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（9）所加标准节上的踏步，必须与已装标准节踏步对齐。</w:t>
      </w:r>
    </w:p>
    <w:p w14:paraId="2082D7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（10）无论顶升是否完成，在过渡节与塔身没有用Φ70销轴连接好之前，严禁进行起重臂回转、载重小车变幅和吊装作业。</w:t>
      </w:r>
    </w:p>
    <w:p w14:paraId="3B1CB2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（11）在顶升过程中，若液压顶升系统出现异常，应立即停止顶升，收回油缸，将过渡节落在塔身顶部，并用4件Φ70销轴将过渡节与塔身连接牢靠后，再排除液压系统的故障。</w:t>
      </w:r>
    </w:p>
    <w:p w14:paraId="54C7B05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（2）塔机加节达到所需工作高度（但不超过独立高度）后，应旋转起重臂至不同的角度，检查塔身各接头处、基础支腿处销轴的连接情况。</w:t>
      </w:r>
    </w:p>
    <w:p w14:paraId="56E149EA">
      <w:pPr>
        <w:pStyle w:val="5"/>
        <w:tabs>
          <w:tab w:val="left" w:pos="0"/>
        </w:tabs>
        <w:bidi w:val="0"/>
        <w:rPr>
          <w:rFonts w:hint="eastAsia"/>
          <w:highlight w:val="none"/>
          <w:lang w:val="en-US" w:eastAsia="zh-CN"/>
        </w:rPr>
      </w:pPr>
      <w:r>
        <w:rPr>
          <w:rFonts w:hint="eastAsia"/>
          <w:highlight w:val="none"/>
          <w:lang w:val="en-US" w:eastAsia="zh-CN"/>
        </w:rPr>
        <w:t>4.4.4.3顶升前配平</w:t>
      </w:r>
    </w:p>
    <w:p w14:paraId="05F0FE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塔机配平前，必须先通过4套卸扣将标准节与引进系统的提升装置连接好，然后将提升装置连同标准节用引进系统的专用吊钩吊起，放置在过渡节引进梁上，再将载重小车运行到下表所示的配平参考位置，然后单独吊起一节标准节或其他约同等重量的重物（表中载重小车的位置是个近似值，顶升时还必须根据实际情况的需要进行调整）。然后拆除过渡节与标准节的连接销轴。</w:t>
      </w:r>
    </w:p>
    <w:p w14:paraId="1D9833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1"/>
          <w:szCs w:val="21"/>
          <w:highlight w:val="none"/>
          <w:lang w:val="en-US" w:eastAsia="zh-CN"/>
        </w:rPr>
      </w:pPr>
      <w:r>
        <w:drawing>
          <wp:inline distT="0" distB="0" distL="114300" distR="114300">
            <wp:extent cx="5273675" cy="2228215"/>
            <wp:effectExtent l="0" t="0" r="3175" b="635"/>
            <wp:docPr id="9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pic:cNvPicPr>
                      <a:picLocks noChangeAspect="1"/>
                    </pic:cNvPicPr>
                  </pic:nvPicPr>
                  <pic:blipFill>
                    <a:blip r:embed="rId63"/>
                    <a:stretch>
                      <a:fillRect/>
                    </a:stretch>
                  </pic:blipFill>
                  <pic:spPr>
                    <a:xfrm>
                      <a:off x="0" y="0"/>
                      <a:ext cx="5273675" cy="2228215"/>
                    </a:xfrm>
                    <a:prstGeom prst="rect">
                      <a:avLst/>
                    </a:prstGeom>
                    <a:noFill/>
                    <a:ln>
                      <a:noFill/>
                    </a:ln>
                  </pic:spPr>
                </pic:pic>
              </a:graphicData>
            </a:graphic>
          </wp:inline>
        </w:drawing>
      </w:r>
      <w:r>
        <w:rPr>
          <w:rFonts w:hint="eastAsia" w:ascii="宋体" w:hAnsi="宋体" w:eastAsia="宋体" w:cs="宋体"/>
          <w:sz w:val="21"/>
          <w:szCs w:val="21"/>
          <w:highlight w:val="none"/>
          <w:lang w:val="en-US" w:eastAsia="zh-CN"/>
        </w:rPr>
        <w:t>注意：</w:t>
      </w:r>
    </w:p>
    <w:p w14:paraId="2156F01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◆配平位置为理论计算的参考位置，现场可根据实际情况进行调整；</w:t>
      </w:r>
    </w:p>
    <w:p w14:paraId="0212EE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◆使用回转机构上的回转制动器，将塔机上部机构处于回转制动状态，不允许有回转运动；</w:t>
      </w:r>
    </w:p>
    <w:p w14:paraId="46EC0D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◆将液压顶升系统操纵杆推至“顶升方向”，伸出油缸将顶升挂板挂在距离最近的一组标准节踏步的槽内，插入安全销，继续伸出油缸，使爬升架顶升至过渡节刚刚脱离塔身的主弦杆的位置；</w:t>
      </w:r>
    </w:p>
    <w:p w14:paraId="6A1EE28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检验过渡节与标准节相连的支脚与塔身主弦杆是否在同一条垂直线上，并观察爬升架上8个导轮与塔身主弦杆间隙是否基本相同（调整滚轮间隙1-3mm），以检查塔机是否平衡，若不平衡，则调整载重小车的配平位置，直至平衡，使得塔机上部重心落在顶升油缸梁的位置上；</w:t>
      </w:r>
    </w:p>
    <w:p w14:paraId="17F1602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◆记录载重小车的配平位置。注意：该位置随起重臂长度不同而改变；</w:t>
      </w:r>
    </w:p>
    <w:p w14:paraId="72573C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◆操纵液压系统使爬升架下降，连接好过渡节和塔身标准节之间的连接销轴。</w:t>
      </w:r>
    </w:p>
    <w:p w14:paraId="212FEF11">
      <w:pPr>
        <w:pStyle w:val="5"/>
        <w:tabs>
          <w:tab w:val="left" w:pos="0"/>
        </w:tabs>
        <w:bidi w:val="0"/>
        <w:rPr>
          <w:rFonts w:hint="eastAsia"/>
          <w:highlight w:val="none"/>
          <w:lang w:val="en-US" w:eastAsia="zh-CN"/>
        </w:rPr>
      </w:pPr>
      <w:r>
        <w:rPr>
          <w:rFonts w:hint="eastAsia"/>
          <w:highlight w:val="none"/>
          <w:lang w:val="en-US" w:eastAsia="zh-CN"/>
        </w:rPr>
        <w:t>4.4.4.4顶升作业</w:t>
      </w:r>
    </w:p>
    <w:p w14:paraId="7B7E31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（1）先将提升装置吊起安装在过渡节的引进梁上，再吊起一节标准节，将载重小车开至顶升平衡位置（参见顶升时配平示意图）。</w:t>
      </w:r>
    </w:p>
    <w:p w14:paraId="732946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（2）使用回转机构上的回转制动器，将塔机上部机构处于回转制动状态，不允许有回转运动。卸下塔身顶部与过渡节连接的4组销轴。</w:t>
      </w:r>
    </w:p>
    <w:p w14:paraId="5D0CEA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开动液压系统，使活塞杆伸出，将顶升横梁两端的顶升挂板放在距离最近的标准节踏步的凹槽内并顶紧（要设特别注意观察顶升横梁两端顶升挂板是否在踏步凹槽内）并插入安全销。确认无误后，将爬升架及其以上部分顶起10～50mm时停止，检查顶升横梁、爬升架等传力部件是否有异响、变形、油缸活塞杆是否自动回缩等异常现象，确认正常后，继续顶升。</w:t>
      </w:r>
    </w:p>
    <w:p w14:paraId="26BEEF92">
      <w:pPr>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rPr>
          <w:rFonts w:hint="eastAsia"/>
          <w:highlight w:val="none"/>
          <w:lang w:val="en-US" w:eastAsia="zh-CN"/>
        </w:rPr>
      </w:pPr>
      <w:r>
        <w:rPr>
          <w:rFonts w:hint="eastAsia"/>
          <w:highlight w:val="none"/>
          <w:lang w:val="en-US" w:eastAsia="zh-CN"/>
        </w:rPr>
        <w:drawing>
          <wp:inline distT="0" distB="0" distL="114300" distR="114300">
            <wp:extent cx="3332480" cy="2749550"/>
            <wp:effectExtent l="0" t="0" r="1270" b="12700"/>
            <wp:docPr id="2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4"/>
                    <pic:cNvPicPr>
                      <a:picLocks noChangeAspect="1"/>
                    </pic:cNvPicPr>
                  </pic:nvPicPr>
                  <pic:blipFill>
                    <a:blip r:embed="rId64"/>
                    <a:stretch>
                      <a:fillRect/>
                    </a:stretch>
                  </pic:blipFill>
                  <pic:spPr>
                    <a:xfrm>
                      <a:off x="0" y="0"/>
                      <a:ext cx="3332480" cy="2749550"/>
                    </a:xfrm>
                    <a:prstGeom prst="rect">
                      <a:avLst/>
                    </a:prstGeom>
                    <a:noFill/>
                    <a:ln>
                      <a:noFill/>
                    </a:ln>
                  </pic:spPr>
                </pic:pic>
              </a:graphicData>
            </a:graphic>
          </wp:inline>
        </w:drawing>
      </w:r>
    </w:p>
    <w:p w14:paraId="54D7FB97">
      <w:pPr>
        <w:pStyle w:val="14"/>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40</w:t>
      </w:r>
      <w:r>
        <w:rPr>
          <w:highlight w:val="none"/>
        </w:rPr>
        <w:fldChar w:fldCharType="end"/>
      </w:r>
      <w:r>
        <w:rPr>
          <w:rFonts w:hint="eastAsia"/>
          <w:highlight w:val="none"/>
        </w:rPr>
        <w:t>顶升作业</w:t>
      </w:r>
      <w:r>
        <w:rPr>
          <w:rFonts w:hint="eastAsia"/>
          <w:highlight w:val="none"/>
          <w:lang w:val="en-US" w:eastAsia="zh-CN"/>
        </w:rPr>
        <w:t>示意图</w:t>
      </w:r>
    </w:p>
    <w:p w14:paraId="3CEA58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顶起略超过半个标准节高度并操作爬升架上换步推杆，使换步装置顶杆位于踏步方，停止顶升，并回缩油缸，使爬升架的换步装置顶杆位于顶升横梁所在踏步的上数第二对踏步凹槽内。确认换步装置两边顶杆准确的顶在踏步凹槽内后，取出顶升挂板处的安全销轴。</w:t>
      </w:r>
    </w:p>
    <w:p w14:paraId="0C97C4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确认换步装置两边顶杆准确的顶在踏步凹槽内并承受爬升架及其以上的重量且无局部变形、异响等异常现象后，将油缸活塞全部缩回，提起顶升横梁，重新使顶升横梁的顶升挂板搁置在踏步的凹槽内，插好安全销。</w:t>
      </w:r>
    </w:p>
    <w:p w14:paraId="4FB7A5B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再次伸出油缸，将塔机上部结构再顶起略超过半个塔身节高度，此时塔身上方恰好有能装入一个塔身节的空间，用引进小车将标准节引至塔身正上方，稍微缩回油缸，使引进的标准节与下部的标准节连接头接触，再缩回油缸，对齐新引进标准节与下部标准节的连接销孔，插入8根Φ65标准销轴，敲击直至销轴孔与固定耳板孔对齐并连接锁销。</w:t>
      </w:r>
    </w:p>
    <w:p w14:paraId="01D822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（7）松开提升装置与引进标准节的卸扣，将引进小车移除后，再缩回油缸，对齐过渡节与新引进标准节连接销孔，插入8根Φ65标准销轴，敲击直至销轴孔与固定耳板孔对齐并连接锁销。</w:t>
      </w:r>
    </w:p>
    <w:p w14:paraId="3725B1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至此完成一节标准节的加节工作，若连续加几节标准节，则可按以上步骤重复几次即可。</w:t>
      </w:r>
    </w:p>
    <w:p w14:paraId="3FE245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最后一节标准节应是：一端与塔身固定，另一端与过渡节固定。</w:t>
      </w:r>
    </w:p>
    <w:p w14:paraId="3B050524">
      <w:pPr>
        <w:pStyle w:val="4"/>
        <w:tabs>
          <w:tab w:val="left" w:pos="0"/>
          <w:tab w:val="left" w:pos="630"/>
        </w:tabs>
        <w:bidi w:val="0"/>
        <w:rPr>
          <w:rFonts w:hint="eastAsia"/>
          <w:highlight w:val="none"/>
          <w:lang w:val="en-US" w:eastAsia="zh-CN"/>
        </w:rPr>
      </w:pPr>
      <w:bookmarkStart w:id="178" w:name="_Toc18449"/>
      <w:bookmarkStart w:id="179" w:name="_Toc32421"/>
      <w:bookmarkStart w:id="180" w:name="_Toc1846"/>
      <w:r>
        <w:rPr>
          <w:rFonts w:hint="eastAsia"/>
          <w:highlight w:val="none"/>
          <w:lang w:val="en-US" w:eastAsia="zh-CN"/>
        </w:rPr>
        <w:t>4.4.5安全装置的调试</w:t>
      </w:r>
      <w:bookmarkEnd w:id="178"/>
      <w:bookmarkEnd w:id="179"/>
      <w:bookmarkEnd w:id="180"/>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50.00m或超出最小幅度3.00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4819BC61">
      <w:pPr>
        <w:pStyle w:val="4"/>
        <w:tabs>
          <w:tab w:val="left" w:pos="0"/>
          <w:tab w:val="left" w:pos="630"/>
        </w:tabs>
        <w:bidi w:val="0"/>
        <w:rPr>
          <w:rFonts w:hint="eastAsia"/>
          <w:highlight w:val="none"/>
          <w:lang w:val="en-US" w:eastAsia="zh-CN"/>
        </w:rPr>
      </w:pPr>
      <w:bookmarkStart w:id="181" w:name="_Toc22016"/>
      <w:bookmarkStart w:id="182" w:name="_Toc16856"/>
      <w:bookmarkStart w:id="183" w:name="_Toc12434"/>
      <w:r>
        <w:rPr>
          <w:rFonts w:hint="eastAsia"/>
          <w:highlight w:val="none"/>
          <w:lang w:val="en-US" w:eastAsia="zh-CN"/>
        </w:rPr>
        <w:t>4.4.6塔吊的拆除</w:t>
      </w:r>
      <w:bookmarkEnd w:id="181"/>
      <w:bookmarkEnd w:id="182"/>
      <w:bookmarkEnd w:id="183"/>
    </w:p>
    <w:p w14:paraId="2859988F">
      <w:pPr>
        <w:ind w:firstLine="480" w:firstLineChars="200"/>
        <w:rPr>
          <w:rFonts w:hint="eastAsia"/>
          <w:highlight w:val="none"/>
          <w:lang w:val="en-US" w:eastAsia="zh-CN"/>
        </w:rPr>
      </w:pPr>
      <w:r>
        <w:rPr>
          <w:rFonts w:hint="eastAsia"/>
          <w:highlight w:val="none"/>
          <w:lang w:val="en-US" w:eastAsia="zh-CN"/>
        </w:rPr>
        <w:t>拆除主要考虑使用汽车吊拆除，根据塔吊布置位置与建筑物结构主体的关系，塔吊降至最低高度后拆除。因此，拆除主要分为两个阶段，一个是降节阶段，一个是拆卸阶段。首先是将塔吊降至最低高度后，后使用较小型号的吊车拆除，吊车型号初步估计为50吨汽车吊，与塔吊安装情况相仿。拆除前需拆除结构外架，若有施工电梯干涉的位置，需将施工电梯降至最低高度后拆除。具体拆除，根据拆除前的实际工况制定专项拆除方案，这里先做简要说明。拆除流程如下：</w:t>
      </w:r>
    </w:p>
    <w:p w14:paraId="7BDE14FF">
      <w:pPr>
        <w:ind w:firstLine="480" w:firstLineChars="200"/>
        <w:rPr>
          <w:rFonts w:hint="eastAsia"/>
          <w:highlight w:val="none"/>
          <w:lang w:val="en-US" w:eastAsia="zh-CN"/>
        </w:rPr>
      </w:pPr>
      <w:r>
        <w:rPr>
          <w:rFonts w:hint="eastAsia"/>
          <w:highlight w:val="none"/>
          <w:lang w:val="en-US" w:eastAsia="zh-CN"/>
        </w:rPr>
        <w:t>拆除前检查维保→降节（拆附着）至总拆高度→拆除配重（预留一块）→拆除起重臂总成→拆除剩余配重→拆除平衡臂→拆除塔帽→拆除回转支承及驾驶室→拆除套架→拆除剩余标准节。</w:t>
      </w:r>
    </w:p>
    <w:p w14:paraId="1985C02B">
      <w:pPr>
        <w:pStyle w:val="5"/>
        <w:tabs>
          <w:tab w:val="left" w:pos="0"/>
        </w:tabs>
        <w:bidi w:val="0"/>
        <w:rPr>
          <w:rFonts w:hint="eastAsia"/>
          <w:highlight w:val="none"/>
          <w:lang w:val="en-US" w:eastAsia="zh-CN"/>
        </w:rPr>
      </w:pPr>
      <w:r>
        <w:rPr>
          <w:rFonts w:hint="eastAsia"/>
          <w:highlight w:val="none"/>
          <w:lang w:val="en-US" w:eastAsia="zh-CN"/>
        </w:rPr>
        <w:t>4.4.6.1降节</w:t>
      </w:r>
    </w:p>
    <w:p w14:paraId="1E790A8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1、降节前的准备</w:t>
      </w:r>
    </w:p>
    <w:p w14:paraId="0FDF385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（1）按液压泵站要求给其油箱加油；</w:t>
      </w:r>
    </w:p>
    <w:p w14:paraId="49F945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（2）清理好降节时下方摆放标准节的场地；</w:t>
      </w:r>
    </w:p>
    <w:p w14:paraId="7440A8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（3）使降节过程所用时间最短；</w:t>
      </w:r>
    </w:p>
    <w:p w14:paraId="3050989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（4）放松电缆长度略大于总的降节高度，并紧固好电缆；</w:t>
      </w:r>
    </w:p>
    <w:p w14:paraId="4B102D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（5）将起重臂旋转至爬升架前方（顶升油缸正好位于平衡臂下方）；</w:t>
      </w:r>
    </w:p>
    <w:p w14:paraId="0013F8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（6）在引进平台上准备好引进滚轮，爬升架平台上准备好塔身高强度螺栓。</w:t>
      </w:r>
    </w:p>
    <w:p w14:paraId="37AADC5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2、降节前塔吊的配平</w:t>
      </w:r>
    </w:p>
    <w:p w14:paraId="24DF38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塔吊配平前，必须先吊一节标准节放在引进梁上，再将载重小车运行到配平参考位置，并吊起一节或其它重物（表中载重小车的位置是个近似值，顶升时还必须根据实际情况的需要进行调整）。然后拆除下支座四个支脚与标准节的连接销轴；</w:t>
      </w:r>
    </w:p>
    <w:p w14:paraId="631DD0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（2）将液压顶升系统操纵杆推至“顶升方向”，使爬升架顶升至下支座支脚刚刚脱离塔身的主弦杆的位置；</w:t>
      </w:r>
    </w:p>
    <w:p w14:paraId="131826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验下支座与标准节相连的支脚与塔身主弦杆是否在一条垂直线上，并观察爬升架上8个导轮与塔身主弦杆间隙是否基本相同，以检查塔吊是否平衡，若不平衡，则调整载重小车的配平位置，直至平衡，使得塔吊上部重心落在顶升油缸梁的位置上；</w:t>
      </w:r>
    </w:p>
    <w:p w14:paraId="25C72E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（4）记录载重小车的配平位置，也可用布条系在该处的斜腹杆上作为标志以便拆卸时用，但要注意，这个标志的位置随起重臂长度不同而改变；</w:t>
      </w:r>
    </w:p>
    <w:p w14:paraId="038B0C0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（5）操纵液压系统使套架下降，连接好下支座和塔身标准节间的连接销轴。</w:t>
      </w:r>
    </w:p>
    <w:p w14:paraId="4BEFE1F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3、降节作业</w:t>
      </w:r>
    </w:p>
    <w:p w14:paraId="0EAED5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（1）将起重臂回转到标准节的引进方向（即爬升架中有开口的一侧），使回转制动器处于制动状态，载重小车停在配平位置（即与安装塔吊中顶升加节时载重小车的配平位置一致）；</w:t>
      </w:r>
    </w:p>
    <w:p w14:paraId="228535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（2）拆除最上面标准节的上下连接销轴，并将提升装置吊钩挂在该标准节上；</w:t>
      </w:r>
    </w:p>
    <w:p w14:paraId="1908D6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（3）伸长顶升油缸，将顶升横梁顶在从上往下数第四个踏步的圆弧槽内，将上部结构顶起，当最上一节标准节离开第二节标准节顶面2-5cm左右，即停止顶升；</w:t>
      </w:r>
    </w:p>
    <w:p w14:paraId="3C5F5B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（4）将最上一节标准节沿着引进梁推出；</w:t>
      </w:r>
    </w:p>
    <w:p w14:paraId="50D4D37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（5）拨开活动爬爪，回缩油缸，让活动爬爪躲过距它最近的一对踏步后，复位放平，继续下降至活动爬爪支撑在下一对踏步上，支撑住上部结构后，再回缩油缸；</w:t>
      </w:r>
    </w:p>
    <w:p w14:paraId="7BAE3F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（6）将顶升横梁在下一对踏步上，稍微顶升至爬爪翻转时能躲过原来支撑的踏步后停止，拨开爬爪，继续回缩油缸，至下一标准节与下支座相接处为止；</w:t>
      </w:r>
    </w:p>
    <w:p w14:paraId="422F1D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（7）下支座与标准节之间用销轴连接好后，用小车吊钩将标准节吊至地面；</w:t>
      </w:r>
    </w:p>
    <w:p w14:paraId="0DC0DA6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（8）重复上述动作，将塔身标准节依次拆下，并堆放好；</w:t>
      </w:r>
    </w:p>
    <w:p w14:paraId="7672A1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（9）塔身拆至只剩下三节塔身节时，停止降节。</w:t>
      </w:r>
    </w:p>
    <w:p w14:paraId="18270699">
      <w:pPr>
        <w:pStyle w:val="5"/>
        <w:tabs>
          <w:tab w:val="left" w:pos="0"/>
        </w:tabs>
        <w:bidi w:val="0"/>
        <w:rPr>
          <w:rFonts w:hint="eastAsia"/>
          <w:highlight w:val="none"/>
          <w:lang w:val="en-US" w:eastAsia="zh-CN"/>
        </w:rPr>
      </w:pPr>
      <w:r>
        <w:rPr>
          <w:rFonts w:hint="eastAsia"/>
          <w:highlight w:val="none"/>
          <w:lang w:val="en-US" w:eastAsia="zh-CN"/>
        </w:rPr>
        <w:t>4.4.6.2汽车吊就位拆除配重</w:t>
      </w:r>
    </w:p>
    <w:p w14:paraId="0C5F532C">
      <w:pPr>
        <w:rPr>
          <w:rFonts w:hint="eastAsia"/>
          <w:highlight w:val="none"/>
          <w:lang w:val="en-US" w:eastAsia="zh-CN"/>
        </w:rPr>
      </w:pPr>
      <w:r>
        <w:rPr>
          <w:rFonts w:hint="eastAsia"/>
          <w:highlight w:val="none"/>
          <w:lang w:val="en-US" w:eastAsia="zh-CN"/>
        </w:rPr>
        <w:t>将小车固定在起重臂根部，借助辅助吊车拆卸配重。拆除顺序按照安装时相反顺序进行，将配重依次拆除，仅留下一块配重块。</w:t>
      </w:r>
    </w:p>
    <w:p w14:paraId="6343A71E">
      <w:pPr>
        <w:pStyle w:val="5"/>
        <w:tabs>
          <w:tab w:val="left" w:pos="0"/>
        </w:tabs>
        <w:bidi w:val="0"/>
        <w:rPr>
          <w:rFonts w:hint="eastAsia"/>
          <w:highlight w:val="none"/>
          <w:lang w:val="en-US" w:eastAsia="zh-CN"/>
        </w:rPr>
      </w:pPr>
      <w:r>
        <w:rPr>
          <w:rFonts w:hint="eastAsia"/>
          <w:highlight w:val="none"/>
          <w:lang w:val="en-US" w:eastAsia="zh-CN"/>
        </w:rPr>
        <w:t>4.4.6.3拆除起重臂总成</w:t>
      </w:r>
    </w:p>
    <w:p w14:paraId="74204609">
      <w:pPr>
        <w:ind w:firstLine="480" w:firstLineChars="200"/>
        <w:rPr>
          <w:rFonts w:hint="eastAsia"/>
          <w:highlight w:val="none"/>
          <w:lang w:val="en-US" w:eastAsia="zh-CN"/>
        </w:rPr>
      </w:pPr>
      <w:r>
        <w:rPr>
          <w:rFonts w:hint="eastAsia"/>
          <w:highlight w:val="none"/>
          <w:lang w:val="en-US" w:eastAsia="zh-CN"/>
        </w:rPr>
        <w:t>将汽车吊开至起重臂吊点附近位置，整理好起重臂摆放的场地，开始进行拆除工作。拆除起重钢丝绳，拆除顺序按照安装顺序相反进行。</w:t>
      </w:r>
    </w:p>
    <w:p w14:paraId="6B50E0C7">
      <w:pPr>
        <w:ind w:firstLine="480" w:firstLineChars="200"/>
        <w:rPr>
          <w:rFonts w:hint="eastAsia"/>
          <w:highlight w:val="none"/>
          <w:lang w:val="en-US" w:eastAsia="zh-CN"/>
        </w:rPr>
      </w:pPr>
      <w:r>
        <w:rPr>
          <w:rFonts w:hint="eastAsia"/>
          <w:highlight w:val="none"/>
          <w:lang w:val="en-US" w:eastAsia="zh-CN"/>
        </w:rPr>
        <w:t>汽车吊站位好，选择适合的臂长与角度，测量实际吊装半径，对照说明书查看吊装性能，确定满足起重臂的重量要求后，轻轻提起起重臂，将起升钢丝绳固定在塔顶销轴上，满满起动起升机构，使拉杆头靠近塔顶；拆去拉杆架与塔顶的连接销，放下拉杆至起重臂上固定，拆去钢丝绳，拆掉起重臂与回转塔身连接销（吊点位置与安装时一致）。</w:t>
      </w:r>
    </w:p>
    <w:p w14:paraId="7DBCE531">
      <w:pPr>
        <w:pStyle w:val="5"/>
        <w:tabs>
          <w:tab w:val="left" w:pos="0"/>
        </w:tabs>
        <w:bidi w:val="0"/>
        <w:rPr>
          <w:rFonts w:hint="eastAsia"/>
          <w:highlight w:val="none"/>
          <w:lang w:val="en-US" w:eastAsia="zh-CN"/>
        </w:rPr>
      </w:pPr>
      <w:r>
        <w:rPr>
          <w:rFonts w:hint="eastAsia"/>
          <w:highlight w:val="none"/>
          <w:lang w:val="en-US" w:eastAsia="zh-CN"/>
        </w:rPr>
        <w:t>4.4.6.4拆除剩余配重与平衡臂总成</w:t>
      </w:r>
    </w:p>
    <w:p w14:paraId="54F487C3">
      <w:pPr>
        <w:ind w:firstLine="480" w:firstLineChars="200"/>
        <w:rPr>
          <w:rFonts w:hint="eastAsia"/>
          <w:highlight w:val="none"/>
          <w:lang w:val="en-US" w:eastAsia="zh-CN"/>
        </w:rPr>
      </w:pPr>
      <w:r>
        <w:rPr>
          <w:rFonts w:hint="eastAsia"/>
          <w:highlight w:val="none"/>
          <w:lang w:val="en-US" w:eastAsia="zh-CN"/>
        </w:rPr>
        <w:t>打开回转机构，将平衡臂转至较为合适的位置。将最后一块配重拆除。</w:t>
      </w:r>
    </w:p>
    <w:p w14:paraId="3D7D92CC">
      <w:pPr>
        <w:ind w:firstLine="480" w:firstLineChars="200"/>
        <w:rPr>
          <w:rFonts w:hint="eastAsia"/>
          <w:highlight w:val="none"/>
          <w:lang w:val="en-US" w:eastAsia="zh-CN"/>
        </w:rPr>
      </w:pPr>
      <w:r>
        <w:rPr>
          <w:rFonts w:hint="eastAsia"/>
          <w:highlight w:val="none"/>
          <w:lang w:val="en-US" w:eastAsia="zh-CN"/>
        </w:rPr>
        <w:t>汽车吊选择适合臂长，吊住平衡臂吊点位置，轻轻提起平衡臂，拆去拉杆架与塔顶的连接销，放下拉杆至平衡臂臂上固定，继续提起平衡臂，解除平衡臂与塔身的连接，先解除下部连接，再解除上部连接。最后将平衡臂吊至地面。</w:t>
      </w:r>
    </w:p>
    <w:p w14:paraId="2A1696E5">
      <w:pPr>
        <w:pStyle w:val="5"/>
        <w:tabs>
          <w:tab w:val="left" w:pos="0"/>
        </w:tabs>
        <w:bidi w:val="0"/>
        <w:rPr>
          <w:rFonts w:hint="eastAsia"/>
          <w:highlight w:val="none"/>
          <w:lang w:val="en-US" w:eastAsia="zh-CN"/>
        </w:rPr>
      </w:pPr>
      <w:r>
        <w:rPr>
          <w:rFonts w:hint="eastAsia"/>
          <w:highlight w:val="none"/>
          <w:lang w:val="en-US" w:eastAsia="zh-CN"/>
        </w:rPr>
        <w:t>4.4.6.5拆除特殊节、回转支承</w:t>
      </w:r>
    </w:p>
    <w:p w14:paraId="4A1059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（1）吊起司机室，解除司机室与塔身的连接螺栓，将司机室吊至地面。</w:t>
      </w:r>
    </w:p>
    <w:p w14:paraId="4735831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（2）拆除回转支承前，拆除特殊节。</w:t>
      </w:r>
    </w:p>
    <w:p w14:paraId="112966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（3）拆除回转支承，解除回转支承与套架之间的连接销轴，将回转支承吊至地面。</w:t>
      </w:r>
    </w:p>
    <w:p w14:paraId="2E8F11A8">
      <w:pPr>
        <w:pStyle w:val="5"/>
        <w:tabs>
          <w:tab w:val="left" w:pos="0"/>
        </w:tabs>
        <w:bidi w:val="0"/>
        <w:rPr>
          <w:rFonts w:hint="eastAsia"/>
          <w:highlight w:val="none"/>
          <w:lang w:val="en-US" w:eastAsia="zh-CN"/>
        </w:rPr>
      </w:pPr>
      <w:r>
        <w:rPr>
          <w:rFonts w:hint="eastAsia"/>
          <w:highlight w:val="none"/>
          <w:lang w:val="en-US" w:eastAsia="zh-CN"/>
        </w:rPr>
        <w:t>4.4.6.6拆除爬升架与剩余塔身</w:t>
      </w:r>
    </w:p>
    <w:p w14:paraId="5F0896C1">
      <w:pPr>
        <w:ind w:firstLine="480" w:firstLineChars="200"/>
        <w:rPr>
          <w:rFonts w:hint="eastAsia"/>
          <w:highlight w:val="none"/>
          <w:lang w:val="en-US" w:eastAsia="zh-CN"/>
        </w:rPr>
      </w:pPr>
      <w:r>
        <w:rPr>
          <w:rFonts w:hint="eastAsia"/>
          <w:highlight w:val="none"/>
          <w:lang w:val="en-US" w:eastAsia="zh-CN"/>
        </w:rPr>
        <w:t>（1）按照安装时的方式，将爬升架拆至地面。考虑爬升架较长，需越过标准节的最大高度再吊至地面，汽车吊考虑选择较长的臂长，已满足吊装高度的需求。</w:t>
      </w:r>
    </w:p>
    <w:p w14:paraId="2ABA782E">
      <w:pPr>
        <w:ind w:firstLine="480" w:firstLineChars="200"/>
        <w:rPr>
          <w:rFonts w:hint="eastAsia"/>
          <w:highlight w:val="none"/>
          <w:lang w:val="en-US" w:eastAsia="zh-CN"/>
        </w:rPr>
      </w:pPr>
      <w:r>
        <w:rPr>
          <w:rFonts w:hint="eastAsia"/>
          <w:highlight w:val="none"/>
          <w:lang w:val="en-US" w:eastAsia="zh-CN"/>
        </w:rPr>
        <w:t>（2）最后拆除剩余塔身节并割掉支腿，整平场地，将塔吊部件打散装车。</w:t>
      </w:r>
    </w:p>
    <w:p w14:paraId="00AE4597">
      <w:pPr>
        <w:pStyle w:val="4"/>
        <w:tabs>
          <w:tab w:val="left" w:pos="0"/>
          <w:tab w:val="left" w:pos="630"/>
        </w:tabs>
        <w:bidi w:val="0"/>
        <w:rPr>
          <w:rFonts w:hint="eastAsia"/>
          <w:highlight w:val="none"/>
          <w:lang w:val="en-US" w:eastAsia="zh-CN"/>
        </w:rPr>
      </w:pPr>
      <w:bookmarkStart w:id="184" w:name="_Toc26099"/>
      <w:bookmarkStart w:id="185" w:name="_Toc10267"/>
      <w:bookmarkStart w:id="186" w:name="_Toc13697"/>
      <w:r>
        <w:rPr>
          <w:rFonts w:hint="eastAsia"/>
          <w:highlight w:val="none"/>
          <w:lang w:val="en-US" w:eastAsia="zh-CN"/>
        </w:rPr>
        <w:t>4.4.7塔吊的维修与保养</w:t>
      </w:r>
      <w:bookmarkEnd w:id="184"/>
      <w:bookmarkEnd w:id="185"/>
      <w:bookmarkEnd w:id="186"/>
    </w:p>
    <w:p w14:paraId="39239EAB">
      <w:pPr>
        <w:pStyle w:val="5"/>
        <w:tabs>
          <w:tab w:val="left" w:pos="0"/>
        </w:tabs>
        <w:bidi w:val="0"/>
        <w:rPr>
          <w:rFonts w:hint="eastAsia"/>
          <w:highlight w:val="none"/>
          <w:lang w:val="en-US" w:eastAsia="zh-CN"/>
        </w:rPr>
      </w:pPr>
      <w:r>
        <w:rPr>
          <w:rFonts w:hint="eastAsia"/>
          <w:highlight w:val="none"/>
          <w:lang w:val="en-US" w:eastAsia="zh-CN"/>
        </w:rPr>
        <w:t>4.4.7.1日常保养</w:t>
      </w:r>
    </w:p>
    <w:p w14:paraId="7EC1521A">
      <w:pPr>
        <w:ind w:firstLine="480" w:firstLineChars="200"/>
        <w:rPr>
          <w:rFonts w:hint="eastAsia"/>
          <w:highlight w:val="none"/>
          <w:lang w:val="en-US" w:eastAsia="zh-CN"/>
        </w:rPr>
      </w:pPr>
      <w:r>
        <w:rPr>
          <w:rFonts w:hint="eastAsia"/>
          <w:highlight w:val="none"/>
          <w:lang w:val="en-US" w:eastAsia="zh-CN"/>
        </w:rPr>
        <w:t>每班前进行检查，并做好检查记录。</w:t>
      </w:r>
    </w:p>
    <w:p w14:paraId="147140DF">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35BAA8A5">
      <w:pPr>
        <w:ind w:firstLine="480" w:firstLineChars="200"/>
        <w:rPr>
          <w:rFonts w:hint="eastAsia"/>
          <w:highlight w:val="none"/>
          <w:lang w:val="en-US" w:eastAsia="zh-CN"/>
        </w:rPr>
      </w:pPr>
      <w:r>
        <w:rPr>
          <w:rFonts w:hint="eastAsia"/>
          <w:highlight w:val="none"/>
          <w:lang w:val="en-US" w:eastAsia="zh-CN"/>
        </w:rPr>
        <w:t>（2）检查起升机构卷筒轴承与牵引机构卷筒两端轴承的润滑情况。各减速器用油标号：起升机构减速器70#工业齿轮油，回转机构减速器90#齿轮油，牵引机构减速器70#工业齿轮油。在无70#工业齿轮油时，可用40#机械油代替。</w:t>
      </w:r>
    </w:p>
    <w:p w14:paraId="3EB381D5">
      <w:pPr>
        <w:ind w:firstLine="480" w:firstLineChars="200"/>
        <w:rPr>
          <w:rFonts w:hint="eastAsia"/>
          <w:highlight w:val="none"/>
          <w:lang w:val="en-US" w:eastAsia="zh-CN"/>
        </w:rPr>
      </w:pPr>
      <w:r>
        <w:rPr>
          <w:rFonts w:hint="eastAsia"/>
          <w:highlight w:val="none"/>
          <w:lang w:val="en-US" w:eastAsia="zh-CN"/>
        </w:rPr>
        <w:t>（3）检查电源电缆线有无损坏、各连接处有无松动与磨损，消除电器设备的灰尘。检查各接触器、控制器的触头接触情况及腐蚀程度。</w:t>
      </w:r>
    </w:p>
    <w:p w14:paraId="5809AF00">
      <w:pPr>
        <w:ind w:firstLine="480" w:firstLineChars="200"/>
        <w:rPr>
          <w:rFonts w:hint="eastAsia"/>
          <w:highlight w:val="none"/>
          <w:lang w:val="en-US" w:eastAsia="zh-CN"/>
        </w:rPr>
      </w:pPr>
      <w:r>
        <w:rPr>
          <w:rFonts w:hint="eastAsia"/>
          <w:highlight w:val="none"/>
          <w:lang w:val="en-US" w:eastAsia="zh-CN"/>
        </w:rPr>
        <w:t>（4）检查各连接螺栓是否有松动或脱落，如有松动或脱落现象应及时拧紧或添补。</w:t>
      </w:r>
    </w:p>
    <w:p w14:paraId="64EA3D3D">
      <w:pPr>
        <w:ind w:firstLine="480" w:firstLineChars="200"/>
        <w:rPr>
          <w:rFonts w:hint="eastAsia"/>
          <w:highlight w:val="none"/>
          <w:lang w:val="en-US" w:eastAsia="zh-CN"/>
        </w:rPr>
      </w:pPr>
      <w:r>
        <w:rPr>
          <w:rFonts w:hint="eastAsia"/>
          <w:highlight w:val="none"/>
          <w:lang w:val="en-US" w:eastAsia="zh-CN"/>
        </w:rPr>
        <w:t>（5）检查各其重钢丝绳及牵引钢丝绳，如发现有断股或名义直径磨损超过5%的，应及时更换新钢丝绳。检查钢丝绳固定处是否牢固，绳卡螺栓是否松动，并及时进行处理。</w:t>
      </w:r>
    </w:p>
    <w:p w14:paraId="564A2463">
      <w:pPr>
        <w:ind w:firstLine="480" w:firstLineChars="200"/>
        <w:rPr>
          <w:rFonts w:hint="eastAsia"/>
          <w:highlight w:val="none"/>
          <w:lang w:val="en-US" w:eastAsia="zh-CN"/>
        </w:rPr>
      </w:pPr>
      <w:r>
        <w:rPr>
          <w:rFonts w:hint="eastAsia"/>
          <w:highlight w:val="none"/>
          <w:lang w:val="en-US" w:eastAsia="zh-CN"/>
        </w:rPr>
        <w:t>（6）检查各安全装置有无失灵，尤其是起重力矩和起重量限位器，如发现有可疑现象时，必须进行调整维修，确保其工作可靠性。检查起升和回转机构的制动效能，如不十分灵敏可靠，应及时进行维修调整。</w:t>
      </w:r>
    </w:p>
    <w:p w14:paraId="6C0CA192">
      <w:pPr>
        <w:pStyle w:val="5"/>
        <w:tabs>
          <w:tab w:val="left" w:pos="0"/>
        </w:tabs>
        <w:bidi w:val="0"/>
        <w:rPr>
          <w:rFonts w:hint="eastAsia"/>
          <w:highlight w:val="none"/>
          <w:lang w:val="en-US" w:eastAsia="zh-CN"/>
        </w:rPr>
      </w:pPr>
      <w:r>
        <w:rPr>
          <w:rFonts w:hint="eastAsia"/>
          <w:highlight w:val="none"/>
          <w:lang w:val="en-US" w:eastAsia="zh-CN"/>
        </w:rPr>
        <w:t>4.4.7.2定期保养</w:t>
      </w:r>
    </w:p>
    <w:p w14:paraId="136238B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1D4A836F">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3CCF6704">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67EBDC2A">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3A9F6E11">
      <w:pPr>
        <w:pStyle w:val="5"/>
        <w:tabs>
          <w:tab w:val="left" w:pos="0"/>
        </w:tabs>
        <w:bidi w:val="0"/>
        <w:rPr>
          <w:rFonts w:hint="eastAsia"/>
          <w:highlight w:val="none"/>
          <w:lang w:val="en-US" w:eastAsia="zh-CN"/>
        </w:rPr>
      </w:pPr>
      <w:r>
        <w:rPr>
          <w:rFonts w:hint="eastAsia"/>
          <w:highlight w:val="none"/>
          <w:lang w:val="en-US" w:eastAsia="zh-CN"/>
        </w:rPr>
        <w:t>4.4.7.3定期检查</w:t>
      </w:r>
    </w:p>
    <w:p w14:paraId="6D0158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7D15AE9B">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732D0921">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178B8F5B">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499E85FF">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131BFA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2D0FE0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81F19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108334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78511B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E3D00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（10）塔吊应每半年油漆一次，工程结束后，必须对各部件喷刷漆一次。</w:t>
      </w:r>
    </w:p>
    <w:p w14:paraId="21420B66">
      <w:pPr>
        <w:pStyle w:val="5"/>
        <w:tabs>
          <w:tab w:val="left" w:pos="0"/>
        </w:tabs>
        <w:bidi w:val="0"/>
        <w:rPr>
          <w:rFonts w:hint="eastAsia"/>
          <w:highlight w:val="none"/>
          <w:lang w:val="en-US" w:eastAsia="zh-CN"/>
        </w:rPr>
      </w:pPr>
      <w:r>
        <w:rPr>
          <w:rFonts w:hint="eastAsia"/>
          <w:highlight w:val="none"/>
          <w:lang w:val="en-US" w:eastAsia="zh-CN"/>
        </w:rPr>
        <w:t>4.4.7.4液压顶升系统的维护保养</w:t>
      </w:r>
    </w:p>
    <w:p w14:paraId="5EA6C2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0F73A6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06FE82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2F5726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7B0AE9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28C4B6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1033ED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4F9A283C">
      <w:pPr>
        <w:pStyle w:val="5"/>
        <w:tabs>
          <w:tab w:val="left" w:pos="0"/>
        </w:tabs>
        <w:bidi w:val="0"/>
        <w:rPr>
          <w:rFonts w:hint="eastAsia"/>
          <w:highlight w:val="none"/>
          <w:lang w:val="en-US" w:eastAsia="zh-CN"/>
        </w:rPr>
      </w:pPr>
      <w:r>
        <w:rPr>
          <w:rFonts w:hint="eastAsia"/>
          <w:highlight w:val="none"/>
          <w:lang w:val="en-US" w:eastAsia="zh-CN"/>
        </w:rPr>
        <w:t>4.4.7.5其他</w:t>
      </w:r>
    </w:p>
    <w:p w14:paraId="5101F220">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03A04F14">
      <w:pPr>
        <w:pStyle w:val="3"/>
        <w:tabs>
          <w:tab w:val="left" w:pos="525"/>
          <w:tab w:val="left" w:pos="601"/>
        </w:tabs>
        <w:bidi w:val="0"/>
        <w:rPr>
          <w:rFonts w:hint="default"/>
          <w:highlight w:val="none"/>
          <w:lang w:val="en-US" w:eastAsia="zh-CN"/>
        </w:rPr>
      </w:pPr>
      <w:bookmarkStart w:id="187" w:name="_Toc4173"/>
      <w:bookmarkStart w:id="188" w:name="_Toc16515"/>
      <w:bookmarkStart w:id="189" w:name="_Toc7966"/>
      <w:bookmarkStart w:id="190" w:name="_Toc4092"/>
      <w:r>
        <w:rPr>
          <w:rFonts w:hint="eastAsia"/>
          <w:highlight w:val="none"/>
          <w:lang w:val="en-US" w:eastAsia="zh-CN"/>
        </w:rPr>
        <w:t>4.5检查要求</w:t>
      </w:r>
      <w:bookmarkEnd w:id="187"/>
      <w:bookmarkEnd w:id="188"/>
      <w:bookmarkEnd w:id="189"/>
      <w:bookmarkEnd w:id="190"/>
    </w:p>
    <w:p w14:paraId="3B68E182">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7868DAA4">
      <w:pPr>
        <w:pStyle w:val="4"/>
        <w:tabs>
          <w:tab w:val="left" w:pos="0"/>
          <w:tab w:val="left" w:pos="630"/>
        </w:tabs>
        <w:bidi w:val="0"/>
        <w:rPr>
          <w:rFonts w:hint="default"/>
          <w:highlight w:val="none"/>
          <w:lang w:val="en-US" w:eastAsia="zh-CN"/>
        </w:rPr>
      </w:pPr>
      <w:bookmarkStart w:id="191" w:name="_Toc15680"/>
      <w:bookmarkStart w:id="192" w:name="_Toc18866"/>
      <w:bookmarkStart w:id="193" w:name="_Toc29217"/>
      <w:r>
        <w:rPr>
          <w:rFonts w:hint="eastAsia"/>
          <w:highlight w:val="none"/>
          <w:lang w:val="en-US" w:eastAsia="zh-CN"/>
        </w:rPr>
        <w:t>4.5.1检查内容</w:t>
      </w:r>
      <w:bookmarkEnd w:id="191"/>
      <w:bookmarkEnd w:id="192"/>
      <w:bookmarkEnd w:id="193"/>
    </w:p>
    <w:p w14:paraId="2609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吊装与拆卸过程主要材料、机械设备进场质量检查、抽检；</w:t>
      </w:r>
    </w:p>
    <w:p w14:paraId="553ABC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113364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021F8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1A3972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1597A5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3C628B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1E60D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7C644D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w:t>
      </w:r>
      <w:r>
        <w:rPr>
          <w:rFonts w:hint="default"/>
          <w:highlight w:val="none"/>
          <w:lang w:val="en-US" w:eastAsia="zh-CN"/>
        </w:rPr>
        <w:t>塔吊试验分为空负荷试验、静负荷试验和动负荷试验三个部分。</w:t>
      </w:r>
    </w:p>
    <w:p w14:paraId="54928DB3">
      <w:pPr>
        <w:pStyle w:val="4"/>
        <w:tabs>
          <w:tab w:val="left" w:pos="0"/>
          <w:tab w:val="left" w:pos="630"/>
        </w:tabs>
        <w:bidi w:val="0"/>
        <w:rPr>
          <w:rFonts w:hint="default"/>
          <w:highlight w:val="none"/>
          <w:lang w:val="en-US" w:eastAsia="zh-CN"/>
        </w:rPr>
      </w:pPr>
      <w:bookmarkStart w:id="194" w:name="_Toc25780"/>
      <w:bookmarkStart w:id="195" w:name="_Toc8784"/>
      <w:bookmarkStart w:id="196" w:name="_Toc9762"/>
      <w:r>
        <w:rPr>
          <w:rFonts w:hint="eastAsia"/>
          <w:highlight w:val="none"/>
          <w:lang w:val="en-US" w:eastAsia="zh-CN"/>
        </w:rPr>
        <w:t>4.5.2空负荷试验</w:t>
      </w:r>
      <w:bookmarkEnd w:id="194"/>
      <w:bookmarkEnd w:id="195"/>
      <w:bookmarkEnd w:id="196"/>
    </w:p>
    <w:p w14:paraId="008909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2D8EC1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（1）各塔吊在其各自有效的工作幅度之间以额定速度行走全程，空钩提升、下降各3次；</w:t>
      </w:r>
    </w:p>
    <w:p w14:paraId="5ABCB7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4E551A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049762A3">
      <w:pPr>
        <w:pStyle w:val="4"/>
        <w:tabs>
          <w:tab w:val="left" w:pos="0"/>
          <w:tab w:val="left" w:pos="630"/>
        </w:tabs>
        <w:bidi w:val="0"/>
        <w:rPr>
          <w:rFonts w:hint="default"/>
          <w:highlight w:val="none"/>
          <w:lang w:val="en-US" w:eastAsia="zh-CN"/>
        </w:rPr>
      </w:pPr>
      <w:bookmarkStart w:id="197" w:name="_Toc921"/>
      <w:bookmarkStart w:id="198" w:name="_Toc18760"/>
      <w:bookmarkStart w:id="199" w:name="_Toc9906"/>
      <w:r>
        <w:rPr>
          <w:rFonts w:hint="eastAsia"/>
          <w:highlight w:val="none"/>
          <w:lang w:val="en-US" w:eastAsia="zh-CN"/>
        </w:rPr>
        <w:t>4.5.3静负荷试验</w:t>
      </w:r>
      <w:bookmarkEnd w:id="197"/>
      <w:bookmarkEnd w:id="198"/>
      <w:bookmarkEnd w:id="199"/>
    </w:p>
    <w:p w14:paraId="0F6C830F">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2890EC3F">
      <w:pPr>
        <w:pStyle w:val="4"/>
        <w:tabs>
          <w:tab w:val="left" w:pos="0"/>
          <w:tab w:val="left" w:pos="630"/>
        </w:tabs>
        <w:bidi w:val="0"/>
        <w:rPr>
          <w:rFonts w:hint="default"/>
          <w:highlight w:val="none"/>
          <w:lang w:val="en-US" w:eastAsia="zh-CN"/>
        </w:rPr>
      </w:pPr>
      <w:bookmarkStart w:id="200" w:name="_Toc969"/>
      <w:bookmarkStart w:id="201" w:name="_Toc9563"/>
      <w:bookmarkStart w:id="202" w:name="_Toc29119"/>
      <w:r>
        <w:rPr>
          <w:rFonts w:hint="eastAsia"/>
          <w:highlight w:val="none"/>
          <w:lang w:val="en-US" w:eastAsia="zh-CN"/>
        </w:rPr>
        <w:t>4.5.4动负荷试验</w:t>
      </w:r>
      <w:bookmarkEnd w:id="200"/>
      <w:bookmarkEnd w:id="201"/>
      <w:bookmarkEnd w:id="202"/>
    </w:p>
    <w:p w14:paraId="66FA81E4">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53127F8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460CD896">
      <w:pPr>
        <w:pStyle w:val="14"/>
        <w:rPr>
          <w:rFonts w:hint="default" w:eastAsia="黑体"/>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11</w:t>
      </w:r>
      <w:r>
        <w:rPr>
          <w:highlight w:val="none"/>
        </w:rPr>
        <w:fldChar w:fldCharType="end"/>
      </w:r>
      <w:r>
        <w:rPr>
          <w:rFonts w:hint="eastAsia"/>
          <w:highlight w:val="none"/>
          <w:lang w:val="en-US" w:eastAsia="zh-CN"/>
        </w:rPr>
        <w:t>试验荷载表</w:t>
      </w:r>
    </w:p>
    <w:tbl>
      <w:tblPr>
        <w:tblStyle w:val="28"/>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5F073F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4FBC676C">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58C0D61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10DCDC6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75DA8A6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333CF5C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09B2850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380690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67513ED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45</w:t>
            </w:r>
            <w:r>
              <w:rPr>
                <w:rFonts w:hint="eastAsia" w:ascii="宋体" w:hAnsi="宋体" w:eastAsia="宋体" w:cs="宋体"/>
                <w:color w:val="000000"/>
                <w:sz w:val="21"/>
                <w:szCs w:val="21"/>
                <w:highlight w:val="none"/>
              </w:rPr>
              <w:t>m</w:t>
            </w:r>
          </w:p>
        </w:tc>
        <w:tc>
          <w:tcPr>
            <w:tcW w:w="1641" w:type="dxa"/>
            <w:tcBorders>
              <w:tl2br w:val="nil"/>
              <w:tr2bl w:val="nil"/>
            </w:tcBorders>
            <w:noWrap w:val="0"/>
            <w:vAlign w:val="center"/>
          </w:tcPr>
          <w:p w14:paraId="57F7E85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19.1</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A8E9A1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33532B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45</w:t>
            </w:r>
            <w:r>
              <w:rPr>
                <w:rFonts w:hint="eastAsia" w:ascii="宋体" w:hAnsi="宋体" w:eastAsia="宋体" w:cs="宋体"/>
                <w:color w:val="000000"/>
                <w:sz w:val="21"/>
                <w:szCs w:val="21"/>
                <w:highlight w:val="none"/>
              </w:rPr>
              <w:t>m</w:t>
            </w:r>
          </w:p>
        </w:tc>
        <w:tc>
          <w:tcPr>
            <w:tcW w:w="1674" w:type="dxa"/>
            <w:tcBorders>
              <w:tl2br w:val="nil"/>
              <w:tr2bl w:val="nil"/>
            </w:tcBorders>
            <w:noWrap w:val="0"/>
            <w:vAlign w:val="center"/>
          </w:tcPr>
          <w:p w14:paraId="7A7A25C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8</w:t>
            </w:r>
            <w:r>
              <w:rPr>
                <w:rFonts w:hint="eastAsia" w:ascii="宋体" w:hAnsi="宋体" w:eastAsia="宋体" w:cs="宋体"/>
                <w:color w:val="000000"/>
                <w:sz w:val="21"/>
                <w:szCs w:val="21"/>
                <w:highlight w:val="none"/>
              </w:rPr>
              <w:t>t</w:t>
            </w:r>
          </w:p>
        </w:tc>
      </w:tr>
    </w:tbl>
    <w:p w14:paraId="42507EEF">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200mm处，并在吊钩上逐次增加重量至1.25倍，停留10min，卸载后检查金属结构及焊缝是否出现可见裂纹，永久变形、连接松动。（注意：静态超载实验不允许进行变幅及回转）</w:t>
      </w:r>
    </w:p>
    <w:p w14:paraId="1CD3912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06D396B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对各机构对应的全程范围内进行3次动作，各机构应动作灵活，制动器动作可靠。机构及结构各部件无异常现象，连接无松动和破坏。</w:t>
      </w:r>
    </w:p>
    <w:tbl>
      <w:tblPr>
        <w:tblStyle w:val="28"/>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4B9FB4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2DBDFB18">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350A3DF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4C3F8F2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0AAC108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62D3D4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5FA517C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66CB06C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1868505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45</w:t>
            </w:r>
            <w:r>
              <w:rPr>
                <w:rFonts w:hint="eastAsia" w:ascii="宋体" w:hAnsi="宋体" w:eastAsia="宋体" w:cs="宋体"/>
                <w:color w:val="000000"/>
                <w:sz w:val="21"/>
                <w:szCs w:val="21"/>
                <w:highlight w:val="none"/>
              </w:rPr>
              <w:t>m</w:t>
            </w:r>
          </w:p>
        </w:tc>
        <w:tc>
          <w:tcPr>
            <w:tcW w:w="1641" w:type="dxa"/>
            <w:tcBorders>
              <w:tl2br w:val="nil"/>
              <w:tr2bl w:val="nil"/>
            </w:tcBorders>
            <w:noWrap w:val="0"/>
            <w:vAlign w:val="center"/>
          </w:tcPr>
          <w:p w14:paraId="7A12E4F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19.1</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6B8FE13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17.6</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4F38572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45</w:t>
            </w:r>
            <w:r>
              <w:rPr>
                <w:rFonts w:hint="eastAsia" w:ascii="宋体" w:hAnsi="宋体" w:eastAsia="宋体" w:cs="宋体"/>
                <w:color w:val="000000"/>
                <w:sz w:val="21"/>
                <w:szCs w:val="21"/>
                <w:highlight w:val="none"/>
              </w:rPr>
              <w:t>m</w:t>
            </w:r>
          </w:p>
        </w:tc>
        <w:tc>
          <w:tcPr>
            <w:tcW w:w="1674" w:type="dxa"/>
            <w:tcBorders>
              <w:tl2br w:val="nil"/>
              <w:tr2bl w:val="nil"/>
            </w:tcBorders>
            <w:noWrap w:val="0"/>
            <w:vAlign w:val="center"/>
          </w:tcPr>
          <w:p w14:paraId="52E23FC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7.04</w:t>
            </w:r>
            <w:r>
              <w:rPr>
                <w:rFonts w:hint="eastAsia" w:ascii="宋体" w:hAnsi="宋体" w:eastAsia="宋体" w:cs="宋体"/>
                <w:color w:val="000000"/>
                <w:sz w:val="21"/>
                <w:szCs w:val="21"/>
                <w:highlight w:val="none"/>
              </w:rPr>
              <w:t>t</w:t>
            </w:r>
          </w:p>
        </w:tc>
      </w:tr>
    </w:tbl>
    <w:p w14:paraId="3BD3AC3C">
      <w:pPr>
        <w:pStyle w:val="27"/>
        <w:rPr>
          <w:rFonts w:hint="eastAsia" w:ascii="宋体" w:hAnsi="宋体" w:cs="宋体"/>
          <w:color w:val="000000"/>
          <w:sz w:val="24"/>
          <w:szCs w:val="24"/>
          <w:highlight w:val="none"/>
        </w:rPr>
      </w:pPr>
    </w:p>
    <w:p w14:paraId="32C7022F">
      <w:pPr>
        <w:pStyle w:val="14"/>
        <w:bidi w:val="0"/>
        <w:rPr>
          <w:highlight w:val="none"/>
        </w:rPr>
      </w:pPr>
      <w:bookmarkStart w:id="203" w:name="_Hlk34310105"/>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12</w:t>
      </w:r>
      <w:r>
        <w:rPr>
          <w:highlight w:val="none"/>
        </w:rPr>
        <w:fldChar w:fldCharType="end"/>
      </w:r>
      <w:r>
        <w:rPr>
          <w:rFonts w:hint="eastAsia"/>
          <w:highlight w:val="none"/>
        </w:rPr>
        <w:t>塔式起重机检查表</w:t>
      </w:r>
    </w:p>
    <w:tbl>
      <w:tblPr>
        <w:tblStyle w:val="28"/>
        <w:tblpPr w:leftFromText="180" w:rightFromText="180" w:vertAnchor="text" w:tblpXSpec="center" w:tblpY="1"/>
        <w:tblOverlap w:val="never"/>
        <w:tblW w:w="10136"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51"/>
        <w:gridCol w:w="723"/>
        <w:gridCol w:w="418"/>
        <w:gridCol w:w="1586"/>
        <w:gridCol w:w="2142"/>
        <w:gridCol w:w="1237"/>
        <w:gridCol w:w="722"/>
        <w:gridCol w:w="1418"/>
        <w:gridCol w:w="1239"/>
      </w:tblGrid>
      <w:tr w14:paraId="7AA969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2D1C0D8B">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工程名称</w:t>
            </w:r>
          </w:p>
        </w:tc>
        <w:tc>
          <w:tcPr>
            <w:tcW w:w="8344" w:type="dxa"/>
            <w:gridSpan w:val="6"/>
            <w:tcBorders>
              <w:tl2br w:val="nil"/>
              <w:tr2bl w:val="nil"/>
            </w:tcBorders>
            <w:vAlign w:val="center"/>
          </w:tcPr>
          <w:p w14:paraId="4ADF7009">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7B8D1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3FC1FDD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总包单位</w:t>
            </w:r>
          </w:p>
        </w:tc>
        <w:tc>
          <w:tcPr>
            <w:tcW w:w="5687" w:type="dxa"/>
            <w:gridSpan w:val="4"/>
            <w:tcBorders>
              <w:tl2br w:val="nil"/>
              <w:tr2bl w:val="nil"/>
            </w:tcBorders>
            <w:vAlign w:val="center"/>
          </w:tcPr>
          <w:p w14:paraId="5937231C">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740379C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c>
          <w:tcPr>
            <w:tcW w:w="1239" w:type="dxa"/>
            <w:tcBorders>
              <w:tl2br w:val="nil"/>
              <w:tr2bl w:val="nil"/>
            </w:tcBorders>
            <w:vAlign w:val="center"/>
          </w:tcPr>
          <w:p w14:paraId="33577C73">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0D6A38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4B6D69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w:t>
            </w:r>
          </w:p>
        </w:tc>
        <w:tc>
          <w:tcPr>
            <w:tcW w:w="5687" w:type="dxa"/>
            <w:gridSpan w:val="4"/>
            <w:tcBorders>
              <w:tl2br w:val="nil"/>
              <w:tr2bl w:val="nil"/>
            </w:tcBorders>
            <w:vAlign w:val="center"/>
          </w:tcPr>
          <w:p w14:paraId="63C70763">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13CB397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使用负责人</w:t>
            </w:r>
          </w:p>
        </w:tc>
        <w:tc>
          <w:tcPr>
            <w:tcW w:w="1239" w:type="dxa"/>
            <w:tcBorders>
              <w:tl2br w:val="nil"/>
              <w:tr2bl w:val="nil"/>
            </w:tcBorders>
            <w:vAlign w:val="center"/>
          </w:tcPr>
          <w:p w14:paraId="78CF13ED">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96BD4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02EA2CB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安装单位</w:t>
            </w:r>
          </w:p>
        </w:tc>
        <w:tc>
          <w:tcPr>
            <w:tcW w:w="5687" w:type="dxa"/>
            <w:gridSpan w:val="4"/>
            <w:tcBorders>
              <w:tl2br w:val="nil"/>
              <w:tr2bl w:val="nil"/>
            </w:tcBorders>
            <w:vAlign w:val="center"/>
          </w:tcPr>
          <w:p w14:paraId="3270D390">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32629EA">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安装负责人</w:t>
            </w:r>
          </w:p>
        </w:tc>
        <w:tc>
          <w:tcPr>
            <w:tcW w:w="1239" w:type="dxa"/>
            <w:tcBorders>
              <w:tl2br w:val="nil"/>
              <w:tr2bl w:val="nil"/>
            </w:tcBorders>
            <w:vAlign w:val="center"/>
          </w:tcPr>
          <w:p w14:paraId="348EAE12">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3CC94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56B583EE">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检测单位</w:t>
            </w:r>
          </w:p>
        </w:tc>
        <w:tc>
          <w:tcPr>
            <w:tcW w:w="5687" w:type="dxa"/>
            <w:gridSpan w:val="4"/>
            <w:tcBorders>
              <w:tl2br w:val="nil"/>
              <w:tr2bl w:val="nil"/>
            </w:tcBorders>
            <w:vAlign w:val="center"/>
          </w:tcPr>
          <w:p w14:paraId="595E005D">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0B15E7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资质证号</w:t>
            </w:r>
          </w:p>
        </w:tc>
        <w:tc>
          <w:tcPr>
            <w:tcW w:w="1239" w:type="dxa"/>
            <w:tcBorders>
              <w:tl2br w:val="nil"/>
              <w:tr2bl w:val="nil"/>
            </w:tcBorders>
            <w:vAlign w:val="center"/>
          </w:tcPr>
          <w:p w14:paraId="3F20082C">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50654A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7227A39">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3728" w:type="dxa"/>
            <w:gridSpan w:val="2"/>
            <w:tcBorders>
              <w:tl2br w:val="nil"/>
              <w:tr2bl w:val="nil"/>
            </w:tcBorders>
            <w:vAlign w:val="center"/>
          </w:tcPr>
          <w:p w14:paraId="6ECA5768">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25140240">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规格型号</w:t>
            </w:r>
          </w:p>
        </w:tc>
        <w:tc>
          <w:tcPr>
            <w:tcW w:w="2657" w:type="dxa"/>
            <w:gridSpan w:val="2"/>
            <w:tcBorders>
              <w:tl2br w:val="nil"/>
              <w:tr2bl w:val="nil"/>
            </w:tcBorders>
            <w:vAlign w:val="center"/>
          </w:tcPr>
          <w:p w14:paraId="1F8738B4">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74E2458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45333F5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使用地点</w:t>
            </w:r>
          </w:p>
        </w:tc>
        <w:tc>
          <w:tcPr>
            <w:tcW w:w="3728" w:type="dxa"/>
            <w:gridSpan w:val="2"/>
            <w:tcBorders>
              <w:tl2br w:val="nil"/>
              <w:tr2bl w:val="nil"/>
            </w:tcBorders>
            <w:vAlign w:val="center"/>
          </w:tcPr>
          <w:p w14:paraId="33F1D18F">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09F589B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安装日期</w:t>
            </w:r>
          </w:p>
        </w:tc>
        <w:tc>
          <w:tcPr>
            <w:tcW w:w="2657" w:type="dxa"/>
            <w:gridSpan w:val="2"/>
            <w:tcBorders>
              <w:tl2br w:val="nil"/>
              <w:tr2bl w:val="nil"/>
            </w:tcBorders>
            <w:vAlign w:val="center"/>
          </w:tcPr>
          <w:p w14:paraId="10777546">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F3325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D817621">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序号</w:t>
            </w:r>
          </w:p>
        </w:tc>
        <w:tc>
          <w:tcPr>
            <w:tcW w:w="723" w:type="dxa"/>
            <w:tcBorders>
              <w:tl2br w:val="nil"/>
              <w:tr2bl w:val="nil"/>
            </w:tcBorders>
            <w:vAlign w:val="center"/>
          </w:tcPr>
          <w:p w14:paraId="0381D7FF">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w:t>
            </w:r>
          </w:p>
          <w:p w14:paraId="4D1EE1DA">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项目</w:t>
            </w:r>
          </w:p>
        </w:tc>
        <w:tc>
          <w:tcPr>
            <w:tcW w:w="6105" w:type="dxa"/>
            <w:gridSpan w:val="5"/>
            <w:tcBorders>
              <w:tl2br w:val="nil"/>
              <w:tr2bl w:val="nil"/>
            </w:tcBorders>
            <w:vAlign w:val="center"/>
          </w:tcPr>
          <w:p w14:paraId="69716014">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检查内容及要求</w:t>
            </w:r>
          </w:p>
        </w:tc>
        <w:tc>
          <w:tcPr>
            <w:tcW w:w="2657" w:type="dxa"/>
            <w:gridSpan w:val="2"/>
            <w:tcBorders>
              <w:tl2br w:val="nil"/>
              <w:tr2bl w:val="nil"/>
            </w:tcBorders>
            <w:vAlign w:val="center"/>
          </w:tcPr>
          <w:p w14:paraId="4ED03A98">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检查结果</w:t>
            </w:r>
          </w:p>
        </w:tc>
      </w:tr>
      <w:tr w14:paraId="351309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8E766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723" w:type="dxa"/>
            <w:vMerge w:val="restart"/>
            <w:tcBorders>
              <w:tl2br w:val="nil"/>
              <w:tr2bl w:val="nil"/>
            </w:tcBorders>
            <w:vAlign w:val="center"/>
          </w:tcPr>
          <w:p w14:paraId="5C54D56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w:t>
            </w:r>
          </w:p>
          <w:p w14:paraId="00DD1BA0">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w:t>
            </w:r>
          </w:p>
          <w:p w14:paraId="136F2C51">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与</w:t>
            </w:r>
          </w:p>
          <w:p w14:paraId="0D2F8148">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w:t>
            </w:r>
          </w:p>
          <w:p w14:paraId="3921CBA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料</w:t>
            </w:r>
          </w:p>
        </w:tc>
        <w:tc>
          <w:tcPr>
            <w:tcW w:w="6105" w:type="dxa"/>
            <w:gridSpan w:val="5"/>
            <w:tcBorders>
              <w:tl2br w:val="nil"/>
              <w:tr2bl w:val="nil"/>
            </w:tcBorders>
            <w:vAlign w:val="center"/>
          </w:tcPr>
          <w:p w14:paraId="6EFEAD9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生产单位、安装单位的资质</w:t>
            </w:r>
          </w:p>
        </w:tc>
        <w:tc>
          <w:tcPr>
            <w:tcW w:w="2657" w:type="dxa"/>
            <w:gridSpan w:val="2"/>
            <w:tcBorders>
              <w:tl2br w:val="nil"/>
              <w:tr2bl w:val="nil"/>
            </w:tcBorders>
            <w:vAlign w:val="center"/>
          </w:tcPr>
          <w:p w14:paraId="62C412F0">
            <w:pPr>
              <w:spacing w:line="240" w:lineRule="exact"/>
              <w:ind w:firstLine="0" w:firstLineChars="0"/>
              <w:jc w:val="center"/>
              <w:rPr>
                <w:rFonts w:hint="eastAsia" w:ascii="仿宋" w:hAnsi="仿宋" w:eastAsia="仿宋" w:cs="仿宋"/>
                <w:color w:val="000000"/>
                <w:sz w:val="21"/>
                <w:szCs w:val="21"/>
                <w:highlight w:val="none"/>
              </w:rPr>
            </w:pPr>
          </w:p>
        </w:tc>
      </w:tr>
      <w:tr w14:paraId="1514AF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A9F265A">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723" w:type="dxa"/>
            <w:vMerge w:val="continue"/>
            <w:tcBorders>
              <w:tl2br w:val="nil"/>
              <w:tr2bl w:val="nil"/>
            </w:tcBorders>
            <w:vAlign w:val="center"/>
          </w:tcPr>
          <w:p w14:paraId="623A8C52">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9EEECD0">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经签认的设备进场/复工验收记录</w:t>
            </w:r>
          </w:p>
        </w:tc>
        <w:tc>
          <w:tcPr>
            <w:tcW w:w="2657" w:type="dxa"/>
            <w:gridSpan w:val="2"/>
            <w:tcBorders>
              <w:tl2br w:val="nil"/>
              <w:tr2bl w:val="nil"/>
            </w:tcBorders>
            <w:vAlign w:val="center"/>
          </w:tcPr>
          <w:p w14:paraId="6C98B5A5">
            <w:pPr>
              <w:spacing w:line="240" w:lineRule="exact"/>
              <w:ind w:firstLine="0" w:firstLineChars="0"/>
              <w:jc w:val="center"/>
              <w:rPr>
                <w:rFonts w:hint="eastAsia" w:ascii="仿宋" w:hAnsi="仿宋" w:eastAsia="仿宋" w:cs="仿宋"/>
                <w:color w:val="000000"/>
                <w:sz w:val="21"/>
                <w:szCs w:val="21"/>
                <w:highlight w:val="none"/>
              </w:rPr>
            </w:pPr>
          </w:p>
        </w:tc>
      </w:tr>
      <w:tr w14:paraId="1D8240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3DFC7D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723" w:type="dxa"/>
            <w:vMerge w:val="continue"/>
            <w:tcBorders>
              <w:tl2br w:val="nil"/>
              <w:tr2bl w:val="nil"/>
            </w:tcBorders>
            <w:vAlign w:val="center"/>
          </w:tcPr>
          <w:p w14:paraId="3980932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6BC10C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基础的的检测和验收记录</w:t>
            </w:r>
          </w:p>
        </w:tc>
        <w:tc>
          <w:tcPr>
            <w:tcW w:w="2657" w:type="dxa"/>
            <w:gridSpan w:val="2"/>
            <w:tcBorders>
              <w:tl2br w:val="nil"/>
              <w:tr2bl w:val="nil"/>
            </w:tcBorders>
            <w:vAlign w:val="center"/>
          </w:tcPr>
          <w:p w14:paraId="5BB2BE98">
            <w:pPr>
              <w:spacing w:line="240" w:lineRule="exact"/>
              <w:ind w:firstLine="0" w:firstLineChars="0"/>
              <w:jc w:val="center"/>
              <w:rPr>
                <w:rFonts w:hint="eastAsia" w:ascii="仿宋" w:hAnsi="仿宋" w:eastAsia="仿宋" w:cs="仿宋"/>
                <w:color w:val="000000"/>
                <w:sz w:val="21"/>
                <w:szCs w:val="21"/>
                <w:highlight w:val="none"/>
              </w:rPr>
            </w:pPr>
          </w:p>
        </w:tc>
      </w:tr>
      <w:tr w14:paraId="65A6D2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741C9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723" w:type="dxa"/>
            <w:vMerge w:val="continue"/>
            <w:tcBorders>
              <w:tl2br w:val="nil"/>
              <w:tr2bl w:val="nil"/>
            </w:tcBorders>
            <w:vAlign w:val="center"/>
          </w:tcPr>
          <w:p w14:paraId="48D6E631">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EFED8E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外租或协作单位塔式起重机，出厂年限不得超过5年；自有塔式起重机按照公司相关要求进行管理和使用。</w:t>
            </w:r>
          </w:p>
        </w:tc>
        <w:tc>
          <w:tcPr>
            <w:tcW w:w="2657" w:type="dxa"/>
            <w:gridSpan w:val="2"/>
            <w:tcBorders>
              <w:tl2br w:val="nil"/>
              <w:tr2bl w:val="nil"/>
            </w:tcBorders>
            <w:vAlign w:val="center"/>
          </w:tcPr>
          <w:p w14:paraId="01C8B2C7">
            <w:pPr>
              <w:spacing w:line="240" w:lineRule="exact"/>
              <w:ind w:firstLine="0" w:firstLineChars="0"/>
              <w:jc w:val="center"/>
              <w:rPr>
                <w:rFonts w:hint="eastAsia" w:ascii="仿宋" w:hAnsi="仿宋" w:eastAsia="仿宋" w:cs="仿宋"/>
                <w:color w:val="000000"/>
                <w:sz w:val="21"/>
                <w:szCs w:val="21"/>
                <w:highlight w:val="none"/>
              </w:rPr>
            </w:pPr>
          </w:p>
        </w:tc>
      </w:tr>
      <w:tr w14:paraId="4C73C6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29CD0C">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723" w:type="dxa"/>
            <w:vMerge w:val="continue"/>
            <w:tcBorders>
              <w:tl2br w:val="nil"/>
              <w:tr2bl w:val="nil"/>
            </w:tcBorders>
            <w:vAlign w:val="center"/>
          </w:tcPr>
          <w:p w14:paraId="55A7FB7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657421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维修保养制度/措施、计划；日常维护保养记录</w:t>
            </w:r>
          </w:p>
        </w:tc>
        <w:tc>
          <w:tcPr>
            <w:tcW w:w="2657" w:type="dxa"/>
            <w:gridSpan w:val="2"/>
            <w:tcBorders>
              <w:tl2br w:val="nil"/>
              <w:tr2bl w:val="nil"/>
            </w:tcBorders>
            <w:vAlign w:val="center"/>
          </w:tcPr>
          <w:p w14:paraId="76BABAC1">
            <w:pPr>
              <w:spacing w:line="240" w:lineRule="exact"/>
              <w:ind w:firstLine="0" w:firstLineChars="0"/>
              <w:jc w:val="center"/>
              <w:rPr>
                <w:rFonts w:hint="eastAsia" w:ascii="仿宋" w:hAnsi="仿宋" w:eastAsia="仿宋" w:cs="仿宋"/>
                <w:color w:val="000000"/>
                <w:sz w:val="21"/>
                <w:szCs w:val="21"/>
                <w:highlight w:val="none"/>
              </w:rPr>
            </w:pPr>
          </w:p>
        </w:tc>
      </w:tr>
      <w:tr w14:paraId="2D8922E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4122F6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723" w:type="dxa"/>
            <w:vMerge w:val="continue"/>
            <w:tcBorders>
              <w:tl2br w:val="nil"/>
              <w:tr2bl w:val="nil"/>
            </w:tcBorders>
            <w:vAlign w:val="center"/>
          </w:tcPr>
          <w:p w14:paraId="61677A6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2ABDC6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特种设备检查制度；日常检查记录</w:t>
            </w:r>
          </w:p>
        </w:tc>
        <w:tc>
          <w:tcPr>
            <w:tcW w:w="2657" w:type="dxa"/>
            <w:gridSpan w:val="2"/>
            <w:tcBorders>
              <w:tl2br w:val="nil"/>
              <w:tr2bl w:val="nil"/>
            </w:tcBorders>
            <w:vAlign w:val="center"/>
          </w:tcPr>
          <w:p w14:paraId="472BFF7F">
            <w:pPr>
              <w:spacing w:line="240" w:lineRule="exact"/>
              <w:ind w:firstLine="0" w:firstLineChars="0"/>
              <w:jc w:val="center"/>
              <w:rPr>
                <w:rFonts w:hint="eastAsia" w:ascii="仿宋" w:hAnsi="仿宋" w:eastAsia="仿宋" w:cs="仿宋"/>
                <w:color w:val="000000"/>
                <w:sz w:val="21"/>
                <w:szCs w:val="21"/>
                <w:highlight w:val="none"/>
              </w:rPr>
            </w:pPr>
          </w:p>
        </w:tc>
      </w:tr>
      <w:tr w14:paraId="48C12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C53AC2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723" w:type="dxa"/>
            <w:vMerge w:val="continue"/>
            <w:tcBorders>
              <w:tl2br w:val="nil"/>
              <w:tr2bl w:val="nil"/>
            </w:tcBorders>
            <w:vAlign w:val="center"/>
          </w:tcPr>
          <w:p w14:paraId="652200B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D5775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安全附件、安全保护装置、测量调控装置及有关附属仪器仪表等定期校验、检修记录</w:t>
            </w:r>
          </w:p>
        </w:tc>
        <w:tc>
          <w:tcPr>
            <w:tcW w:w="2657" w:type="dxa"/>
            <w:gridSpan w:val="2"/>
            <w:tcBorders>
              <w:tl2br w:val="nil"/>
              <w:tr2bl w:val="nil"/>
            </w:tcBorders>
            <w:vAlign w:val="center"/>
          </w:tcPr>
          <w:p w14:paraId="3063965A">
            <w:pPr>
              <w:spacing w:line="240" w:lineRule="exact"/>
              <w:ind w:firstLine="0" w:firstLineChars="0"/>
              <w:jc w:val="center"/>
              <w:rPr>
                <w:rFonts w:hint="eastAsia" w:ascii="仿宋" w:hAnsi="仿宋" w:eastAsia="仿宋" w:cs="仿宋"/>
                <w:color w:val="000000"/>
                <w:sz w:val="21"/>
                <w:szCs w:val="21"/>
                <w:highlight w:val="none"/>
              </w:rPr>
            </w:pPr>
          </w:p>
        </w:tc>
      </w:tr>
      <w:tr w14:paraId="526A1F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24298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723" w:type="dxa"/>
            <w:vMerge w:val="continue"/>
            <w:tcBorders>
              <w:tl2br w:val="nil"/>
              <w:tr2bl w:val="nil"/>
            </w:tcBorders>
            <w:vAlign w:val="center"/>
          </w:tcPr>
          <w:p w14:paraId="289BDBF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F5DFA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现场操作手持证情况，人员培训教育、风险告知、交底等资料</w:t>
            </w:r>
          </w:p>
        </w:tc>
        <w:tc>
          <w:tcPr>
            <w:tcW w:w="2657" w:type="dxa"/>
            <w:gridSpan w:val="2"/>
            <w:tcBorders>
              <w:tl2br w:val="nil"/>
              <w:tr2bl w:val="nil"/>
            </w:tcBorders>
            <w:vAlign w:val="center"/>
          </w:tcPr>
          <w:p w14:paraId="7A65B1CB">
            <w:pPr>
              <w:spacing w:line="240" w:lineRule="exact"/>
              <w:ind w:firstLine="0" w:firstLineChars="0"/>
              <w:jc w:val="center"/>
              <w:rPr>
                <w:rFonts w:hint="eastAsia" w:ascii="仿宋" w:hAnsi="仿宋" w:eastAsia="仿宋" w:cs="仿宋"/>
                <w:color w:val="000000"/>
                <w:sz w:val="21"/>
                <w:szCs w:val="21"/>
                <w:highlight w:val="none"/>
              </w:rPr>
            </w:pPr>
          </w:p>
        </w:tc>
      </w:tr>
      <w:tr w14:paraId="6D1760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E23C60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723" w:type="dxa"/>
            <w:vMerge w:val="continue"/>
            <w:tcBorders>
              <w:tl2br w:val="nil"/>
              <w:tr2bl w:val="nil"/>
            </w:tcBorders>
            <w:vAlign w:val="center"/>
          </w:tcPr>
          <w:p w14:paraId="512F1E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9FF05C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使用登记备案证、安全检验合格证、检测报告等</w:t>
            </w:r>
          </w:p>
        </w:tc>
        <w:tc>
          <w:tcPr>
            <w:tcW w:w="2657" w:type="dxa"/>
            <w:gridSpan w:val="2"/>
            <w:tcBorders>
              <w:tl2br w:val="nil"/>
              <w:tr2bl w:val="nil"/>
            </w:tcBorders>
            <w:vAlign w:val="center"/>
          </w:tcPr>
          <w:p w14:paraId="6EAB84CF">
            <w:pPr>
              <w:spacing w:line="240" w:lineRule="exact"/>
              <w:ind w:firstLine="0" w:firstLineChars="0"/>
              <w:jc w:val="center"/>
              <w:rPr>
                <w:rFonts w:hint="eastAsia" w:ascii="仿宋" w:hAnsi="仿宋" w:eastAsia="仿宋" w:cs="仿宋"/>
                <w:color w:val="000000"/>
                <w:sz w:val="21"/>
                <w:szCs w:val="21"/>
                <w:highlight w:val="none"/>
              </w:rPr>
            </w:pPr>
          </w:p>
        </w:tc>
      </w:tr>
      <w:tr w14:paraId="1A91B0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0CE143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723" w:type="dxa"/>
            <w:vMerge w:val="continue"/>
            <w:tcBorders>
              <w:tl2br w:val="nil"/>
              <w:tr2bl w:val="nil"/>
            </w:tcBorders>
            <w:vAlign w:val="center"/>
          </w:tcPr>
          <w:p w14:paraId="369EEA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8D3543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有健全的安全管理制度和岗位责任制</w:t>
            </w:r>
          </w:p>
        </w:tc>
        <w:tc>
          <w:tcPr>
            <w:tcW w:w="2657" w:type="dxa"/>
            <w:gridSpan w:val="2"/>
            <w:tcBorders>
              <w:tl2br w:val="nil"/>
              <w:tr2bl w:val="nil"/>
            </w:tcBorders>
            <w:vAlign w:val="center"/>
          </w:tcPr>
          <w:p w14:paraId="7AFC60BC">
            <w:pPr>
              <w:spacing w:line="240" w:lineRule="exact"/>
              <w:ind w:firstLine="0" w:firstLineChars="0"/>
              <w:jc w:val="center"/>
              <w:rPr>
                <w:rFonts w:hint="eastAsia" w:ascii="仿宋" w:hAnsi="仿宋" w:eastAsia="仿宋" w:cs="仿宋"/>
                <w:color w:val="000000"/>
                <w:sz w:val="21"/>
                <w:szCs w:val="21"/>
                <w:highlight w:val="none"/>
              </w:rPr>
            </w:pPr>
          </w:p>
        </w:tc>
      </w:tr>
      <w:tr w14:paraId="4A4F8B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3B281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w:t>
            </w:r>
          </w:p>
        </w:tc>
        <w:tc>
          <w:tcPr>
            <w:tcW w:w="723" w:type="dxa"/>
            <w:vMerge w:val="continue"/>
            <w:tcBorders>
              <w:tl2br w:val="nil"/>
              <w:tr2bl w:val="nil"/>
            </w:tcBorders>
            <w:vAlign w:val="center"/>
          </w:tcPr>
          <w:p w14:paraId="4DBED75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75C311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经审批的安装（拆除）方案，方案编制单位是否具有相应资质，审批是否齐全</w:t>
            </w:r>
          </w:p>
        </w:tc>
        <w:tc>
          <w:tcPr>
            <w:tcW w:w="2657" w:type="dxa"/>
            <w:gridSpan w:val="2"/>
            <w:tcBorders>
              <w:tl2br w:val="nil"/>
              <w:tr2bl w:val="nil"/>
            </w:tcBorders>
            <w:vAlign w:val="center"/>
          </w:tcPr>
          <w:p w14:paraId="5073DA03">
            <w:pPr>
              <w:spacing w:line="240" w:lineRule="exact"/>
              <w:ind w:firstLine="0" w:firstLineChars="0"/>
              <w:jc w:val="center"/>
              <w:rPr>
                <w:rFonts w:hint="eastAsia" w:ascii="仿宋" w:hAnsi="仿宋" w:eastAsia="仿宋" w:cs="仿宋"/>
                <w:color w:val="000000"/>
                <w:sz w:val="21"/>
                <w:szCs w:val="21"/>
                <w:highlight w:val="none"/>
              </w:rPr>
            </w:pPr>
          </w:p>
        </w:tc>
      </w:tr>
      <w:tr w14:paraId="1C183F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8041AE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w:t>
            </w:r>
          </w:p>
        </w:tc>
        <w:tc>
          <w:tcPr>
            <w:tcW w:w="723" w:type="dxa"/>
            <w:vMerge w:val="continue"/>
            <w:tcBorders>
              <w:tl2br w:val="nil"/>
              <w:tr2bl w:val="nil"/>
            </w:tcBorders>
            <w:vAlign w:val="center"/>
          </w:tcPr>
          <w:p w14:paraId="5F6C7B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D629E5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多塔作业的专项施工方案</w:t>
            </w:r>
          </w:p>
        </w:tc>
        <w:tc>
          <w:tcPr>
            <w:tcW w:w="2657" w:type="dxa"/>
            <w:gridSpan w:val="2"/>
            <w:tcBorders>
              <w:tl2br w:val="nil"/>
              <w:tr2bl w:val="nil"/>
            </w:tcBorders>
            <w:vAlign w:val="center"/>
          </w:tcPr>
          <w:p w14:paraId="55BB89B8">
            <w:pPr>
              <w:spacing w:line="240" w:lineRule="exact"/>
              <w:ind w:firstLine="0" w:firstLineChars="0"/>
              <w:jc w:val="center"/>
              <w:rPr>
                <w:rFonts w:hint="eastAsia" w:ascii="仿宋" w:hAnsi="仿宋" w:eastAsia="仿宋" w:cs="仿宋"/>
                <w:color w:val="000000"/>
                <w:sz w:val="21"/>
                <w:szCs w:val="21"/>
                <w:highlight w:val="none"/>
              </w:rPr>
            </w:pPr>
          </w:p>
        </w:tc>
      </w:tr>
      <w:tr w14:paraId="5710A8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74FF443">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w:t>
            </w:r>
          </w:p>
        </w:tc>
        <w:tc>
          <w:tcPr>
            <w:tcW w:w="723" w:type="dxa"/>
            <w:tcBorders>
              <w:tl2br w:val="nil"/>
              <w:tr2bl w:val="nil"/>
            </w:tcBorders>
            <w:vAlign w:val="center"/>
          </w:tcPr>
          <w:p w14:paraId="0A199706">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基础</w:t>
            </w:r>
          </w:p>
        </w:tc>
        <w:tc>
          <w:tcPr>
            <w:tcW w:w="6105" w:type="dxa"/>
            <w:gridSpan w:val="5"/>
            <w:tcBorders>
              <w:tl2br w:val="nil"/>
              <w:tr2bl w:val="nil"/>
            </w:tcBorders>
            <w:vAlign w:val="center"/>
          </w:tcPr>
          <w:p w14:paraId="1E97EEC2">
            <w:pPr>
              <w:snapToGrid w:val="0"/>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基础排水通畅，接地牢固可靠</w:t>
            </w:r>
          </w:p>
        </w:tc>
        <w:tc>
          <w:tcPr>
            <w:tcW w:w="2657" w:type="dxa"/>
            <w:gridSpan w:val="2"/>
            <w:tcBorders>
              <w:tl2br w:val="nil"/>
              <w:tr2bl w:val="nil"/>
            </w:tcBorders>
            <w:vAlign w:val="center"/>
          </w:tcPr>
          <w:p w14:paraId="784AD53C">
            <w:pPr>
              <w:spacing w:line="240" w:lineRule="exact"/>
              <w:ind w:firstLine="0" w:firstLineChars="0"/>
              <w:jc w:val="center"/>
              <w:rPr>
                <w:rFonts w:hint="eastAsia" w:ascii="仿宋" w:hAnsi="仿宋" w:eastAsia="仿宋" w:cs="仿宋"/>
                <w:color w:val="000000"/>
                <w:sz w:val="21"/>
                <w:szCs w:val="21"/>
                <w:highlight w:val="none"/>
              </w:rPr>
            </w:pPr>
          </w:p>
        </w:tc>
      </w:tr>
      <w:tr w14:paraId="2C69C8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D51A96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w:t>
            </w:r>
          </w:p>
        </w:tc>
        <w:tc>
          <w:tcPr>
            <w:tcW w:w="723" w:type="dxa"/>
            <w:vMerge w:val="restart"/>
            <w:tcBorders>
              <w:tl2br w:val="nil"/>
              <w:tr2bl w:val="nil"/>
            </w:tcBorders>
            <w:vAlign w:val="center"/>
          </w:tcPr>
          <w:p w14:paraId="1FDF931E">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塔身结构</w:t>
            </w:r>
          </w:p>
        </w:tc>
        <w:tc>
          <w:tcPr>
            <w:tcW w:w="6105" w:type="dxa"/>
            <w:gridSpan w:val="5"/>
            <w:tcBorders>
              <w:tl2br w:val="nil"/>
              <w:tr2bl w:val="nil"/>
            </w:tcBorders>
            <w:vAlign w:val="center"/>
          </w:tcPr>
          <w:p w14:paraId="7EC8B1A5">
            <w:pPr>
              <w:snapToGrid w:val="0"/>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钢结构无明显变形、脱焊和开裂</w:t>
            </w:r>
          </w:p>
        </w:tc>
        <w:tc>
          <w:tcPr>
            <w:tcW w:w="2657" w:type="dxa"/>
            <w:gridSpan w:val="2"/>
            <w:tcBorders>
              <w:tl2br w:val="nil"/>
              <w:tr2bl w:val="nil"/>
            </w:tcBorders>
            <w:vAlign w:val="center"/>
          </w:tcPr>
          <w:p w14:paraId="09A28385">
            <w:pPr>
              <w:spacing w:line="240" w:lineRule="exact"/>
              <w:ind w:firstLine="0" w:firstLineChars="0"/>
              <w:jc w:val="center"/>
              <w:rPr>
                <w:rFonts w:hint="eastAsia" w:ascii="仿宋" w:hAnsi="仿宋" w:eastAsia="仿宋" w:cs="仿宋"/>
                <w:color w:val="000000"/>
                <w:sz w:val="21"/>
                <w:szCs w:val="21"/>
                <w:highlight w:val="none"/>
              </w:rPr>
            </w:pPr>
          </w:p>
        </w:tc>
      </w:tr>
      <w:tr w14:paraId="388B7A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6DC30C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w:t>
            </w:r>
          </w:p>
        </w:tc>
        <w:tc>
          <w:tcPr>
            <w:tcW w:w="723" w:type="dxa"/>
            <w:vMerge w:val="continue"/>
            <w:tcBorders>
              <w:tl2br w:val="nil"/>
              <w:tr2bl w:val="nil"/>
            </w:tcBorders>
            <w:vAlign w:val="center"/>
          </w:tcPr>
          <w:p w14:paraId="0CF82B3A">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90AAF6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基础承载力符合说明书要求，混凝土有试压报告，位置合理</w:t>
            </w:r>
          </w:p>
        </w:tc>
        <w:tc>
          <w:tcPr>
            <w:tcW w:w="2657" w:type="dxa"/>
            <w:gridSpan w:val="2"/>
            <w:tcBorders>
              <w:tl2br w:val="nil"/>
              <w:tr2bl w:val="nil"/>
            </w:tcBorders>
            <w:vAlign w:val="center"/>
          </w:tcPr>
          <w:p w14:paraId="243AA184">
            <w:pPr>
              <w:spacing w:line="240" w:lineRule="exact"/>
              <w:ind w:firstLine="0" w:firstLineChars="0"/>
              <w:jc w:val="center"/>
              <w:rPr>
                <w:rFonts w:hint="eastAsia" w:ascii="仿宋" w:hAnsi="仿宋" w:eastAsia="仿宋" w:cs="仿宋"/>
                <w:color w:val="000000"/>
                <w:sz w:val="21"/>
                <w:szCs w:val="21"/>
                <w:highlight w:val="none"/>
              </w:rPr>
            </w:pPr>
          </w:p>
        </w:tc>
      </w:tr>
      <w:tr w14:paraId="67891A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A73823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w:t>
            </w:r>
          </w:p>
        </w:tc>
        <w:tc>
          <w:tcPr>
            <w:tcW w:w="723" w:type="dxa"/>
            <w:vMerge w:val="continue"/>
            <w:tcBorders>
              <w:tl2br w:val="nil"/>
              <w:tr2bl w:val="nil"/>
            </w:tcBorders>
            <w:vAlign w:val="center"/>
          </w:tcPr>
          <w:p w14:paraId="6B199CD4">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BA9BE1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螺帽、销轴、高强度螺栓等零部件配置齐全、无松动、缺损、无严重锈蚀</w:t>
            </w:r>
          </w:p>
        </w:tc>
        <w:tc>
          <w:tcPr>
            <w:tcW w:w="2657" w:type="dxa"/>
            <w:gridSpan w:val="2"/>
            <w:tcBorders>
              <w:tl2br w:val="nil"/>
              <w:tr2bl w:val="nil"/>
            </w:tcBorders>
            <w:vAlign w:val="center"/>
          </w:tcPr>
          <w:p w14:paraId="5095DA6B">
            <w:pPr>
              <w:spacing w:line="240" w:lineRule="exact"/>
              <w:ind w:firstLine="0" w:firstLineChars="0"/>
              <w:jc w:val="center"/>
              <w:rPr>
                <w:rFonts w:hint="eastAsia" w:ascii="仿宋" w:hAnsi="仿宋" w:eastAsia="仿宋" w:cs="仿宋"/>
                <w:color w:val="000000"/>
                <w:sz w:val="21"/>
                <w:szCs w:val="21"/>
                <w:highlight w:val="none"/>
              </w:rPr>
            </w:pPr>
          </w:p>
        </w:tc>
      </w:tr>
      <w:tr w14:paraId="00FC48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386F36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w:t>
            </w:r>
          </w:p>
        </w:tc>
        <w:tc>
          <w:tcPr>
            <w:tcW w:w="723" w:type="dxa"/>
            <w:vMerge w:val="continue"/>
            <w:tcBorders>
              <w:tl2br w:val="nil"/>
              <w:tr2bl w:val="nil"/>
            </w:tcBorders>
            <w:vAlign w:val="center"/>
          </w:tcPr>
          <w:p w14:paraId="58318F3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E209F6D">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爬梯设置防护圈和休息平台，杆件无交叉嫁接</w:t>
            </w:r>
          </w:p>
        </w:tc>
        <w:tc>
          <w:tcPr>
            <w:tcW w:w="2657" w:type="dxa"/>
            <w:gridSpan w:val="2"/>
            <w:tcBorders>
              <w:tl2br w:val="nil"/>
              <w:tr2bl w:val="nil"/>
            </w:tcBorders>
            <w:vAlign w:val="center"/>
          </w:tcPr>
          <w:p w14:paraId="3FB0BBA7">
            <w:pPr>
              <w:spacing w:line="240" w:lineRule="exact"/>
              <w:ind w:firstLine="0" w:firstLineChars="0"/>
              <w:jc w:val="center"/>
              <w:rPr>
                <w:rFonts w:hint="eastAsia" w:ascii="仿宋" w:hAnsi="仿宋" w:eastAsia="仿宋" w:cs="仿宋"/>
                <w:color w:val="000000"/>
                <w:sz w:val="21"/>
                <w:szCs w:val="21"/>
                <w:highlight w:val="none"/>
              </w:rPr>
            </w:pPr>
          </w:p>
        </w:tc>
      </w:tr>
      <w:tr w14:paraId="2E0A02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CFFA87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w:t>
            </w:r>
          </w:p>
        </w:tc>
        <w:tc>
          <w:tcPr>
            <w:tcW w:w="723" w:type="dxa"/>
            <w:vMerge w:val="continue"/>
            <w:tcBorders>
              <w:tl2br w:val="nil"/>
              <w:tr2bl w:val="nil"/>
            </w:tcBorders>
            <w:vAlign w:val="center"/>
          </w:tcPr>
          <w:p w14:paraId="75C9FD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B7AB2B9">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框架、附着杆安装正确、牢固，其间距、数量、固定符合说明书要求</w:t>
            </w:r>
          </w:p>
        </w:tc>
        <w:tc>
          <w:tcPr>
            <w:tcW w:w="2657" w:type="dxa"/>
            <w:gridSpan w:val="2"/>
            <w:tcBorders>
              <w:tl2br w:val="nil"/>
              <w:tr2bl w:val="nil"/>
            </w:tcBorders>
            <w:vAlign w:val="center"/>
          </w:tcPr>
          <w:p w14:paraId="306864FF">
            <w:pPr>
              <w:spacing w:line="240" w:lineRule="exact"/>
              <w:ind w:firstLine="0" w:firstLineChars="0"/>
              <w:jc w:val="center"/>
              <w:rPr>
                <w:rFonts w:hint="eastAsia" w:ascii="仿宋" w:hAnsi="仿宋" w:eastAsia="仿宋" w:cs="仿宋"/>
                <w:color w:val="000000"/>
                <w:sz w:val="21"/>
                <w:szCs w:val="21"/>
                <w:highlight w:val="none"/>
              </w:rPr>
            </w:pPr>
          </w:p>
        </w:tc>
      </w:tr>
      <w:tr w14:paraId="4A161B3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55A6D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19</w:t>
            </w:r>
          </w:p>
        </w:tc>
        <w:tc>
          <w:tcPr>
            <w:tcW w:w="723" w:type="dxa"/>
            <w:vMerge w:val="continue"/>
            <w:tcBorders>
              <w:tl2br w:val="nil"/>
              <w:tr2bl w:val="nil"/>
            </w:tcBorders>
            <w:vAlign w:val="center"/>
          </w:tcPr>
          <w:p w14:paraId="4325647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738019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塔身无倾斜，架体垂直度≤3</w:t>
            </w:r>
            <w:r>
              <w:rPr>
                <w:rFonts w:hint="eastAsia" w:ascii="仿宋" w:hAnsi="仿宋" w:eastAsia="仿宋" w:cs="仿宋"/>
                <w:color w:val="333333"/>
                <w:sz w:val="21"/>
                <w:szCs w:val="21"/>
                <w:highlight w:val="none"/>
                <w:shd w:val="clear" w:color="auto" w:fill="FFFFFF"/>
              </w:rPr>
              <w:t>‰。</w:t>
            </w:r>
            <w:r>
              <w:rPr>
                <w:rFonts w:hint="eastAsia" w:ascii="仿宋" w:hAnsi="仿宋" w:eastAsia="仿宋" w:cs="仿宋"/>
                <w:sz w:val="21"/>
                <w:szCs w:val="21"/>
                <w:highlight w:val="none"/>
              </w:rPr>
              <w:t>连墙件安装牢固，混凝土泵管未附在塔身</w:t>
            </w:r>
          </w:p>
        </w:tc>
        <w:tc>
          <w:tcPr>
            <w:tcW w:w="2657" w:type="dxa"/>
            <w:gridSpan w:val="2"/>
            <w:tcBorders>
              <w:tl2br w:val="nil"/>
              <w:tr2bl w:val="nil"/>
            </w:tcBorders>
            <w:vAlign w:val="center"/>
          </w:tcPr>
          <w:p w14:paraId="12DF1EA7">
            <w:pPr>
              <w:spacing w:line="240" w:lineRule="exact"/>
              <w:ind w:firstLine="0" w:firstLineChars="0"/>
              <w:jc w:val="center"/>
              <w:rPr>
                <w:rFonts w:hint="eastAsia" w:ascii="仿宋" w:hAnsi="仿宋" w:eastAsia="仿宋" w:cs="仿宋"/>
                <w:color w:val="000000"/>
                <w:sz w:val="21"/>
                <w:szCs w:val="21"/>
                <w:highlight w:val="none"/>
              </w:rPr>
            </w:pPr>
          </w:p>
        </w:tc>
      </w:tr>
      <w:tr w14:paraId="0F8862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DBFFAE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w:t>
            </w:r>
          </w:p>
        </w:tc>
        <w:tc>
          <w:tcPr>
            <w:tcW w:w="723" w:type="dxa"/>
            <w:vMerge w:val="restart"/>
            <w:tcBorders>
              <w:tl2br w:val="nil"/>
              <w:tr2bl w:val="nil"/>
            </w:tcBorders>
            <w:vAlign w:val="center"/>
          </w:tcPr>
          <w:p w14:paraId="64DA9112">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钢丝绳及卷筒</w:t>
            </w:r>
          </w:p>
        </w:tc>
        <w:tc>
          <w:tcPr>
            <w:tcW w:w="6105" w:type="dxa"/>
            <w:gridSpan w:val="5"/>
            <w:tcBorders>
              <w:tl2br w:val="nil"/>
              <w:tr2bl w:val="nil"/>
            </w:tcBorders>
            <w:vAlign w:val="center"/>
          </w:tcPr>
          <w:p w14:paraId="75FD8D9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钢丝绳型号、长度符合说明书要求，且完好，无断股，断丝不超过10%</w:t>
            </w:r>
          </w:p>
        </w:tc>
        <w:tc>
          <w:tcPr>
            <w:tcW w:w="2657" w:type="dxa"/>
            <w:gridSpan w:val="2"/>
            <w:tcBorders>
              <w:tl2br w:val="nil"/>
              <w:tr2bl w:val="nil"/>
            </w:tcBorders>
            <w:vAlign w:val="center"/>
          </w:tcPr>
          <w:p w14:paraId="0CC0202E">
            <w:pPr>
              <w:spacing w:line="240" w:lineRule="exact"/>
              <w:ind w:firstLine="0" w:firstLineChars="0"/>
              <w:jc w:val="center"/>
              <w:rPr>
                <w:rFonts w:hint="eastAsia" w:ascii="仿宋" w:hAnsi="仿宋" w:eastAsia="仿宋" w:cs="仿宋"/>
                <w:color w:val="000000"/>
                <w:sz w:val="21"/>
                <w:szCs w:val="21"/>
                <w:highlight w:val="none"/>
              </w:rPr>
            </w:pPr>
          </w:p>
        </w:tc>
      </w:tr>
      <w:tr w14:paraId="4C1049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FECF74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21</w:t>
            </w:r>
          </w:p>
        </w:tc>
        <w:tc>
          <w:tcPr>
            <w:tcW w:w="723" w:type="dxa"/>
            <w:vMerge w:val="continue"/>
            <w:tcBorders>
              <w:tl2br w:val="nil"/>
              <w:tr2bl w:val="nil"/>
            </w:tcBorders>
            <w:vAlign w:val="center"/>
          </w:tcPr>
          <w:p w14:paraId="5475634B">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EB36AF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绳卡规格数量满足要求</w:t>
            </w:r>
          </w:p>
        </w:tc>
        <w:tc>
          <w:tcPr>
            <w:tcW w:w="2657" w:type="dxa"/>
            <w:gridSpan w:val="2"/>
            <w:tcBorders>
              <w:tl2br w:val="nil"/>
              <w:tr2bl w:val="nil"/>
            </w:tcBorders>
            <w:vAlign w:val="center"/>
          </w:tcPr>
          <w:p w14:paraId="2F50BB9A">
            <w:pPr>
              <w:spacing w:line="240" w:lineRule="exact"/>
              <w:ind w:firstLine="0" w:firstLineChars="0"/>
              <w:jc w:val="center"/>
              <w:rPr>
                <w:rFonts w:hint="eastAsia" w:ascii="仿宋" w:hAnsi="仿宋" w:eastAsia="仿宋" w:cs="仿宋"/>
                <w:color w:val="000000"/>
                <w:sz w:val="21"/>
                <w:szCs w:val="21"/>
                <w:highlight w:val="none"/>
              </w:rPr>
            </w:pPr>
          </w:p>
        </w:tc>
      </w:tr>
      <w:tr w14:paraId="0914A5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AFA670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22</w:t>
            </w:r>
          </w:p>
        </w:tc>
        <w:tc>
          <w:tcPr>
            <w:tcW w:w="723" w:type="dxa"/>
            <w:vMerge w:val="continue"/>
            <w:tcBorders>
              <w:tl2br w:val="nil"/>
              <w:tr2bl w:val="nil"/>
            </w:tcBorders>
            <w:vAlign w:val="center"/>
          </w:tcPr>
          <w:p w14:paraId="5D1E05C5">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D7EA26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卷筒挡绳板高于钢丝绳直径2倍以上，卷筒上钢丝绳最少保留3圈</w:t>
            </w:r>
          </w:p>
        </w:tc>
        <w:tc>
          <w:tcPr>
            <w:tcW w:w="2657" w:type="dxa"/>
            <w:gridSpan w:val="2"/>
            <w:tcBorders>
              <w:tl2br w:val="nil"/>
              <w:tr2bl w:val="nil"/>
            </w:tcBorders>
            <w:vAlign w:val="center"/>
          </w:tcPr>
          <w:p w14:paraId="15076871">
            <w:pPr>
              <w:spacing w:line="240" w:lineRule="exact"/>
              <w:ind w:firstLine="0" w:firstLineChars="0"/>
              <w:jc w:val="center"/>
              <w:rPr>
                <w:rFonts w:hint="eastAsia" w:ascii="仿宋" w:hAnsi="仿宋" w:eastAsia="仿宋" w:cs="仿宋"/>
                <w:color w:val="000000"/>
                <w:sz w:val="21"/>
                <w:szCs w:val="21"/>
                <w:highlight w:val="none"/>
              </w:rPr>
            </w:pPr>
          </w:p>
        </w:tc>
      </w:tr>
      <w:tr w14:paraId="4D859A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9893B8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23</w:t>
            </w:r>
          </w:p>
        </w:tc>
        <w:tc>
          <w:tcPr>
            <w:tcW w:w="723" w:type="dxa"/>
            <w:vMerge w:val="continue"/>
            <w:tcBorders>
              <w:tl2br w:val="nil"/>
              <w:tr2bl w:val="nil"/>
            </w:tcBorders>
            <w:vAlign w:val="center"/>
          </w:tcPr>
          <w:p w14:paraId="3C3AF53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E71C2ED">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滑轮有防跳绳槽装置，转动灵活</w:t>
            </w:r>
          </w:p>
        </w:tc>
        <w:tc>
          <w:tcPr>
            <w:tcW w:w="2657" w:type="dxa"/>
            <w:gridSpan w:val="2"/>
            <w:tcBorders>
              <w:tl2br w:val="nil"/>
              <w:tr2bl w:val="nil"/>
            </w:tcBorders>
            <w:vAlign w:val="center"/>
          </w:tcPr>
          <w:p w14:paraId="69E42DF0">
            <w:pPr>
              <w:spacing w:line="240" w:lineRule="exact"/>
              <w:ind w:firstLine="0" w:firstLineChars="0"/>
              <w:jc w:val="center"/>
              <w:rPr>
                <w:rFonts w:hint="eastAsia" w:ascii="仿宋" w:hAnsi="仿宋" w:eastAsia="仿宋" w:cs="仿宋"/>
                <w:color w:val="000000"/>
                <w:sz w:val="21"/>
                <w:szCs w:val="21"/>
                <w:highlight w:val="none"/>
              </w:rPr>
            </w:pPr>
          </w:p>
        </w:tc>
      </w:tr>
      <w:tr w14:paraId="67167C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1C77C4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24</w:t>
            </w:r>
          </w:p>
        </w:tc>
        <w:tc>
          <w:tcPr>
            <w:tcW w:w="723" w:type="dxa"/>
            <w:vMerge w:val="continue"/>
            <w:tcBorders>
              <w:tl2br w:val="nil"/>
              <w:tr2bl w:val="nil"/>
            </w:tcBorders>
            <w:vAlign w:val="center"/>
          </w:tcPr>
          <w:p w14:paraId="51C31CB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78BFE8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吊钩无变形、磨损，无裂纹、补焊现象</w:t>
            </w:r>
          </w:p>
        </w:tc>
        <w:tc>
          <w:tcPr>
            <w:tcW w:w="2657" w:type="dxa"/>
            <w:gridSpan w:val="2"/>
            <w:tcBorders>
              <w:tl2br w:val="nil"/>
              <w:tr2bl w:val="nil"/>
            </w:tcBorders>
            <w:vAlign w:val="center"/>
          </w:tcPr>
          <w:p w14:paraId="598E84D9">
            <w:pPr>
              <w:spacing w:line="240" w:lineRule="exact"/>
              <w:ind w:firstLine="0" w:firstLineChars="0"/>
              <w:jc w:val="center"/>
              <w:rPr>
                <w:rFonts w:hint="eastAsia" w:ascii="仿宋" w:hAnsi="仿宋" w:eastAsia="仿宋" w:cs="仿宋"/>
                <w:color w:val="000000"/>
                <w:sz w:val="21"/>
                <w:szCs w:val="21"/>
                <w:highlight w:val="none"/>
              </w:rPr>
            </w:pPr>
          </w:p>
        </w:tc>
      </w:tr>
      <w:tr w14:paraId="0D1A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7B455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25</w:t>
            </w:r>
          </w:p>
        </w:tc>
        <w:tc>
          <w:tcPr>
            <w:tcW w:w="723" w:type="dxa"/>
            <w:vMerge w:val="restart"/>
            <w:tcBorders>
              <w:tl2br w:val="nil"/>
              <w:tr2bl w:val="nil"/>
            </w:tcBorders>
            <w:vAlign w:val="center"/>
          </w:tcPr>
          <w:p w14:paraId="4AD08C5D">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w:t>
            </w:r>
          </w:p>
        </w:tc>
        <w:tc>
          <w:tcPr>
            <w:tcW w:w="6105" w:type="dxa"/>
            <w:gridSpan w:val="5"/>
            <w:tcBorders>
              <w:tl2br w:val="nil"/>
              <w:tr2bl w:val="nil"/>
            </w:tcBorders>
            <w:vAlign w:val="center"/>
          </w:tcPr>
          <w:p w14:paraId="5FA0FD6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减速机、卷扬机、制动器、回转机构、液压顶升系统部件齐全，工作正常，无异响</w:t>
            </w:r>
          </w:p>
        </w:tc>
        <w:tc>
          <w:tcPr>
            <w:tcW w:w="2657" w:type="dxa"/>
            <w:gridSpan w:val="2"/>
            <w:tcBorders>
              <w:tl2br w:val="nil"/>
              <w:tr2bl w:val="nil"/>
            </w:tcBorders>
            <w:vAlign w:val="center"/>
          </w:tcPr>
          <w:p w14:paraId="37C3E283">
            <w:pPr>
              <w:spacing w:line="240" w:lineRule="exact"/>
              <w:ind w:firstLine="0" w:firstLineChars="0"/>
              <w:jc w:val="center"/>
              <w:rPr>
                <w:rFonts w:hint="eastAsia" w:ascii="仿宋" w:hAnsi="仿宋" w:eastAsia="仿宋" w:cs="仿宋"/>
                <w:color w:val="000000"/>
                <w:sz w:val="21"/>
                <w:szCs w:val="21"/>
                <w:highlight w:val="none"/>
              </w:rPr>
            </w:pPr>
          </w:p>
        </w:tc>
      </w:tr>
      <w:tr w14:paraId="787487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437EC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26</w:t>
            </w:r>
          </w:p>
        </w:tc>
        <w:tc>
          <w:tcPr>
            <w:tcW w:w="723" w:type="dxa"/>
            <w:vMerge w:val="continue"/>
            <w:tcBorders>
              <w:tl2br w:val="nil"/>
              <w:tr2bl w:val="nil"/>
            </w:tcBorders>
            <w:vAlign w:val="center"/>
          </w:tcPr>
          <w:p w14:paraId="7CD265C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D8788D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传动部位有防护罩</w:t>
            </w:r>
          </w:p>
        </w:tc>
        <w:tc>
          <w:tcPr>
            <w:tcW w:w="2657" w:type="dxa"/>
            <w:gridSpan w:val="2"/>
            <w:tcBorders>
              <w:tl2br w:val="nil"/>
              <w:tr2bl w:val="nil"/>
            </w:tcBorders>
            <w:vAlign w:val="center"/>
          </w:tcPr>
          <w:p w14:paraId="71E16AAA">
            <w:pPr>
              <w:spacing w:line="240" w:lineRule="exact"/>
              <w:ind w:firstLine="0" w:firstLineChars="0"/>
              <w:jc w:val="center"/>
              <w:rPr>
                <w:rFonts w:hint="eastAsia" w:ascii="仿宋" w:hAnsi="仿宋" w:eastAsia="仿宋" w:cs="仿宋"/>
                <w:color w:val="000000"/>
                <w:sz w:val="21"/>
                <w:szCs w:val="21"/>
                <w:highlight w:val="none"/>
              </w:rPr>
            </w:pPr>
          </w:p>
        </w:tc>
      </w:tr>
      <w:tr w14:paraId="5C472E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5405DA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27</w:t>
            </w:r>
          </w:p>
        </w:tc>
        <w:tc>
          <w:tcPr>
            <w:tcW w:w="723" w:type="dxa"/>
            <w:vMerge w:val="continue"/>
            <w:tcBorders>
              <w:tl2br w:val="nil"/>
              <w:tr2bl w:val="nil"/>
            </w:tcBorders>
            <w:vAlign w:val="center"/>
          </w:tcPr>
          <w:p w14:paraId="775A7FFD">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5E15FF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油箱有足够容量，油路无泄漏、堵塞现象</w:t>
            </w:r>
          </w:p>
        </w:tc>
        <w:tc>
          <w:tcPr>
            <w:tcW w:w="2657" w:type="dxa"/>
            <w:gridSpan w:val="2"/>
            <w:tcBorders>
              <w:tl2br w:val="nil"/>
              <w:tr2bl w:val="nil"/>
            </w:tcBorders>
            <w:vAlign w:val="center"/>
          </w:tcPr>
          <w:p w14:paraId="7F08F1A3">
            <w:pPr>
              <w:spacing w:line="240" w:lineRule="exact"/>
              <w:ind w:firstLine="0" w:firstLineChars="0"/>
              <w:jc w:val="center"/>
              <w:rPr>
                <w:rFonts w:hint="eastAsia" w:ascii="仿宋" w:hAnsi="仿宋" w:eastAsia="仿宋" w:cs="仿宋"/>
                <w:color w:val="000000"/>
                <w:sz w:val="21"/>
                <w:szCs w:val="21"/>
                <w:highlight w:val="none"/>
              </w:rPr>
            </w:pPr>
          </w:p>
        </w:tc>
      </w:tr>
      <w:tr w14:paraId="4D155B0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C9D565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723" w:type="dxa"/>
            <w:vMerge w:val="continue"/>
            <w:tcBorders>
              <w:tl2br w:val="nil"/>
              <w:tr2bl w:val="nil"/>
            </w:tcBorders>
            <w:vAlign w:val="center"/>
          </w:tcPr>
          <w:p w14:paraId="7138565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E6B4930">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平衡重、压重符合本机说明书要求</w:t>
            </w:r>
          </w:p>
        </w:tc>
        <w:tc>
          <w:tcPr>
            <w:tcW w:w="2657" w:type="dxa"/>
            <w:gridSpan w:val="2"/>
            <w:tcBorders>
              <w:tl2br w:val="nil"/>
              <w:tr2bl w:val="nil"/>
            </w:tcBorders>
            <w:vAlign w:val="center"/>
          </w:tcPr>
          <w:p w14:paraId="69E4648E">
            <w:pPr>
              <w:spacing w:line="240" w:lineRule="exact"/>
              <w:ind w:firstLine="0" w:firstLineChars="0"/>
              <w:jc w:val="center"/>
              <w:rPr>
                <w:rFonts w:hint="eastAsia" w:ascii="仿宋" w:hAnsi="仿宋" w:eastAsia="仿宋" w:cs="仿宋"/>
                <w:color w:val="000000"/>
                <w:sz w:val="21"/>
                <w:szCs w:val="21"/>
                <w:highlight w:val="none"/>
              </w:rPr>
            </w:pPr>
          </w:p>
        </w:tc>
      </w:tr>
      <w:tr w14:paraId="1E6172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8C66FE">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723" w:type="dxa"/>
            <w:vMerge w:val="restart"/>
            <w:tcBorders>
              <w:tl2br w:val="nil"/>
              <w:tr2bl w:val="nil"/>
            </w:tcBorders>
            <w:vAlign w:val="center"/>
          </w:tcPr>
          <w:p w14:paraId="21F48D59">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电气安全</w:t>
            </w:r>
          </w:p>
        </w:tc>
        <w:tc>
          <w:tcPr>
            <w:tcW w:w="6105" w:type="dxa"/>
            <w:gridSpan w:val="5"/>
            <w:tcBorders>
              <w:tl2br w:val="nil"/>
              <w:tr2bl w:val="nil"/>
            </w:tcBorders>
            <w:vAlign w:val="center"/>
          </w:tcPr>
          <w:p w14:paraId="52D5495C">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电缆固定牢靠，无破损</w:t>
            </w:r>
          </w:p>
        </w:tc>
        <w:tc>
          <w:tcPr>
            <w:tcW w:w="2657" w:type="dxa"/>
            <w:gridSpan w:val="2"/>
            <w:tcBorders>
              <w:tl2br w:val="nil"/>
              <w:tr2bl w:val="nil"/>
            </w:tcBorders>
            <w:vAlign w:val="center"/>
          </w:tcPr>
          <w:p w14:paraId="5007AA96">
            <w:pPr>
              <w:spacing w:line="240" w:lineRule="exact"/>
              <w:ind w:firstLine="0" w:firstLineChars="0"/>
              <w:jc w:val="center"/>
              <w:rPr>
                <w:rFonts w:hint="eastAsia" w:ascii="仿宋" w:hAnsi="仿宋" w:eastAsia="仿宋" w:cs="仿宋"/>
                <w:color w:val="000000"/>
                <w:sz w:val="21"/>
                <w:szCs w:val="21"/>
                <w:highlight w:val="none"/>
              </w:rPr>
            </w:pPr>
          </w:p>
        </w:tc>
      </w:tr>
      <w:tr w14:paraId="5A8AA7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1932D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23" w:type="dxa"/>
            <w:vMerge w:val="continue"/>
            <w:tcBorders>
              <w:tl2br w:val="nil"/>
              <w:tr2bl w:val="nil"/>
            </w:tcBorders>
            <w:vAlign w:val="center"/>
          </w:tcPr>
          <w:p w14:paraId="1EF4EDC3">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276E0E43">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开关等配电装置齐全有效</w:t>
            </w:r>
          </w:p>
        </w:tc>
        <w:tc>
          <w:tcPr>
            <w:tcW w:w="2657" w:type="dxa"/>
            <w:gridSpan w:val="2"/>
            <w:tcBorders>
              <w:tl2br w:val="nil"/>
              <w:tr2bl w:val="nil"/>
            </w:tcBorders>
            <w:vAlign w:val="center"/>
          </w:tcPr>
          <w:p w14:paraId="21E7751A">
            <w:pPr>
              <w:spacing w:line="240" w:lineRule="exact"/>
              <w:ind w:firstLine="0" w:firstLineChars="0"/>
              <w:jc w:val="center"/>
              <w:rPr>
                <w:rFonts w:hint="eastAsia" w:ascii="仿宋" w:hAnsi="仿宋" w:eastAsia="仿宋" w:cs="仿宋"/>
                <w:color w:val="000000"/>
                <w:sz w:val="21"/>
                <w:szCs w:val="21"/>
                <w:highlight w:val="none"/>
              </w:rPr>
            </w:pPr>
          </w:p>
        </w:tc>
      </w:tr>
      <w:tr w14:paraId="5CE972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A467A76">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723" w:type="dxa"/>
            <w:vMerge w:val="continue"/>
            <w:tcBorders>
              <w:tl2br w:val="nil"/>
              <w:tr2bl w:val="nil"/>
            </w:tcBorders>
            <w:vAlign w:val="center"/>
          </w:tcPr>
          <w:p w14:paraId="76BFBA4B">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84E9DFF">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重复接地和避雷设置，各接地、接零保护装置均符合要求</w:t>
            </w:r>
          </w:p>
        </w:tc>
        <w:tc>
          <w:tcPr>
            <w:tcW w:w="2657" w:type="dxa"/>
            <w:gridSpan w:val="2"/>
            <w:tcBorders>
              <w:tl2br w:val="nil"/>
              <w:tr2bl w:val="nil"/>
            </w:tcBorders>
            <w:vAlign w:val="center"/>
          </w:tcPr>
          <w:p w14:paraId="118DBBEC">
            <w:pPr>
              <w:spacing w:line="240" w:lineRule="exact"/>
              <w:ind w:firstLine="0" w:firstLineChars="0"/>
              <w:jc w:val="center"/>
              <w:rPr>
                <w:rFonts w:hint="eastAsia" w:ascii="仿宋" w:hAnsi="仿宋" w:eastAsia="仿宋" w:cs="仿宋"/>
                <w:color w:val="000000"/>
                <w:sz w:val="21"/>
                <w:szCs w:val="21"/>
                <w:highlight w:val="none"/>
              </w:rPr>
            </w:pPr>
          </w:p>
        </w:tc>
      </w:tr>
      <w:tr w14:paraId="7A7062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A2D23C1">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723" w:type="dxa"/>
            <w:vMerge w:val="continue"/>
            <w:tcBorders>
              <w:tl2br w:val="nil"/>
              <w:tr2bl w:val="nil"/>
            </w:tcBorders>
            <w:vAlign w:val="center"/>
          </w:tcPr>
          <w:p w14:paraId="79F43C29">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601C6AC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力矩限制器，超高、变幅、行走限位器均动作可靠</w:t>
            </w:r>
          </w:p>
        </w:tc>
        <w:tc>
          <w:tcPr>
            <w:tcW w:w="2657" w:type="dxa"/>
            <w:gridSpan w:val="2"/>
            <w:tcBorders>
              <w:tl2br w:val="nil"/>
              <w:tr2bl w:val="nil"/>
            </w:tcBorders>
            <w:vAlign w:val="center"/>
          </w:tcPr>
          <w:p w14:paraId="47D6AEE4">
            <w:pPr>
              <w:spacing w:line="240" w:lineRule="exact"/>
              <w:ind w:firstLine="0" w:firstLineChars="0"/>
              <w:jc w:val="center"/>
              <w:rPr>
                <w:rFonts w:hint="eastAsia" w:ascii="仿宋" w:hAnsi="仿宋" w:eastAsia="仿宋" w:cs="仿宋"/>
                <w:color w:val="000000"/>
                <w:sz w:val="21"/>
                <w:szCs w:val="21"/>
                <w:highlight w:val="none"/>
              </w:rPr>
            </w:pPr>
          </w:p>
        </w:tc>
      </w:tr>
      <w:tr w14:paraId="2836F0A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68F77A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723" w:type="dxa"/>
            <w:vMerge w:val="restart"/>
            <w:tcBorders>
              <w:tl2br w:val="nil"/>
              <w:tr2bl w:val="nil"/>
            </w:tcBorders>
            <w:vAlign w:val="center"/>
          </w:tcPr>
          <w:p w14:paraId="37258353">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安全间距</w:t>
            </w:r>
          </w:p>
        </w:tc>
        <w:tc>
          <w:tcPr>
            <w:tcW w:w="6105" w:type="dxa"/>
            <w:gridSpan w:val="5"/>
            <w:tcBorders>
              <w:tl2br w:val="nil"/>
              <w:tr2bl w:val="nil"/>
            </w:tcBorders>
            <w:vAlign w:val="center"/>
          </w:tcPr>
          <w:p w14:paraId="49C2A5A2">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塔机的尾部与周围建筑物及其外围施工设施之间的安全距离不小于0.6m</w:t>
            </w:r>
          </w:p>
        </w:tc>
        <w:tc>
          <w:tcPr>
            <w:tcW w:w="2657" w:type="dxa"/>
            <w:gridSpan w:val="2"/>
            <w:tcBorders>
              <w:tl2br w:val="nil"/>
              <w:tr2bl w:val="nil"/>
            </w:tcBorders>
            <w:vAlign w:val="center"/>
          </w:tcPr>
          <w:p w14:paraId="2583D192">
            <w:pPr>
              <w:spacing w:line="240" w:lineRule="exact"/>
              <w:ind w:firstLine="0" w:firstLineChars="0"/>
              <w:jc w:val="center"/>
              <w:rPr>
                <w:rFonts w:hint="eastAsia" w:ascii="仿宋" w:hAnsi="仿宋" w:eastAsia="仿宋" w:cs="仿宋"/>
                <w:color w:val="000000"/>
                <w:sz w:val="21"/>
                <w:szCs w:val="21"/>
                <w:highlight w:val="none"/>
              </w:rPr>
            </w:pPr>
          </w:p>
        </w:tc>
      </w:tr>
      <w:tr w14:paraId="21A22C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4FCC2AC">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723" w:type="dxa"/>
            <w:vMerge w:val="continue"/>
            <w:tcBorders>
              <w:tl2br w:val="nil"/>
              <w:tr2bl w:val="nil"/>
            </w:tcBorders>
            <w:vAlign w:val="center"/>
          </w:tcPr>
          <w:p w14:paraId="0C94E66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30B600CB">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多塔作业相互间距符合要求，有防碰撞措施</w:t>
            </w:r>
          </w:p>
        </w:tc>
        <w:tc>
          <w:tcPr>
            <w:tcW w:w="2657" w:type="dxa"/>
            <w:gridSpan w:val="2"/>
            <w:tcBorders>
              <w:tl2br w:val="nil"/>
              <w:tr2bl w:val="nil"/>
            </w:tcBorders>
            <w:vAlign w:val="center"/>
          </w:tcPr>
          <w:p w14:paraId="50BDD438">
            <w:pPr>
              <w:spacing w:line="240" w:lineRule="exact"/>
              <w:ind w:firstLine="0" w:firstLineChars="0"/>
              <w:jc w:val="center"/>
              <w:rPr>
                <w:rFonts w:hint="eastAsia" w:ascii="仿宋" w:hAnsi="仿宋" w:eastAsia="仿宋" w:cs="仿宋"/>
                <w:color w:val="000000"/>
                <w:sz w:val="21"/>
                <w:szCs w:val="21"/>
                <w:highlight w:val="none"/>
              </w:rPr>
            </w:pPr>
          </w:p>
        </w:tc>
      </w:tr>
      <w:tr w14:paraId="6775F4D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FF4BC6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723" w:type="dxa"/>
            <w:vMerge w:val="continue"/>
            <w:tcBorders>
              <w:tl2br w:val="nil"/>
              <w:tr2bl w:val="nil"/>
            </w:tcBorders>
            <w:vAlign w:val="center"/>
          </w:tcPr>
          <w:p w14:paraId="60AD832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CC5EC11">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各部位与外电线路保持安全距离，达不到要求的按规定采取防护措施，防护措施达到当地电业部门规定要求</w:t>
            </w:r>
          </w:p>
        </w:tc>
        <w:tc>
          <w:tcPr>
            <w:tcW w:w="2657" w:type="dxa"/>
            <w:gridSpan w:val="2"/>
            <w:tcBorders>
              <w:tl2br w:val="nil"/>
              <w:tr2bl w:val="nil"/>
            </w:tcBorders>
            <w:vAlign w:val="center"/>
          </w:tcPr>
          <w:p w14:paraId="35573F5C">
            <w:pPr>
              <w:spacing w:line="240" w:lineRule="exact"/>
              <w:ind w:firstLine="0" w:firstLineChars="0"/>
              <w:jc w:val="center"/>
              <w:rPr>
                <w:rFonts w:hint="eastAsia" w:ascii="仿宋" w:hAnsi="仿宋" w:eastAsia="仿宋" w:cs="仿宋"/>
                <w:color w:val="000000"/>
                <w:sz w:val="21"/>
                <w:szCs w:val="21"/>
                <w:highlight w:val="none"/>
              </w:rPr>
            </w:pPr>
          </w:p>
        </w:tc>
      </w:tr>
      <w:tr w14:paraId="24322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56F19F8">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723" w:type="dxa"/>
            <w:vMerge w:val="continue"/>
            <w:tcBorders>
              <w:tl2br w:val="nil"/>
              <w:tr2bl w:val="nil"/>
            </w:tcBorders>
            <w:vAlign w:val="center"/>
          </w:tcPr>
          <w:p w14:paraId="5D56AED7">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418DB08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跨高压线作业，跨路（便道、便桥）作业，是否有安全保护措施</w:t>
            </w:r>
          </w:p>
        </w:tc>
        <w:tc>
          <w:tcPr>
            <w:tcW w:w="2657" w:type="dxa"/>
            <w:gridSpan w:val="2"/>
            <w:tcBorders>
              <w:tl2br w:val="nil"/>
              <w:tr2bl w:val="nil"/>
            </w:tcBorders>
            <w:vAlign w:val="center"/>
          </w:tcPr>
          <w:p w14:paraId="1495FBE3">
            <w:pPr>
              <w:spacing w:line="240" w:lineRule="exact"/>
              <w:ind w:firstLine="0" w:firstLineChars="0"/>
              <w:jc w:val="center"/>
              <w:rPr>
                <w:rFonts w:hint="eastAsia" w:ascii="仿宋" w:hAnsi="仿宋" w:eastAsia="仿宋" w:cs="仿宋"/>
                <w:color w:val="000000"/>
                <w:sz w:val="21"/>
                <w:szCs w:val="21"/>
                <w:highlight w:val="none"/>
              </w:rPr>
            </w:pPr>
          </w:p>
        </w:tc>
      </w:tr>
      <w:tr w14:paraId="2C4E66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2DD88E14">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检测结论</w:t>
            </w:r>
          </w:p>
        </w:tc>
        <w:tc>
          <w:tcPr>
            <w:tcW w:w="8762" w:type="dxa"/>
            <w:gridSpan w:val="7"/>
            <w:tcBorders>
              <w:tl2br w:val="nil"/>
              <w:tr2bl w:val="nil"/>
            </w:tcBorders>
            <w:vAlign w:val="center"/>
          </w:tcPr>
          <w:p w14:paraId="02A9C2C2">
            <w:pPr>
              <w:spacing w:line="240" w:lineRule="exact"/>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（附检测报告）</w:t>
            </w:r>
          </w:p>
        </w:tc>
      </w:tr>
      <w:tr w14:paraId="551578C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07E204A3">
            <w:pPr>
              <w:spacing w:line="240" w:lineRule="exact"/>
              <w:ind w:firstLine="0" w:firstLineChars="0"/>
              <w:jc w:val="center"/>
              <w:rPr>
                <w:rFonts w:hint="eastAsia" w:ascii="仿宋" w:hAnsi="仿宋" w:eastAsia="仿宋" w:cs="仿宋"/>
                <w:sz w:val="21"/>
                <w:szCs w:val="21"/>
                <w:highlight w:val="none"/>
              </w:rPr>
            </w:pPr>
            <w:bookmarkStart w:id="204" w:name="_Hlk34309655"/>
            <w:r>
              <w:rPr>
                <w:rFonts w:hint="eastAsia" w:ascii="仿宋" w:hAnsi="仿宋" w:eastAsia="仿宋" w:cs="仿宋"/>
                <w:sz w:val="21"/>
                <w:szCs w:val="21"/>
                <w:highlight w:val="none"/>
              </w:rPr>
              <w:t>检查结论</w:t>
            </w:r>
          </w:p>
        </w:tc>
        <w:tc>
          <w:tcPr>
            <w:tcW w:w="8762" w:type="dxa"/>
            <w:gridSpan w:val="7"/>
            <w:tcBorders>
              <w:tl2br w:val="nil"/>
              <w:tr2bl w:val="nil"/>
            </w:tcBorders>
            <w:vAlign w:val="center"/>
          </w:tcPr>
          <w:p w14:paraId="58046647">
            <w:pPr>
              <w:spacing w:line="240" w:lineRule="exact"/>
              <w:ind w:firstLine="0" w:firstLineChars="0"/>
              <w:jc w:val="center"/>
              <w:rPr>
                <w:rFonts w:hint="eastAsia" w:ascii="仿宋" w:hAnsi="仿宋" w:eastAsia="仿宋" w:cs="仿宋"/>
                <w:color w:val="000000"/>
                <w:sz w:val="21"/>
                <w:szCs w:val="21"/>
                <w:highlight w:val="none"/>
              </w:rPr>
            </w:pPr>
          </w:p>
        </w:tc>
      </w:tr>
      <w:tr w14:paraId="12505E9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712" w:hRule="exact"/>
        </w:trPr>
        <w:tc>
          <w:tcPr>
            <w:tcW w:w="3378" w:type="dxa"/>
            <w:gridSpan w:val="4"/>
            <w:tcBorders>
              <w:tl2br w:val="nil"/>
              <w:tr2bl w:val="nil"/>
            </w:tcBorders>
            <w:vAlign w:val="center"/>
          </w:tcPr>
          <w:p w14:paraId="10B318A2">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检查人：</w:t>
            </w:r>
          </w:p>
        </w:tc>
        <w:tc>
          <w:tcPr>
            <w:tcW w:w="3379" w:type="dxa"/>
            <w:gridSpan w:val="2"/>
            <w:tcBorders>
              <w:tl2br w:val="nil"/>
              <w:tr2bl w:val="nil"/>
            </w:tcBorders>
            <w:vAlign w:val="center"/>
          </w:tcPr>
          <w:p w14:paraId="573E117C">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使用单位负责人：</w:t>
            </w:r>
          </w:p>
        </w:tc>
        <w:tc>
          <w:tcPr>
            <w:tcW w:w="3379" w:type="dxa"/>
            <w:gridSpan w:val="3"/>
            <w:tcBorders>
              <w:tl2br w:val="nil"/>
              <w:tr2bl w:val="nil"/>
            </w:tcBorders>
            <w:vAlign w:val="center"/>
          </w:tcPr>
          <w:p w14:paraId="5BA3FC47">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r>
      <w:bookmarkEnd w:id="203"/>
      <w:bookmarkEnd w:id="204"/>
    </w:tbl>
    <w:p w14:paraId="1E785C8F">
      <w:pPr>
        <w:pStyle w:val="27"/>
        <w:rPr>
          <w:rFonts w:hint="default"/>
          <w:highlight w:val="none"/>
          <w:lang w:val="en-US" w:eastAsia="zh-CN"/>
        </w:rPr>
      </w:pPr>
    </w:p>
    <w:p w14:paraId="5BECC32D">
      <w:pPr>
        <w:rPr>
          <w:rFonts w:hint="eastAsia"/>
          <w:highlight w:val="none"/>
          <w:lang w:val="en-US" w:eastAsia="zh-CN"/>
        </w:rPr>
      </w:pPr>
    </w:p>
    <w:p w14:paraId="166C9E39">
      <w:pPr>
        <w:rPr>
          <w:highlight w:val="none"/>
        </w:rPr>
      </w:pPr>
      <w:bookmarkStart w:id="205" w:name="_Toc4487"/>
      <w:bookmarkStart w:id="206" w:name="_Toc42642303"/>
      <w:r>
        <w:rPr>
          <w:rFonts w:hint="eastAsia"/>
          <w:highlight w:val="none"/>
          <w:lang w:val="en-US" w:eastAsia="zh-CN"/>
        </w:rPr>
        <w:br w:type="page"/>
      </w:r>
    </w:p>
    <w:p w14:paraId="72328A8B">
      <w:pPr>
        <w:pStyle w:val="2"/>
        <w:bidi w:val="0"/>
        <w:jc w:val="center"/>
        <w:rPr>
          <w:highlight w:val="none"/>
        </w:rPr>
      </w:pPr>
      <w:bookmarkStart w:id="207" w:name="_Toc26436"/>
      <w:r>
        <w:rPr>
          <w:rFonts w:hint="eastAsia"/>
          <w:highlight w:val="none"/>
          <w:lang w:val="en-US" w:eastAsia="zh-CN"/>
        </w:rPr>
        <w:t>5质量控制措施</w:t>
      </w:r>
      <w:bookmarkEnd w:id="205"/>
      <w:bookmarkEnd w:id="207"/>
    </w:p>
    <w:p w14:paraId="228E8BCC">
      <w:pPr>
        <w:pStyle w:val="3"/>
        <w:bidi w:val="0"/>
        <w:jc w:val="left"/>
        <w:rPr>
          <w:rFonts w:hint="eastAsia"/>
          <w:color w:val="000000" w:themeColor="text1"/>
          <w:highlight w:val="none"/>
          <w14:textFill>
            <w14:solidFill>
              <w14:schemeClr w14:val="tx1"/>
            </w14:solidFill>
          </w14:textFill>
        </w:rPr>
      </w:pPr>
      <w:bookmarkStart w:id="208" w:name="_Toc10656"/>
      <w:bookmarkStart w:id="209" w:name="_Toc20434"/>
      <w:bookmarkStart w:id="210" w:name="_Toc17173"/>
      <w:bookmarkStart w:id="211" w:name="_Toc533345491"/>
      <w:bookmarkStart w:id="212" w:name="_Toc9957"/>
      <w:r>
        <w:rPr>
          <w:rFonts w:hint="eastAsia"/>
          <w:color w:val="000000" w:themeColor="text1"/>
          <w:highlight w:val="none"/>
          <w:lang w:val="en-US" w:eastAsia="zh-CN"/>
          <w14:textFill>
            <w14:solidFill>
              <w14:schemeClr w14:val="tx1"/>
            </w14:solidFill>
          </w14:textFill>
        </w:rPr>
        <w:t>5.1</w:t>
      </w:r>
      <w:r>
        <w:rPr>
          <w:rFonts w:hint="eastAsia"/>
          <w:color w:val="000000" w:themeColor="text1"/>
          <w:highlight w:val="none"/>
          <w14:textFill>
            <w14:solidFill>
              <w14:schemeClr w14:val="tx1"/>
            </w14:solidFill>
          </w14:textFill>
        </w:rPr>
        <w:t>质量</w:t>
      </w:r>
      <w:r>
        <w:rPr>
          <w:rFonts w:hint="eastAsia"/>
          <w:highlight w:val="none"/>
        </w:rPr>
        <w:t>管理</w:t>
      </w:r>
      <w:r>
        <w:rPr>
          <w:rFonts w:hint="eastAsia"/>
          <w:color w:val="000000" w:themeColor="text1"/>
          <w:highlight w:val="none"/>
          <w14:textFill>
            <w14:solidFill>
              <w14:schemeClr w14:val="tx1"/>
            </w14:solidFill>
          </w14:textFill>
        </w:rPr>
        <w:t>组织机构</w:t>
      </w:r>
      <w:bookmarkEnd w:id="208"/>
      <w:bookmarkEnd w:id="209"/>
      <w:bookmarkEnd w:id="210"/>
    </w:p>
    <w:p w14:paraId="66FBA560">
      <w:pPr>
        <w:bidi w:val="0"/>
        <w:ind w:firstLine="480" w:firstLineChars="200"/>
        <w:rPr>
          <w:rFonts w:hint="eastAsia" w:eastAsia="宋体"/>
          <w:highlight w:val="none"/>
          <w:lang w:eastAsia="zh-CN"/>
        </w:rPr>
      </w:pPr>
      <w:r>
        <w:rPr>
          <w:highlight w:val="none"/>
        </w:rPr>
        <w:t>健全的组织机构是质量管理和质量控制的基本保证。本工程项目部将配备完善的组织机构，建立本工程质量保证体系组织机构，开展全面质量管理，确保工程质量目标的实现</w:t>
      </w:r>
      <w:r>
        <w:rPr>
          <w:rFonts w:hint="eastAsia"/>
          <w:highlight w:val="none"/>
          <w:lang w:eastAsia="zh-CN"/>
        </w:rPr>
        <w:t>。</w:t>
      </w:r>
    </w:p>
    <w:p w14:paraId="36F516E5">
      <w:pPr>
        <w:pStyle w:val="12"/>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269230" cy="4011930"/>
            <wp:effectExtent l="0" t="0" r="0" b="0"/>
            <wp:docPr id="33" name="图片 33" descr="组织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织流程图--(6)"/>
                    <pic:cNvPicPr>
                      <a:picLocks noChangeAspect="1"/>
                    </pic:cNvPicPr>
                  </pic:nvPicPr>
                  <pic:blipFill>
                    <a:blip r:embed="rId65"/>
                    <a:stretch>
                      <a:fillRect/>
                    </a:stretch>
                  </pic:blipFill>
                  <pic:spPr>
                    <a:xfrm>
                      <a:off x="0" y="0"/>
                      <a:ext cx="5269230" cy="4011930"/>
                    </a:xfrm>
                    <a:prstGeom prst="rect">
                      <a:avLst/>
                    </a:prstGeom>
                  </pic:spPr>
                </pic:pic>
              </a:graphicData>
            </a:graphic>
          </wp:inline>
        </w:drawing>
      </w:r>
    </w:p>
    <w:p w14:paraId="59689034">
      <w:pPr>
        <w:pStyle w:val="14"/>
        <w:bidi w:val="0"/>
        <w:rPr>
          <w:highlight w:val="none"/>
        </w:rPr>
      </w:pPr>
      <w:r>
        <w:rPr>
          <w:rFonts w:hint="eastAsia"/>
          <w:highlight w:val="none"/>
          <w:lang w:val="en-US" w:eastAsia="zh-CN"/>
        </w:rPr>
        <w:t>图5.1-1质量管理组织机构图</w:t>
      </w:r>
    </w:p>
    <w:p w14:paraId="781425D6">
      <w:pPr>
        <w:pStyle w:val="3"/>
        <w:rPr>
          <w:rFonts w:hint="eastAsia"/>
          <w:highlight w:val="none"/>
        </w:rPr>
      </w:pPr>
      <w:bookmarkStart w:id="213" w:name="_Toc30252"/>
      <w:bookmarkStart w:id="214" w:name="_Toc22675"/>
      <w:r>
        <w:rPr>
          <w:rFonts w:hint="eastAsia"/>
          <w:highlight w:val="none"/>
          <w:lang w:val="en-US" w:eastAsia="zh-CN"/>
        </w:rPr>
        <w:t>5.2</w:t>
      </w:r>
      <w:r>
        <w:rPr>
          <w:rFonts w:hint="eastAsia"/>
          <w:highlight w:val="none"/>
        </w:rPr>
        <w:t>质量通病及质量通病预防</w:t>
      </w:r>
      <w:bookmarkEnd w:id="211"/>
      <w:bookmarkEnd w:id="212"/>
      <w:bookmarkEnd w:id="213"/>
      <w:bookmarkEnd w:id="214"/>
    </w:p>
    <w:p w14:paraId="746F12FD">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表5.2-1塔吊安拆质量通病管控措施一览表</w:t>
      </w:r>
    </w:p>
    <w:tbl>
      <w:tblPr>
        <w:tblStyle w:val="29"/>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5D18C6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3921F02D">
            <w:pPr>
              <w:pStyle w:val="102"/>
              <w:bidi w:val="0"/>
              <w:rPr>
                <w:rFonts w:hint="default"/>
                <w:highlight w:val="none"/>
                <w:lang w:val="en-US" w:eastAsia="zh-CN"/>
              </w:rPr>
            </w:pPr>
            <w:r>
              <w:rPr>
                <w:rFonts w:hint="eastAsia"/>
                <w:highlight w:val="none"/>
                <w:lang w:val="en-US" w:eastAsia="zh-CN"/>
              </w:rPr>
              <w:t>项次</w:t>
            </w:r>
          </w:p>
        </w:tc>
        <w:tc>
          <w:tcPr>
            <w:tcW w:w="1560" w:type="dxa"/>
            <w:tcBorders>
              <w:tl2br w:val="nil"/>
              <w:tr2bl w:val="nil"/>
            </w:tcBorders>
            <w:shd w:val="clear" w:color="auto" w:fill="DAE3F3" w:themeFill="accent5" w:themeFillTint="32"/>
            <w:vAlign w:val="center"/>
          </w:tcPr>
          <w:p w14:paraId="4DE0F718">
            <w:pPr>
              <w:pStyle w:val="102"/>
              <w:bidi w:val="0"/>
              <w:rPr>
                <w:rFonts w:hint="default"/>
                <w:highlight w:val="none"/>
                <w:lang w:val="en-US" w:eastAsia="zh-CN"/>
              </w:rPr>
            </w:pPr>
            <w:r>
              <w:rPr>
                <w:rFonts w:hint="eastAsia"/>
                <w:highlight w:val="none"/>
                <w:lang w:val="en-US" w:eastAsia="zh-CN"/>
              </w:rPr>
              <w:t>质量通病</w:t>
            </w:r>
          </w:p>
        </w:tc>
        <w:tc>
          <w:tcPr>
            <w:tcW w:w="6315" w:type="dxa"/>
            <w:tcBorders>
              <w:tl2br w:val="nil"/>
              <w:tr2bl w:val="nil"/>
            </w:tcBorders>
            <w:shd w:val="clear" w:color="auto" w:fill="DAE3F3" w:themeFill="accent5" w:themeFillTint="32"/>
            <w:vAlign w:val="center"/>
          </w:tcPr>
          <w:p w14:paraId="22290190">
            <w:pPr>
              <w:pStyle w:val="102"/>
              <w:bidi w:val="0"/>
              <w:rPr>
                <w:rFonts w:hint="default"/>
                <w:highlight w:val="none"/>
                <w:lang w:val="en-US" w:eastAsia="zh-CN"/>
              </w:rPr>
            </w:pPr>
            <w:r>
              <w:rPr>
                <w:rFonts w:hint="eastAsia"/>
                <w:highlight w:val="none"/>
                <w:lang w:val="en-US" w:eastAsia="zh-CN"/>
              </w:rPr>
              <w:t>预防措施</w:t>
            </w:r>
          </w:p>
        </w:tc>
      </w:tr>
      <w:tr w14:paraId="213CAA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13F5811E">
            <w:pPr>
              <w:pStyle w:val="102"/>
              <w:bidi w:val="0"/>
              <w:rPr>
                <w:rFonts w:hint="default"/>
                <w:highlight w:val="none"/>
                <w:lang w:val="en-US" w:eastAsia="zh-CN"/>
              </w:rPr>
            </w:pPr>
            <w:r>
              <w:rPr>
                <w:rFonts w:hint="eastAsia"/>
                <w:highlight w:val="none"/>
                <w:lang w:val="en-US" w:eastAsia="zh-CN"/>
              </w:rPr>
              <w:t>1</w:t>
            </w:r>
          </w:p>
        </w:tc>
        <w:tc>
          <w:tcPr>
            <w:tcW w:w="1560" w:type="dxa"/>
            <w:tcBorders>
              <w:tl2br w:val="nil"/>
              <w:tr2bl w:val="nil"/>
            </w:tcBorders>
            <w:vAlign w:val="center"/>
          </w:tcPr>
          <w:p w14:paraId="0A95A396">
            <w:pPr>
              <w:pStyle w:val="102"/>
              <w:bidi w:val="0"/>
              <w:rPr>
                <w:rFonts w:hint="default"/>
                <w:highlight w:val="none"/>
                <w:lang w:val="en-US" w:eastAsia="zh-CN"/>
              </w:rPr>
            </w:pPr>
            <w:r>
              <w:rPr>
                <w:rFonts w:hint="eastAsia"/>
                <w:highlight w:val="none"/>
                <w:lang w:val="en-US" w:eastAsia="zh-CN"/>
              </w:rPr>
              <w:t>安装作业前未对设备进行全面检查</w:t>
            </w:r>
          </w:p>
        </w:tc>
        <w:tc>
          <w:tcPr>
            <w:tcW w:w="6315" w:type="dxa"/>
            <w:tcBorders>
              <w:tl2br w:val="nil"/>
              <w:tr2bl w:val="nil"/>
            </w:tcBorders>
            <w:vAlign w:val="center"/>
          </w:tcPr>
          <w:p w14:paraId="1BE66665">
            <w:pPr>
              <w:pStyle w:val="102"/>
              <w:bidi w:val="0"/>
              <w:rPr>
                <w:rFonts w:hint="default"/>
                <w:highlight w:val="none"/>
                <w:lang w:val="en-US" w:eastAsia="zh-CN"/>
              </w:rPr>
            </w:pPr>
            <w:r>
              <w:rPr>
                <w:rFonts w:hint="eastAsia"/>
                <w:highlight w:val="none"/>
                <w:lang w:val="en-US" w:eastAsia="zh-CN"/>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3B471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48683A7">
            <w:pPr>
              <w:pStyle w:val="102"/>
              <w:bidi w:val="0"/>
              <w:rPr>
                <w:rFonts w:hint="default"/>
                <w:highlight w:val="none"/>
                <w:lang w:val="en-US" w:eastAsia="zh-CN"/>
              </w:rPr>
            </w:pPr>
            <w:r>
              <w:rPr>
                <w:rFonts w:hint="default"/>
                <w:highlight w:val="none"/>
                <w:lang w:val="en-US" w:eastAsia="zh-CN"/>
              </w:rPr>
              <w:t>2</w:t>
            </w:r>
          </w:p>
        </w:tc>
        <w:tc>
          <w:tcPr>
            <w:tcW w:w="1560" w:type="dxa"/>
            <w:tcBorders>
              <w:tl2br w:val="nil"/>
              <w:tr2bl w:val="nil"/>
            </w:tcBorders>
            <w:vAlign w:val="center"/>
          </w:tcPr>
          <w:p w14:paraId="3B37E35A">
            <w:pPr>
              <w:pStyle w:val="102"/>
              <w:bidi w:val="0"/>
              <w:rPr>
                <w:rFonts w:hint="default"/>
                <w:highlight w:val="none"/>
                <w:lang w:val="en-US" w:eastAsia="zh-CN"/>
              </w:rPr>
            </w:pPr>
            <w:r>
              <w:rPr>
                <w:rFonts w:hint="eastAsia"/>
                <w:highlight w:val="none"/>
                <w:lang w:val="en-US" w:eastAsia="zh-CN"/>
              </w:rPr>
              <w:t>施工工艺粗糙</w:t>
            </w:r>
          </w:p>
        </w:tc>
        <w:tc>
          <w:tcPr>
            <w:tcW w:w="6315" w:type="dxa"/>
            <w:tcBorders>
              <w:tl2br w:val="nil"/>
              <w:tr2bl w:val="nil"/>
            </w:tcBorders>
            <w:vAlign w:val="center"/>
          </w:tcPr>
          <w:p w14:paraId="2BF4DB26">
            <w:pPr>
              <w:pStyle w:val="102"/>
              <w:bidi w:val="0"/>
              <w:rPr>
                <w:rFonts w:hint="default"/>
                <w:highlight w:val="none"/>
                <w:lang w:val="en-US" w:eastAsia="zh-CN"/>
              </w:rPr>
            </w:pPr>
            <w:r>
              <w:rPr>
                <w:rFonts w:hint="eastAsia"/>
                <w:highlight w:val="none"/>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3305342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6DC037AD">
            <w:pPr>
              <w:pStyle w:val="102"/>
              <w:bidi w:val="0"/>
              <w:rPr>
                <w:rFonts w:hint="default"/>
                <w:highlight w:val="none"/>
                <w:lang w:val="en-US" w:eastAsia="zh-CN"/>
              </w:rPr>
            </w:pPr>
            <w:r>
              <w:rPr>
                <w:rFonts w:hint="default"/>
                <w:highlight w:val="none"/>
                <w:lang w:val="en-US" w:eastAsia="zh-CN"/>
              </w:rPr>
              <w:t>3</w:t>
            </w:r>
          </w:p>
        </w:tc>
        <w:tc>
          <w:tcPr>
            <w:tcW w:w="1560" w:type="dxa"/>
            <w:tcBorders>
              <w:tl2br w:val="nil"/>
              <w:tr2bl w:val="nil"/>
            </w:tcBorders>
            <w:vAlign w:val="center"/>
          </w:tcPr>
          <w:p w14:paraId="6F262A5D">
            <w:pPr>
              <w:pStyle w:val="102"/>
              <w:bidi w:val="0"/>
              <w:rPr>
                <w:rFonts w:hint="default"/>
                <w:highlight w:val="none"/>
                <w:lang w:val="en-US" w:eastAsia="zh-CN"/>
              </w:rPr>
            </w:pPr>
            <w:r>
              <w:rPr>
                <w:rFonts w:hint="eastAsia"/>
                <w:highlight w:val="none"/>
                <w:lang w:val="en-US" w:eastAsia="zh-CN"/>
              </w:rPr>
              <w:t>吊索具未进行检查和使用不当</w:t>
            </w:r>
          </w:p>
        </w:tc>
        <w:tc>
          <w:tcPr>
            <w:tcW w:w="6315" w:type="dxa"/>
            <w:tcBorders>
              <w:tl2br w:val="nil"/>
              <w:tr2bl w:val="nil"/>
            </w:tcBorders>
            <w:vAlign w:val="center"/>
          </w:tcPr>
          <w:p w14:paraId="21E6634B">
            <w:pPr>
              <w:pStyle w:val="102"/>
              <w:bidi w:val="0"/>
              <w:rPr>
                <w:rFonts w:hint="default"/>
                <w:highlight w:val="none"/>
                <w:lang w:val="en-US" w:eastAsia="zh-CN"/>
              </w:rPr>
            </w:pPr>
            <w:r>
              <w:rPr>
                <w:rFonts w:hint="eastAsia"/>
                <w:highlight w:val="none"/>
                <w:lang w:val="en-US" w:eastAsia="zh-CN"/>
              </w:rPr>
              <w:t>塔吊的安装作业的吊装工具主要是钢丝绳和卡扣,在进行吊装作业前,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5BAB19E1">
      <w:pPr>
        <w:pStyle w:val="3"/>
        <w:rPr>
          <w:rFonts w:hint="eastAsia"/>
          <w:highlight w:val="none"/>
        </w:rPr>
      </w:pPr>
      <w:bookmarkStart w:id="215" w:name="_Toc533345492"/>
      <w:bookmarkStart w:id="216" w:name="_Toc14944"/>
      <w:bookmarkStart w:id="217" w:name="_Toc22190"/>
      <w:bookmarkStart w:id="218" w:name="_Toc4531"/>
      <w:r>
        <w:rPr>
          <w:rFonts w:hint="eastAsia"/>
          <w:highlight w:val="none"/>
          <w:lang w:val="en-US" w:eastAsia="zh-CN"/>
        </w:rPr>
        <w:t>5.3</w:t>
      </w:r>
      <w:r>
        <w:rPr>
          <w:rFonts w:hint="eastAsia"/>
          <w:highlight w:val="none"/>
        </w:rPr>
        <w:t>质量保证措施</w:t>
      </w:r>
      <w:bookmarkEnd w:id="215"/>
      <w:bookmarkEnd w:id="216"/>
      <w:bookmarkEnd w:id="217"/>
      <w:bookmarkEnd w:id="218"/>
    </w:p>
    <w:p w14:paraId="2932759B">
      <w:pPr>
        <w:pStyle w:val="4"/>
        <w:bidi w:val="0"/>
        <w:rPr>
          <w:rFonts w:hint="default"/>
          <w:highlight w:val="none"/>
          <w:lang w:val="en-US" w:eastAsia="zh-CN"/>
        </w:rPr>
      </w:pPr>
      <w:r>
        <w:rPr>
          <w:rFonts w:hint="eastAsia"/>
          <w:highlight w:val="none"/>
          <w:lang w:val="en-US" w:eastAsia="zh-CN"/>
        </w:rPr>
        <w:t>5.3.1</w:t>
      </w:r>
      <w:bookmarkStart w:id="219" w:name="_Toc28601"/>
      <w:bookmarkStart w:id="220" w:name="_Toc11673"/>
      <w:r>
        <w:rPr>
          <w:rFonts w:hint="eastAsia"/>
          <w:highlight w:val="none"/>
          <w:lang w:val="en-US" w:eastAsia="zh-CN"/>
        </w:rPr>
        <w:t>质量管理手段</w:t>
      </w:r>
      <w:bookmarkEnd w:id="219"/>
      <w:bookmarkEnd w:id="220"/>
    </w:p>
    <w:p w14:paraId="7964F269">
      <w:pPr>
        <w:ind w:firstLine="480" w:firstLineChars="200"/>
        <w:rPr>
          <w:rFonts w:hint="default"/>
          <w:highlight w:val="none"/>
          <w:lang w:val="en-US" w:eastAsia="zh-CN"/>
        </w:rPr>
      </w:pPr>
      <w:r>
        <w:rPr>
          <w:rFonts w:hint="default"/>
          <w:highlight w:val="none"/>
          <w:lang w:val="en-US" w:eastAsia="zh-CN"/>
        </w:rPr>
        <w:t>为了保证塔吊安装质量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AEC618">
      <w:pPr>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025800DA">
      <w:pPr>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7F4C872E">
      <w:pPr>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01851D49">
      <w:pPr>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2D8EF607">
      <w:pPr>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37211CE8">
      <w:pPr>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36D7378E">
      <w:pPr>
        <w:rPr>
          <w:rFonts w:hint="default"/>
          <w:highlight w:val="none"/>
          <w:lang w:val="en-US" w:eastAsia="zh-CN"/>
        </w:rPr>
      </w:pPr>
      <w:r>
        <w:rPr>
          <w:rFonts w:hint="default"/>
          <w:highlight w:val="none"/>
          <w:lang w:val="en-US" w:eastAsia="zh-CN"/>
        </w:rPr>
        <w:t>（7）积极配合项目部工程部</w:t>
      </w:r>
      <w:r>
        <w:rPr>
          <w:rFonts w:hint="eastAsia"/>
          <w:highlight w:val="none"/>
          <w:lang w:val="en-US" w:eastAsia="zh-CN"/>
        </w:rPr>
        <w:t>、质检部</w:t>
      </w:r>
      <w:r>
        <w:rPr>
          <w:rFonts w:hint="default"/>
          <w:highlight w:val="none"/>
          <w:lang w:val="en-US" w:eastAsia="zh-CN"/>
        </w:rPr>
        <w:t>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5120178F">
      <w:pPr>
        <w:pStyle w:val="4"/>
        <w:tabs>
          <w:tab w:val="left" w:pos="240"/>
        </w:tabs>
        <w:bidi w:val="0"/>
        <w:rPr>
          <w:highlight w:val="none"/>
        </w:rPr>
      </w:pPr>
      <w:r>
        <w:rPr>
          <w:rFonts w:hint="eastAsia"/>
          <w:highlight w:val="none"/>
          <w:lang w:val="en-US" w:eastAsia="zh-CN"/>
        </w:rPr>
        <w:t xml:space="preserve">5.3.2原材料进场检验 </w:t>
      </w:r>
    </w:p>
    <w:p w14:paraId="1CCD0DCF">
      <w:pPr>
        <w:ind w:firstLine="480"/>
        <w:rPr>
          <w:rFonts w:hint="eastAsia" w:ascii="宋体" w:hAnsi="宋体" w:eastAsia="宋体" w:cs="宋体"/>
          <w:color w:val="000000"/>
          <w:kern w:val="0"/>
          <w:sz w:val="24"/>
          <w:szCs w:val="24"/>
          <w:highlight w:val="none"/>
          <w:lang w:val="en-US" w:eastAsia="zh-CN" w:bidi="ar"/>
        </w:rPr>
      </w:pPr>
      <w:r>
        <w:rPr>
          <w:rFonts w:ascii="Times New Roman" w:hAnsi="Times New Roman" w:cs="Times New Roman"/>
          <w:highlight w:val="none"/>
        </w:rPr>
        <w:t>严格控制材料质量，原材的选用为正规单位及厂家通过正式招投标后，中标单位方可根据现场需求分批次采购材料，所有材料必须有材质证明书,需要二次检验的材料及时抽样检验，检定合格后方可使用，严格按照相关技术规范文件规定进行取样检验</w:t>
      </w:r>
      <w:r>
        <w:rPr>
          <w:rFonts w:hint="eastAsia" w:ascii="Times New Roman" w:hAnsi="Times New Roman" w:cs="Times New Roman"/>
          <w:highlight w:val="none"/>
          <w:lang w:eastAsia="zh-CN"/>
        </w:rPr>
        <w:t>。</w:t>
      </w:r>
    </w:p>
    <w:p w14:paraId="7109C8F4">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 xml:space="preserve">）原材料按照技术质量要求由专人采购与管理，采购人员和施工人员之间对各种原材料认真做好交接记录。 </w:t>
      </w:r>
    </w:p>
    <w:p w14:paraId="6187FF5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原材料进厂（场）后，对原材料的品种、规格、数量以及质量证明书等进行验收核查，并按有关标准的规定取样和复验。经检验合格的原材料方可进厂（场）。对于检验不合格的原材料，按有关规定清除出厂（场）。 </w:t>
      </w:r>
    </w:p>
    <w:p w14:paraId="2FC1EA07">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）原材料进厂（场）后，及时建立</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，内容包括材料名称、品种、规格、数量、生产单位、供货单位、</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质量证明书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复试检验报告</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编号、检验结果以及进货日期等。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填写正确、真实、齐全。</w:t>
      </w:r>
    </w:p>
    <w:p w14:paraId="6769F0A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）水泥、矿物掺合料等采用散料仓分别存储。袋装粉状材料在运输和存放期间采用专用库房存放，不得露天堆放，且特别注意防潮。 </w:t>
      </w:r>
    </w:p>
    <w:p w14:paraId="5E063C5E">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 xml:space="preserve">）粗骨料按技术条件要求分级采购、分级运输、分级堆放、分级计量。 </w:t>
      </w:r>
    </w:p>
    <w:p w14:paraId="2EA70517">
      <w:pPr>
        <w:keepNext w:val="0"/>
        <w:keepLines w:val="0"/>
        <w:widowControl/>
        <w:suppressLineNumbers w:val="0"/>
        <w:ind w:firstLine="480" w:firstLineChars="200"/>
        <w:jc w:val="left"/>
        <w:rPr>
          <w:rFonts w:hint="default"/>
          <w:highlight w:val="none"/>
          <w:lang w:val="en-US" w:eastAsia="zh-CN"/>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 xml:space="preserve">）对原材料建立符合工厂化生产的堆放地点和明确的标识，标明材料名称、品种、生产厂家、生产日期和进厂（场）日期。原材料堆放时必须有堆放分界标识，以免误用。对骨料堆放场进行硬化处理，并设置必要的排水设施。 </w:t>
      </w:r>
    </w:p>
    <w:p w14:paraId="43FF6A24">
      <w:pPr>
        <w:pStyle w:val="4"/>
        <w:tabs>
          <w:tab w:val="left" w:pos="240"/>
        </w:tabs>
        <w:bidi w:val="0"/>
        <w:rPr>
          <w:highlight w:val="none"/>
        </w:rPr>
      </w:pPr>
      <w:r>
        <w:rPr>
          <w:rFonts w:hint="eastAsia"/>
          <w:highlight w:val="none"/>
          <w:lang w:val="en-US" w:eastAsia="zh-CN"/>
        </w:rPr>
        <w:t>5.3.3</w:t>
      </w:r>
      <w:r>
        <w:rPr>
          <w:highlight w:val="none"/>
        </w:rPr>
        <w:t>机械设备保证质量措施</w:t>
      </w:r>
    </w:p>
    <w:p w14:paraId="501490B7">
      <w:pPr>
        <w:ind w:firstLine="480"/>
        <w:rPr>
          <w:rFonts w:ascii="Times New Roman" w:hAnsi="Times New Roman" w:cs="Times New Roman"/>
          <w:highlight w:val="none"/>
        </w:rPr>
      </w:pPr>
      <w:r>
        <w:rPr>
          <w:rFonts w:ascii="Times New Roman" w:hAnsi="Times New Roman" w:cs="Times New Roman"/>
          <w:highlight w:val="none"/>
        </w:rPr>
        <w:t>对进场的机械设备应定期维修，定人操作，明确机械的操作制度；工程所有数控设备具均应在鉴定的有效期内，设备进场后必须进行能力确认，或新数控设备应出具出厂合格证及设备合格证等。并健全日常维修保养制度，要确保它的精度，以提供准确可靠的计量数据。计量器具的检定、核准由试验员送所在地的法定检定机构检定或进行现场检定，在校验期内，每次使用前都应进行零点校核，保持计量准确。</w:t>
      </w:r>
    </w:p>
    <w:p w14:paraId="0CEA9F22">
      <w:pPr>
        <w:pStyle w:val="4"/>
        <w:tabs>
          <w:tab w:val="left" w:pos="240"/>
        </w:tabs>
        <w:bidi w:val="0"/>
        <w:rPr>
          <w:highlight w:val="none"/>
        </w:rPr>
      </w:pPr>
      <w:bookmarkStart w:id="221" w:name="_Toc439617511"/>
      <w:bookmarkStart w:id="222" w:name="_Toc480156102"/>
      <w:bookmarkStart w:id="223" w:name="_Toc439690944"/>
      <w:r>
        <w:rPr>
          <w:highlight w:val="none"/>
        </w:rPr>
        <w:t>5.</w:t>
      </w:r>
      <w:r>
        <w:rPr>
          <w:rFonts w:hint="eastAsia"/>
          <w:highlight w:val="none"/>
          <w:lang w:val="en-US" w:eastAsia="zh-CN"/>
        </w:rPr>
        <w:t>3.</w:t>
      </w:r>
      <w:r>
        <w:rPr>
          <w:highlight w:val="none"/>
        </w:rPr>
        <w:t>4施工操作保证质量措施</w:t>
      </w:r>
      <w:bookmarkEnd w:id="221"/>
      <w:bookmarkEnd w:id="222"/>
      <w:bookmarkEnd w:id="223"/>
    </w:p>
    <w:p w14:paraId="330D6FDB">
      <w:pPr>
        <w:ind w:firstLine="480"/>
        <w:rPr>
          <w:rFonts w:ascii="Times New Roman" w:hAnsi="Times New Roman" w:cs="Times New Roman"/>
          <w:highlight w:val="none"/>
        </w:rPr>
      </w:pPr>
      <w:r>
        <w:rPr>
          <w:rFonts w:ascii="Times New Roman" w:hAnsi="Times New Roman" w:cs="Times New Roman"/>
          <w:highlight w:val="none"/>
        </w:rPr>
        <w:t>所有操作人员均选用具有丰富经验的工人，进入工地后进行安全生产三级教育，定期进行安全意识教育，职工必须熟悉本工种安全技术操作规程，掌握本工种操作技能，特殊工种持证上岗；对具体的分部分项工程及新工艺、新材料的使用要进行技术交底；每一次下达任务时施工员要对操作人员进行详细的技术交底。</w:t>
      </w:r>
    </w:p>
    <w:p w14:paraId="1C1339A8">
      <w:pPr>
        <w:pStyle w:val="4"/>
        <w:tabs>
          <w:tab w:val="left" w:pos="240"/>
        </w:tabs>
        <w:bidi w:val="0"/>
        <w:rPr>
          <w:highlight w:val="none"/>
        </w:rPr>
      </w:pPr>
      <w:bookmarkStart w:id="224" w:name="_Toc7308"/>
      <w:bookmarkStart w:id="225" w:name="_Toc475477278"/>
      <w:bookmarkStart w:id="226" w:name="_Toc475980807"/>
      <w:r>
        <w:rPr>
          <w:rFonts w:hint="eastAsia"/>
          <w:highlight w:val="none"/>
        </w:rPr>
        <w:t>5.</w:t>
      </w:r>
      <w:r>
        <w:rPr>
          <w:rFonts w:hint="eastAsia"/>
          <w:highlight w:val="none"/>
          <w:lang w:val="en-US" w:eastAsia="zh-CN"/>
        </w:rPr>
        <w:t>3.5</w:t>
      </w:r>
      <w:r>
        <w:rPr>
          <w:highlight w:val="none"/>
        </w:rPr>
        <w:t>制度保证措施</w:t>
      </w:r>
      <w:bookmarkEnd w:id="224"/>
      <w:bookmarkEnd w:id="225"/>
      <w:bookmarkEnd w:id="226"/>
    </w:p>
    <w:p w14:paraId="381F2E7E">
      <w:pPr>
        <w:pStyle w:val="154"/>
        <w:rPr>
          <w:rFonts w:ascii="Times New Roman" w:hAnsi="Times New Roman"/>
          <w:highlight w:val="none"/>
        </w:rPr>
      </w:pPr>
      <w:r>
        <w:rPr>
          <w:rFonts w:ascii="Times New Roman" w:hAnsi="Times New Roman"/>
          <w:highlight w:val="none"/>
        </w:rPr>
        <w:t>对施工进行全过程的质量检查，对施工材料、施工方法</w:t>
      </w:r>
      <w:r>
        <w:rPr>
          <w:rFonts w:hint="eastAsia" w:ascii="Times New Roman" w:hAnsi="Times New Roman"/>
          <w:highlight w:val="none"/>
        </w:rPr>
        <w:t>等</w:t>
      </w:r>
      <w:r>
        <w:rPr>
          <w:rFonts w:ascii="Times New Roman" w:hAnsi="Times New Roman"/>
          <w:highlight w:val="none"/>
        </w:rPr>
        <w:t>随时进行抽查。</w:t>
      </w:r>
    </w:p>
    <w:p w14:paraId="75618C0F">
      <w:pPr>
        <w:pStyle w:val="154"/>
        <w:rPr>
          <w:rFonts w:ascii="Times New Roman" w:hAnsi="Times New Roman"/>
          <w:highlight w:val="none"/>
        </w:rPr>
      </w:pPr>
      <w:r>
        <w:rPr>
          <w:rFonts w:ascii="Times New Roman" w:hAnsi="Times New Roman"/>
          <w:highlight w:val="none"/>
        </w:rPr>
        <w:t>对施工过程中出现的违规、违制、严重影响项目驻地施工质量的行为予以制止，并令其停工或返工。</w:t>
      </w:r>
    </w:p>
    <w:p w14:paraId="3F6CC813">
      <w:pPr>
        <w:pStyle w:val="154"/>
        <w:rPr>
          <w:rFonts w:ascii="Times New Roman" w:hAnsi="Times New Roman"/>
          <w:highlight w:val="none"/>
        </w:rPr>
      </w:pPr>
      <w:r>
        <w:rPr>
          <w:rFonts w:ascii="Times New Roman" w:hAnsi="Times New Roman"/>
          <w:highlight w:val="none"/>
        </w:rPr>
        <w:t>临时设施的承包单位应由相应资质的施工队伍承担，作业人员应持证上岗。</w:t>
      </w:r>
    </w:p>
    <w:p w14:paraId="252C5E78">
      <w:pPr>
        <w:pStyle w:val="3"/>
        <w:rPr>
          <w:highlight w:val="none"/>
        </w:rPr>
      </w:pPr>
      <w:bookmarkStart w:id="227" w:name="_Toc23610"/>
      <w:bookmarkStart w:id="228" w:name="_Toc30509"/>
      <w:bookmarkStart w:id="229" w:name="_Toc533345493"/>
      <w:bookmarkStart w:id="230" w:name="_Toc31784"/>
      <w:r>
        <w:rPr>
          <w:rFonts w:hint="eastAsia"/>
          <w:highlight w:val="none"/>
          <w:lang w:val="en-US" w:eastAsia="zh-CN"/>
        </w:rPr>
        <w:t>5.4</w:t>
      </w:r>
      <w:r>
        <w:rPr>
          <w:rFonts w:hint="eastAsia"/>
          <w:highlight w:val="none"/>
        </w:rPr>
        <w:t>作业过程中控制点的设置</w:t>
      </w:r>
      <w:bookmarkEnd w:id="227"/>
      <w:bookmarkEnd w:id="228"/>
      <w:bookmarkEnd w:id="229"/>
      <w:bookmarkEnd w:id="230"/>
    </w:p>
    <w:p w14:paraId="6857B624">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表5.4-1 关键控制点</w:t>
      </w:r>
    </w:p>
    <w:tbl>
      <w:tblPr>
        <w:tblStyle w:val="28"/>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14:paraId="1044E7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restart"/>
            <w:tcBorders>
              <w:tl2br w:val="nil"/>
              <w:tr2bl w:val="nil"/>
            </w:tcBorders>
            <w:shd w:val="clear" w:color="auto" w:fill="D6DCE5" w:themeFill="text2" w:themeFillTint="32"/>
            <w:vAlign w:val="center"/>
          </w:tcPr>
          <w:p w14:paraId="27E175D3">
            <w:pPr>
              <w:pStyle w:val="102"/>
              <w:bidi w:val="0"/>
              <w:rPr>
                <w:rFonts w:hint="eastAsia"/>
                <w:highlight w:val="none"/>
              </w:rPr>
            </w:pPr>
            <w:r>
              <w:rPr>
                <w:rFonts w:hint="eastAsia"/>
                <w:highlight w:val="none"/>
              </w:rPr>
              <w:t>序号</w:t>
            </w:r>
          </w:p>
        </w:tc>
        <w:tc>
          <w:tcPr>
            <w:tcW w:w="3895" w:type="dxa"/>
            <w:vMerge w:val="restart"/>
            <w:tcBorders>
              <w:tl2br w:val="nil"/>
              <w:tr2bl w:val="nil"/>
            </w:tcBorders>
            <w:shd w:val="clear" w:color="auto" w:fill="D6DCE5" w:themeFill="text2" w:themeFillTint="32"/>
            <w:vAlign w:val="center"/>
          </w:tcPr>
          <w:p w14:paraId="466E7B7F">
            <w:pPr>
              <w:pStyle w:val="102"/>
              <w:bidi w:val="0"/>
              <w:rPr>
                <w:rFonts w:hint="eastAsia"/>
                <w:highlight w:val="none"/>
              </w:rPr>
            </w:pPr>
            <w:r>
              <w:rPr>
                <w:rFonts w:hint="eastAsia"/>
                <w:highlight w:val="none"/>
              </w:rPr>
              <w:t>作业控制点</w:t>
            </w:r>
          </w:p>
        </w:tc>
        <w:tc>
          <w:tcPr>
            <w:tcW w:w="3414" w:type="dxa"/>
            <w:gridSpan w:val="4"/>
            <w:tcBorders>
              <w:tl2br w:val="nil"/>
              <w:tr2bl w:val="nil"/>
            </w:tcBorders>
            <w:shd w:val="clear" w:color="auto" w:fill="D6DCE5" w:themeFill="text2" w:themeFillTint="32"/>
            <w:vAlign w:val="center"/>
          </w:tcPr>
          <w:p w14:paraId="197A0367">
            <w:pPr>
              <w:pStyle w:val="102"/>
              <w:bidi w:val="0"/>
              <w:rPr>
                <w:rFonts w:hint="eastAsia"/>
                <w:highlight w:val="none"/>
              </w:rPr>
            </w:pPr>
            <w:r>
              <w:rPr>
                <w:rFonts w:hint="eastAsia"/>
                <w:highlight w:val="none"/>
              </w:rPr>
              <w:t>检验单位</w:t>
            </w:r>
          </w:p>
        </w:tc>
        <w:tc>
          <w:tcPr>
            <w:tcW w:w="854" w:type="dxa"/>
            <w:vMerge w:val="restart"/>
            <w:tcBorders>
              <w:tl2br w:val="nil"/>
              <w:tr2bl w:val="nil"/>
            </w:tcBorders>
            <w:shd w:val="clear" w:color="auto" w:fill="D6DCE5" w:themeFill="text2" w:themeFillTint="32"/>
            <w:vAlign w:val="center"/>
          </w:tcPr>
          <w:p w14:paraId="61A9ACD2">
            <w:pPr>
              <w:pStyle w:val="102"/>
              <w:bidi w:val="0"/>
              <w:rPr>
                <w:rFonts w:hint="eastAsia"/>
                <w:highlight w:val="none"/>
              </w:rPr>
            </w:pPr>
            <w:r>
              <w:rPr>
                <w:rFonts w:hint="eastAsia"/>
                <w:highlight w:val="none"/>
              </w:rPr>
              <w:t>见证</w:t>
            </w:r>
          </w:p>
          <w:p w14:paraId="4919DD31">
            <w:pPr>
              <w:pStyle w:val="102"/>
              <w:bidi w:val="0"/>
              <w:rPr>
                <w:rFonts w:hint="eastAsia"/>
                <w:highlight w:val="none"/>
              </w:rPr>
            </w:pPr>
            <w:r>
              <w:rPr>
                <w:rFonts w:hint="eastAsia"/>
                <w:highlight w:val="none"/>
              </w:rPr>
              <w:t>方式</w:t>
            </w:r>
          </w:p>
        </w:tc>
      </w:tr>
      <w:tr w14:paraId="52089D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continue"/>
            <w:tcBorders>
              <w:tl2br w:val="nil"/>
              <w:tr2bl w:val="nil"/>
            </w:tcBorders>
            <w:shd w:val="clear" w:color="auto" w:fill="D6DCE5" w:themeFill="text2" w:themeFillTint="32"/>
            <w:vAlign w:val="center"/>
          </w:tcPr>
          <w:p w14:paraId="166A4DBC">
            <w:pPr>
              <w:pStyle w:val="102"/>
              <w:bidi w:val="0"/>
              <w:rPr>
                <w:rFonts w:hint="eastAsia"/>
                <w:highlight w:val="none"/>
              </w:rPr>
            </w:pPr>
          </w:p>
        </w:tc>
        <w:tc>
          <w:tcPr>
            <w:tcW w:w="3895" w:type="dxa"/>
            <w:vMerge w:val="continue"/>
            <w:tcBorders>
              <w:tl2br w:val="nil"/>
              <w:tr2bl w:val="nil"/>
            </w:tcBorders>
            <w:shd w:val="clear" w:color="auto" w:fill="D6DCE5" w:themeFill="text2" w:themeFillTint="32"/>
            <w:vAlign w:val="center"/>
          </w:tcPr>
          <w:p w14:paraId="698046EC">
            <w:pPr>
              <w:pStyle w:val="102"/>
              <w:bidi w:val="0"/>
              <w:rPr>
                <w:rFonts w:hint="eastAsia"/>
                <w:highlight w:val="none"/>
              </w:rPr>
            </w:pPr>
          </w:p>
        </w:tc>
        <w:tc>
          <w:tcPr>
            <w:tcW w:w="810" w:type="dxa"/>
            <w:tcBorders>
              <w:tl2br w:val="nil"/>
              <w:tr2bl w:val="nil"/>
            </w:tcBorders>
            <w:shd w:val="clear" w:color="auto" w:fill="D6DCE5" w:themeFill="text2" w:themeFillTint="32"/>
            <w:vAlign w:val="center"/>
          </w:tcPr>
          <w:p w14:paraId="6A35279A">
            <w:pPr>
              <w:pStyle w:val="102"/>
              <w:bidi w:val="0"/>
              <w:rPr>
                <w:rFonts w:hint="eastAsia"/>
                <w:highlight w:val="none"/>
              </w:rPr>
            </w:pPr>
            <w:r>
              <w:rPr>
                <w:rFonts w:hint="eastAsia"/>
                <w:highlight w:val="none"/>
              </w:rPr>
              <w:t>班组</w:t>
            </w:r>
          </w:p>
        </w:tc>
        <w:tc>
          <w:tcPr>
            <w:tcW w:w="949" w:type="dxa"/>
            <w:tcBorders>
              <w:tl2br w:val="nil"/>
              <w:tr2bl w:val="nil"/>
            </w:tcBorders>
            <w:shd w:val="clear" w:color="auto" w:fill="D6DCE5" w:themeFill="text2" w:themeFillTint="32"/>
            <w:vAlign w:val="center"/>
          </w:tcPr>
          <w:p w14:paraId="1C7D88D6">
            <w:pPr>
              <w:pStyle w:val="102"/>
              <w:bidi w:val="0"/>
              <w:rPr>
                <w:rFonts w:hint="default"/>
                <w:highlight w:val="none"/>
                <w:lang w:val="en-US" w:eastAsia="zh-CN"/>
              </w:rPr>
            </w:pPr>
            <w:r>
              <w:rPr>
                <w:rFonts w:hint="eastAsia"/>
                <w:highlight w:val="none"/>
                <w:lang w:val="en-US" w:eastAsia="zh-CN"/>
              </w:rPr>
              <w:t>设备部门</w:t>
            </w:r>
          </w:p>
        </w:tc>
        <w:tc>
          <w:tcPr>
            <w:tcW w:w="954" w:type="dxa"/>
            <w:tcBorders>
              <w:tl2br w:val="nil"/>
              <w:tr2bl w:val="nil"/>
            </w:tcBorders>
            <w:shd w:val="clear" w:color="auto" w:fill="D6DCE5" w:themeFill="text2" w:themeFillTint="32"/>
            <w:vAlign w:val="center"/>
          </w:tcPr>
          <w:p w14:paraId="52148D89">
            <w:pPr>
              <w:pStyle w:val="102"/>
              <w:bidi w:val="0"/>
              <w:rPr>
                <w:rFonts w:hint="eastAsia"/>
                <w:highlight w:val="none"/>
              </w:rPr>
            </w:pPr>
            <w:r>
              <w:rPr>
                <w:rFonts w:hint="eastAsia"/>
                <w:highlight w:val="none"/>
              </w:rPr>
              <w:t>项目质检部门</w:t>
            </w:r>
          </w:p>
        </w:tc>
        <w:tc>
          <w:tcPr>
            <w:tcW w:w="701" w:type="dxa"/>
            <w:tcBorders>
              <w:tl2br w:val="nil"/>
              <w:tr2bl w:val="nil"/>
            </w:tcBorders>
            <w:shd w:val="clear" w:color="auto" w:fill="D6DCE5" w:themeFill="text2" w:themeFillTint="32"/>
            <w:vAlign w:val="center"/>
          </w:tcPr>
          <w:p w14:paraId="1500D891">
            <w:pPr>
              <w:pStyle w:val="102"/>
              <w:bidi w:val="0"/>
              <w:rPr>
                <w:rFonts w:hint="eastAsia"/>
                <w:highlight w:val="none"/>
              </w:rPr>
            </w:pPr>
            <w:r>
              <w:rPr>
                <w:rFonts w:hint="eastAsia"/>
                <w:highlight w:val="none"/>
              </w:rPr>
              <w:t>监理</w:t>
            </w:r>
          </w:p>
        </w:tc>
        <w:tc>
          <w:tcPr>
            <w:tcW w:w="854" w:type="dxa"/>
            <w:vMerge w:val="continue"/>
            <w:tcBorders>
              <w:tl2br w:val="nil"/>
              <w:tr2bl w:val="nil"/>
            </w:tcBorders>
            <w:shd w:val="clear" w:color="auto" w:fill="D6DCE5" w:themeFill="text2" w:themeFillTint="32"/>
            <w:vAlign w:val="center"/>
          </w:tcPr>
          <w:p w14:paraId="603E51B1">
            <w:pPr>
              <w:pStyle w:val="102"/>
              <w:bidi w:val="0"/>
              <w:rPr>
                <w:rFonts w:hint="eastAsia"/>
                <w:highlight w:val="none"/>
              </w:rPr>
            </w:pPr>
          </w:p>
        </w:tc>
      </w:tr>
      <w:tr w14:paraId="590F30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AD35331">
            <w:pPr>
              <w:pStyle w:val="102"/>
              <w:bidi w:val="0"/>
              <w:rPr>
                <w:rFonts w:hint="eastAsia"/>
                <w:highlight w:val="none"/>
              </w:rPr>
            </w:pPr>
            <w:r>
              <w:rPr>
                <w:rFonts w:hint="eastAsia"/>
                <w:highlight w:val="none"/>
              </w:rPr>
              <w:t>1</w:t>
            </w:r>
          </w:p>
        </w:tc>
        <w:tc>
          <w:tcPr>
            <w:tcW w:w="3895" w:type="dxa"/>
            <w:tcBorders>
              <w:tl2br w:val="nil"/>
              <w:tr2bl w:val="nil"/>
            </w:tcBorders>
            <w:vAlign w:val="center"/>
          </w:tcPr>
          <w:p w14:paraId="2926C56B">
            <w:pPr>
              <w:pStyle w:val="102"/>
              <w:bidi w:val="0"/>
              <w:rPr>
                <w:rFonts w:hint="eastAsia"/>
                <w:highlight w:val="none"/>
              </w:rPr>
            </w:pPr>
            <w:r>
              <w:rPr>
                <w:rFonts w:hint="eastAsia"/>
                <w:highlight w:val="none"/>
              </w:rPr>
              <w:t>施工中防止部件磕碰和交叉作业现象</w:t>
            </w:r>
          </w:p>
        </w:tc>
        <w:tc>
          <w:tcPr>
            <w:tcW w:w="810" w:type="dxa"/>
            <w:tcBorders>
              <w:tl2br w:val="nil"/>
              <w:tr2bl w:val="nil"/>
            </w:tcBorders>
            <w:vAlign w:val="center"/>
          </w:tcPr>
          <w:p w14:paraId="32FE17C0">
            <w:pPr>
              <w:pStyle w:val="102"/>
              <w:bidi w:val="0"/>
              <w:rPr>
                <w:rFonts w:hint="eastAsia"/>
                <w:highlight w:val="none"/>
              </w:rPr>
            </w:pPr>
            <w:r>
              <w:rPr>
                <w:rFonts w:hint="eastAsia"/>
                <w:highlight w:val="none"/>
              </w:rPr>
              <w:t>★</w:t>
            </w:r>
          </w:p>
        </w:tc>
        <w:tc>
          <w:tcPr>
            <w:tcW w:w="949" w:type="dxa"/>
            <w:tcBorders>
              <w:tl2br w:val="nil"/>
              <w:tr2bl w:val="nil"/>
            </w:tcBorders>
            <w:vAlign w:val="center"/>
          </w:tcPr>
          <w:p w14:paraId="1890EE13">
            <w:pPr>
              <w:pStyle w:val="102"/>
              <w:bidi w:val="0"/>
              <w:rPr>
                <w:rFonts w:hint="eastAsia"/>
                <w:highlight w:val="none"/>
              </w:rPr>
            </w:pPr>
          </w:p>
        </w:tc>
        <w:tc>
          <w:tcPr>
            <w:tcW w:w="954" w:type="dxa"/>
            <w:tcBorders>
              <w:tl2br w:val="nil"/>
              <w:tr2bl w:val="nil"/>
            </w:tcBorders>
            <w:vAlign w:val="center"/>
          </w:tcPr>
          <w:p w14:paraId="3AF2F6C8">
            <w:pPr>
              <w:pStyle w:val="102"/>
              <w:bidi w:val="0"/>
              <w:rPr>
                <w:rFonts w:hint="eastAsia"/>
                <w:highlight w:val="none"/>
              </w:rPr>
            </w:pPr>
            <w:r>
              <w:rPr>
                <w:rFonts w:hint="eastAsia"/>
                <w:highlight w:val="none"/>
              </w:rPr>
              <w:t>★</w:t>
            </w:r>
          </w:p>
        </w:tc>
        <w:tc>
          <w:tcPr>
            <w:tcW w:w="701" w:type="dxa"/>
            <w:tcBorders>
              <w:tl2br w:val="nil"/>
              <w:tr2bl w:val="nil"/>
            </w:tcBorders>
            <w:vAlign w:val="center"/>
          </w:tcPr>
          <w:p w14:paraId="30238F0C">
            <w:pPr>
              <w:pStyle w:val="102"/>
              <w:bidi w:val="0"/>
              <w:rPr>
                <w:rFonts w:hint="eastAsia"/>
                <w:highlight w:val="none"/>
              </w:rPr>
            </w:pPr>
          </w:p>
        </w:tc>
        <w:tc>
          <w:tcPr>
            <w:tcW w:w="854" w:type="dxa"/>
            <w:tcBorders>
              <w:tl2br w:val="nil"/>
              <w:tr2bl w:val="nil"/>
            </w:tcBorders>
            <w:vAlign w:val="center"/>
          </w:tcPr>
          <w:p w14:paraId="20E280AF">
            <w:pPr>
              <w:pStyle w:val="102"/>
              <w:bidi w:val="0"/>
              <w:rPr>
                <w:rFonts w:hint="eastAsia"/>
                <w:highlight w:val="none"/>
              </w:rPr>
            </w:pPr>
            <w:r>
              <w:rPr>
                <w:rFonts w:hint="eastAsia"/>
                <w:highlight w:val="none"/>
              </w:rPr>
              <w:t>R</w:t>
            </w:r>
          </w:p>
        </w:tc>
      </w:tr>
      <w:tr w14:paraId="0EF9F9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7D7D08C">
            <w:pPr>
              <w:pStyle w:val="102"/>
              <w:bidi w:val="0"/>
              <w:rPr>
                <w:rFonts w:hint="eastAsia"/>
                <w:highlight w:val="none"/>
              </w:rPr>
            </w:pPr>
            <w:r>
              <w:rPr>
                <w:rFonts w:hint="eastAsia"/>
                <w:highlight w:val="none"/>
              </w:rPr>
              <w:t>2</w:t>
            </w:r>
          </w:p>
        </w:tc>
        <w:tc>
          <w:tcPr>
            <w:tcW w:w="3895" w:type="dxa"/>
            <w:tcBorders>
              <w:tl2br w:val="nil"/>
              <w:tr2bl w:val="nil"/>
            </w:tcBorders>
            <w:vAlign w:val="center"/>
          </w:tcPr>
          <w:p w14:paraId="36871E1C">
            <w:pPr>
              <w:pStyle w:val="102"/>
              <w:bidi w:val="0"/>
              <w:rPr>
                <w:rFonts w:hint="eastAsia"/>
                <w:highlight w:val="none"/>
              </w:rPr>
            </w:pPr>
            <w:r>
              <w:rPr>
                <w:rFonts w:hint="eastAsia"/>
                <w:highlight w:val="none"/>
              </w:rPr>
              <w:t>作业工机具、卡索具完好无损，无人员、设备损伤</w:t>
            </w:r>
          </w:p>
        </w:tc>
        <w:tc>
          <w:tcPr>
            <w:tcW w:w="810" w:type="dxa"/>
            <w:tcBorders>
              <w:tl2br w:val="nil"/>
              <w:tr2bl w:val="nil"/>
            </w:tcBorders>
            <w:vAlign w:val="center"/>
          </w:tcPr>
          <w:p w14:paraId="4743904A">
            <w:pPr>
              <w:pStyle w:val="102"/>
              <w:bidi w:val="0"/>
              <w:rPr>
                <w:rFonts w:hint="eastAsia"/>
                <w:highlight w:val="none"/>
              </w:rPr>
            </w:pPr>
            <w:r>
              <w:rPr>
                <w:rFonts w:hint="eastAsia"/>
                <w:highlight w:val="none"/>
              </w:rPr>
              <w:t>★</w:t>
            </w:r>
          </w:p>
        </w:tc>
        <w:tc>
          <w:tcPr>
            <w:tcW w:w="949" w:type="dxa"/>
            <w:tcBorders>
              <w:tl2br w:val="nil"/>
              <w:tr2bl w:val="nil"/>
            </w:tcBorders>
            <w:vAlign w:val="center"/>
          </w:tcPr>
          <w:p w14:paraId="7D77F3A2">
            <w:pPr>
              <w:pStyle w:val="102"/>
              <w:bidi w:val="0"/>
              <w:rPr>
                <w:rFonts w:hint="eastAsia"/>
                <w:highlight w:val="none"/>
              </w:rPr>
            </w:pPr>
          </w:p>
        </w:tc>
        <w:tc>
          <w:tcPr>
            <w:tcW w:w="954" w:type="dxa"/>
            <w:tcBorders>
              <w:tl2br w:val="nil"/>
              <w:tr2bl w:val="nil"/>
            </w:tcBorders>
            <w:vAlign w:val="center"/>
          </w:tcPr>
          <w:p w14:paraId="0DB36CBD">
            <w:pPr>
              <w:pStyle w:val="102"/>
              <w:bidi w:val="0"/>
              <w:rPr>
                <w:rFonts w:hint="eastAsia"/>
                <w:highlight w:val="none"/>
              </w:rPr>
            </w:pPr>
            <w:r>
              <w:rPr>
                <w:rFonts w:hint="eastAsia"/>
                <w:highlight w:val="none"/>
              </w:rPr>
              <w:t>★</w:t>
            </w:r>
          </w:p>
        </w:tc>
        <w:tc>
          <w:tcPr>
            <w:tcW w:w="701" w:type="dxa"/>
            <w:tcBorders>
              <w:tl2br w:val="nil"/>
              <w:tr2bl w:val="nil"/>
            </w:tcBorders>
            <w:vAlign w:val="center"/>
          </w:tcPr>
          <w:p w14:paraId="5694CBDA">
            <w:pPr>
              <w:pStyle w:val="102"/>
              <w:bidi w:val="0"/>
              <w:rPr>
                <w:rFonts w:hint="eastAsia"/>
                <w:highlight w:val="none"/>
              </w:rPr>
            </w:pPr>
          </w:p>
        </w:tc>
        <w:tc>
          <w:tcPr>
            <w:tcW w:w="854" w:type="dxa"/>
            <w:tcBorders>
              <w:tl2br w:val="nil"/>
              <w:tr2bl w:val="nil"/>
            </w:tcBorders>
            <w:vAlign w:val="center"/>
          </w:tcPr>
          <w:p w14:paraId="6B1C1CA1">
            <w:pPr>
              <w:pStyle w:val="102"/>
              <w:bidi w:val="0"/>
              <w:rPr>
                <w:rFonts w:hint="eastAsia"/>
                <w:highlight w:val="none"/>
              </w:rPr>
            </w:pPr>
            <w:r>
              <w:rPr>
                <w:rFonts w:hint="eastAsia"/>
                <w:highlight w:val="none"/>
              </w:rPr>
              <w:t>S</w:t>
            </w:r>
          </w:p>
        </w:tc>
      </w:tr>
      <w:tr w14:paraId="66E935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EF0AC30">
            <w:pPr>
              <w:pStyle w:val="102"/>
              <w:bidi w:val="0"/>
              <w:rPr>
                <w:rFonts w:hint="eastAsia"/>
                <w:highlight w:val="none"/>
              </w:rPr>
            </w:pPr>
            <w:r>
              <w:rPr>
                <w:rFonts w:hint="eastAsia"/>
                <w:highlight w:val="none"/>
              </w:rPr>
              <w:t>3</w:t>
            </w:r>
          </w:p>
        </w:tc>
        <w:tc>
          <w:tcPr>
            <w:tcW w:w="3895" w:type="dxa"/>
            <w:tcBorders>
              <w:tl2br w:val="nil"/>
              <w:tr2bl w:val="nil"/>
            </w:tcBorders>
            <w:vAlign w:val="center"/>
          </w:tcPr>
          <w:p w14:paraId="26EF2B2C">
            <w:pPr>
              <w:pStyle w:val="102"/>
              <w:bidi w:val="0"/>
              <w:rPr>
                <w:rFonts w:hint="eastAsia"/>
                <w:highlight w:val="none"/>
              </w:rPr>
            </w:pPr>
            <w:r>
              <w:rPr>
                <w:rFonts w:hint="eastAsia"/>
                <w:highlight w:val="none"/>
              </w:rPr>
              <w:t>各组件、零部件安全顺利安装、安装，无损坏或变形</w:t>
            </w:r>
          </w:p>
        </w:tc>
        <w:tc>
          <w:tcPr>
            <w:tcW w:w="810" w:type="dxa"/>
            <w:tcBorders>
              <w:tl2br w:val="nil"/>
              <w:tr2bl w:val="nil"/>
            </w:tcBorders>
            <w:vAlign w:val="center"/>
          </w:tcPr>
          <w:p w14:paraId="5073ACAD">
            <w:pPr>
              <w:pStyle w:val="102"/>
              <w:bidi w:val="0"/>
              <w:rPr>
                <w:rFonts w:hint="eastAsia"/>
                <w:highlight w:val="none"/>
              </w:rPr>
            </w:pPr>
            <w:r>
              <w:rPr>
                <w:rFonts w:hint="eastAsia"/>
                <w:highlight w:val="none"/>
              </w:rPr>
              <w:t>★</w:t>
            </w:r>
          </w:p>
        </w:tc>
        <w:tc>
          <w:tcPr>
            <w:tcW w:w="949" w:type="dxa"/>
            <w:tcBorders>
              <w:tl2br w:val="nil"/>
              <w:tr2bl w:val="nil"/>
            </w:tcBorders>
            <w:vAlign w:val="center"/>
          </w:tcPr>
          <w:p w14:paraId="0473AD78">
            <w:pPr>
              <w:pStyle w:val="102"/>
              <w:bidi w:val="0"/>
              <w:rPr>
                <w:rFonts w:hint="eastAsia"/>
                <w:highlight w:val="none"/>
              </w:rPr>
            </w:pPr>
          </w:p>
        </w:tc>
        <w:tc>
          <w:tcPr>
            <w:tcW w:w="954" w:type="dxa"/>
            <w:tcBorders>
              <w:tl2br w:val="nil"/>
              <w:tr2bl w:val="nil"/>
            </w:tcBorders>
            <w:vAlign w:val="center"/>
          </w:tcPr>
          <w:p w14:paraId="3CB340B1">
            <w:pPr>
              <w:pStyle w:val="102"/>
              <w:bidi w:val="0"/>
              <w:rPr>
                <w:rFonts w:hint="eastAsia"/>
                <w:highlight w:val="none"/>
              </w:rPr>
            </w:pPr>
            <w:r>
              <w:rPr>
                <w:rFonts w:hint="eastAsia"/>
                <w:highlight w:val="none"/>
              </w:rPr>
              <w:t>★</w:t>
            </w:r>
          </w:p>
        </w:tc>
        <w:tc>
          <w:tcPr>
            <w:tcW w:w="701" w:type="dxa"/>
            <w:tcBorders>
              <w:tl2br w:val="nil"/>
              <w:tr2bl w:val="nil"/>
            </w:tcBorders>
            <w:vAlign w:val="center"/>
          </w:tcPr>
          <w:p w14:paraId="23C468E8">
            <w:pPr>
              <w:pStyle w:val="102"/>
              <w:bidi w:val="0"/>
              <w:rPr>
                <w:rFonts w:hint="eastAsia"/>
                <w:highlight w:val="none"/>
              </w:rPr>
            </w:pPr>
          </w:p>
        </w:tc>
        <w:tc>
          <w:tcPr>
            <w:tcW w:w="854" w:type="dxa"/>
            <w:tcBorders>
              <w:tl2br w:val="nil"/>
              <w:tr2bl w:val="nil"/>
            </w:tcBorders>
            <w:vAlign w:val="center"/>
          </w:tcPr>
          <w:p w14:paraId="28FC9697">
            <w:pPr>
              <w:pStyle w:val="102"/>
              <w:bidi w:val="0"/>
              <w:rPr>
                <w:rFonts w:hint="eastAsia"/>
                <w:highlight w:val="none"/>
              </w:rPr>
            </w:pPr>
            <w:r>
              <w:rPr>
                <w:rFonts w:hint="eastAsia"/>
                <w:highlight w:val="none"/>
              </w:rPr>
              <w:t>W</w:t>
            </w:r>
          </w:p>
        </w:tc>
      </w:tr>
      <w:tr w14:paraId="38C9D14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B58B01">
            <w:pPr>
              <w:pStyle w:val="102"/>
              <w:bidi w:val="0"/>
              <w:rPr>
                <w:rFonts w:hint="eastAsia"/>
                <w:highlight w:val="none"/>
              </w:rPr>
            </w:pPr>
            <w:r>
              <w:rPr>
                <w:rFonts w:hint="eastAsia"/>
                <w:highlight w:val="none"/>
              </w:rPr>
              <w:t>4</w:t>
            </w:r>
          </w:p>
        </w:tc>
        <w:tc>
          <w:tcPr>
            <w:tcW w:w="3895" w:type="dxa"/>
            <w:tcBorders>
              <w:tl2br w:val="nil"/>
              <w:tr2bl w:val="nil"/>
            </w:tcBorders>
            <w:vAlign w:val="center"/>
          </w:tcPr>
          <w:p w14:paraId="1711B9CB">
            <w:pPr>
              <w:pStyle w:val="102"/>
              <w:bidi w:val="0"/>
              <w:rPr>
                <w:rFonts w:hint="eastAsia"/>
                <w:highlight w:val="none"/>
              </w:rPr>
            </w:pPr>
            <w:r>
              <w:rPr>
                <w:rFonts w:hint="eastAsia"/>
                <w:highlight w:val="none"/>
              </w:rPr>
              <w:t>做好各组件、零部件安装后清点、整理和存放工作。</w:t>
            </w:r>
          </w:p>
        </w:tc>
        <w:tc>
          <w:tcPr>
            <w:tcW w:w="810" w:type="dxa"/>
            <w:tcBorders>
              <w:tl2br w:val="nil"/>
              <w:tr2bl w:val="nil"/>
            </w:tcBorders>
            <w:vAlign w:val="center"/>
          </w:tcPr>
          <w:p w14:paraId="47AF7E7E">
            <w:pPr>
              <w:pStyle w:val="102"/>
              <w:bidi w:val="0"/>
              <w:rPr>
                <w:rFonts w:hint="eastAsia"/>
                <w:highlight w:val="none"/>
              </w:rPr>
            </w:pPr>
            <w:r>
              <w:rPr>
                <w:rFonts w:hint="eastAsia"/>
                <w:highlight w:val="none"/>
              </w:rPr>
              <w:t>★</w:t>
            </w:r>
          </w:p>
        </w:tc>
        <w:tc>
          <w:tcPr>
            <w:tcW w:w="949" w:type="dxa"/>
            <w:tcBorders>
              <w:tl2br w:val="nil"/>
              <w:tr2bl w:val="nil"/>
            </w:tcBorders>
            <w:vAlign w:val="center"/>
          </w:tcPr>
          <w:p w14:paraId="518FC81D">
            <w:pPr>
              <w:pStyle w:val="102"/>
              <w:bidi w:val="0"/>
              <w:rPr>
                <w:rFonts w:hint="eastAsia"/>
                <w:highlight w:val="none"/>
              </w:rPr>
            </w:pPr>
          </w:p>
        </w:tc>
        <w:tc>
          <w:tcPr>
            <w:tcW w:w="954" w:type="dxa"/>
            <w:tcBorders>
              <w:tl2br w:val="nil"/>
              <w:tr2bl w:val="nil"/>
            </w:tcBorders>
            <w:vAlign w:val="center"/>
          </w:tcPr>
          <w:p w14:paraId="07E606BE">
            <w:pPr>
              <w:pStyle w:val="102"/>
              <w:bidi w:val="0"/>
              <w:rPr>
                <w:rFonts w:hint="eastAsia"/>
                <w:highlight w:val="none"/>
              </w:rPr>
            </w:pPr>
            <w:r>
              <w:rPr>
                <w:rFonts w:hint="eastAsia"/>
                <w:highlight w:val="none"/>
              </w:rPr>
              <w:t>★</w:t>
            </w:r>
          </w:p>
        </w:tc>
        <w:tc>
          <w:tcPr>
            <w:tcW w:w="701" w:type="dxa"/>
            <w:tcBorders>
              <w:tl2br w:val="nil"/>
              <w:tr2bl w:val="nil"/>
            </w:tcBorders>
            <w:vAlign w:val="center"/>
          </w:tcPr>
          <w:p w14:paraId="1771F79E">
            <w:pPr>
              <w:pStyle w:val="102"/>
              <w:bidi w:val="0"/>
              <w:rPr>
                <w:rFonts w:hint="eastAsia"/>
                <w:highlight w:val="none"/>
              </w:rPr>
            </w:pPr>
          </w:p>
        </w:tc>
        <w:tc>
          <w:tcPr>
            <w:tcW w:w="854" w:type="dxa"/>
            <w:tcBorders>
              <w:tl2br w:val="nil"/>
              <w:tr2bl w:val="nil"/>
            </w:tcBorders>
            <w:vAlign w:val="center"/>
          </w:tcPr>
          <w:p w14:paraId="7DDE6275">
            <w:pPr>
              <w:pStyle w:val="102"/>
              <w:bidi w:val="0"/>
              <w:rPr>
                <w:rFonts w:hint="eastAsia"/>
                <w:highlight w:val="none"/>
              </w:rPr>
            </w:pPr>
            <w:r>
              <w:rPr>
                <w:rFonts w:hint="eastAsia"/>
                <w:highlight w:val="none"/>
              </w:rPr>
              <w:t>W</w:t>
            </w:r>
          </w:p>
        </w:tc>
      </w:tr>
      <w:tr w14:paraId="5C4392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835767">
            <w:pPr>
              <w:pStyle w:val="102"/>
              <w:bidi w:val="0"/>
              <w:rPr>
                <w:rFonts w:hint="eastAsia"/>
                <w:highlight w:val="none"/>
              </w:rPr>
            </w:pPr>
            <w:r>
              <w:rPr>
                <w:rFonts w:hint="eastAsia"/>
                <w:highlight w:val="none"/>
              </w:rPr>
              <w:t>5</w:t>
            </w:r>
          </w:p>
        </w:tc>
        <w:tc>
          <w:tcPr>
            <w:tcW w:w="3895" w:type="dxa"/>
            <w:tcBorders>
              <w:tl2br w:val="nil"/>
              <w:tr2bl w:val="nil"/>
            </w:tcBorders>
            <w:vAlign w:val="center"/>
          </w:tcPr>
          <w:p w14:paraId="5D74F63C">
            <w:pPr>
              <w:pStyle w:val="102"/>
              <w:bidi w:val="0"/>
              <w:rPr>
                <w:rFonts w:hint="eastAsia"/>
                <w:highlight w:val="none"/>
              </w:rPr>
            </w:pPr>
            <w:r>
              <w:rPr>
                <w:rFonts w:hint="eastAsia"/>
                <w:highlight w:val="none"/>
              </w:rPr>
              <w:t>作业方法应该按照说明书和本方案要求严格执行</w:t>
            </w:r>
          </w:p>
        </w:tc>
        <w:tc>
          <w:tcPr>
            <w:tcW w:w="810" w:type="dxa"/>
            <w:tcBorders>
              <w:tl2br w:val="nil"/>
              <w:tr2bl w:val="nil"/>
            </w:tcBorders>
            <w:vAlign w:val="center"/>
          </w:tcPr>
          <w:p w14:paraId="6AECEAB9">
            <w:pPr>
              <w:pStyle w:val="102"/>
              <w:bidi w:val="0"/>
              <w:rPr>
                <w:rFonts w:hint="eastAsia"/>
                <w:highlight w:val="none"/>
              </w:rPr>
            </w:pPr>
            <w:r>
              <w:rPr>
                <w:rFonts w:hint="eastAsia"/>
                <w:highlight w:val="none"/>
              </w:rPr>
              <w:t>★</w:t>
            </w:r>
          </w:p>
        </w:tc>
        <w:tc>
          <w:tcPr>
            <w:tcW w:w="949" w:type="dxa"/>
            <w:tcBorders>
              <w:tl2br w:val="nil"/>
              <w:tr2bl w:val="nil"/>
            </w:tcBorders>
            <w:vAlign w:val="center"/>
          </w:tcPr>
          <w:p w14:paraId="11715C72">
            <w:pPr>
              <w:pStyle w:val="102"/>
              <w:bidi w:val="0"/>
              <w:rPr>
                <w:rFonts w:hint="eastAsia"/>
                <w:highlight w:val="none"/>
              </w:rPr>
            </w:pPr>
          </w:p>
        </w:tc>
        <w:tc>
          <w:tcPr>
            <w:tcW w:w="954" w:type="dxa"/>
            <w:tcBorders>
              <w:tl2br w:val="nil"/>
              <w:tr2bl w:val="nil"/>
            </w:tcBorders>
            <w:vAlign w:val="center"/>
          </w:tcPr>
          <w:p w14:paraId="36C59DCE">
            <w:pPr>
              <w:pStyle w:val="102"/>
              <w:bidi w:val="0"/>
              <w:rPr>
                <w:rFonts w:hint="eastAsia"/>
                <w:highlight w:val="none"/>
              </w:rPr>
            </w:pPr>
            <w:r>
              <w:rPr>
                <w:rFonts w:hint="eastAsia"/>
                <w:highlight w:val="none"/>
              </w:rPr>
              <w:t>★</w:t>
            </w:r>
          </w:p>
        </w:tc>
        <w:tc>
          <w:tcPr>
            <w:tcW w:w="701" w:type="dxa"/>
            <w:tcBorders>
              <w:tl2br w:val="nil"/>
              <w:tr2bl w:val="nil"/>
            </w:tcBorders>
            <w:vAlign w:val="center"/>
          </w:tcPr>
          <w:p w14:paraId="5D993AD2">
            <w:pPr>
              <w:pStyle w:val="102"/>
              <w:bidi w:val="0"/>
              <w:rPr>
                <w:rFonts w:hint="eastAsia"/>
                <w:highlight w:val="none"/>
              </w:rPr>
            </w:pPr>
          </w:p>
        </w:tc>
        <w:tc>
          <w:tcPr>
            <w:tcW w:w="854" w:type="dxa"/>
            <w:tcBorders>
              <w:tl2br w:val="nil"/>
              <w:tr2bl w:val="nil"/>
            </w:tcBorders>
            <w:vAlign w:val="center"/>
          </w:tcPr>
          <w:p w14:paraId="06A6E5F1">
            <w:pPr>
              <w:pStyle w:val="102"/>
              <w:bidi w:val="0"/>
              <w:rPr>
                <w:rFonts w:hint="eastAsia"/>
                <w:highlight w:val="none"/>
              </w:rPr>
            </w:pPr>
            <w:r>
              <w:rPr>
                <w:rFonts w:hint="eastAsia"/>
                <w:highlight w:val="none"/>
              </w:rPr>
              <w:t>R</w:t>
            </w:r>
          </w:p>
        </w:tc>
      </w:tr>
      <w:tr w14:paraId="21BC96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93304EB">
            <w:pPr>
              <w:pStyle w:val="102"/>
              <w:bidi w:val="0"/>
              <w:rPr>
                <w:rFonts w:hint="eastAsia"/>
                <w:highlight w:val="none"/>
                <w:lang w:val="en-US" w:eastAsia="zh-CN"/>
              </w:rPr>
            </w:pPr>
            <w:r>
              <w:rPr>
                <w:rFonts w:hint="eastAsia"/>
                <w:highlight w:val="none"/>
                <w:lang w:val="en-US" w:eastAsia="zh-CN"/>
              </w:rPr>
              <w:t>6</w:t>
            </w:r>
          </w:p>
        </w:tc>
        <w:tc>
          <w:tcPr>
            <w:tcW w:w="3895" w:type="dxa"/>
            <w:tcBorders>
              <w:tl2br w:val="nil"/>
              <w:tr2bl w:val="nil"/>
            </w:tcBorders>
            <w:vAlign w:val="center"/>
          </w:tcPr>
          <w:p w14:paraId="6CE3555D">
            <w:pPr>
              <w:pStyle w:val="102"/>
              <w:bidi w:val="0"/>
              <w:rPr>
                <w:rFonts w:hint="default"/>
                <w:highlight w:val="none"/>
                <w:lang w:val="en-US" w:eastAsia="zh-CN"/>
              </w:rPr>
            </w:pPr>
            <w:r>
              <w:rPr>
                <w:rFonts w:hint="eastAsia"/>
                <w:highlight w:val="none"/>
                <w:lang w:val="en-US" w:eastAsia="zh-CN"/>
              </w:rPr>
              <w:t>。。。</w:t>
            </w:r>
          </w:p>
        </w:tc>
        <w:tc>
          <w:tcPr>
            <w:tcW w:w="810" w:type="dxa"/>
            <w:tcBorders>
              <w:tl2br w:val="nil"/>
              <w:tr2bl w:val="nil"/>
            </w:tcBorders>
            <w:vAlign w:val="center"/>
          </w:tcPr>
          <w:p w14:paraId="377395A7">
            <w:pPr>
              <w:pStyle w:val="102"/>
              <w:bidi w:val="0"/>
              <w:rPr>
                <w:rFonts w:hint="eastAsia"/>
                <w:highlight w:val="none"/>
              </w:rPr>
            </w:pPr>
          </w:p>
        </w:tc>
        <w:tc>
          <w:tcPr>
            <w:tcW w:w="949" w:type="dxa"/>
            <w:tcBorders>
              <w:tl2br w:val="nil"/>
              <w:tr2bl w:val="nil"/>
            </w:tcBorders>
            <w:vAlign w:val="center"/>
          </w:tcPr>
          <w:p w14:paraId="06D29CEA">
            <w:pPr>
              <w:pStyle w:val="102"/>
              <w:bidi w:val="0"/>
              <w:rPr>
                <w:rFonts w:hint="eastAsia"/>
                <w:highlight w:val="none"/>
              </w:rPr>
            </w:pPr>
          </w:p>
        </w:tc>
        <w:tc>
          <w:tcPr>
            <w:tcW w:w="954" w:type="dxa"/>
            <w:tcBorders>
              <w:tl2br w:val="nil"/>
              <w:tr2bl w:val="nil"/>
            </w:tcBorders>
            <w:vAlign w:val="center"/>
          </w:tcPr>
          <w:p w14:paraId="0D65003F">
            <w:pPr>
              <w:pStyle w:val="102"/>
              <w:bidi w:val="0"/>
              <w:rPr>
                <w:rFonts w:hint="eastAsia"/>
                <w:highlight w:val="none"/>
              </w:rPr>
            </w:pPr>
          </w:p>
        </w:tc>
        <w:tc>
          <w:tcPr>
            <w:tcW w:w="701" w:type="dxa"/>
            <w:tcBorders>
              <w:tl2br w:val="nil"/>
              <w:tr2bl w:val="nil"/>
            </w:tcBorders>
            <w:vAlign w:val="center"/>
          </w:tcPr>
          <w:p w14:paraId="42BE695A">
            <w:pPr>
              <w:pStyle w:val="102"/>
              <w:bidi w:val="0"/>
              <w:rPr>
                <w:rFonts w:hint="eastAsia"/>
                <w:highlight w:val="none"/>
              </w:rPr>
            </w:pPr>
          </w:p>
        </w:tc>
        <w:tc>
          <w:tcPr>
            <w:tcW w:w="854" w:type="dxa"/>
            <w:tcBorders>
              <w:tl2br w:val="nil"/>
              <w:tr2bl w:val="nil"/>
            </w:tcBorders>
            <w:vAlign w:val="center"/>
          </w:tcPr>
          <w:p w14:paraId="1C8DB8C0">
            <w:pPr>
              <w:pStyle w:val="102"/>
              <w:bidi w:val="0"/>
              <w:rPr>
                <w:rFonts w:hint="eastAsia"/>
                <w:highlight w:val="none"/>
              </w:rPr>
            </w:pPr>
          </w:p>
        </w:tc>
      </w:tr>
    </w:tbl>
    <w:p w14:paraId="11D06068">
      <w:pPr>
        <w:spacing w:line="360" w:lineRule="auto"/>
        <w:ind w:firstLine="440"/>
        <w:rPr>
          <w:highlight w:val="none"/>
        </w:rPr>
      </w:pPr>
      <w:r>
        <w:rPr>
          <w:rFonts w:hint="eastAsia"/>
          <w:sz w:val="22"/>
          <w:highlight w:val="none"/>
        </w:rPr>
        <w:t>见证方式:R － 记录确认点；W － 见证点；H － 停工待检点；S － 连续监视监护。</w:t>
      </w:r>
      <w:r>
        <w:rPr>
          <w:rFonts w:hint="eastAsia"/>
          <w:highlight w:val="none"/>
        </w:rPr>
        <w:br w:type="page"/>
      </w:r>
    </w:p>
    <w:p w14:paraId="59368CBB">
      <w:pPr>
        <w:pStyle w:val="2"/>
        <w:bidi w:val="0"/>
        <w:rPr>
          <w:highlight w:val="none"/>
        </w:rPr>
      </w:pPr>
      <w:bookmarkStart w:id="231" w:name="_Toc13029"/>
      <w:bookmarkStart w:id="232" w:name="_Toc22264"/>
      <w:r>
        <w:rPr>
          <w:rFonts w:hint="eastAsia"/>
          <w:highlight w:val="none"/>
          <w:lang w:val="en-US" w:eastAsia="zh-CN"/>
        </w:rPr>
        <w:t>6</w:t>
      </w:r>
      <w:r>
        <w:rPr>
          <w:rFonts w:hint="eastAsia"/>
          <w:highlight w:val="none"/>
        </w:rPr>
        <w:t>施工安全保障措施</w:t>
      </w:r>
      <w:bookmarkEnd w:id="206"/>
      <w:bookmarkEnd w:id="231"/>
      <w:bookmarkEnd w:id="232"/>
    </w:p>
    <w:p w14:paraId="06F99B51">
      <w:pPr>
        <w:pStyle w:val="3"/>
        <w:rPr>
          <w:highlight w:val="none"/>
        </w:rPr>
      </w:pPr>
      <w:bookmarkStart w:id="233" w:name="_Toc42642304"/>
      <w:bookmarkStart w:id="234" w:name="_Toc1107"/>
      <w:bookmarkStart w:id="235" w:name="_Toc7600"/>
      <w:r>
        <w:rPr>
          <w:rFonts w:hint="eastAsia"/>
          <w:highlight w:val="none"/>
          <w:lang w:val="en-US" w:eastAsia="zh-CN"/>
        </w:rPr>
        <w:t>6</w:t>
      </w:r>
      <w:r>
        <w:rPr>
          <w:rFonts w:hint="eastAsia"/>
          <w:highlight w:val="none"/>
        </w:rPr>
        <w:t>.1 组织保障措施</w:t>
      </w:r>
      <w:bookmarkEnd w:id="233"/>
      <w:bookmarkEnd w:id="234"/>
      <w:bookmarkEnd w:id="235"/>
    </w:p>
    <w:p w14:paraId="5ACD7EBB">
      <w:pPr>
        <w:pStyle w:val="4"/>
        <w:bidi w:val="0"/>
        <w:rPr>
          <w:rFonts w:hint="default" w:eastAsia="宋体"/>
          <w:highlight w:val="none"/>
          <w:lang w:val="en-US" w:eastAsia="zh-CN"/>
        </w:rPr>
      </w:pPr>
      <w:bookmarkStart w:id="236" w:name="_Toc23853"/>
      <w:bookmarkStart w:id="237" w:name="_Toc42642305"/>
      <w:bookmarkStart w:id="238" w:name="_Toc10409817"/>
      <w:r>
        <w:rPr>
          <w:rFonts w:hint="eastAsia"/>
          <w:highlight w:val="none"/>
          <w:lang w:val="en-US" w:eastAsia="zh-CN"/>
        </w:rPr>
        <w:t>6.1.1</w:t>
      </w:r>
      <w:r>
        <w:rPr>
          <w:highlight w:val="none"/>
        </w:rPr>
        <w:t>安全</w:t>
      </w:r>
      <w:r>
        <w:rPr>
          <w:rFonts w:hint="eastAsia"/>
          <w:highlight w:val="none"/>
          <w:lang w:val="en-US" w:eastAsia="zh-CN"/>
        </w:rPr>
        <w:t>组织机构</w:t>
      </w:r>
    </w:p>
    <w:p w14:paraId="68D47836">
      <w:pPr>
        <w:spacing w:line="360" w:lineRule="auto"/>
        <w:ind w:firstLine="480"/>
        <w:rPr>
          <w:highlight w:val="none"/>
        </w:rPr>
      </w:pPr>
      <w:r>
        <w:rPr>
          <w:highlight w:val="none"/>
        </w:rPr>
        <w:t>项目经理部成立以项目经理为组长，</w:t>
      </w:r>
      <w:r>
        <w:rPr>
          <w:rFonts w:hint="eastAsia"/>
          <w:highlight w:val="none"/>
          <w:lang w:val="en-US" w:eastAsia="zh-CN"/>
        </w:rPr>
        <w:t>安全总监、</w:t>
      </w:r>
      <w:r>
        <w:rPr>
          <w:highlight w:val="none"/>
        </w:rPr>
        <w:t>项目副经理、项目总工程师为副组长、安全</w:t>
      </w:r>
      <w:r>
        <w:rPr>
          <w:rFonts w:hint="eastAsia"/>
          <w:highlight w:val="none"/>
          <w:lang w:val="en-US" w:eastAsia="zh-CN"/>
        </w:rPr>
        <w:t>监督</w:t>
      </w:r>
      <w:r>
        <w:rPr>
          <w:highlight w:val="none"/>
        </w:rPr>
        <w:t>部及有关部门负责人组成的安全生产领导小组。安全生产领导小组对安全生产方面的重大问题和重点问题进行解决和处理。</w:t>
      </w:r>
    </w:p>
    <w:p w14:paraId="75701EDB">
      <w:pPr>
        <w:keepNext w:val="0"/>
        <w:keepLines w:val="0"/>
        <w:widowControl/>
        <w:suppressLineNumbers w:val="0"/>
        <w:spacing w:line="360" w:lineRule="auto"/>
        <w:ind w:firstLine="480" w:firstLineChars="20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实行安全生产三级管理，一级管理由项目经理负责，二级管理由专职安全员负责，三级管理由班组长负责。</w:t>
      </w:r>
    </w:p>
    <w:p w14:paraId="1857D7A3">
      <w:pPr>
        <w:pStyle w:val="12"/>
        <w:ind w:left="0" w:leftChars="0" w:firstLine="0" w:firstLineChars="0"/>
        <w:jc w:val="center"/>
        <w:rPr>
          <w:rFonts w:hint="default"/>
          <w:highlight w:val="none"/>
          <w:lang w:val="en-US" w:eastAsia="zh-CN"/>
        </w:rPr>
      </w:pPr>
      <w:r>
        <w:rPr>
          <w:highlight w:val="none"/>
        </w:rPr>
        <w:drawing>
          <wp:inline distT="0" distB="0" distL="114300" distR="114300">
            <wp:extent cx="4545330" cy="4340860"/>
            <wp:effectExtent l="0" t="0" r="0" b="2540"/>
            <wp:docPr id="253" name="图片 253" descr="人力资源部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人力资源部组织结构图"/>
                    <pic:cNvPicPr>
                      <a:picLocks noChangeAspect="1"/>
                    </pic:cNvPicPr>
                  </pic:nvPicPr>
                  <pic:blipFill>
                    <a:blip r:embed="rId66"/>
                    <a:srcRect t="3017" b="2844"/>
                    <a:stretch>
                      <a:fillRect/>
                    </a:stretch>
                  </pic:blipFill>
                  <pic:spPr>
                    <a:xfrm>
                      <a:off x="0" y="0"/>
                      <a:ext cx="4545330" cy="4340860"/>
                    </a:xfrm>
                    <a:prstGeom prst="rect">
                      <a:avLst/>
                    </a:prstGeom>
                  </pic:spPr>
                </pic:pic>
              </a:graphicData>
            </a:graphic>
          </wp:inline>
        </w:drawing>
      </w:r>
    </w:p>
    <w:p w14:paraId="501FBB0A">
      <w:pPr>
        <w:pStyle w:val="38"/>
        <w:bidi w:val="0"/>
        <w:rPr>
          <w:rFonts w:hint="eastAsia"/>
          <w:highlight w:val="none"/>
          <w:lang w:val="en-US" w:eastAsia="zh-CN"/>
        </w:rPr>
      </w:pPr>
      <w:r>
        <w:rPr>
          <w:rFonts w:hint="eastAsia"/>
          <w:highlight w:val="none"/>
          <w:lang w:val="en-US" w:eastAsia="zh-CN"/>
        </w:rPr>
        <w:t xml:space="preserve">图6.2.1-1 </w:t>
      </w:r>
      <w:r>
        <w:rPr>
          <w:rFonts w:hint="eastAsia"/>
          <w:highlight w:val="none"/>
        </w:rPr>
        <w:t>安全管理组织机构</w:t>
      </w:r>
      <w:r>
        <w:rPr>
          <w:rFonts w:hint="eastAsia"/>
          <w:highlight w:val="none"/>
          <w:lang w:val="en-US" w:eastAsia="zh-CN"/>
        </w:rPr>
        <w:t>图</w:t>
      </w:r>
    </w:p>
    <w:p w14:paraId="6CCFB891">
      <w:pPr>
        <w:pStyle w:val="4"/>
        <w:bidi w:val="0"/>
        <w:rPr>
          <w:highlight w:val="none"/>
        </w:rPr>
      </w:pPr>
      <w:r>
        <w:rPr>
          <w:rFonts w:hint="eastAsia"/>
          <w:highlight w:val="none"/>
          <w:lang w:val="en-US" w:eastAsia="zh-CN"/>
        </w:rPr>
        <w:t>6.1.2</w:t>
      </w:r>
      <w:r>
        <w:rPr>
          <w:rFonts w:hint="eastAsia" w:ascii="宋体" w:hAnsi="宋体" w:eastAsia="宋体" w:cs="宋体"/>
          <w:color w:val="000000"/>
          <w:kern w:val="0"/>
          <w:sz w:val="24"/>
          <w:szCs w:val="24"/>
          <w:highlight w:val="none"/>
          <w:lang w:val="en-US" w:eastAsia="zh-CN" w:bidi="ar"/>
        </w:rPr>
        <w:t>安全保证体系</w:t>
      </w:r>
    </w:p>
    <w:p w14:paraId="76706893">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根据项目特点，从思想、组织、制度、技术、资源、过程等方面入手建立健全安全生产保证体系，到全面落实各项安全措施本项目的抗滑桩施工中，确保安全生产目标的实现。</w:t>
      </w:r>
    </w:p>
    <w:p w14:paraId="17AC6766">
      <w:pPr>
        <w:bidi w:val="0"/>
        <w:rPr>
          <w:rFonts w:hint="default"/>
          <w:highlight w:val="none"/>
          <w:lang w:val="en-US" w:eastAsia="zh-CN"/>
        </w:rPr>
      </w:pPr>
      <w:r>
        <w:rPr>
          <w:highlight w:val="none"/>
        </w:rPr>
        <mc:AlternateContent>
          <mc:Choice Requires="wpg">
            <w:drawing>
              <wp:inline distT="0" distB="0" distL="0" distR="0">
                <wp:extent cx="5570220" cy="4467225"/>
                <wp:effectExtent l="6350" t="6350" r="11430" b="9525"/>
                <wp:docPr id="368" name="Group 2569"/>
                <wp:cNvGraphicFramePr/>
                <a:graphic xmlns:a="http://schemas.openxmlformats.org/drawingml/2006/main">
                  <a:graphicData uri="http://schemas.microsoft.com/office/word/2010/wordprocessingGroup">
                    <wpg:wgp>
                      <wpg:cNvGrpSpPr/>
                      <wpg:grpSpPr>
                        <a:xfrm>
                          <a:off x="0" y="0"/>
                          <a:ext cx="5570220" cy="4467225"/>
                          <a:chOff x="0" y="0"/>
                          <a:chExt cx="8308" cy="6183"/>
                        </a:xfrm>
                      </wpg:grpSpPr>
                      <wps:wsp>
                        <wps:cNvPr id="369" name="Text Box 2570"/>
                        <wps:cNvSpPr txBox="1">
                          <a:spLocks noChangeArrowheads="1"/>
                        </wps:cNvSpPr>
                        <wps:spPr bwMode="auto">
                          <a:xfrm>
                            <a:off x="0" y="1393"/>
                            <a:ext cx="493" cy="2613"/>
                          </a:xfrm>
                          <a:prstGeom prst="rect">
                            <a:avLst/>
                          </a:prstGeom>
                          <a:solidFill>
                            <a:schemeClr val="accent6">
                              <a:lumMod val="40000"/>
                              <a:lumOff val="60000"/>
                            </a:schemeClr>
                          </a:solidFill>
                          <a:ln w="12700">
                            <a:solidFill>
                              <a:srgbClr val="0000C8"/>
                            </a:solidFill>
                            <a:miter lim="800000"/>
                          </a:ln>
                        </wps:spPr>
                        <wps:txbx>
                          <w:txbxContent>
                            <w:p w14:paraId="055FEEF2">
                              <w:pPr>
                                <w:pStyle w:val="69"/>
                              </w:pPr>
                              <w:r>
                                <w:rPr>
                                  <w:rFonts w:hint="eastAsia"/>
                                </w:rPr>
                                <w:t>安全生产管理体系</w:t>
                              </w:r>
                            </w:p>
                          </w:txbxContent>
                        </wps:txbx>
                        <wps:bodyPr rot="0" vert="eaVert" wrap="square" lIns="0" tIns="0" rIns="0" bIns="0" anchor="ctr" anchorCtr="0" upright="1">
                          <a:noAutofit/>
                        </wps:bodyPr>
                      </wps:wsp>
                      <wps:wsp>
                        <wps:cNvPr id="370" name="Line 2571"/>
                        <wps:cNvCnPr>
                          <a:cxnSpLocks noChangeShapeType="1"/>
                        </wps:cNvCnPr>
                        <wps:spPr bwMode="auto">
                          <a:xfrm>
                            <a:off x="514" y="2524"/>
                            <a:ext cx="195" cy="0"/>
                          </a:xfrm>
                          <a:prstGeom prst="line">
                            <a:avLst/>
                          </a:prstGeom>
                          <a:noFill/>
                          <a:ln w="12700">
                            <a:solidFill>
                              <a:srgbClr val="0000C8"/>
                            </a:solidFill>
                            <a:round/>
                          </a:ln>
                        </wps:spPr>
                        <wps:bodyPr/>
                      </wps:wsp>
                      <wps:wsp>
                        <wps:cNvPr id="371" name="Line 2572"/>
                        <wps:cNvCnPr>
                          <a:cxnSpLocks noChangeShapeType="1"/>
                        </wps:cNvCnPr>
                        <wps:spPr bwMode="auto">
                          <a:xfrm>
                            <a:off x="690" y="174"/>
                            <a:ext cx="0" cy="5399"/>
                          </a:xfrm>
                          <a:prstGeom prst="line">
                            <a:avLst/>
                          </a:prstGeom>
                          <a:noFill/>
                          <a:ln w="12700">
                            <a:solidFill>
                              <a:srgbClr val="0000C8"/>
                            </a:solidFill>
                            <a:round/>
                          </a:ln>
                        </wps:spPr>
                        <wps:bodyPr/>
                      </wps:wsp>
                      <wps:wsp>
                        <wps:cNvPr id="372" name="Line 2573"/>
                        <wps:cNvCnPr>
                          <a:cxnSpLocks noChangeShapeType="1"/>
                        </wps:cNvCnPr>
                        <wps:spPr bwMode="auto">
                          <a:xfrm>
                            <a:off x="690" y="174"/>
                            <a:ext cx="214" cy="0"/>
                          </a:xfrm>
                          <a:prstGeom prst="line">
                            <a:avLst/>
                          </a:prstGeom>
                          <a:noFill/>
                          <a:ln w="12700">
                            <a:solidFill>
                              <a:srgbClr val="0000C8"/>
                            </a:solidFill>
                            <a:round/>
                          </a:ln>
                        </wps:spPr>
                        <wps:bodyPr/>
                      </wps:wsp>
                      <wps:wsp>
                        <wps:cNvPr id="373" name="Text Box 2574"/>
                        <wps:cNvSpPr txBox="1">
                          <a:spLocks noChangeArrowheads="1"/>
                        </wps:cNvSpPr>
                        <wps:spPr bwMode="auto">
                          <a:xfrm>
                            <a:off x="904" y="0"/>
                            <a:ext cx="1351" cy="348"/>
                          </a:xfrm>
                          <a:prstGeom prst="rect">
                            <a:avLst/>
                          </a:prstGeom>
                          <a:solidFill>
                            <a:schemeClr val="accent6">
                              <a:lumMod val="40000"/>
                              <a:lumOff val="60000"/>
                            </a:schemeClr>
                          </a:solidFill>
                          <a:ln w="12700">
                            <a:solidFill>
                              <a:srgbClr val="0000C8"/>
                            </a:solidFill>
                            <a:miter lim="800000"/>
                          </a:ln>
                        </wps:spPr>
                        <wps:txbx>
                          <w:txbxContent>
                            <w:p w14:paraId="45651D37">
                              <w:pPr>
                                <w:pStyle w:val="69"/>
                              </w:pPr>
                              <w:r>
                                <w:rPr>
                                  <w:rFonts w:hint="eastAsia"/>
                                </w:rPr>
                                <w:t>思想保证</w:t>
                              </w:r>
                            </w:p>
                          </w:txbxContent>
                        </wps:txbx>
                        <wps:bodyPr rot="0" vert="horz" wrap="square" lIns="0" tIns="0" rIns="0" bIns="0" anchor="ctr" anchorCtr="0" upright="1">
                          <a:noAutofit/>
                        </wps:bodyPr>
                      </wps:wsp>
                      <wps:wsp>
                        <wps:cNvPr id="387" name="Line 2575"/>
                        <wps:cNvCnPr>
                          <a:cxnSpLocks noChangeShapeType="1"/>
                        </wps:cNvCnPr>
                        <wps:spPr bwMode="auto">
                          <a:xfrm>
                            <a:off x="2255" y="174"/>
                            <a:ext cx="262" cy="0"/>
                          </a:xfrm>
                          <a:prstGeom prst="line">
                            <a:avLst/>
                          </a:prstGeom>
                          <a:noFill/>
                          <a:ln w="12700">
                            <a:solidFill>
                              <a:srgbClr val="0000C8"/>
                            </a:solidFill>
                            <a:round/>
                          </a:ln>
                        </wps:spPr>
                        <wps:bodyPr/>
                      </wps:wsp>
                      <wps:wsp>
                        <wps:cNvPr id="254" name="Text Box 2576"/>
                        <wps:cNvSpPr txBox="1">
                          <a:spLocks noChangeArrowheads="1"/>
                        </wps:cNvSpPr>
                        <wps:spPr bwMode="auto">
                          <a:xfrm>
                            <a:off x="2517" y="0"/>
                            <a:ext cx="2703" cy="348"/>
                          </a:xfrm>
                          <a:prstGeom prst="rect">
                            <a:avLst/>
                          </a:prstGeom>
                          <a:solidFill>
                            <a:schemeClr val="accent6">
                              <a:lumMod val="40000"/>
                              <a:lumOff val="60000"/>
                            </a:schemeClr>
                          </a:solidFill>
                          <a:ln w="12700">
                            <a:solidFill>
                              <a:srgbClr val="0000C8"/>
                            </a:solidFill>
                            <a:miter lim="800000"/>
                          </a:ln>
                        </wps:spPr>
                        <wps:txbx>
                          <w:txbxContent>
                            <w:p w14:paraId="62D8B017">
                              <w:pPr>
                                <w:pStyle w:val="69"/>
                              </w:pPr>
                              <w:r>
                                <w:rPr>
                                  <w:rFonts w:hint="eastAsia"/>
                                </w:rPr>
                                <w:t>项目部季度安全教育</w:t>
                              </w:r>
                            </w:p>
                          </w:txbxContent>
                        </wps:txbx>
                        <wps:bodyPr rot="0" vert="horz" wrap="square" lIns="0" tIns="0" rIns="0" bIns="0" anchor="ctr" anchorCtr="0" upright="1">
                          <a:noAutofit/>
                        </wps:bodyPr>
                      </wps:wsp>
                      <wps:wsp>
                        <wps:cNvPr id="255" name="Line 2577"/>
                        <wps:cNvCnPr>
                          <a:cxnSpLocks noChangeShapeType="1"/>
                        </wps:cNvCnPr>
                        <wps:spPr bwMode="auto">
                          <a:xfrm>
                            <a:off x="5220" y="174"/>
                            <a:ext cx="506" cy="0"/>
                          </a:xfrm>
                          <a:prstGeom prst="line">
                            <a:avLst/>
                          </a:prstGeom>
                          <a:noFill/>
                          <a:ln w="12700">
                            <a:solidFill>
                              <a:srgbClr val="0000C8"/>
                            </a:solidFill>
                            <a:round/>
                          </a:ln>
                        </wps:spPr>
                        <wps:bodyPr/>
                      </wps:wsp>
                      <wps:wsp>
                        <wps:cNvPr id="256" name="Text Box 2578"/>
                        <wps:cNvSpPr txBox="1">
                          <a:spLocks noChangeArrowheads="1"/>
                        </wps:cNvSpPr>
                        <wps:spPr bwMode="auto">
                          <a:xfrm>
                            <a:off x="5726" y="0"/>
                            <a:ext cx="2458" cy="348"/>
                          </a:xfrm>
                          <a:prstGeom prst="rect">
                            <a:avLst/>
                          </a:prstGeom>
                          <a:solidFill>
                            <a:schemeClr val="accent6">
                              <a:lumMod val="40000"/>
                              <a:lumOff val="60000"/>
                            </a:schemeClr>
                          </a:solidFill>
                          <a:ln w="12700">
                            <a:solidFill>
                              <a:srgbClr val="0000C8"/>
                            </a:solidFill>
                            <a:miter lim="800000"/>
                          </a:ln>
                        </wps:spPr>
                        <wps:txbx>
                          <w:txbxContent>
                            <w:p w14:paraId="0156B9EE">
                              <w:pPr>
                                <w:pStyle w:val="69"/>
                              </w:pPr>
                              <w:r>
                                <w:rPr>
                                  <w:rFonts w:hint="eastAsia"/>
                                </w:rPr>
                                <w:t>班组每周安全活动</w:t>
                              </w:r>
                            </w:p>
                          </w:txbxContent>
                        </wps:txbx>
                        <wps:bodyPr rot="0" vert="horz" wrap="square" lIns="0" tIns="0" rIns="0" bIns="0" anchor="ctr" anchorCtr="0" upright="1">
                          <a:noAutofit/>
                        </wps:bodyPr>
                      </wps:wsp>
                      <wps:wsp>
                        <wps:cNvPr id="257" name="Line 2579"/>
                        <wps:cNvCnPr>
                          <a:cxnSpLocks noChangeShapeType="1"/>
                        </wps:cNvCnPr>
                        <wps:spPr bwMode="auto">
                          <a:xfrm>
                            <a:off x="709" y="1219"/>
                            <a:ext cx="214" cy="0"/>
                          </a:xfrm>
                          <a:prstGeom prst="line">
                            <a:avLst/>
                          </a:prstGeom>
                          <a:noFill/>
                          <a:ln w="12700">
                            <a:solidFill>
                              <a:srgbClr val="0000C8"/>
                            </a:solidFill>
                            <a:round/>
                          </a:ln>
                        </wps:spPr>
                        <wps:bodyPr/>
                      </wps:wsp>
                      <wps:wsp>
                        <wps:cNvPr id="258" name="Text Box 2580"/>
                        <wps:cNvSpPr txBox="1">
                          <a:spLocks noChangeArrowheads="1"/>
                        </wps:cNvSpPr>
                        <wps:spPr bwMode="auto">
                          <a:xfrm>
                            <a:off x="904" y="1045"/>
                            <a:ext cx="1351" cy="348"/>
                          </a:xfrm>
                          <a:prstGeom prst="rect">
                            <a:avLst/>
                          </a:prstGeom>
                          <a:solidFill>
                            <a:schemeClr val="accent6">
                              <a:lumMod val="40000"/>
                              <a:lumOff val="60000"/>
                            </a:schemeClr>
                          </a:solidFill>
                          <a:ln w="12700">
                            <a:solidFill>
                              <a:srgbClr val="0000C8"/>
                            </a:solidFill>
                            <a:miter lim="800000"/>
                          </a:ln>
                        </wps:spPr>
                        <wps:txbx>
                          <w:txbxContent>
                            <w:p w14:paraId="581A3BD3">
                              <w:pPr>
                                <w:pStyle w:val="69"/>
                              </w:pPr>
                              <w:r>
                                <w:rPr>
                                  <w:rFonts w:hint="eastAsia"/>
                                </w:rPr>
                                <w:t>组织保证</w:t>
                              </w:r>
                            </w:p>
                          </w:txbxContent>
                        </wps:txbx>
                        <wps:bodyPr rot="0" vert="horz" wrap="square" lIns="0" tIns="0" rIns="0" bIns="0" anchor="ctr" anchorCtr="0" upright="1">
                          <a:noAutofit/>
                        </wps:bodyPr>
                      </wps:wsp>
                      <wps:wsp>
                        <wps:cNvPr id="259" name="Line 2581"/>
                        <wps:cNvCnPr>
                          <a:cxnSpLocks noChangeShapeType="1"/>
                        </wps:cNvCnPr>
                        <wps:spPr bwMode="auto">
                          <a:xfrm>
                            <a:off x="2255" y="1219"/>
                            <a:ext cx="479" cy="0"/>
                          </a:xfrm>
                          <a:prstGeom prst="line">
                            <a:avLst/>
                          </a:prstGeom>
                          <a:noFill/>
                          <a:ln w="12700">
                            <a:solidFill>
                              <a:srgbClr val="0000C8"/>
                            </a:solidFill>
                            <a:round/>
                          </a:ln>
                        </wps:spPr>
                        <wps:bodyPr/>
                      </wps:wsp>
                      <wps:wsp>
                        <wps:cNvPr id="260" name="Text Box 2582"/>
                        <wps:cNvSpPr txBox="1">
                          <a:spLocks noChangeArrowheads="1"/>
                        </wps:cNvSpPr>
                        <wps:spPr bwMode="auto">
                          <a:xfrm>
                            <a:off x="2734" y="1045"/>
                            <a:ext cx="2533" cy="348"/>
                          </a:xfrm>
                          <a:prstGeom prst="rect">
                            <a:avLst/>
                          </a:prstGeom>
                          <a:solidFill>
                            <a:schemeClr val="accent6">
                              <a:lumMod val="40000"/>
                              <a:lumOff val="60000"/>
                            </a:schemeClr>
                          </a:solidFill>
                          <a:ln w="12700">
                            <a:solidFill>
                              <a:srgbClr val="0000C8"/>
                            </a:solidFill>
                            <a:miter lim="800000"/>
                          </a:ln>
                        </wps:spPr>
                        <wps:txbx>
                          <w:txbxContent>
                            <w:p w14:paraId="56BA3CEF">
                              <w:pPr>
                                <w:pStyle w:val="69"/>
                              </w:pPr>
                              <w:r>
                                <w:rPr>
                                  <w:rFonts w:hint="eastAsia"/>
                                </w:rPr>
                                <w:t>安监处</w:t>
                              </w:r>
                            </w:p>
                          </w:txbxContent>
                        </wps:txbx>
                        <wps:bodyPr rot="0" vert="horz" wrap="square" lIns="0" tIns="0" rIns="0" bIns="0" anchor="ctr" anchorCtr="0" upright="1">
                          <a:noAutofit/>
                        </wps:bodyPr>
                      </wps:wsp>
                      <wps:wsp>
                        <wps:cNvPr id="262" name="Text Box 2583"/>
                        <wps:cNvSpPr txBox="1">
                          <a:spLocks noChangeArrowheads="1"/>
                        </wps:cNvSpPr>
                        <wps:spPr bwMode="auto">
                          <a:xfrm>
                            <a:off x="2734" y="612"/>
                            <a:ext cx="2533" cy="347"/>
                          </a:xfrm>
                          <a:prstGeom prst="rect">
                            <a:avLst/>
                          </a:prstGeom>
                          <a:solidFill>
                            <a:schemeClr val="accent6">
                              <a:lumMod val="40000"/>
                              <a:lumOff val="60000"/>
                            </a:schemeClr>
                          </a:solidFill>
                          <a:ln w="12700">
                            <a:solidFill>
                              <a:srgbClr val="0000C8"/>
                            </a:solidFill>
                            <a:miter lim="800000"/>
                          </a:ln>
                        </wps:spPr>
                        <wps:txbx>
                          <w:txbxContent>
                            <w:p w14:paraId="13E9F438">
                              <w:pPr>
                                <w:pStyle w:val="69"/>
                              </w:pPr>
                              <w:r>
                                <w:rPr>
                                  <w:rFonts w:hint="eastAsia"/>
                                </w:rPr>
                                <w:t>安委会</w:t>
                              </w:r>
                            </w:p>
                          </w:txbxContent>
                        </wps:txbx>
                        <wps:bodyPr rot="0" vert="horz" wrap="square" lIns="0" tIns="0" rIns="0" bIns="0" anchor="ctr" anchorCtr="0" upright="1">
                          <a:noAutofit/>
                        </wps:bodyPr>
                      </wps:wsp>
                      <wps:wsp>
                        <wps:cNvPr id="263" name="Text Box 2584"/>
                        <wps:cNvSpPr txBox="1">
                          <a:spLocks noChangeArrowheads="1"/>
                        </wps:cNvSpPr>
                        <wps:spPr bwMode="auto">
                          <a:xfrm>
                            <a:off x="2734" y="1480"/>
                            <a:ext cx="2533" cy="349"/>
                          </a:xfrm>
                          <a:prstGeom prst="rect">
                            <a:avLst/>
                          </a:prstGeom>
                          <a:solidFill>
                            <a:schemeClr val="accent6">
                              <a:lumMod val="40000"/>
                              <a:lumOff val="60000"/>
                            </a:schemeClr>
                          </a:solidFill>
                          <a:ln w="12700">
                            <a:solidFill>
                              <a:srgbClr val="0000C8"/>
                            </a:solidFill>
                            <a:miter lim="800000"/>
                          </a:ln>
                        </wps:spPr>
                        <wps:txbx>
                          <w:txbxContent>
                            <w:p w14:paraId="1309BE53">
                              <w:pPr>
                                <w:pStyle w:val="69"/>
                              </w:pPr>
                              <w:r>
                                <w:rPr>
                                  <w:rFonts w:hint="eastAsia"/>
                                </w:rPr>
                                <w:t>项目经理安全责任制</w:t>
                              </w:r>
                            </w:p>
                            <w:p w14:paraId="24D22C3F">
                              <w:pPr>
                                <w:pStyle w:val="69"/>
                              </w:pPr>
                            </w:p>
                          </w:txbxContent>
                        </wps:txbx>
                        <wps:bodyPr rot="0" vert="horz" wrap="square" lIns="0" tIns="0" rIns="0" bIns="0" anchor="ctr" anchorCtr="0" upright="1">
                          <a:noAutofit/>
                        </wps:bodyPr>
                      </wps:wsp>
                      <wps:wsp>
                        <wps:cNvPr id="264" name="Line 2585"/>
                        <wps:cNvCnPr>
                          <a:cxnSpLocks noChangeShapeType="1"/>
                        </wps:cNvCnPr>
                        <wps:spPr bwMode="auto">
                          <a:xfrm>
                            <a:off x="2396" y="784"/>
                            <a:ext cx="0" cy="870"/>
                          </a:xfrm>
                          <a:prstGeom prst="line">
                            <a:avLst/>
                          </a:prstGeom>
                          <a:noFill/>
                          <a:ln w="12700">
                            <a:solidFill>
                              <a:srgbClr val="0000C8"/>
                            </a:solidFill>
                            <a:round/>
                          </a:ln>
                        </wps:spPr>
                        <wps:bodyPr/>
                      </wps:wsp>
                      <wps:wsp>
                        <wps:cNvPr id="265" name="Line 2586"/>
                        <wps:cNvCnPr>
                          <a:cxnSpLocks noChangeShapeType="1"/>
                        </wps:cNvCnPr>
                        <wps:spPr bwMode="auto">
                          <a:xfrm>
                            <a:off x="2396" y="784"/>
                            <a:ext cx="338" cy="0"/>
                          </a:xfrm>
                          <a:prstGeom prst="line">
                            <a:avLst/>
                          </a:prstGeom>
                          <a:noFill/>
                          <a:ln w="12700">
                            <a:solidFill>
                              <a:srgbClr val="0000C8"/>
                            </a:solidFill>
                            <a:round/>
                          </a:ln>
                        </wps:spPr>
                        <wps:bodyPr/>
                      </wps:wsp>
                      <wps:wsp>
                        <wps:cNvPr id="116" name="Line 2587"/>
                        <wps:cNvCnPr>
                          <a:cxnSpLocks noChangeShapeType="1"/>
                        </wps:cNvCnPr>
                        <wps:spPr bwMode="auto">
                          <a:xfrm>
                            <a:off x="2396" y="1654"/>
                            <a:ext cx="338" cy="0"/>
                          </a:xfrm>
                          <a:prstGeom prst="line">
                            <a:avLst/>
                          </a:prstGeom>
                          <a:noFill/>
                          <a:ln w="12700">
                            <a:solidFill>
                              <a:srgbClr val="0000C8"/>
                            </a:solidFill>
                            <a:round/>
                          </a:ln>
                        </wps:spPr>
                        <wps:bodyPr/>
                      </wps:wsp>
                      <wps:wsp>
                        <wps:cNvPr id="266" name="Text Box 2588"/>
                        <wps:cNvSpPr txBox="1">
                          <a:spLocks noChangeArrowheads="1"/>
                        </wps:cNvSpPr>
                        <wps:spPr bwMode="auto">
                          <a:xfrm>
                            <a:off x="5605" y="1035"/>
                            <a:ext cx="2703" cy="348"/>
                          </a:xfrm>
                          <a:prstGeom prst="rect">
                            <a:avLst/>
                          </a:prstGeom>
                          <a:solidFill>
                            <a:schemeClr val="accent6">
                              <a:lumMod val="40000"/>
                              <a:lumOff val="60000"/>
                            </a:schemeClr>
                          </a:solidFill>
                          <a:ln w="12700">
                            <a:solidFill>
                              <a:srgbClr val="0000C8"/>
                            </a:solidFill>
                            <a:miter lim="800000"/>
                          </a:ln>
                        </wps:spPr>
                        <wps:txbx>
                          <w:txbxContent>
                            <w:p w14:paraId="22ED40B3">
                              <w:pPr>
                                <w:pStyle w:val="69"/>
                              </w:pPr>
                              <w:r>
                                <w:rPr>
                                  <w:rFonts w:hint="eastAsia"/>
                                </w:rPr>
                                <w:t>项目部安全监督部</w:t>
                              </w:r>
                            </w:p>
                          </w:txbxContent>
                        </wps:txbx>
                        <wps:bodyPr rot="0" vert="horz" wrap="square" lIns="0" tIns="0" rIns="0" bIns="0" anchor="ctr" anchorCtr="0" upright="1">
                          <a:noAutofit/>
                        </wps:bodyPr>
                      </wps:wsp>
                      <wps:wsp>
                        <wps:cNvPr id="468" name="Text Box 2589"/>
                        <wps:cNvSpPr txBox="1">
                          <a:spLocks noChangeArrowheads="1"/>
                        </wps:cNvSpPr>
                        <wps:spPr bwMode="auto">
                          <a:xfrm>
                            <a:off x="5605" y="602"/>
                            <a:ext cx="2703" cy="347"/>
                          </a:xfrm>
                          <a:prstGeom prst="rect">
                            <a:avLst/>
                          </a:prstGeom>
                          <a:solidFill>
                            <a:schemeClr val="accent6">
                              <a:lumMod val="40000"/>
                              <a:lumOff val="60000"/>
                            </a:schemeClr>
                          </a:solidFill>
                          <a:ln w="12700">
                            <a:solidFill>
                              <a:srgbClr val="0000C8"/>
                            </a:solidFill>
                            <a:miter lim="800000"/>
                          </a:ln>
                        </wps:spPr>
                        <wps:txbx>
                          <w:txbxContent>
                            <w:p w14:paraId="3AF50D13">
                              <w:pPr>
                                <w:pStyle w:val="69"/>
                              </w:pPr>
                              <w:r>
                                <w:rPr>
                                  <w:rFonts w:hint="eastAsia"/>
                                </w:rPr>
                                <w:t>项目部安全领导小组</w:t>
                              </w:r>
                            </w:p>
                          </w:txbxContent>
                        </wps:txbx>
                        <wps:bodyPr rot="0" vert="horz" wrap="square" lIns="0" tIns="0" rIns="0" bIns="0" anchor="ctr" anchorCtr="0" upright="1">
                          <a:noAutofit/>
                        </wps:bodyPr>
                      </wps:wsp>
                      <wps:wsp>
                        <wps:cNvPr id="469" name="Text Box 2590"/>
                        <wps:cNvSpPr txBox="1">
                          <a:spLocks noChangeArrowheads="1"/>
                        </wps:cNvSpPr>
                        <wps:spPr bwMode="auto">
                          <a:xfrm>
                            <a:off x="5605" y="1470"/>
                            <a:ext cx="2703" cy="349"/>
                          </a:xfrm>
                          <a:prstGeom prst="rect">
                            <a:avLst/>
                          </a:prstGeom>
                          <a:solidFill>
                            <a:schemeClr val="accent6">
                              <a:lumMod val="40000"/>
                              <a:lumOff val="60000"/>
                            </a:schemeClr>
                          </a:solidFill>
                          <a:ln w="12700">
                            <a:solidFill>
                              <a:srgbClr val="0000C8"/>
                            </a:solidFill>
                            <a:miter lim="800000"/>
                          </a:ln>
                        </wps:spPr>
                        <wps:txbx>
                          <w:txbxContent>
                            <w:p w14:paraId="64DB9475">
                              <w:pPr>
                                <w:pStyle w:val="69"/>
                              </w:pPr>
                              <w:r>
                                <w:rPr>
                                  <w:rFonts w:hint="eastAsia"/>
                                </w:rPr>
                                <w:t>部门安全责任制</w:t>
                              </w:r>
                            </w:p>
                            <w:p w14:paraId="2362CCF5">
                              <w:pPr>
                                <w:pStyle w:val="69"/>
                              </w:pPr>
                            </w:p>
                          </w:txbxContent>
                        </wps:txbx>
                        <wps:bodyPr rot="0" vert="horz" wrap="square" lIns="0" tIns="0" rIns="0" bIns="0" anchor="ctr" anchorCtr="0" upright="1">
                          <a:noAutofit/>
                        </wps:bodyPr>
                      </wps:wsp>
                      <wps:wsp>
                        <wps:cNvPr id="470" name="Line 2591"/>
                        <wps:cNvCnPr>
                          <a:cxnSpLocks noChangeShapeType="1"/>
                        </wps:cNvCnPr>
                        <wps:spPr bwMode="auto">
                          <a:xfrm>
                            <a:off x="690" y="2524"/>
                            <a:ext cx="143" cy="0"/>
                          </a:xfrm>
                          <a:prstGeom prst="line">
                            <a:avLst/>
                          </a:prstGeom>
                          <a:noFill/>
                          <a:ln w="12700">
                            <a:solidFill>
                              <a:srgbClr val="0000C8"/>
                            </a:solidFill>
                            <a:round/>
                          </a:ln>
                        </wps:spPr>
                        <wps:bodyPr/>
                      </wps:wsp>
                      <wps:wsp>
                        <wps:cNvPr id="471" name="Text Box 2592"/>
                        <wps:cNvSpPr txBox="1">
                          <a:spLocks noChangeArrowheads="1"/>
                        </wps:cNvSpPr>
                        <wps:spPr bwMode="auto">
                          <a:xfrm>
                            <a:off x="833" y="2350"/>
                            <a:ext cx="1352" cy="348"/>
                          </a:xfrm>
                          <a:prstGeom prst="rect">
                            <a:avLst/>
                          </a:prstGeom>
                          <a:solidFill>
                            <a:schemeClr val="accent6">
                              <a:lumMod val="40000"/>
                              <a:lumOff val="60000"/>
                            </a:schemeClr>
                          </a:solidFill>
                          <a:ln w="12700">
                            <a:solidFill>
                              <a:srgbClr val="0000C8"/>
                            </a:solidFill>
                            <a:miter lim="800000"/>
                          </a:ln>
                        </wps:spPr>
                        <wps:txbx>
                          <w:txbxContent>
                            <w:p w14:paraId="55477B5C">
                              <w:pPr>
                                <w:pStyle w:val="69"/>
                              </w:pPr>
                              <w:r>
                                <w:rPr>
                                  <w:rFonts w:hint="eastAsia"/>
                                </w:rPr>
                                <w:t>制度保证</w:t>
                              </w:r>
                            </w:p>
                          </w:txbxContent>
                        </wps:txbx>
                        <wps:bodyPr rot="0" vert="horz" wrap="square" lIns="0" tIns="0" rIns="0" bIns="0" anchor="ctr" anchorCtr="0" upright="1">
                          <a:noAutofit/>
                        </wps:bodyPr>
                      </wps:wsp>
                      <wps:wsp>
                        <wps:cNvPr id="472" name="Line 2593"/>
                        <wps:cNvCnPr>
                          <a:cxnSpLocks noChangeShapeType="1"/>
                        </wps:cNvCnPr>
                        <wps:spPr bwMode="auto">
                          <a:xfrm>
                            <a:off x="2185" y="2524"/>
                            <a:ext cx="549" cy="0"/>
                          </a:xfrm>
                          <a:prstGeom prst="line">
                            <a:avLst/>
                          </a:prstGeom>
                          <a:noFill/>
                          <a:ln w="12700">
                            <a:solidFill>
                              <a:srgbClr val="0000C8"/>
                            </a:solidFill>
                            <a:round/>
                          </a:ln>
                        </wps:spPr>
                        <wps:bodyPr/>
                      </wps:wsp>
                      <wps:wsp>
                        <wps:cNvPr id="473" name="Text Box 2594"/>
                        <wps:cNvSpPr txBox="1">
                          <a:spLocks noChangeArrowheads="1"/>
                        </wps:cNvSpPr>
                        <wps:spPr bwMode="auto">
                          <a:xfrm>
                            <a:off x="2734" y="2350"/>
                            <a:ext cx="3209" cy="348"/>
                          </a:xfrm>
                          <a:prstGeom prst="rect">
                            <a:avLst/>
                          </a:prstGeom>
                          <a:solidFill>
                            <a:schemeClr val="accent6">
                              <a:lumMod val="40000"/>
                              <a:lumOff val="60000"/>
                            </a:schemeClr>
                          </a:solidFill>
                          <a:ln w="12700">
                            <a:solidFill>
                              <a:srgbClr val="0000C8"/>
                            </a:solidFill>
                            <a:miter lim="800000"/>
                          </a:ln>
                        </wps:spPr>
                        <wps:txbx>
                          <w:txbxContent>
                            <w:p w14:paraId="0F0BCD55">
                              <w:pPr>
                                <w:pStyle w:val="69"/>
                              </w:pPr>
                              <w:r>
                                <w:rPr>
                                  <w:rFonts w:hint="eastAsia"/>
                                </w:rPr>
                                <w:t>公司安全生产规章制度</w:t>
                              </w:r>
                            </w:p>
                          </w:txbxContent>
                        </wps:txbx>
                        <wps:bodyPr rot="0" vert="horz" wrap="square" lIns="0" tIns="0" rIns="0" bIns="0" anchor="ctr" anchorCtr="0" upright="1">
                          <a:noAutofit/>
                        </wps:bodyPr>
                      </wps:wsp>
                      <wps:wsp>
                        <wps:cNvPr id="218" name="Text Box 2595"/>
                        <wps:cNvSpPr txBox="1">
                          <a:spLocks noChangeArrowheads="1"/>
                        </wps:cNvSpPr>
                        <wps:spPr bwMode="auto">
                          <a:xfrm>
                            <a:off x="2734" y="1916"/>
                            <a:ext cx="4392" cy="348"/>
                          </a:xfrm>
                          <a:prstGeom prst="rect">
                            <a:avLst/>
                          </a:prstGeom>
                          <a:solidFill>
                            <a:schemeClr val="accent6">
                              <a:lumMod val="40000"/>
                              <a:lumOff val="60000"/>
                            </a:schemeClr>
                          </a:solidFill>
                          <a:ln w="12700">
                            <a:solidFill>
                              <a:srgbClr val="0000C8"/>
                            </a:solidFill>
                            <a:miter lim="800000"/>
                          </a:ln>
                        </wps:spPr>
                        <wps:txbx>
                          <w:txbxContent>
                            <w:p w14:paraId="6FBA0BC3">
                              <w:pPr>
                                <w:pStyle w:val="69"/>
                              </w:pPr>
                              <w:r>
                                <w:rPr>
                                  <w:rFonts w:hint="eastAsia"/>
                                </w:rPr>
                                <w:t>国家、省部、地方安全生产法律法规</w:t>
                              </w:r>
                            </w:p>
                          </w:txbxContent>
                        </wps:txbx>
                        <wps:bodyPr rot="0" vert="horz" wrap="square" lIns="0" tIns="0" rIns="0" bIns="0" anchor="ctr" anchorCtr="0" upright="1">
                          <a:noAutofit/>
                        </wps:bodyPr>
                      </wps:wsp>
                      <wps:wsp>
                        <wps:cNvPr id="219" name="Text Box 2596"/>
                        <wps:cNvSpPr txBox="1">
                          <a:spLocks noChangeArrowheads="1"/>
                        </wps:cNvSpPr>
                        <wps:spPr bwMode="auto">
                          <a:xfrm>
                            <a:off x="2734" y="2785"/>
                            <a:ext cx="2533" cy="349"/>
                          </a:xfrm>
                          <a:prstGeom prst="rect">
                            <a:avLst/>
                          </a:prstGeom>
                          <a:solidFill>
                            <a:schemeClr val="accent6">
                              <a:lumMod val="40000"/>
                              <a:lumOff val="60000"/>
                            </a:schemeClr>
                          </a:solidFill>
                          <a:ln w="12700">
                            <a:solidFill>
                              <a:srgbClr val="0000C8"/>
                            </a:solidFill>
                            <a:miter lim="800000"/>
                          </a:ln>
                        </wps:spPr>
                        <wps:txbx>
                          <w:txbxContent>
                            <w:p w14:paraId="623B6643">
                              <w:pPr>
                                <w:pStyle w:val="69"/>
                              </w:pPr>
                              <w:r>
                                <w:rPr>
                                  <w:rFonts w:hint="eastAsia"/>
                                </w:rPr>
                                <w:t>项目安全工作标准</w:t>
                              </w:r>
                            </w:p>
                          </w:txbxContent>
                        </wps:txbx>
                        <wps:bodyPr rot="0" vert="horz" wrap="square" lIns="0" tIns="0" rIns="0" bIns="0" anchor="ctr" anchorCtr="0" upright="1">
                          <a:noAutofit/>
                        </wps:bodyPr>
                      </wps:wsp>
                      <wps:wsp>
                        <wps:cNvPr id="267" name="Line 2597"/>
                        <wps:cNvCnPr>
                          <a:cxnSpLocks noChangeShapeType="1"/>
                        </wps:cNvCnPr>
                        <wps:spPr bwMode="auto">
                          <a:xfrm>
                            <a:off x="2396" y="2088"/>
                            <a:ext cx="0" cy="1308"/>
                          </a:xfrm>
                          <a:prstGeom prst="line">
                            <a:avLst/>
                          </a:prstGeom>
                          <a:noFill/>
                          <a:ln w="12700">
                            <a:solidFill>
                              <a:srgbClr val="0000C8"/>
                            </a:solidFill>
                            <a:round/>
                          </a:ln>
                        </wps:spPr>
                        <wps:bodyPr/>
                      </wps:wsp>
                      <wps:wsp>
                        <wps:cNvPr id="220" name="Line 2598"/>
                        <wps:cNvCnPr>
                          <a:cxnSpLocks noChangeShapeType="1"/>
                        </wps:cNvCnPr>
                        <wps:spPr bwMode="auto">
                          <a:xfrm>
                            <a:off x="2396" y="2088"/>
                            <a:ext cx="338" cy="0"/>
                          </a:xfrm>
                          <a:prstGeom prst="line">
                            <a:avLst/>
                          </a:prstGeom>
                          <a:noFill/>
                          <a:ln w="12700">
                            <a:solidFill>
                              <a:srgbClr val="0000C8"/>
                            </a:solidFill>
                            <a:round/>
                          </a:ln>
                        </wps:spPr>
                        <wps:bodyPr/>
                      </wps:wsp>
                      <wps:wsp>
                        <wps:cNvPr id="516" name="Line 2599"/>
                        <wps:cNvCnPr>
                          <a:cxnSpLocks noChangeShapeType="1"/>
                        </wps:cNvCnPr>
                        <wps:spPr bwMode="auto">
                          <a:xfrm>
                            <a:off x="2396" y="2959"/>
                            <a:ext cx="338" cy="0"/>
                          </a:xfrm>
                          <a:prstGeom prst="line">
                            <a:avLst/>
                          </a:prstGeom>
                          <a:noFill/>
                          <a:ln w="12700">
                            <a:solidFill>
                              <a:srgbClr val="0000C8"/>
                            </a:solidFill>
                            <a:round/>
                          </a:ln>
                        </wps:spPr>
                        <wps:bodyPr/>
                      </wps:wsp>
                      <wps:wsp>
                        <wps:cNvPr id="517" name="Line 2600"/>
                        <wps:cNvCnPr>
                          <a:cxnSpLocks noChangeShapeType="1"/>
                        </wps:cNvCnPr>
                        <wps:spPr bwMode="auto">
                          <a:xfrm>
                            <a:off x="5267" y="2961"/>
                            <a:ext cx="338" cy="0"/>
                          </a:xfrm>
                          <a:prstGeom prst="line">
                            <a:avLst/>
                          </a:prstGeom>
                          <a:noFill/>
                          <a:ln w="12700">
                            <a:solidFill>
                              <a:srgbClr val="0000C8"/>
                            </a:solidFill>
                            <a:round/>
                          </a:ln>
                        </wps:spPr>
                        <wps:bodyPr/>
                      </wps:wsp>
                      <wps:wsp>
                        <wps:cNvPr id="518" name="Text Box 2601"/>
                        <wps:cNvSpPr txBox="1">
                          <a:spLocks noChangeArrowheads="1"/>
                        </wps:cNvSpPr>
                        <wps:spPr bwMode="auto">
                          <a:xfrm>
                            <a:off x="5605" y="2787"/>
                            <a:ext cx="676" cy="348"/>
                          </a:xfrm>
                          <a:prstGeom prst="rect">
                            <a:avLst/>
                          </a:prstGeom>
                          <a:solidFill>
                            <a:schemeClr val="accent6">
                              <a:lumMod val="40000"/>
                              <a:lumOff val="60000"/>
                            </a:schemeClr>
                          </a:solidFill>
                          <a:ln w="12700">
                            <a:solidFill>
                              <a:srgbClr val="0000C8"/>
                            </a:solidFill>
                            <a:miter lim="800000"/>
                          </a:ln>
                        </wps:spPr>
                        <wps:txbx>
                          <w:txbxContent>
                            <w:p w14:paraId="490310CC">
                              <w:pPr>
                                <w:pStyle w:val="69"/>
                              </w:pPr>
                              <w:r>
                                <w:rPr>
                                  <w:rFonts w:hint="eastAsia"/>
                                </w:rPr>
                                <w:t>计划</w:t>
                              </w:r>
                            </w:p>
                          </w:txbxContent>
                        </wps:txbx>
                        <wps:bodyPr rot="0" vert="horz" wrap="square" lIns="0" tIns="0" rIns="0" bIns="0" anchor="ctr" anchorCtr="0" upright="1">
                          <a:noAutofit/>
                        </wps:bodyPr>
                      </wps:wsp>
                      <wps:wsp>
                        <wps:cNvPr id="519" name="Text Box 2602"/>
                        <wps:cNvSpPr txBox="1">
                          <a:spLocks noChangeArrowheads="1"/>
                        </wps:cNvSpPr>
                        <wps:spPr bwMode="auto">
                          <a:xfrm>
                            <a:off x="6281" y="2787"/>
                            <a:ext cx="676" cy="348"/>
                          </a:xfrm>
                          <a:prstGeom prst="rect">
                            <a:avLst/>
                          </a:prstGeom>
                          <a:solidFill>
                            <a:schemeClr val="accent6">
                              <a:lumMod val="40000"/>
                              <a:lumOff val="60000"/>
                            </a:schemeClr>
                          </a:solidFill>
                          <a:ln w="12700">
                            <a:solidFill>
                              <a:srgbClr val="0000C8"/>
                            </a:solidFill>
                            <a:miter lim="800000"/>
                          </a:ln>
                        </wps:spPr>
                        <wps:txbx>
                          <w:txbxContent>
                            <w:p w14:paraId="2A4F3F97">
                              <w:pPr>
                                <w:pStyle w:val="69"/>
                              </w:pPr>
                              <w:r>
                                <w:rPr>
                                  <w:rFonts w:hint="eastAsia"/>
                                </w:rPr>
                                <w:t>教育</w:t>
                              </w:r>
                            </w:p>
                          </w:txbxContent>
                        </wps:txbx>
                        <wps:bodyPr rot="0" vert="horz" wrap="square" lIns="0" tIns="0" rIns="0" bIns="0" anchor="ctr" anchorCtr="0" upright="1">
                          <a:noAutofit/>
                        </wps:bodyPr>
                      </wps:wsp>
                      <wps:wsp>
                        <wps:cNvPr id="520" name="Text Box 2603"/>
                        <wps:cNvSpPr txBox="1">
                          <a:spLocks noChangeArrowheads="1"/>
                        </wps:cNvSpPr>
                        <wps:spPr bwMode="auto">
                          <a:xfrm>
                            <a:off x="6957" y="2787"/>
                            <a:ext cx="675" cy="348"/>
                          </a:xfrm>
                          <a:prstGeom prst="rect">
                            <a:avLst/>
                          </a:prstGeom>
                          <a:solidFill>
                            <a:schemeClr val="accent6">
                              <a:lumMod val="40000"/>
                              <a:lumOff val="60000"/>
                            </a:schemeClr>
                          </a:solidFill>
                          <a:ln w="12700">
                            <a:solidFill>
                              <a:srgbClr val="0000C8"/>
                            </a:solidFill>
                            <a:miter lim="800000"/>
                          </a:ln>
                        </wps:spPr>
                        <wps:txbx>
                          <w:txbxContent>
                            <w:p w14:paraId="64773CEF">
                              <w:pPr>
                                <w:pStyle w:val="69"/>
                              </w:pPr>
                              <w:r>
                                <w:rPr>
                                  <w:rFonts w:hint="eastAsia"/>
                                </w:rPr>
                                <w:t>检查</w:t>
                              </w:r>
                            </w:p>
                          </w:txbxContent>
                        </wps:txbx>
                        <wps:bodyPr rot="0" vert="horz" wrap="square" lIns="0" tIns="0" rIns="0" bIns="0" anchor="ctr" anchorCtr="0" upright="1">
                          <a:noAutofit/>
                        </wps:bodyPr>
                      </wps:wsp>
                      <wps:wsp>
                        <wps:cNvPr id="221" name="Text Box 2604"/>
                        <wps:cNvSpPr txBox="1">
                          <a:spLocks noChangeArrowheads="1"/>
                        </wps:cNvSpPr>
                        <wps:spPr bwMode="auto">
                          <a:xfrm>
                            <a:off x="7632" y="2787"/>
                            <a:ext cx="676" cy="348"/>
                          </a:xfrm>
                          <a:prstGeom prst="rect">
                            <a:avLst/>
                          </a:prstGeom>
                          <a:solidFill>
                            <a:schemeClr val="accent6">
                              <a:lumMod val="40000"/>
                              <a:lumOff val="60000"/>
                            </a:schemeClr>
                          </a:solidFill>
                          <a:ln w="12700">
                            <a:solidFill>
                              <a:srgbClr val="0000C8"/>
                            </a:solidFill>
                            <a:miter lim="800000"/>
                          </a:ln>
                        </wps:spPr>
                        <wps:txbx>
                          <w:txbxContent>
                            <w:p w14:paraId="6C98DDAD">
                              <w:pPr>
                                <w:pStyle w:val="69"/>
                              </w:pPr>
                              <w:r>
                                <w:rPr>
                                  <w:rFonts w:hint="eastAsia"/>
                                </w:rPr>
                                <w:t>奖惩</w:t>
                              </w:r>
                            </w:p>
                          </w:txbxContent>
                        </wps:txbx>
                        <wps:bodyPr rot="0" vert="horz" wrap="square" lIns="0" tIns="0" rIns="0" bIns="0" anchor="ctr" anchorCtr="0" upright="1">
                          <a:noAutofit/>
                        </wps:bodyPr>
                      </wps:wsp>
                      <wps:wsp>
                        <wps:cNvPr id="222" name="Line 2605"/>
                        <wps:cNvCnPr>
                          <a:cxnSpLocks noChangeShapeType="1"/>
                        </wps:cNvCnPr>
                        <wps:spPr bwMode="auto">
                          <a:xfrm>
                            <a:off x="5267" y="784"/>
                            <a:ext cx="338" cy="0"/>
                          </a:xfrm>
                          <a:prstGeom prst="line">
                            <a:avLst/>
                          </a:prstGeom>
                          <a:noFill/>
                          <a:ln w="12700">
                            <a:solidFill>
                              <a:srgbClr val="0000C8"/>
                            </a:solidFill>
                            <a:round/>
                          </a:ln>
                        </wps:spPr>
                        <wps:bodyPr/>
                      </wps:wsp>
                      <wps:wsp>
                        <wps:cNvPr id="523" name="Line 2606"/>
                        <wps:cNvCnPr>
                          <a:cxnSpLocks noChangeShapeType="1"/>
                        </wps:cNvCnPr>
                        <wps:spPr bwMode="auto">
                          <a:xfrm>
                            <a:off x="5267" y="1219"/>
                            <a:ext cx="338" cy="0"/>
                          </a:xfrm>
                          <a:prstGeom prst="line">
                            <a:avLst/>
                          </a:prstGeom>
                          <a:noFill/>
                          <a:ln w="12700">
                            <a:solidFill>
                              <a:srgbClr val="0000C8"/>
                            </a:solidFill>
                            <a:round/>
                          </a:ln>
                        </wps:spPr>
                        <wps:bodyPr/>
                      </wps:wsp>
                      <wps:wsp>
                        <wps:cNvPr id="524" name="Line 2607"/>
                        <wps:cNvCnPr>
                          <a:cxnSpLocks noChangeShapeType="1"/>
                        </wps:cNvCnPr>
                        <wps:spPr bwMode="auto">
                          <a:xfrm>
                            <a:off x="5267" y="1654"/>
                            <a:ext cx="338" cy="0"/>
                          </a:xfrm>
                          <a:prstGeom prst="line">
                            <a:avLst/>
                          </a:prstGeom>
                          <a:noFill/>
                          <a:ln w="12700">
                            <a:solidFill>
                              <a:srgbClr val="0000C8"/>
                            </a:solidFill>
                            <a:round/>
                          </a:ln>
                        </wps:spPr>
                        <wps:bodyPr/>
                      </wps:wsp>
                      <wps:wsp>
                        <wps:cNvPr id="525" name="Text Box 2608"/>
                        <wps:cNvSpPr txBox="1">
                          <a:spLocks noChangeArrowheads="1"/>
                        </wps:cNvSpPr>
                        <wps:spPr bwMode="auto">
                          <a:xfrm>
                            <a:off x="2734" y="3222"/>
                            <a:ext cx="5574" cy="348"/>
                          </a:xfrm>
                          <a:prstGeom prst="rect">
                            <a:avLst/>
                          </a:prstGeom>
                          <a:solidFill>
                            <a:schemeClr val="accent6">
                              <a:lumMod val="40000"/>
                              <a:lumOff val="60000"/>
                            </a:schemeClr>
                          </a:solidFill>
                          <a:ln w="12700">
                            <a:solidFill>
                              <a:srgbClr val="0000C8"/>
                            </a:solidFill>
                            <a:miter lim="800000"/>
                          </a:ln>
                        </wps:spPr>
                        <wps:txbx>
                          <w:txbxContent>
                            <w:p w14:paraId="2CAE5428">
                              <w:pPr>
                                <w:pStyle w:val="69"/>
                              </w:pPr>
                              <w:r>
                                <w:rPr>
                                  <w:rFonts w:hint="eastAsia"/>
                                </w:rPr>
                                <w:t>特殊工种、特种设备、关键工序安全操作规程</w:t>
                              </w:r>
                            </w:p>
                          </w:txbxContent>
                        </wps:txbx>
                        <wps:bodyPr rot="0" vert="horz" wrap="square" lIns="0" tIns="0" rIns="0" bIns="0" anchor="ctr" anchorCtr="0" upright="1">
                          <a:noAutofit/>
                        </wps:bodyPr>
                      </wps:wsp>
                      <wps:wsp>
                        <wps:cNvPr id="526" name="Line 2609"/>
                        <wps:cNvCnPr>
                          <a:cxnSpLocks noChangeShapeType="1"/>
                        </wps:cNvCnPr>
                        <wps:spPr bwMode="auto">
                          <a:xfrm>
                            <a:off x="2396" y="3396"/>
                            <a:ext cx="338" cy="0"/>
                          </a:xfrm>
                          <a:prstGeom prst="line">
                            <a:avLst/>
                          </a:prstGeom>
                          <a:noFill/>
                          <a:ln w="12700">
                            <a:solidFill>
                              <a:srgbClr val="0000C8"/>
                            </a:solidFill>
                            <a:round/>
                          </a:ln>
                        </wps:spPr>
                        <wps:bodyPr/>
                      </wps:wsp>
                      <wps:wsp>
                        <wps:cNvPr id="527" name="Line 2610"/>
                        <wps:cNvCnPr>
                          <a:cxnSpLocks noChangeShapeType="1"/>
                        </wps:cNvCnPr>
                        <wps:spPr bwMode="auto">
                          <a:xfrm>
                            <a:off x="709" y="4265"/>
                            <a:ext cx="124" cy="0"/>
                          </a:xfrm>
                          <a:prstGeom prst="line">
                            <a:avLst/>
                          </a:prstGeom>
                          <a:noFill/>
                          <a:ln w="12700">
                            <a:solidFill>
                              <a:srgbClr val="0000C8"/>
                            </a:solidFill>
                            <a:round/>
                          </a:ln>
                        </wps:spPr>
                        <wps:bodyPr/>
                      </wps:wsp>
                      <wps:wsp>
                        <wps:cNvPr id="528" name="Text Box 2611"/>
                        <wps:cNvSpPr txBox="1">
                          <a:spLocks noChangeArrowheads="1"/>
                        </wps:cNvSpPr>
                        <wps:spPr bwMode="auto">
                          <a:xfrm>
                            <a:off x="833" y="4091"/>
                            <a:ext cx="1352" cy="349"/>
                          </a:xfrm>
                          <a:prstGeom prst="rect">
                            <a:avLst/>
                          </a:prstGeom>
                          <a:solidFill>
                            <a:schemeClr val="accent6">
                              <a:lumMod val="40000"/>
                              <a:lumOff val="60000"/>
                            </a:schemeClr>
                          </a:solidFill>
                          <a:ln w="12700">
                            <a:solidFill>
                              <a:srgbClr val="0000C8"/>
                            </a:solidFill>
                            <a:miter lim="800000"/>
                          </a:ln>
                        </wps:spPr>
                        <wps:txbx>
                          <w:txbxContent>
                            <w:p w14:paraId="28D9655E">
                              <w:pPr>
                                <w:pStyle w:val="69"/>
                              </w:pPr>
                              <w:r>
                                <w:rPr>
                                  <w:rFonts w:hint="eastAsia"/>
                                </w:rPr>
                                <w:t>技术保证</w:t>
                              </w:r>
                            </w:p>
                          </w:txbxContent>
                        </wps:txbx>
                        <wps:bodyPr rot="0" vert="horz" wrap="square" lIns="0" tIns="0" rIns="0" bIns="0" anchor="ctr" anchorCtr="0" upright="1">
                          <a:noAutofit/>
                        </wps:bodyPr>
                      </wps:wsp>
                      <wps:wsp>
                        <wps:cNvPr id="529" name="Line 2612"/>
                        <wps:cNvCnPr>
                          <a:cxnSpLocks noChangeShapeType="1"/>
                        </wps:cNvCnPr>
                        <wps:spPr bwMode="auto">
                          <a:xfrm>
                            <a:off x="2185" y="4265"/>
                            <a:ext cx="549" cy="0"/>
                          </a:xfrm>
                          <a:prstGeom prst="line">
                            <a:avLst/>
                          </a:prstGeom>
                          <a:noFill/>
                          <a:ln w="12700">
                            <a:solidFill>
                              <a:srgbClr val="0000C8"/>
                            </a:solidFill>
                            <a:round/>
                          </a:ln>
                        </wps:spPr>
                        <wps:bodyPr/>
                      </wps:wsp>
                      <wps:wsp>
                        <wps:cNvPr id="530" name="Text Box 2613"/>
                        <wps:cNvSpPr txBox="1">
                          <a:spLocks noChangeArrowheads="1"/>
                        </wps:cNvSpPr>
                        <wps:spPr bwMode="auto">
                          <a:xfrm>
                            <a:off x="2734" y="4091"/>
                            <a:ext cx="3547" cy="349"/>
                          </a:xfrm>
                          <a:prstGeom prst="rect">
                            <a:avLst/>
                          </a:prstGeom>
                          <a:solidFill>
                            <a:schemeClr val="accent6">
                              <a:lumMod val="40000"/>
                              <a:lumOff val="60000"/>
                            </a:schemeClr>
                          </a:solidFill>
                          <a:ln w="12700">
                            <a:solidFill>
                              <a:srgbClr val="0000C8"/>
                            </a:solidFill>
                            <a:miter lim="800000"/>
                          </a:ln>
                        </wps:spPr>
                        <wps:txbx>
                          <w:txbxContent>
                            <w:p w14:paraId="296A8EF2">
                              <w:pPr>
                                <w:pStyle w:val="69"/>
                              </w:pPr>
                              <w:r>
                                <w:rPr>
                                  <w:rFonts w:hint="eastAsia"/>
                                </w:rPr>
                                <w:t>分部、分项工程安全技术交底</w:t>
                              </w:r>
                            </w:p>
                          </w:txbxContent>
                        </wps:txbx>
                        <wps:bodyPr rot="0" vert="horz" wrap="square" lIns="0" tIns="0" rIns="0" bIns="0" anchor="ctr" anchorCtr="0" upright="1">
                          <a:noAutofit/>
                        </wps:bodyPr>
                      </wps:wsp>
                      <wps:wsp>
                        <wps:cNvPr id="531" name="Text Box 2614"/>
                        <wps:cNvSpPr txBox="1">
                          <a:spLocks noChangeArrowheads="1"/>
                        </wps:cNvSpPr>
                        <wps:spPr bwMode="auto">
                          <a:xfrm>
                            <a:off x="2734" y="3657"/>
                            <a:ext cx="3547" cy="349"/>
                          </a:xfrm>
                          <a:prstGeom prst="rect">
                            <a:avLst/>
                          </a:prstGeom>
                          <a:solidFill>
                            <a:schemeClr val="accent6">
                              <a:lumMod val="40000"/>
                              <a:lumOff val="60000"/>
                            </a:schemeClr>
                          </a:solidFill>
                          <a:ln w="12700">
                            <a:solidFill>
                              <a:srgbClr val="0000C8"/>
                            </a:solidFill>
                            <a:miter lim="800000"/>
                          </a:ln>
                        </wps:spPr>
                        <wps:txbx>
                          <w:txbxContent>
                            <w:p w14:paraId="371B1E40">
                              <w:pPr>
                                <w:pStyle w:val="69"/>
                              </w:pPr>
                              <w:r>
                                <w:rPr>
                                  <w:rFonts w:hint="eastAsia"/>
                                </w:rPr>
                                <w:t>施工组织设计安全保证措施</w:t>
                              </w:r>
                            </w:p>
                          </w:txbxContent>
                        </wps:txbx>
                        <wps:bodyPr rot="0" vert="horz" wrap="square" lIns="0" tIns="0" rIns="0" bIns="0" anchor="ctr" anchorCtr="0" upright="1">
                          <a:noAutofit/>
                        </wps:bodyPr>
                      </wps:wsp>
                      <wps:wsp>
                        <wps:cNvPr id="532" name="Text Box 2615"/>
                        <wps:cNvSpPr txBox="1">
                          <a:spLocks noChangeArrowheads="1"/>
                        </wps:cNvSpPr>
                        <wps:spPr bwMode="auto">
                          <a:xfrm>
                            <a:off x="2734" y="4527"/>
                            <a:ext cx="2533" cy="348"/>
                          </a:xfrm>
                          <a:prstGeom prst="rect">
                            <a:avLst/>
                          </a:prstGeom>
                          <a:solidFill>
                            <a:schemeClr val="accent6">
                              <a:lumMod val="40000"/>
                              <a:lumOff val="60000"/>
                            </a:schemeClr>
                          </a:solidFill>
                          <a:ln w="12700">
                            <a:solidFill>
                              <a:srgbClr val="0000C8"/>
                            </a:solidFill>
                            <a:miter lim="800000"/>
                          </a:ln>
                        </wps:spPr>
                        <wps:txbx>
                          <w:txbxContent>
                            <w:p w14:paraId="03D1C491">
                              <w:pPr>
                                <w:pStyle w:val="69"/>
                              </w:pPr>
                              <w:r>
                                <w:rPr>
                                  <w:rFonts w:hint="eastAsia"/>
                                </w:rPr>
                                <w:t>安全QC小组</w:t>
                              </w:r>
                            </w:p>
                          </w:txbxContent>
                        </wps:txbx>
                        <wps:bodyPr rot="0" vert="horz" wrap="square" lIns="0" tIns="0" rIns="0" bIns="0" anchor="ctr" anchorCtr="0" upright="1">
                          <a:noAutofit/>
                        </wps:bodyPr>
                      </wps:wsp>
                      <wps:wsp>
                        <wps:cNvPr id="533" name="Line 2616"/>
                        <wps:cNvCnPr>
                          <a:cxnSpLocks noChangeShapeType="1"/>
                        </wps:cNvCnPr>
                        <wps:spPr bwMode="auto">
                          <a:xfrm>
                            <a:off x="2396" y="3830"/>
                            <a:ext cx="0" cy="873"/>
                          </a:xfrm>
                          <a:prstGeom prst="line">
                            <a:avLst/>
                          </a:prstGeom>
                          <a:noFill/>
                          <a:ln w="12700">
                            <a:solidFill>
                              <a:srgbClr val="0000C8"/>
                            </a:solidFill>
                            <a:round/>
                          </a:ln>
                        </wps:spPr>
                        <wps:bodyPr/>
                      </wps:wsp>
                      <wps:wsp>
                        <wps:cNvPr id="534" name="Line 2617"/>
                        <wps:cNvCnPr>
                          <a:cxnSpLocks noChangeShapeType="1"/>
                        </wps:cNvCnPr>
                        <wps:spPr bwMode="auto">
                          <a:xfrm>
                            <a:off x="2396" y="3830"/>
                            <a:ext cx="338" cy="0"/>
                          </a:xfrm>
                          <a:prstGeom prst="line">
                            <a:avLst/>
                          </a:prstGeom>
                          <a:noFill/>
                          <a:ln w="12700">
                            <a:solidFill>
                              <a:srgbClr val="0000C8"/>
                            </a:solidFill>
                            <a:round/>
                          </a:ln>
                        </wps:spPr>
                        <wps:bodyPr/>
                      </wps:wsp>
                      <wps:wsp>
                        <wps:cNvPr id="535" name="Line 2618"/>
                        <wps:cNvCnPr>
                          <a:cxnSpLocks noChangeShapeType="1"/>
                        </wps:cNvCnPr>
                        <wps:spPr bwMode="auto">
                          <a:xfrm>
                            <a:off x="2396" y="4701"/>
                            <a:ext cx="338" cy="0"/>
                          </a:xfrm>
                          <a:prstGeom prst="line">
                            <a:avLst/>
                          </a:prstGeom>
                          <a:noFill/>
                          <a:ln w="12700">
                            <a:solidFill>
                              <a:srgbClr val="0000C8"/>
                            </a:solidFill>
                            <a:round/>
                          </a:ln>
                        </wps:spPr>
                        <wps:bodyPr/>
                      </wps:wsp>
                      <wps:wsp>
                        <wps:cNvPr id="536" name="Line 2619"/>
                        <wps:cNvCnPr>
                          <a:cxnSpLocks noChangeShapeType="1"/>
                        </wps:cNvCnPr>
                        <wps:spPr bwMode="auto">
                          <a:xfrm>
                            <a:off x="5267" y="4703"/>
                            <a:ext cx="338" cy="0"/>
                          </a:xfrm>
                          <a:prstGeom prst="line">
                            <a:avLst/>
                          </a:prstGeom>
                          <a:noFill/>
                          <a:ln w="12700">
                            <a:solidFill>
                              <a:srgbClr val="0000C8"/>
                            </a:solidFill>
                            <a:round/>
                          </a:ln>
                        </wps:spPr>
                        <wps:bodyPr/>
                      </wps:wsp>
                      <wps:wsp>
                        <wps:cNvPr id="545" name="Text Box 2620"/>
                        <wps:cNvSpPr txBox="1">
                          <a:spLocks noChangeArrowheads="1"/>
                        </wps:cNvSpPr>
                        <wps:spPr bwMode="auto">
                          <a:xfrm>
                            <a:off x="5605" y="4529"/>
                            <a:ext cx="676" cy="348"/>
                          </a:xfrm>
                          <a:prstGeom prst="rect">
                            <a:avLst/>
                          </a:prstGeom>
                          <a:solidFill>
                            <a:schemeClr val="accent6">
                              <a:lumMod val="40000"/>
                              <a:lumOff val="60000"/>
                            </a:schemeClr>
                          </a:solidFill>
                          <a:ln w="12700">
                            <a:solidFill>
                              <a:srgbClr val="0000C8"/>
                            </a:solidFill>
                            <a:miter lim="800000"/>
                          </a:ln>
                        </wps:spPr>
                        <wps:txbx>
                          <w:txbxContent>
                            <w:p w14:paraId="494C495B">
                              <w:pPr>
                                <w:pStyle w:val="69"/>
                              </w:pPr>
                              <w:r>
                                <w:rPr>
                                  <w:rFonts w:hint="eastAsia"/>
                                </w:rPr>
                                <w:t>P</w:t>
                              </w:r>
                            </w:p>
                          </w:txbxContent>
                        </wps:txbx>
                        <wps:bodyPr rot="0" vert="horz" wrap="square" lIns="0" tIns="0" rIns="0" bIns="0" anchor="ctr" anchorCtr="0" upright="1">
                          <a:noAutofit/>
                        </wps:bodyPr>
                      </wps:wsp>
                      <wps:wsp>
                        <wps:cNvPr id="547" name="Text Box 2621"/>
                        <wps:cNvSpPr txBox="1">
                          <a:spLocks noChangeArrowheads="1"/>
                        </wps:cNvSpPr>
                        <wps:spPr bwMode="auto">
                          <a:xfrm>
                            <a:off x="6281" y="4529"/>
                            <a:ext cx="676" cy="348"/>
                          </a:xfrm>
                          <a:prstGeom prst="rect">
                            <a:avLst/>
                          </a:prstGeom>
                          <a:solidFill>
                            <a:schemeClr val="accent6">
                              <a:lumMod val="40000"/>
                              <a:lumOff val="60000"/>
                            </a:schemeClr>
                          </a:solidFill>
                          <a:ln w="12700">
                            <a:solidFill>
                              <a:srgbClr val="0000C8"/>
                            </a:solidFill>
                            <a:miter lim="800000"/>
                          </a:ln>
                        </wps:spPr>
                        <wps:txbx>
                          <w:txbxContent>
                            <w:p w14:paraId="116DAF82">
                              <w:pPr>
                                <w:pStyle w:val="69"/>
                              </w:pPr>
                              <w:r>
                                <w:rPr>
                                  <w:rFonts w:hint="eastAsia"/>
                                </w:rPr>
                                <w:t>D</w:t>
                              </w:r>
                            </w:p>
                          </w:txbxContent>
                        </wps:txbx>
                        <wps:bodyPr rot="0" vert="horz" wrap="square" lIns="0" tIns="0" rIns="0" bIns="0" anchor="ctr" anchorCtr="0" upright="1">
                          <a:noAutofit/>
                        </wps:bodyPr>
                      </wps:wsp>
                      <wps:wsp>
                        <wps:cNvPr id="556" name="Text Box 2622"/>
                        <wps:cNvSpPr txBox="1">
                          <a:spLocks noChangeArrowheads="1"/>
                        </wps:cNvSpPr>
                        <wps:spPr bwMode="auto">
                          <a:xfrm>
                            <a:off x="6957" y="4529"/>
                            <a:ext cx="675" cy="348"/>
                          </a:xfrm>
                          <a:prstGeom prst="rect">
                            <a:avLst/>
                          </a:prstGeom>
                          <a:solidFill>
                            <a:schemeClr val="accent6">
                              <a:lumMod val="40000"/>
                              <a:lumOff val="60000"/>
                            </a:schemeClr>
                          </a:solidFill>
                          <a:ln w="12700">
                            <a:solidFill>
                              <a:srgbClr val="0000C8"/>
                            </a:solidFill>
                            <a:miter lim="800000"/>
                          </a:ln>
                        </wps:spPr>
                        <wps:txbx>
                          <w:txbxContent>
                            <w:p w14:paraId="748AE739">
                              <w:pPr>
                                <w:pStyle w:val="69"/>
                              </w:pPr>
                              <w:r>
                                <w:rPr>
                                  <w:rFonts w:hint="eastAsia"/>
                                </w:rPr>
                                <w:t>C</w:t>
                              </w:r>
                            </w:p>
                          </w:txbxContent>
                        </wps:txbx>
                        <wps:bodyPr rot="0" vert="horz" wrap="square" lIns="0" tIns="0" rIns="0" bIns="0" anchor="ctr" anchorCtr="0" upright="1">
                          <a:noAutofit/>
                        </wps:bodyPr>
                      </wps:wsp>
                      <wps:wsp>
                        <wps:cNvPr id="579" name="Text Box 2623"/>
                        <wps:cNvSpPr txBox="1">
                          <a:spLocks noChangeArrowheads="1"/>
                        </wps:cNvSpPr>
                        <wps:spPr bwMode="auto">
                          <a:xfrm>
                            <a:off x="7632" y="4529"/>
                            <a:ext cx="676" cy="348"/>
                          </a:xfrm>
                          <a:prstGeom prst="rect">
                            <a:avLst/>
                          </a:prstGeom>
                          <a:solidFill>
                            <a:schemeClr val="accent6">
                              <a:lumMod val="40000"/>
                              <a:lumOff val="60000"/>
                            </a:schemeClr>
                          </a:solidFill>
                          <a:ln w="12700">
                            <a:solidFill>
                              <a:srgbClr val="0000C8"/>
                            </a:solidFill>
                            <a:miter lim="800000"/>
                          </a:ln>
                        </wps:spPr>
                        <wps:txbx>
                          <w:txbxContent>
                            <w:p w14:paraId="5B7932F4">
                              <w:pPr>
                                <w:pStyle w:val="69"/>
                              </w:pPr>
                              <w:r>
                                <w:rPr>
                                  <w:rFonts w:hint="eastAsia"/>
                                </w:rPr>
                                <w:t>A</w:t>
                              </w:r>
                            </w:p>
                          </w:txbxContent>
                        </wps:txbx>
                        <wps:bodyPr rot="0" vert="horz" wrap="square" lIns="0" tIns="0" rIns="0" bIns="0" anchor="ctr" anchorCtr="0" upright="1">
                          <a:noAutofit/>
                        </wps:bodyPr>
                      </wps:wsp>
                      <wps:wsp>
                        <wps:cNvPr id="580" name="Line 2624"/>
                        <wps:cNvCnPr>
                          <a:cxnSpLocks noChangeShapeType="1"/>
                        </wps:cNvCnPr>
                        <wps:spPr bwMode="auto">
                          <a:xfrm>
                            <a:off x="690" y="5573"/>
                            <a:ext cx="143" cy="0"/>
                          </a:xfrm>
                          <a:prstGeom prst="line">
                            <a:avLst/>
                          </a:prstGeom>
                          <a:noFill/>
                          <a:ln w="12700">
                            <a:solidFill>
                              <a:srgbClr val="0000C8"/>
                            </a:solidFill>
                            <a:round/>
                          </a:ln>
                        </wps:spPr>
                        <wps:bodyPr/>
                      </wps:wsp>
                      <wps:wsp>
                        <wps:cNvPr id="605" name="Text Box 2625"/>
                        <wps:cNvSpPr txBox="1">
                          <a:spLocks noChangeArrowheads="1"/>
                        </wps:cNvSpPr>
                        <wps:spPr bwMode="auto">
                          <a:xfrm>
                            <a:off x="833" y="5399"/>
                            <a:ext cx="1352" cy="348"/>
                          </a:xfrm>
                          <a:prstGeom prst="rect">
                            <a:avLst/>
                          </a:prstGeom>
                          <a:solidFill>
                            <a:schemeClr val="accent6">
                              <a:lumMod val="40000"/>
                              <a:lumOff val="60000"/>
                            </a:schemeClr>
                          </a:solidFill>
                          <a:ln w="12700">
                            <a:solidFill>
                              <a:srgbClr val="0000C8"/>
                            </a:solidFill>
                            <a:miter lim="800000"/>
                          </a:ln>
                        </wps:spPr>
                        <wps:txbx>
                          <w:txbxContent>
                            <w:p w14:paraId="7725F8F0">
                              <w:pPr>
                                <w:pStyle w:val="69"/>
                              </w:pPr>
                              <w:r>
                                <w:rPr>
                                  <w:rFonts w:hint="eastAsia"/>
                                </w:rPr>
                                <w:t>资源保证</w:t>
                              </w:r>
                            </w:p>
                          </w:txbxContent>
                        </wps:txbx>
                        <wps:bodyPr rot="0" vert="horz" wrap="square" lIns="0" tIns="0" rIns="0" bIns="0" anchor="ctr" anchorCtr="0" upright="1">
                          <a:noAutofit/>
                        </wps:bodyPr>
                      </wps:wsp>
                      <wps:wsp>
                        <wps:cNvPr id="612" name="Line 2626"/>
                        <wps:cNvCnPr>
                          <a:cxnSpLocks noChangeShapeType="1"/>
                        </wps:cNvCnPr>
                        <wps:spPr bwMode="auto">
                          <a:xfrm>
                            <a:off x="2185" y="5573"/>
                            <a:ext cx="549" cy="0"/>
                          </a:xfrm>
                          <a:prstGeom prst="line">
                            <a:avLst/>
                          </a:prstGeom>
                          <a:noFill/>
                          <a:ln w="12700">
                            <a:solidFill>
                              <a:srgbClr val="0000C8"/>
                            </a:solidFill>
                            <a:round/>
                          </a:ln>
                        </wps:spPr>
                        <wps:bodyPr/>
                      </wps:wsp>
                      <wps:wsp>
                        <wps:cNvPr id="613" name="Text Box 2627"/>
                        <wps:cNvSpPr txBox="1">
                          <a:spLocks noChangeArrowheads="1"/>
                        </wps:cNvSpPr>
                        <wps:spPr bwMode="auto">
                          <a:xfrm>
                            <a:off x="2734" y="5399"/>
                            <a:ext cx="3040" cy="348"/>
                          </a:xfrm>
                          <a:prstGeom prst="rect">
                            <a:avLst/>
                          </a:prstGeom>
                          <a:solidFill>
                            <a:schemeClr val="accent6">
                              <a:lumMod val="40000"/>
                              <a:lumOff val="60000"/>
                            </a:schemeClr>
                          </a:solidFill>
                          <a:ln w="12700">
                            <a:solidFill>
                              <a:srgbClr val="0000C8"/>
                            </a:solidFill>
                            <a:miter lim="800000"/>
                          </a:ln>
                        </wps:spPr>
                        <wps:txbx>
                          <w:txbxContent>
                            <w:p w14:paraId="607A3B80">
                              <w:pPr>
                                <w:pStyle w:val="69"/>
                              </w:pPr>
                              <w:r>
                                <w:rPr>
                                  <w:rFonts w:hint="eastAsia"/>
                                </w:rPr>
                                <w:t>施工现场安全警示标志</w:t>
                              </w:r>
                            </w:p>
                            <w:p w14:paraId="5E3AC276">
                              <w:pPr>
                                <w:pStyle w:val="69"/>
                              </w:pPr>
                            </w:p>
                          </w:txbxContent>
                        </wps:txbx>
                        <wps:bodyPr rot="0" vert="horz" wrap="square" lIns="0" tIns="0" rIns="0" bIns="0" anchor="ctr" anchorCtr="0" upright="1">
                          <a:noAutofit/>
                        </wps:bodyPr>
                      </wps:wsp>
                      <wps:wsp>
                        <wps:cNvPr id="614" name="Text Box 2628"/>
                        <wps:cNvSpPr txBox="1">
                          <a:spLocks noChangeArrowheads="1"/>
                        </wps:cNvSpPr>
                        <wps:spPr bwMode="auto">
                          <a:xfrm>
                            <a:off x="2734" y="4965"/>
                            <a:ext cx="3040" cy="349"/>
                          </a:xfrm>
                          <a:prstGeom prst="rect">
                            <a:avLst/>
                          </a:prstGeom>
                          <a:solidFill>
                            <a:schemeClr val="accent6">
                              <a:lumMod val="40000"/>
                              <a:lumOff val="60000"/>
                            </a:schemeClr>
                          </a:solidFill>
                          <a:ln w="12700">
                            <a:solidFill>
                              <a:srgbClr val="0000C8"/>
                            </a:solidFill>
                            <a:miter lim="800000"/>
                          </a:ln>
                        </wps:spPr>
                        <wps:txbx>
                          <w:txbxContent>
                            <w:p w14:paraId="474E8982">
                              <w:pPr>
                                <w:pStyle w:val="69"/>
                              </w:pPr>
                              <w:r>
                                <w:rPr>
                                  <w:rFonts w:hint="eastAsia"/>
                                </w:rPr>
                                <w:t>施工现场安全防护措施</w:t>
                              </w:r>
                            </w:p>
                          </w:txbxContent>
                        </wps:txbx>
                        <wps:bodyPr rot="0" vert="horz" wrap="square" lIns="0" tIns="0" rIns="0" bIns="0" anchor="ctr" anchorCtr="0" upright="1">
                          <a:noAutofit/>
                        </wps:bodyPr>
                      </wps:wsp>
                      <wps:wsp>
                        <wps:cNvPr id="616" name="Text Box 2629"/>
                        <wps:cNvSpPr txBox="1">
                          <a:spLocks noChangeArrowheads="1"/>
                        </wps:cNvSpPr>
                        <wps:spPr bwMode="auto">
                          <a:xfrm>
                            <a:off x="2734" y="5835"/>
                            <a:ext cx="3040" cy="348"/>
                          </a:xfrm>
                          <a:prstGeom prst="rect">
                            <a:avLst/>
                          </a:prstGeom>
                          <a:solidFill>
                            <a:schemeClr val="accent6">
                              <a:lumMod val="40000"/>
                              <a:lumOff val="60000"/>
                            </a:schemeClr>
                          </a:solidFill>
                          <a:ln w="12700">
                            <a:solidFill>
                              <a:srgbClr val="0000C8"/>
                            </a:solidFill>
                            <a:miter lim="800000"/>
                          </a:ln>
                        </wps:spPr>
                        <wps:txbx>
                          <w:txbxContent>
                            <w:p w14:paraId="16593E2C">
                              <w:pPr>
                                <w:pStyle w:val="69"/>
                              </w:pPr>
                              <w:r>
                                <w:rPr>
                                  <w:rFonts w:hint="eastAsia"/>
                                </w:rPr>
                                <w:t>作业人员劳动保护用品</w:t>
                              </w:r>
                            </w:p>
                          </w:txbxContent>
                        </wps:txbx>
                        <wps:bodyPr rot="0" vert="horz" wrap="square" lIns="0" tIns="0" rIns="0" bIns="0" anchor="ctr" anchorCtr="0" upright="1">
                          <a:noAutofit/>
                        </wps:bodyPr>
                      </wps:wsp>
                      <wps:wsp>
                        <wps:cNvPr id="617" name="Line 2630"/>
                        <wps:cNvCnPr>
                          <a:cxnSpLocks noChangeShapeType="1"/>
                        </wps:cNvCnPr>
                        <wps:spPr bwMode="auto">
                          <a:xfrm>
                            <a:off x="2396" y="5138"/>
                            <a:ext cx="0" cy="873"/>
                          </a:xfrm>
                          <a:prstGeom prst="line">
                            <a:avLst/>
                          </a:prstGeom>
                          <a:noFill/>
                          <a:ln w="12700">
                            <a:solidFill>
                              <a:srgbClr val="0000C8"/>
                            </a:solidFill>
                            <a:round/>
                          </a:ln>
                        </wps:spPr>
                        <wps:bodyPr/>
                      </wps:wsp>
                      <wps:wsp>
                        <wps:cNvPr id="618" name="Line 2631"/>
                        <wps:cNvCnPr>
                          <a:cxnSpLocks noChangeShapeType="1"/>
                        </wps:cNvCnPr>
                        <wps:spPr bwMode="auto">
                          <a:xfrm>
                            <a:off x="2396" y="5138"/>
                            <a:ext cx="338" cy="0"/>
                          </a:xfrm>
                          <a:prstGeom prst="line">
                            <a:avLst/>
                          </a:prstGeom>
                          <a:noFill/>
                          <a:ln w="12700">
                            <a:solidFill>
                              <a:srgbClr val="0000C8"/>
                            </a:solidFill>
                            <a:round/>
                          </a:ln>
                        </wps:spPr>
                        <wps:bodyPr/>
                      </wps:wsp>
                      <wps:wsp>
                        <wps:cNvPr id="619" name="Line 2632"/>
                        <wps:cNvCnPr>
                          <a:cxnSpLocks noChangeShapeType="1"/>
                        </wps:cNvCnPr>
                        <wps:spPr bwMode="auto">
                          <a:xfrm>
                            <a:off x="2396" y="6009"/>
                            <a:ext cx="338" cy="0"/>
                          </a:xfrm>
                          <a:prstGeom prst="line">
                            <a:avLst/>
                          </a:prstGeom>
                          <a:noFill/>
                          <a:ln w="12700">
                            <a:solidFill>
                              <a:srgbClr val="0000C8"/>
                            </a:solidFill>
                            <a:round/>
                          </a:ln>
                        </wps:spPr>
                        <wps:bodyPr/>
                      </wps:wsp>
                    </wpg:wgp>
                  </a:graphicData>
                </a:graphic>
              </wp:inline>
            </w:drawing>
          </mc:Choice>
          <mc:Fallback>
            <w:pict>
              <v:group id="Group 2569" o:spid="_x0000_s1026" o:spt="203" style="height:351.75pt;width:438.6pt;" coordsize="8308,6183" o:gfxdata="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DSN4pdcAAAAFAQAADwAAAAAAAAABACAAAAAiAAAAZHJzL2Rvd25yZXYueG1s&#10;UEsBAhQAFAAAAAgAh07iQKRPARH9CQAAX5UAAA4AAAAAAAAAAQAgAAAAJgEAAGRycy9lMm9Eb2Mu&#10;eG1sUEsFBgAAAAAGAAYAWQEAAJUNAAAAAA==&#10;">
                <o:lock v:ext="edit" aspectratio="f"/>
                <v:shape id="Text Box 2570" o:spid="_x0000_s1026" o:spt="202" type="#_x0000_t202" style="position:absolute;left:0;top:1393;height:2613;width:493;v-text-anchor:middle;" fillcolor="#C5E0B4 [1305]" filled="t" stroked="t" coordsize="21600,21600" o:gfxdata="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z6u/&#10;AAAA3A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0mm,0mm,0mm,0mm" style="layout-flow:vertical-ideographic;">
                    <w:txbxContent>
                      <w:p w14:paraId="055FEEF2">
                        <w:pPr>
                          <w:pStyle w:val="69"/>
                        </w:pPr>
                        <w:r>
                          <w:rPr>
                            <w:rFonts w:hint="eastAsia"/>
                          </w:rPr>
                          <w:t>安全生产管理体系</w:t>
                        </w:r>
                      </w:p>
                    </w:txbxContent>
                  </v:textbox>
                </v:shape>
                <v:line id="Line 2571" o:spid="_x0000_s1026" o:spt="20" style="position:absolute;left:514;top:2524;height:0;width:195;" filled="f" stroked="t" coordsize="21600,21600" o:gfxdata="UEsDBAoAAAAAAIdO4kAAAAAAAAAAAAAAAAAEAAAAZHJzL1BLAwQUAAAACACHTuJAr4zMDrkAAADc&#10;AAAADwAAAGRycy9kb3ducmV2LnhtbEVPTYvCMBC9C/sfwgjeNK2C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zA6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72" o:spid="_x0000_s1026" o:spt="20" style="position:absolute;left:690;top:174;height:5399;width:0;" filled="f" stroked="t" coordsize="21600,21600" o:gfxdata="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GmV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73" o:spid="_x0000_s1026" o:spt="20" style="position:absolute;left:690;top:174;height:0;width:214;" filled="f" stroked="t" coordsize="21600,21600" o:gfxdata="UEsDBAoAAAAAAIdO4kAAAAAAAAAAAAAAAAAEAAAAZHJzL1BLAwQUAAAACACHTuJAMBL34r0AAADc&#10;AAAADwAAAGRycy9kb3ducmV2LnhtbEWPQWsCMRSE7wX/Q3hCbzW7K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vf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74" o:spid="_x0000_s1026" o:spt="202" type="#_x0000_t202" style="position:absolute;left:904;top:0;height:348;width:1351;v-text-anchor:middle;" fillcolor="#C5E0B4 [1305]" filled="t" stroked="t" coordsize="21600,21600" o:gfxdata="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zx5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5651D37">
                        <w:pPr>
                          <w:pStyle w:val="69"/>
                        </w:pPr>
                        <w:r>
                          <w:rPr>
                            <w:rFonts w:hint="eastAsia"/>
                          </w:rPr>
                          <w:t>思想保证</w:t>
                        </w:r>
                      </w:p>
                    </w:txbxContent>
                  </v:textbox>
                </v:shape>
                <v:line id="Line 2575" o:spid="_x0000_s1026" o:spt="20" style="position:absolute;left:2255;top:174;height:0;width:262;" filled="f" stroked="t" coordsize="21600,21600" o:gfxdata="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JF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6" o:spid="_x0000_s1026" o:spt="202" type="#_x0000_t202" style="position:absolute;left:2517;top:0;height:348;width:2703;v-text-anchor:middle;" fillcolor="#C5E0B4 [1305]" filled="t" stroked="t" coordsize="21600,21600" o:gfxdata="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p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D8B017">
                        <w:pPr>
                          <w:pStyle w:val="69"/>
                        </w:pPr>
                        <w:r>
                          <w:rPr>
                            <w:rFonts w:hint="eastAsia"/>
                          </w:rPr>
                          <w:t>项目部季度安全教育</w:t>
                        </w:r>
                      </w:p>
                    </w:txbxContent>
                  </v:textbox>
                </v:shape>
                <v:line id="Line 2577" o:spid="_x0000_s1026" o:spt="20" style="position:absolute;left:5220;top:174;height:0;width:506;" filled="f" stroked="t" coordsize="21600,21600" o:gfxdata="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PGu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8" o:spid="_x0000_s1026" o:spt="202" type="#_x0000_t202" style="position:absolute;left:5726;top:0;height:348;width:2458;v-text-anchor:middle;" fillcolor="#C5E0B4 [1305]" filled="t" stroked="t" coordsize="21600,21600" o:gfxdata="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GA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0156B9EE">
                        <w:pPr>
                          <w:pStyle w:val="69"/>
                        </w:pPr>
                        <w:r>
                          <w:rPr>
                            <w:rFonts w:hint="eastAsia"/>
                          </w:rPr>
                          <w:t>班组每周安全活动</w:t>
                        </w:r>
                      </w:p>
                    </w:txbxContent>
                  </v:textbox>
                </v:shape>
                <v:line id="Line 2579" o:spid="_x0000_s1026" o:spt="20" style="position:absolute;left:709;top:1219;height:0;width:214;" filled="f" stroked="t" coordsize="21600,21600" o:gfxdata="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Qe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0" o:spid="_x0000_s1026" o:spt="202" type="#_x0000_t202" style="position:absolute;left:904;top:1045;height:348;width:1351;v-text-anchor:middle;" fillcolor="#C5E0B4 [1305]" filled="t" stroked="t" coordsize="21600,21600" o:gfxdata="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wwa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581A3BD3">
                        <w:pPr>
                          <w:pStyle w:val="69"/>
                        </w:pPr>
                        <w:r>
                          <w:rPr>
                            <w:rFonts w:hint="eastAsia"/>
                          </w:rPr>
                          <w:t>组织保证</w:t>
                        </w:r>
                      </w:p>
                    </w:txbxContent>
                  </v:textbox>
                </v:shape>
                <v:line id="Line 2581" o:spid="_x0000_s1026" o:spt="20" style="position:absolute;left:2255;top:1219;height:0;width:479;" filled="f" stroked="t" coordsize="21600,21600" o:gfxdata="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jZ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2" o:spid="_x0000_s1026" o:spt="202" type="#_x0000_t202" style="position:absolute;left:2734;top:1045;height:348;width:2533;v-text-anchor:middle;" fillcolor="#C5E0B4 [1305]" filled="t" stroked="t" coordsize="21600,21600" o:gfxdata="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b20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56BA3CEF">
                        <w:pPr>
                          <w:pStyle w:val="69"/>
                        </w:pPr>
                        <w:r>
                          <w:rPr>
                            <w:rFonts w:hint="eastAsia"/>
                          </w:rPr>
                          <w:t>安监处</w:t>
                        </w:r>
                      </w:p>
                    </w:txbxContent>
                  </v:textbox>
                </v:shape>
                <v:shape id="Text Box 2583" o:spid="_x0000_s1026" o:spt="202" type="#_x0000_t202" style="position:absolute;left:2734;top:612;height:347;width:2533;v-text-anchor:middle;" fillcolor="#C5E0B4 [1305]" filled="t" stroked="t" coordsize="21600,21600" o:gfxdata="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zT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0mm,0mm,0mm,0mm">
                    <w:txbxContent>
                      <w:p w14:paraId="13E9F438">
                        <w:pPr>
                          <w:pStyle w:val="69"/>
                        </w:pPr>
                        <w:r>
                          <w:rPr>
                            <w:rFonts w:hint="eastAsia"/>
                          </w:rPr>
                          <w:t>安委会</w:t>
                        </w:r>
                      </w:p>
                    </w:txbxContent>
                  </v:textbox>
                </v:shape>
                <v:shape id="Text Box 2584" o:spid="_x0000_s1026" o:spt="202" type="#_x0000_t202" style="position:absolute;left:2734;top:1480;height:349;width:2533;v-text-anchor:middle;" fillcolor="#C5E0B4 [1305]" filled="t" stroked="t" coordsize="21600,21600" o:gfxdata="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Gi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309BE53">
                        <w:pPr>
                          <w:pStyle w:val="69"/>
                        </w:pPr>
                        <w:r>
                          <w:rPr>
                            <w:rFonts w:hint="eastAsia"/>
                          </w:rPr>
                          <w:t>项目经理安全责任制</w:t>
                        </w:r>
                      </w:p>
                      <w:p w14:paraId="24D22C3F">
                        <w:pPr>
                          <w:pStyle w:val="69"/>
                        </w:pPr>
                      </w:p>
                    </w:txbxContent>
                  </v:textbox>
                </v:shape>
                <v:line id="Line 2585" o:spid="_x0000_s1026" o:spt="20" style="position:absolute;left:2396;top:784;height:870;width:0;" filled="f" stroked="t" coordsize="21600,21600" o:gfxdata="UEsDBAoAAAAAAIdO4kAAAAAAAAAAAAAAAAAEAAAAZHJzL1BLAwQUAAAACACHTuJAI49TTbwAAADc&#10;AAAADwAAAGRycy9kb3ducmV2LnhtbEWPQYvCMBSE7wv+h/AEb2vasoh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U0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6" o:spid="_x0000_s1026" o:spt="20" style="position:absolute;left:2396;top:784;height:0;width:338;" filled="f" stroked="t" coordsize="21600,21600" o:gfxdata="UEsDBAoAAAAAAIdO4kAAAAAAAAAAAAAAAAAEAAAAZHJzL1BLAwQUAAAACACHTuJATMP21rwAAADc&#10;AAAADwAAAGRycy9kb3ducmV2LnhtbEWPQYvCMBSE7wv+h/AEb2vawop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9ta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7" o:spid="_x0000_s1026" o:spt="20" style="position:absolute;left:2396;top:1654;height:0;width:338;" filled="f" stroked="t" coordsize="21600,21600" o:gfxdata="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yeq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88" o:spid="_x0000_s1026" o:spt="202" type="#_x0000_t202" style="position:absolute;left:5605;top:1035;height:348;width:2703;v-text-anchor:middle;" fillcolor="#C5E0B4 [1305]" filled="t" stroked="t" coordsize="21600,21600" o:gfxdata="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8s9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2ED40B3">
                        <w:pPr>
                          <w:pStyle w:val="69"/>
                        </w:pPr>
                        <w:r>
                          <w:rPr>
                            <w:rFonts w:hint="eastAsia"/>
                          </w:rPr>
                          <w:t>项目部安全监督部</w:t>
                        </w:r>
                      </w:p>
                    </w:txbxContent>
                  </v:textbox>
                </v:shape>
                <v:shape id="Text Box 2589" o:spid="_x0000_s1026" o:spt="202" type="#_x0000_t202" style="position:absolute;left:5605;top:602;height:347;width:2703;v-text-anchor:middle;" fillcolor="#C5E0B4 [1305]" filled="t" stroked="t" coordsize="21600,21600" o:gfxdata="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zgs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3AF50D13">
                        <w:pPr>
                          <w:pStyle w:val="69"/>
                        </w:pPr>
                        <w:r>
                          <w:rPr>
                            <w:rFonts w:hint="eastAsia"/>
                          </w:rPr>
                          <w:t>项目部安全领导小组</w:t>
                        </w:r>
                      </w:p>
                    </w:txbxContent>
                  </v:textbox>
                </v:shape>
                <v:shape id="Text Box 2590" o:spid="_x0000_s1026" o:spt="202" type="#_x0000_t202" style="position:absolute;left:5605;top:1470;height:349;width:2703;v-text-anchor:middle;" fillcolor="#C5E0B4 [1305]" filled="t" stroked="t" coordsize="21600,21600" o:gfxdata="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523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4DB9475">
                        <w:pPr>
                          <w:pStyle w:val="69"/>
                        </w:pPr>
                        <w:r>
                          <w:rPr>
                            <w:rFonts w:hint="eastAsia"/>
                          </w:rPr>
                          <w:t>部门安全责任制</w:t>
                        </w:r>
                      </w:p>
                      <w:p w14:paraId="2362CCF5">
                        <w:pPr>
                          <w:pStyle w:val="69"/>
                        </w:pPr>
                      </w:p>
                    </w:txbxContent>
                  </v:textbox>
                </v:shape>
                <v:line id="Line 2591" o:spid="_x0000_s1026" o:spt="20" style="position:absolute;left:690;top:2524;height:0;width:143;" filled="f" stroked="t" coordsize="21600,21600" o:gfxdata="UEsDBAoAAAAAAIdO4kAAAAAAAAAAAAAAAAAEAAAAZHJzL1BLAwQUAAAACACHTuJAbyYBa7kAAADc&#10;AAAADwAAAGRycy9kb3ducmV2LnhtbEVPTYvCMBC9C/sfwgjeNK2I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mAW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92" o:spid="_x0000_s1026" o:spt="202" type="#_x0000_t202" style="position:absolute;left:833;top:2350;height:348;width:1352;v-text-anchor:middle;" fillcolor="#C5E0B4 [1305]" filled="t" stroked="t" coordsize="21600,21600" o:gfxdata="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gHb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5477B5C">
                        <w:pPr>
                          <w:pStyle w:val="69"/>
                        </w:pPr>
                        <w:r>
                          <w:rPr>
                            <w:rFonts w:hint="eastAsia"/>
                          </w:rPr>
                          <w:t>制度保证</w:t>
                        </w:r>
                      </w:p>
                    </w:txbxContent>
                  </v:textbox>
                </v:shape>
                <v:line id="Line 2593" o:spid="_x0000_s1026" o:spt="20" style="position:absolute;left:2185;top:2524;height:0;width:549;" filled="f" stroked="t" coordsize="21600,21600" o:gfxdata="UEsDBAoAAAAAAIdO4kAAAAAAAAAAAAAAAAAEAAAAZHJzL1BLAwQUAAAACACHTuJA8Lg6h70AAADc&#10;AAAADwAAAGRycy9kb3ducmV2LnhtbEWPQWsCMRSE7wX/Q3hCbzW7i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q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94" o:spid="_x0000_s1026" o:spt="202" type="#_x0000_t202" style="position:absolute;left:2734;top:2350;height:348;width:3209;v-text-anchor:middle;" fillcolor="#C5E0B4 [1305]" filled="t" stroked="t" coordsize="21600,21600" o:gfxdata="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8g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F0BCD55">
                        <w:pPr>
                          <w:pStyle w:val="69"/>
                        </w:pPr>
                        <w:r>
                          <w:rPr>
                            <w:rFonts w:hint="eastAsia"/>
                          </w:rPr>
                          <w:t>公司安全生产规章制度</w:t>
                        </w:r>
                      </w:p>
                    </w:txbxContent>
                  </v:textbox>
                </v:shape>
                <v:shape id="Text Box 2595" o:spid="_x0000_s1026" o:spt="202" type="#_x0000_t202" style="position:absolute;left:2734;top:1916;height:348;width:4392;v-text-anchor:middle;" fillcolor="#C5E0B4 [1305]" filled="t" stroked="t" coordsize="21600,21600" o:gfxdata="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aJq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BA0BC3">
                        <w:pPr>
                          <w:pStyle w:val="69"/>
                        </w:pPr>
                        <w:r>
                          <w:rPr>
                            <w:rFonts w:hint="eastAsia"/>
                          </w:rPr>
                          <w:t>国家、省部、地方安全生产法律法规</w:t>
                        </w:r>
                      </w:p>
                    </w:txbxContent>
                  </v:textbox>
                </v:shape>
                <v:shape id="Text Box 2596" o:spid="_x0000_s1026" o:spt="202" type="#_x0000_t202" style="position:absolute;left:2734;top:2785;height:349;width:2533;v-text-anchor:middle;" fillcolor="#C5E0B4 [1305]" filled="t" stroked="t" coordsize="21600,21600" o:gfxdata="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iwy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3B6643">
                        <w:pPr>
                          <w:pStyle w:val="69"/>
                        </w:pPr>
                        <w:r>
                          <w:rPr>
                            <w:rFonts w:hint="eastAsia"/>
                          </w:rPr>
                          <w:t>项目安全工作标准</w:t>
                        </w:r>
                      </w:p>
                    </w:txbxContent>
                  </v:textbox>
                </v:shape>
                <v:line id="Line 2597" o:spid="_x0000_s1026" o:spt="20" style="position:absolute;left:2396;top:2088;height:1308;width:0;" filled="f" stroked="t" coordsize="21600,21600" o:gfxdata="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zT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98" o:spid="_x0000_s1026" o:spt="20" style="position:absolute;left:2396;top:2088;height:0;width:338;" filled="f" stroked="t" coordsize="21600,21600" o:gfxdata="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7sjr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99" o:spid="_x0000_s1026" o:spt="20" style="position:absolute;left:2396;top:2959;height:0;width:338;" filled="f" stroked="t" coordsize="21600,21600" o:gfxdata="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91r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00" o:spid="_x0000_s1026" o:spt="20" style="position:absolute;left:5267;top:2961;height:0;width:338;" filled="f" stroked="t" coordsize="21600,21600" o:gfxdata="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XM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1" o:spid="_x0000_s1026" o:spt="202" type="#_x0000_t202" style="position:absolute;left:5605;top:2787;height:348;width:676;v-text-anchor:middle;" fillcolor="#C5E0B4 [1305]" filled="t" stroked="t" coordsize="21600,21600" o:gfxdata="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T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490310CC">
                        <w:pPr>
                          <w:pStyle w:val="69"/>
                        </w:pPr>
                        <w:r>
                          <w:rPr>
                            <w:rFonts w:hint="eastAsia"/>
                          </w:rPr>
                          <w:t>计划</w:t>
                        </w:r>
                      </w:p>
                    </w:txbxContent>
                  </v:textbox>
                </v:shape>
                <v:shape id="Text Box 2602" o:spid="_x0000_s1026" o:spt="202" type="#_x0000_t202" style="position:absolute;left:6281;top:2787;height:348;width:676;v-text-anchor:middle;" fillcolor="#C5E0B4 [1305]" filled="t" stroked="t" coordsize="21600,21600" o:gfxdata="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OF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A4F3F97">
                        <w:pPr>
                          <w:pStyle w:val="69"/>
                        </w:pPr>
                        <w:r>
                          <w:rPr>
                            <w:rFonts w:hint="eastAsia"/>
                          </w:rPr>
                          <w:t>教育</w:t>
                        </w:r>
                      </w:p>
                    </w:txbxContent>
                  </v:textbox>
                </v:shape>
                <v:shape id="Text Box 2603" o:spid="_x0000_s1026" o:spt="202" type="#_x0000_t202" style="position:absolute;left:6957;top:2787;height:348;width:675;v-text-anchor:middle;" fillcolor="#C5E0B4 [1305]" filled="t" stroked="t" coordsize="21600,21600" o:gfxdata="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Cd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4773CEF">
                        <w:pPr>
                          <w:pStyle w:val="69"/>
                        </w:pPr>
                        <w:r>
                          <w:rPr>
                            <w:rFonts w:hint="eastAsia"/>
                          </w:rPr>
                          <w:t>检查</w:t>
                        </w:r>
                      </w:p>
                    </w:txbxContent>
                  </v:textbox>
                </v:shape>
                <v:shape id="Text Box 2604" o:spid="_x0000_s1026" o:spt="202" type="#_x0000_t202" style="position:absolute;left:7632;top:2787;height:348;width:676;v-text-anchor:middle;" fillcolor="#C5E0B4 [1305]" filled="t" stroked="t" coordsize="21600,21600" o:gfxdata="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OqJ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C98DDAD">
                        <w:pPr>
                          <w:pStyle w:val="69"/>
                        </w:pPr>
                        <w:r>
                          <w:rPr>
                            <w:rFonts w:hint="eastAsia"/>
                          </w:rPr>
                          <w:t>奖惩</w:t>
                        </w:r>
                      </w:p>
                    </w:txbxContent>
                  </v:textbox>
                </v:shape>
                <v:line id="Line 2605" o:spid="_x0000_s1026" o:spt="20" style="position:absolute;left:5267;top:784;height:0;width:338;" filled="f" stroked="t" coordsize="21600,21600" o:gfxdata="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Nd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6" o:spid="_x0000_s1026" o:spt="20" style="position:absolute;left:5267;top:1219;height:0;width:338;" filled="f" stroked="t" coordsize="21600,21600" o:gfxdata="UEsDBAoAAAAAAIdO4kAAAAAAAAAAAAAAAAAEAAAAZHJzL1BLAwQUAAAACACHTuJA+qa/nL0AAADc&#10;AAAADwAAAGRycy9kb3ducmV2LnhtbEWPQWsCMRSE7wX/Q3hCbzW7K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r+c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7" o:spid="_x0000_s1026" o:spt="20" style="position:absolute;left:5267;top:1654;height:0;width:338;" filled="f" stroked="t" coordsize="21600,21600" o:gfxdata="UEsDBAoAAAAAAIdO4kAAAAAAAAAAAAAAAAAEAAAAZHJzL1BLAwQUAAAACACHTuJAdU8n6L0AAADc&#10;AAAADwAAAGRycy9kb3ducmV2LnhtbEWPQWsCMRSE7wX/Q3hCbzW7i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yfo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8" o:spid="_x0000_s1026" o:spt="202" type="#_x0000_t202" style="position:absolute;left:2734;top:3222;height:348;width:5574;v-text-anchor:middle;" fillcolor="#C5E0B4 [1305]" filled="t" stroked="t" coordsize="21600,21600" o:gfxdata="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SHv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CAE5428">
                        <w:pPr>
                          <w:pStyle w:val="69"/>
                        </w:pPr>
                        <w:r>
                          <w:rPr>
                            <w:rFonts w:hint="eastAsia"/>
                          </w:rPr>
                          <w:t>特殊工种、特种设备、关键工序安全操作规程</w:t>
                        </w:r>
                      </w:p>
                    </w:txbxContent>
                  </v:textbox>
                </v:shape>
                <v:line id="Line 2609" o:spid="_x0000_s1026" o:spt="20" style="position:absolute;left:2396;top:3396;height:0;width:338;" filled="f" stroked="t" coordsize="21600,21600" o:gfxdata="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HAS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0" o:spid="_x0000_s1026" o:spt="20" style="position:absolute;left:709;top:4265;height:0;width:124;" filled="f" stroked="t" coordsize="21600,21600" o:gfxdata="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bmf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1" o:spid="_x0000_s1026" o:spt="202" type="#_x0000_t202" style="position:absolute;left:833;top:4091;height:349;width:1352;v-text-anchor:middle;" fillcolor="#C5E0B4 [1305]" filled="t" stroked="t" coordsize="21600,21600" o:gfxdata="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Oc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8D9655E">
                        <w:pPr>
                          <w:pStyle w:val="69"/>
                        </w:pPr>
                        <w:r>
                          <w:rPr>
                            <w:rFonts w:hint="eastAsia"/>
                          </w:rPr>
                          <w:t>技术保证</w:t>
                        </w:r>
                      </w:p>
                    </w:txbxContent>
                  </v:textbox>
                </v:shape>
                <v:line id="Line 2612" o:spid="_x0000_s1026" o:spt="20" style="position:absolute;left:2185;top:4265;height:0;width:549;" filled="f" stroked="t" coordsize="21600,21600" o:gfxdata="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oh2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3" o:spid="_x0000_s1026" o:spt="202" type="#_x0000_t202" style="position:absolute;left:2734;top:4091;height:349;width:3547;v-text-anchor:middle;" fillcolor="#C5E0B4 [1305]" filled="t" stroked="t" coordsize="21600,21600" o:gfxdata="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8Uq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96A8EF2">
                        <w:pPr>
                          <w:pStyle w:val="69"/>
                        </w:pPr>
                        <w:r>
                          <w:rPr>
                            <w:rFonts w:hint="eastAsia"/>
                          </w:rPr>
                          <w:t>分部、分项工程安全技术交底</w:t>
                        </w:r>
                      </w:p>
                    </w:txbxContent>
                  </v:textbox>
                </v:shape>
                <v:shape id="Text Box 2614" o:spid="_x0000_s1026" o:spt="202" type="#_x0000_t202" style="position:absolute;left:2734;top:3657;height:349;width:3547;v-text-anchor:middle;" fillcolor="#C5E0B4 [1305]" filled="t" stroked="t" coordsize="21600,21600" o:gfxdata="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xM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371B1E40">
                        <w:pPr>
                          <w:pStyle w:val="69"/>
                        </w:pPr>
                        <w:r>
                          <w:rPr>
                            <w:rFonts w:hint="eastAsia"/>
                          </w:rPr>
                          <w:t>施工组织设计安全保证措施</w:t>
                        </w:r>
                      </w:p>
                    </w:txbxContent>
                  </v:textbox>
                </v:shape>
                <v:shape id="Text Box 2615" o:spid="_x0000_s1026" o:spt="202" type="#_x0000_t202" style="position:absolute;left:2734;top:4527;height:348;width:2533;v-text-anchor:middle;" fillcolor="#C5E0B4 [1305]" filled="t" stroked="t" coordsize="21600,21600" o:gfxdata="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vRr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3D1C491">
                        <w:pPr>
                          <w:pStyle w:val="69"/>
                        </w:pPr>
                        <w:r>
                          <w:rPr>
                            <w:rFonts w:hint="eastAsia"/>
                          </w:rPr>
                          <w:t>安全QC小组</w:t>
                        </w:r>
                      </w:p>
                    </w:txbxContent>
                  </v:textbox>
                </v:shape>
                <v:line id="Line 2616" o:spid="_x0000_s1026" o:spt="20" style="position:absolute;left:2396;top:3830;height:873;width:0;" filled="f" stroked="t" coordsize="21600,21600" o:gfxdata="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KU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7" o:spid="_x0000_s1026" o:spt="20" style="position:absolute;left:2396;top:3830;height:0;width:338;" filled="f" stroked="t" coordsize="21600,21600" o:gfxdata="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E1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18" o:spid="_x0000_s1026" o:spt="20" style="position:absolute;left:2396;top:4701;height:0;width:338;" filled="f" stroked="t" coordsize="21600,21600" o:gfxdata="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FK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9" o:spid="_x0000_s1026" o:spt="20" style="position:absolute;left:5267;top:4703;height:0;width:338;" filled="f" stroked="t" coordsize="21600,21600" o:gfxdata="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it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620" o:spid="_x0000_s1026" o:spt="202" type="#_x0000_t202" style="position:absolute;left:5605;top:4529;height:348;width:676;v-text-anchor:middle;" fillcolor="#C5E0B4 [1305]" filled="t" stroked="t" coordsize="21600,21600" o:gfxdata="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7ET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94C495B">
                        <w:pPr>
                          <w:pStyle w:val="69"/>
                        </w:pPr>
                        <w:r>
                          <w:rPr>
                            <w:rFonts w:hint="eastAsia"/>
                          </w:rPr>
                          <w:t>P</w:t>
                        </w:r>
                      </w:p>
                    </w:txbxContent>
                  </v:textbox>
                </v:shape>
                <v:shape id="Text Box 2621" o:spid="_x0000_s1026" o:spt="202" type="#_x0000_t202" style="position:absolute;left:6281;top:4529;height:348;width:676;v-text-anchor:middle;" fillcolor="#C5E0B4 [1305]" filled="t" stroked="t" coordsize="21600,21600" o:gfxdata="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o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116DAF82">
                        <w:pPr>
                          <w:pStyle w:val="69"/>
                        </w:pPr>
                        <w:r>
                          <w:rPr>
                            <w:rFonts w:hint="eastAsia"/>
                          </w:rPr>
                          <w:t>D</w:t>
                        </w:r>
                      </w:p>
                    </w:txbxContent>
                  </v:textbox>
                </v:shape>
                <v:shape id="Text Box 2622" o:spid="_x0000_s1026" o:spt="202" type="#_x0000_t202" style="position:absolute;left:6957;top:4529;height:348;width:675;v-text-anchor:middle;" fillcolor="#C5E0B4 [1305]" filled="t" stroked="t" coordsize="21600,21600" o:gfxdata="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cz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48AE739">
                        <w:pPr>
                          <w:pStyle w:val="69"/>
                        </w:pPr>
                        <w:r>
                          <w:rPr>
                            <w:rFonts w:hint="eastAsia"/>
                          </w:rPr>
                          <w:t>C</w:t>
                        </w:r>
                      </w:p>
                    </w:txbxContent>
                  </v:textbox>
                </v:shape>
                <v:shape id="Text Box 2623" o:spid="_x0000_s1026" o:spt="202" type="#_x0000_t202" style="position:absolute;left:7632;top:4529;height:348;width:676;v-text-anchor:middle;" fillcolor="#C5E0B4 [1305]" filled="t" stroked="t" coordsize="21600,21600" o:gfxdata="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E9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B7932F4">
                        <w:pPr>
                          <w:pStyle w:val="69"/>
                        </w:pPr>
                        <w:r>
                          <w:rPr>
                            <w:rFonts w:hint="eastAsia"/>
                          </w:rPr>
                          <w:t>A</w:t>
                        </w:r>
                      </w:p>
                    </w:txbxContent>
                  </v:textbox>
                </v:shape>
                <v:line id="Line 2624" o:spid="_x0000_s1026" o:spt="20" style="position:absolute;left:690;top:5573;height:0;width:143;" filled="f" stroked="t" coordsize="21600,21600" o:gfxdata="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J+0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shape id="Text Box 2625" o:spid="_x0000_s1026" o:spt="202" type="#_x0000_t202" style="position:absolute;left:833;top:5399;height:348;width:1352;v-text-anchor:middle;" fillcolor="#C5E0B4 [1305]" filled="t" stroked="t" coordsize="21600,21600" o:gfxdata="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Rz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725F8F0">
                        <w:pPr>
                          <w:pStyle w:val="69"/>
                        </w:pPr>
                        <w:r>
                          <w:rPr>
                            <w:rFonts w:hint="eastAsia"/>
                          </w:rPr>
                          <w:t>资源保证</w:t>
                        </w:r>
                      </w:p>
                    </w:txbxContent>
                  </v:textbox>
                </v:shape>
                <v:line id="Line 2626" o:spid="_x0000_s1026" o:spt="20" style="position:absolute;left:2185;top:5573;height:0;width:549;" filled="f" stroked="t" coordsize="21600,21600" o:gfxdata="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Oxx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627" o:spid="_x0000_s1026" o:spt="202" type="#_x0000_t202" style="position:absolute;left:2734;top:5399;height:348;width:3040;v-text-anchor:middle;" fillcolor="#C5E0B4 [1305]" filled="t" stroked="t" coordsize="21600,21600" o:gfxdata="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23w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607A3B80">
                        <w:pPr>
                          <w:pStyle w:val="69"/>
                        </w:pPr>
                        <w:r>
                          <w:rPr>
                            <w:rFonts w:hint="eastAsia"/>
                          </w:rPr>
                          <w:t>施工现场安全警示标志</w:t>
                        </w:r>
                      </w:p>
                      <w:p w14:paraId="5E3AC276">
                        <w:pPr>
                          <w:pStyle w:val="69"/>
                        </w:pPr>
                      </w:p>
                    </w:txbxContent>
                  </v:textbox>
                </v:shape>
                <v:shape id="Text Box 2628" o:spid="_x0000_s1026" o:spt="202" type="#_x0000_t202" style="position:absolute;left:2734;top:4965;height:349;width:3040;v-text-anchor:middle;" fillcolor="#C5E0B4 [1305]" filled="t" stroked="t" coordsize="21600,21600" o:gfxdata="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C+1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474E8982">
                        <w:pPr>
                          <w:pStyle w:val="69"/>
                        </w:pPr>
                        <w:r>
                          <w:rPr>
                            <w:rFonts w:hint="eastAsia"/>
                          </w:rPr>
                          <w:t>施工现场安全防护措施</w:t>
                        </w:r>
                      </w:p>
                    </w:txbxContent>
                  </v:textbox>
                </v:shape>
                <v:shape id="Text Box 2629" o:spid="_x0000_s1026" o:spt="202" type="#_x0000_t202" style="position:absolute;left:2734;top:5835;height:348;width:3040;v-text-anchor:middle;" fillcolor="#C5E0B4 [1305]" filled="t" stroked="t" coordsize="21600,21600" o:gfxdata="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hR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6593E2C">
                        <w:pPr>
                          <w:pStyle w:val="69"/>
                        </w:pPr>
                        <w:r>
                          <w:rPr>
                            <w:rFonts w:hint="eastAsia"/>
                          </w:rPr>
                          <w:t>作业人员劳动保护用品</w:t>
                        </w:r>
                      </w:p>
                    </w:txbxContent>
                  </v:textbox>
                </v:shape>
                <v:line id="Line 2630" o:spid="_x0000_s1026" o:spt="20" style="position:absolute;left:2396;top:5138;height:873;width:0;" filled="f" stroked="t" coordsize="21600,21600" o:gfxdata="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El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31" o:spid="_x0000_s1026" o:spt="20" style="position:absolute;left:2396;top:5138;height:0;width:338;" filled="f" stroked="t" coordsize="21600,21600" o:gfxdata="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4Ys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632" o:spid="_x0000_s1026" o:spt="20" style="position:absolute;left:2396;top:6009;height:0;width:338;" filled="f" stroked="t" coordsize="21600,21600" o:gfxdata="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I7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w10:wrap type="none"/>
                <w10:anchorlock/>
              </v:group>
            </w:pict>
          </mc:Fallback>
        </mc:AlternateContent>
      </w:r>
    </w:p>
    <w:p w14:paraId="195835E5">
      <w:pPr>
        <w:pStyle w:val="4"/>
        <w:bidi w:val="0"/>
        <w:rPr>
          <w:highlight w:val="none"/>
        </w:rPr>
      </w:pPr>
      <w:r>
        <w:rPr>
          <w:rFonts w:hint="eastAsia"/>
          <w:highlight w:val="none"/>
          <w:lang w:val="en-US" w:eastAsia="zh-CN"/>
        </w:rPr>
        <w:t>6.1.3</w:t>
      </w:r>
      <w:r>
        <w:rPr>
          <w:rFonts w:hint="eastAsia" w:ascii="宋体" w:hAnsi="宋体" w:eastAsia="宋体" w:cs="宋体"/>
          <w:color w:val="000000"/>
          <w:kern w:val="0"/>
          <w:sz w:val="24"/>
          <w:szCs w:val="24"/>
          <w:highlight w:val="none"/>
          <w:lang w:val="en-US" w:eastAsia="zh-CN" w:bidi="ar"/>
        </w:rPr>
        <w:t>思想保证措施</w:t>
      </w:r>
    </w:p>
    <w:p w14:paraId="5170B4F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（1）全体参建人员严格执行党和国家有关安全生产法律、法规和安全生产规程，自觉遵守国家、行业、地方及业主的有关安全生产管理规定。 </w:t>
      </w:r>
    </w:p>
    <w:p w14:paraId="30184089">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（2）认真贯彻执行“安全第一、预防为主、综合治理”的方针，增强全员安全意识，使全员都能明确自己的安全目标和职责，达到全员参加，全员实施的目的，体现“安全生产、人人有责”的原则。 </w:t>
      </w:r>
    </w:p>
    <w:p w14:paraId="09C95F2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（3）分项工程开工前，对所有上岗人员进行安全教育培训，使全员都能遵守生产必须安全，安全才能生产的原则，严格执行安全操作规程，持证上岗。 </w:t>
      </w:r>
    </w:p>
    <w:p w14:paraId="245808C8">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（4）随时接受业主及监理单位对安全生产的督促、检查、考评，对提出的问题，立即落实方案组织实施，确保安全生产。 </w:t>
      </w:r>
    </w:p>
    <w:p w14:paraId="0EA83606">
      <w:pPr>
        <w:pStyle w:val="4"/>
        <w:bidi w:val="0"/>
        <w:rPr>
          <w:rFonts w:hint="default"/>
          <w:highlight w:val="none"/>
          <w:lang w:val="en-US" w:eastAsia="zh-CN"/>
        </w:rPr>
      </w:pPr>
      <w:r>
        <w:rPr>
          <w:rFonts w:hint="eastAsia"/>
          <w:highlight w:val="none"/>
          <w:lang w:val="en-US" w:eastAsia="zh-CN"/>
        </w:rPr>
        <w:t>6.1.4安全生产职责</w:t>
      </w:r>
    </w:p>
    <w:p w14:paraId="65A9E113">
      <w:pPr>
        <w:bidi w:val="0"/>
        <w:ind w:firstLine="480" w:firstLineChars="200"/>
        <w:rPr>
          <w:highlight w:val="none"/>
        </w:rPr>
      </w:pPr>
      <w:r>
        <w:rPr>
          <w:highlight w:val="none"/>
        </w:rPr>
        <w:t>①项目经理</w:t>
      </w:r>
    </w:p>
    <w:p w14:paraId="1E7EF762">
      <w:pPr>
        <w:bidi w:val="0"/>
        <w:ind w:firstLine="480" w:firstLineChars="200"/>
        <w:rPr>
          <w:rFonts w:hint="default"/>
          <w:highlight w:val="none"/>
          <w:lang w:val="en-US" w:eastAsia="zh-CN"/>
        </w:rPr>
      </w:pPr>
      <w:r>
        <w:rPr>
          <w:highlight w:val="none"/>
        </w:rPr>
        <w:t>项目经理是工程项目安全生产第一责任者和管理，对本工程项目安全生产负全面责任。其安全生产责任是：</w:t>
      </w:r>
    </w:p>
    <w:p w14:paraId="754725D0">
      <w:pPr>
        <w:adjustRightInd w:val="0"/>
        <w:snapToGrid w:val="0"/>
        <w:spacing w:line="460" w:lineRule="exact"/>
        <w:ind w:firstLine="480" w:firstLineChars="200"/>
        <w:jc w:val="left"/>
        <w:rPr>
          <w:rFonts w:hint="eastAsia" w:ascii="宋体" w:hAnsi="宋体" w:cs="仿宋_GB2312+3+5"/>
          <w:kern w:val="0"/>
          <w:sz w:val="24"/>
          <w:highlight w:val="none"/>
        </w:rPr>
      </w:pPr>
      <w:r>
        <w:rPr>
          <w:rFonts w:hint="eastAsia" w:ascii="宋体" w:hAnsi="宋体" w:cs="仿宋_GB2312+3+3"/>
          <w:kern w:val="0"/>
          <w:sz w:val="24"/>
          <w:highlight w:val="none"/>
        </w:rPr>
        <w:t>1</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w:t>
      </w:r>
      <w:r>
        <w:rPr>
          <w:rFonts w:hint="eastAsia" w:ascii="宋体" w:hAnsi="宋体" w:cs="仿宋_GB2312+3+2"/>
          <w:kern w:val="0"/>
          <w:sz w:val="24"/>
          <w:highlight w:val="none"/>
        </w:rPr>
        <w:t>对</w:t>
      </w:r>
      <w:r>
        <w:rPr>
          <w:rFonts w:hint="eastAsia" w:ascii="宋体" w:hAnsi="宋体" w:cs="仿宋_GB2312+3+3"/>
          <w:kern w:val="0"/>
          <w:sz w:val="24"/>
          <w:highlight w:val="none"/>
        </w:rPr>
        <w:t>总</w:t>
      </w:r>
      <w:r>
        <w:rPr>
          <w:rFonts w:hint="eastAsia" w:ascii="宋体" w:hAnsi="宋体" w:cs="仿宋_GB2312+3+1"/>
          <w:kern w:val="0"/>
          <w:sz w:val="24"/>
          <w:highlight w:val="none"/>
        </w:rPr>
        <w:t>经理</w:t>
      </w:r>
      <w:r>
        <w:rPr>
          <w:rFonts w:hint="eastAsia" w:ascii="宋体" w:hAnsi="宋体" w:cs="仿宋_GB2312+3+3"/>
          <w:kern w:val="0"/>
          <w:sz w:val="24"/>
          <w:highlight w:val="none"/>
        </w:rPr>
        <w:t>负</w:t>
      </w:r>
      <w:r>
        <w:rPr>
          <w:rFonts w:hint="eastAsia" w:ascii="宋体" w:hAnsi="宋体" w:cs="仿宋_GB2312+3+1"/>
          <w:kern w:val="0"/>
          <w:sz w:val="24"/>
          <w:highlight w:val="none"/>
        </w:rPr>
        <w:t>责，</w:t>
      </w:r>
      <w:r>
        <w:rPr>
          <w:rFonts w:hint="eastAsia" w:ascii="宋体" w:hAnsi="宋体" w:cs="仿宋_GB2312+3+3"/>
          <w:kern w:val="0"/>
          <w:sz w:val="24"/>
          <w:highlight w:val="none"/>
        </w:rPr>
        <w:t>是</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第一责任</w:t>
      </w:r>
      <w:r>
        <w:rPr>
          <w:rFonts w:hint="eastAsia" w:ascii="宋体" w:hAnsi="宋体" w:cs="仿宋_GB2312+3+4"/>
          <w:kern w:val="0"/>
          <w:sz w:val="24"/>
          <w:highlight w:val="none"/>
        </w:rPr>
        <w:t>者</w:t>
      </w:r>
      <w:r>
        <w:rPr>
          <w:rFonts w:hint="eastAsia" w:ascii="宋体" w:hAnsi="宋体" w:cs="仿宋_GB2312+3+1"/>
          <w:kern w:val="0"/>
          <w:sz w:val="24"/>
          <w:highlight w:val="none"/>
        </w:rPr>
        <w:t>和管理</w:t>
      </w:r>
      <w:r>
        <w:rPr>
          <w:rFonts w:hint="eastAsia" w:ascii="宋体" w:hAnsi="宋体" w:cs="仿宋_GB2312+3+4"/>
          <w:kern w:val="0"/>
          <w:sz w:val="24"/>
          <w:highlight w:val="none"/>
        </w:rPr>
        <w:t>者</w:t>
      </w:r>
      <w:r>
        <w:rPr>
          <w:rFonts w:hint="eastAsia" w:ascii="宋体" w:hAnsi="宋体" w:cs="仿宋_GB2312+3+1"/>
          <w:kern w:val="0"/>
          <w:sz w:val="24"/>
          <w:highlight w:val="none"/>
        </w:rPr>
        <w:t>，</w:t>
      </w:r>
      <w:r>
        <w:rPr>
          <w:rFonts w:hint="eastAsia" w:ascii="宋体" w:hAnsi="宋体" w:cs="仿宋_GB2312+3+2"/>
          <w:kern w:val="0"/>
          <w:sz w:val="24"/>
          <w:highlight w:val="none"/>
        </w:rPr>
        <w:t>对本</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负</w:t>
      </w:r>
      <w:r>
        <w:rPr>
          <w:rFonts w:hint="eastAsia" w:ascii="宋体" w:hAnsi="宋体" w:cs="仿宋_GB2312+3+1"/>
          <w:kern w:val="0"/>
          <w:sz w:val="24"/>
          <w:highlight w:val="none"/>
        </w:rPr>
        <w:t>全面责任。</w:t>
      </w:r>
    </w:p>
    <w:p w14:paraId="4B3E300E">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1"/>
          <w:kern w:val="0"/>
          <w:sz w:val="24"/>
          <w:highlight w:val="none"/>
        </w:rPr>
        <w:t>2</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贯彻</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国家</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方针、</w:t>
      </w:r>
      <w:r>
        <w:rPr>
          <w:rFonts w:hint="eastAsia" w:ascii="宋体" w:hAnsi="宋体" w:cs="仿宋_GB2312+3+4"/>
          <w:kern w:val="0"/>
          <w:sz w:val="24"/>
          <w:highlight w:val="none"/>
        </w:rPr>
        <w:t>政</w:t>
      </w:r>
      <w:r>
        <w:rPr>
          <w:rFonts w:hint="eastAsia" w:ascii="宋体" w:hAnsi="宋体" w:cs="仿宋_GB2312+3+2"/>
          <w:kern w:val="0"/>
          <w:sz w:val="24"/>
          <w:highlight w:val="none"/>
        </w:rPr>
        <w:t>策</w:t>
      </w:r>
      <w:r>
        <w:rPr>
          <w:rFonts w:hint="eastAsia" w:ascii="宋体" w:hAnsi="宋体" w:cs="仿宋_GB2312+3+1"/>
          <w:kern w:val="0"/>
          <w:sz w:val="24"/>
          <w:highlight w:val="none"/>
        </w:rPr>
        <w:t>、</w:t>
      </w:r>
      <w:r>
        <w:rPr>
          <w:rFonts w:hint="eastAsia" w:ascii="宋体" w:hAnsi="宋体" w:cs="仿宋_GB2312+3+2"/>
          <w:kern w:val="0"/>
          <w:sz w:val="24"/>
          <w:highlight w:val="none"/>
        </w:rPr>
        <w:t>法规</w:t>
      </w:r>
      <w:r>
        <w:rPr>
          <w:rFonts w:hint="eastAsia" w:ascii="宋体" w:hAnsi="宋体" w:cs="仿宋_GB2312+3+1"/>
          <w:kern w:val="0"/>
          <w:sz w:val="24"/>
          <w:highlight w:val="none"/>
        </w:rPr>
        <w:t>和各项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3"/>
          <w:kern w:val="0"/>
          <w:sz w:val="24"/>
          <w:highlight w:val="none"/>
        </w:rPr>
        <w:t>落</w:t>
      </w:r>
      <w:r>
        <w:rPr>
          <w:rFonts w:hint="eastAsia" w:ascii="宋体" w:hAnsi="宋体" w:cs="仿宋_GB2312+3+1"/>
          <w:kern w:val="0"/>
          <w:sz w:val="24"/>
          <w:highlight w:val="none"/>
        </w:rPr>
        <w:t>实企业</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2"/>
          <w:kern w:val="0"/>
          <w:sz w:val="24"/>
          <w:highlight w:val="none"/>
        </w:rPr>
        <w:t>结合</w:t>
      </w:r>
      <w:r>
        <w:rPr>
          <w:rFonts w:hint="eastAsia" w:ascii="宋体" w:hAnsi="宋体" w:cs="仿宋_GB2312+3+1"/>
          <w:kern w:val="0"/>
          <w:sz w:val="24"/>
          <w:highlight w:val="none"/>
        </w:rPr>
        <w:t>工程项目</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2"/>
          <w:kern w:val="0"/>
          <w:sz w:val="24"/>
          <w:highlight w:val="none"/>
        </w:rPr>
        <w:t>及</w:t>
      </w:r>
      <w:r>
        <w:rPr>
          <w:rFonts w:hint="eastAsia" w:ascii="宋体" w:hAnsi="宋体" w:cs="仿宋_GB2312+3+1"/>
          <w:kern w:val="0"/>
          <w:sz w:val="24"/>
          <w:highlight w:val="none"/>
        </w:rPr>
        <w:t>施工</w:t>
      </w:r>
      <w:r>
        <w:rPr>
          <w:rFonts w:hint="eastAsia" w:ascii="宋体" w:hAnsi="宋体" w:cs="仿宋_GB2312+3+5"/>
          <w:kern w:val="0"/>
          <w:sz w:val="24"/>
          <w:highlight w:val="none"/>
        </w:rPr>
        <w:t>性</w:t>
      </w:r>
      <w:r>
        <w:rPr>
          <w:rFonts w:hint="eastAsia" w:ascii="宋体" w:hAnsi="宋体" w:cs="仿宋_GB2312+3+1"/>
          <w:kern w:val="0"/>
          <w:sz w:val="24"/>
          <w:highlight w:val="none"/>
        </w:rPr>
        <w:t>质，制</w:t>
      </w:r>
      <w:r>
        <w:rPr>
          <w:rFonts w:hint="eastAsia" w:ascii="宋体" w:hAnsi="宋体" w:cs="仿宋_GB2312+3+2"/>
          <w:kern w:val="0"/>
          <w:sz w:val="24"/>
          <w:highlight w:val="none"/>
        </w:rPr>
        <w:t>定</w:t>
      </w:r>
      <w:r>
        <w:rPr>
          <w:rFonts w:hint="eastAsia" w:ascii="宋体" w:hAnsi="宋体" w:cs="仿宋_GB2312+3+1"/>
          <w:kern w:val="0"/>
          <w:sz w:val="24"/>
          <w:highlight w:val="none"/>
        </w:rPr>
        <w:t>有针</w:t>
      </w:r>
      <w:r>
        <w:rPr>
          <w:rFonts w:hint="eastAsia" w:ascii="宋体" w:hAnsi="宋体" w:cs="仿宋_GB2312+3+2"/>
          <w:kern w:val="0"/>
          <w:sz w:val="24"/>
          <w:highlight w:val="none"/>
        </w:rPr>
        <w:t>对</w:t>
      </w:r>
      <w:r>
        <w:rPr>
          <w:rFonts w:hint="eastAsia" w:ascii="宋体" w:hAnsi="宋体" w:cs="仿宋_GB2312+3+5"/>
          <w:kern w:val="0"/>
          <w:sz w:val="24"/>
          <w:highlight w:val="none"/>
        </w:rPr>
        <w:t>性</w:t>
      </w:r>
      <w:r>
        <w:rPr>
          <w:rFonts w:hint="eastAsia" w:ascii="宋体" w:hAnsi="宋体" w:cs="仿宋_GB2312+3+3"/>
          <w:kern w:val="0"/>
          <w:sz w:val="24"/>
          <w:highlight w:val="none"/>
        </w:rPr>
        <w:t>的</w:t>
      </w:r>
      <w:r>
        <w:rPr>
          <w:rFonts w:hint="eastAsia" w:ascii="宋体" w:hAnsi="宋体" w:cs="仿宋_GB2312+3+1"/>
          <w:kern w:val="0"/>
          <w:sz w:val="24"/>
          <w:highlight w:val="none"/>
        </w:rPr>
        <w:t>各项</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w:t>
      </w:r>
      <w:r>
        <w:rPr>
          <w:rFonts w:hint="eastAsia" w:ascii="宋体" w:hAnsi="宋体" w:cs="仿宋_GB2312+3+3"/>
          <w:kern w:val="0"/>
          <w:sz w:val="24"/>
          <w:highlight w:val="none"/>
        </w:rPr>
        <w:t>办</w:t>
      </w:r>
      <w:r>
        <w:rPr>
          <w:rFonts w:hint="eastAsia" w:ascii="宋体" w:hAnsi="宋体" w:cs="仿宋_GB2312+3+2"/>
          <w:kern w:val="0"/>
          <w:sz w:val="24"/>
          <w:highlight w:val="none"/>
        </w:rPr>
        <w:t>法</w:t>
      </w:r>
      <w:r>
        <w:rPr>
          <w:rFonts w:hint="eastAsia" w:ascii="宋体" w:hAnsi="宋体" w:cs="仿宋_GB2312+3+1"/>
          <w:kern w:val="0"/>
          <w:sz w:val="24"/>
          <w:highlight w:val="none"/>
        </w:rPr>
        <w:t>和实施</w:t>
      </w:r>
      <w:r>
        <w:rPr>
          <w:rFonts w:hint="eastAsia" w:ascii="宋体" w:hAnsi="宋体" w:cs="仿宋_GB2312+3+6"/>
          <w:kern w:val="0"/>
          <w:sz w:val="24"/>
          <w:highlight w:val="none"/>
        </w:rPr>
        <w:t>细</w:t>
      </w:r>
      <w:r>
        <w:rPr>
          <w:rFonts w:hint="eastAsia" w:ascii="宋体" w:hAnsi="宋体" w:cs="仿宋_GB2312+3+3"/>
          <w:kern w:val="0"/>
          <w:sz w:val="24"/>
          <w:highlight w:val="none"/>
        </w:rPr>
        <w:t>则</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1"/>
          <w:kern w:val="0"/>
          <w:sz w:val="24"/>
          <w:highlight w:val="none"/>
        </w:rPr>
        <w:t>主</w:t>
      </w:r>
      <w:r>
        <w:rPr>
          <w:rFonts w:hint="eastAsia" w:ascii="宋体" w:hAnsi="宋体" w:cs="仿宋_GB2312+3+2"/>
          <w:kern w:val="0"/>
          <w:sz w:val="24"/>
          <w:highlight w:val="none"/>
        </w:rPr>
        <w:t>持</w:t>
      </w:r>
      <w:r>
        <w:rPr>
          <w:rFonts w:hint="eastAsia" w:ascii="宋体" w:hAnsi="宋体" w:cs="仿宋_GB2312+3+1"/>
          <w:kern w:val="0"/>
          <w:sz w:val="24"/>
          <w:highlight w:val="none"/>
        </w:rPr>
        <w:t>监督</w:t>
      </w:r>
      <w:r>
        <w:rPr>
          <w:rFonts w:hint="eastAsia" w:ascii="宋体" w:hAnsi="宋体" w:cs="仿宋_GB2312+3+4"/>
          <w:kern w:val="0"/>
          <w:sz w:val="24"/>
          <w:highlight w:val="none"/>
        </w:rPr>
        <w:t>其</w:t>
      </w:r>
      <w:r>
        <w:rPr>
          <w:rFonts w:hint="eastAsia" w:ascii="宋体" w:hAnsi="宋体" w:cs="仿宋_GB2312+3+1"/>
          <w:kern w:val="0"/>
          <w:sz w:val="24"/>
          <w:highlight w:val="none"/>
        </w:rPr>
        <w:t>实施</w:t>
      </w:r>
      <w:r>
        <w:rPr>
          <w:rFonts w:hint="eastAsia" w:ascii="宋体" w:hAnsi="宋体" w:cs="仿宋_GB2312+3+2"/>
          <w:kern w:val="0"/>
          <w:sz w:val="24"/>
          <w:highlight w:val="none"/>
        </w:rPr>
        <w:t>。</w:t>
      </w:r>
    </w:p>
    <w:p w14:paraId="11BF1663">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3</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2"/>
          <w:kern w:val="0"/>
          <w:sz w:val="24"/>
          <w:highlight w:val="none"/>
        </w:rPr>
        <w:t>根据</w:t>
      </w:r>
      <w:r>
        <w:rPr>
          <w:rFonts w:hint="eastAsia" w:ascii="宋体" w:hAnsi="宋体" w:cs="仿宋_GB2312+3+1"/>
          <w:kern w:val="0"/>
          <w:sz w:val="24"/>
          <w:highlight w:val="none"/>
        </w:rPr>
        <w:t>项目工程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和工程</w:t>
      </w:r>
      <w:r>
        <w:rPr>
          <w:rFonts w:hint="eastAsia" w:ascii="宋体" w:hAnsi="宋体" w:cs="仿宋_GB2312+3+2"/>
          <w:kern w:val="0"/>
          <w:sz w:val="24"/>
          <w:highlight w:val="none"/>
        </w:rPr>
        <w:t>规</w:t>
      </w:r>
      <w:r>
        <w:rPr>
          <w:rFonts w:hint="eastAsia" w:ascii="宋体" w:hAnsi="宋体" w:cs="仿宋_GB2312+3+6"/>
          <w:kern w:val="0"/>
          <w:sz w:val="24"/>
          <w:highlight w:val="none"/>
        </w:rPr>
        <w:t>模</w:t>
      </w:r>
      <w:r>
        <w:rPr>
          <w:rFonts w:hint="eastAsia" w:ascii="宋体" w:hAnsi="宋体" w:cs="仿宋_GB2312+3+1"/>
          <w:kern w:val="0"/>
          <w:sz w:val="24"/>
          <w:highlight w:val="none"/>
        </w:rPr>
        <w:t>，</w:t>
      </w:r>
      <w:r>
        <w:rPr>
          <w:rFonts w:hint="eastAsia" w:ascii="宋体" w:hAnsi="宋体" w:cs="仿宋_GB2312+3+2"/>
          <w:kern w:val="0"/>
          <w:sz w:val="24"/>
          <w:highlight w:val="none"/>
        </w:rPr>
        <w:t>成</w:t>
      </w:r>
      <w:r>
        <w:rPr>
          <w:rFonts w:hint="eastAsia" w:ascii="宋体" w:hAnsi="宋体" w:cs="仿宋_GB2312+3+1"/>
          <w:kern w:val="0"/>
          <w:sz w:val="24"/>
          <w:highlight w:val="none"/>
        </w:rPr>
        <w:t>立工程项目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7"/>
          <w:kern w:val="0"/>
          <w:sz w:val="24"/>
          <w:highlight w:val="none"/>
        </w:rPr>
        <w:t>委</w:t>
      </w:r>
      <w:r>
        <w:rPr>
          <w:rFonts w:hint="eastAsia" w:ascii="宋体" w:hAnsi="宋体" w:cs="仿宋_GB2312+3+1"/>
          <w:kern w:val="0"/>
          <w:sz w:val="24"/>
          <w:highlight w:val="none"/>
        </w:rPr>
        <w:t>员</w:t>
      </w:r>
      <w:r>
        <w:rPr>
          <w:rFonts w:hint="eastAsia" w:ascii="宋体" w:hAnsi="宋体" w:cs="仿宋_GB2312+3+4"/>
          <w:kern w:val="0"/>
          <w:sz w:val="24"/>
          <w:highlight w:val="none"/>
        </w:rPr>
        <w:t>会或</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领导</w:t>
      </w:r>
      <w:r>
        <w:rPr>
          <w:rFonts w:hint="eastAsia" w:ascii="宋体" w:hAnsi="宋体" w:cs="仿宋_GB2312+3+3"/>
          <w:kern w:val="0"/>
          <w:sz w:val="24"/>
          <w:highlight w:val="none"/>
        </w:rPr>
        <w:t>小</w:t>
      </w:r>
      <w:r>
        <w:rPr>
          <w:rFonts w:hint="eastAsia" w:ascii="宋体" w:hAnsi="宋体" w:cs="仿宋_GB2312+3+2"/>
          <w:kern w:val="0"/>
          <w:sz w:val="24"/>
          <w:highlight w:val="none"/>
        </w:rPr>
        <w:t>组</w:t>
      </w:r>
      <w:r>
        <w:rPr>
          <w:rFonts w:hint="eastAsia" w:ascii="宋体" w:hAnsi="宋体" w:cs="仿宋_GB2312+3+1"/>
          <w:kern w:val="0"/>
          <w:sz w:val="24"/>
          <w:highlight w:val="none"/>
        </w:rPr>
        <w:t>，明确</w:t>
      </w:r>
      <w:r>
        <w:rPr>
          <w:rFonts w:hint="eastAsia" w:ascii="宋体" w:hAnsi="宋体" w:cs="仿宋_GB2312+3+2"/>
          <w:kern w:val="0"/>
          <w:sz w:val="24"/>
          <w:highlight w:val="none"/>
        </w:rPr>
        <w:t>本</w:t>
      </w:r>
      <w:r>
        <w:rPr>
          <w:rFonts w:hint="eastAsia" w:ascii="宋体" w:hAnsi="宋体" w:cs="仿宋_GB2312+3+1"/>
          <w:kern w:val="0"/>
          <w:sz w:val="24"/>
          <w:highlight w:val="none"/>
        </w:rPr>
        <w:t>项目工程</w:t>
      </w:r>
      <w:r>
        <w:rPr>
          <w:rFonts w:hint="eastAsia" w:ascii="宋体" w:hAnsi="宋体" w:cs="仿宋_GB2312+3+6"/>
          <w:kern w:val="0"/>
          <w:sz w:val="24"/>
          <w:highlight w:val="none"/>
        </w:rPr>
        <w:t>专</w:t>
      </w:r>
      <w:r>
        <w:rPr>
          <w:rFonts w:hint="eastAsia" w:ascii="宋体" w:hAnsi="宋体" w:cs="仿宋_GB2312+3+3"/>
          <w:kern w:val="0"/>
          <w:sz w:val="24"/>
          <w:highlight w:val="none"/>
        </w:rPr>
        <w:t>（</w:t>
      </w:r>
      <w:r>
        <w:rPr>
          <w:rFonts w:hint="eastAsia" w:ascii="宋体" w:hAnsi="宋体" w:cs="仿宋_GB2312+3+6"/>
          <w:kern w:val="0"/>
          <w:sz w:val="24"/>
          <w:highlight w:val="none"/>
        </w:rPr>
        <w:t>兼</w:t>
      </w:r>
      <w:r>
        <w:rPr>
          <w:rFonts w:hint="eastAsia" w:ascii="宋体" w:hAnsi="宋体" w:cs="仿宋_GB2312+3+3"/>
          <w:kern w:val="0"/>
          <w:sz w:val="24"/>
          <w:highlight w:val="none"/>
        </w:rPr>
        <w:t>）职安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w:t>
      </w:r>
      <w:r>
        <w:rPr>
          <w:rFonts w:hint="eastAsia" w:ascii="宋体" w:hAnsi="宋体" w:cs="仿宋_GB2312+3+8"/>
          <w:kern w:val="0"/>
          <w:sz w:val="24"/>
          <w:highlight w:val="none"/>
        </w:rPr>
        <w:t>支</w:t>
      </w:r>
      <w:r>
        <w:rPr>
          <w:rFonts w:hint="eastAsia" w:ascii="宋体" w:hAnsi="宋体" w:cs="仿宋_GB2312+3+2"/>
          <w:kern w:val="0"/>
          <w:sz w:val="24"/>
          <w:highlight w:val="none"/>
        </w:rPr>
        <w:t>持</w:t>
      </w:r>
      <w:r>
        <w:rPr>
          <w:rFonts w:hint="eastAsia" w:ascii="宋体" w:hAnsi="宋体" w:cs="仿宋_GB2312+3+1"/>
          <w:kern w:val="0"/>
          <w:sz w:val="24"/>
          <w:highlight w:val="none"/>
        </w:rPr>
        <w:t>、</w:t>
      </w:r>
      <w:r>
        <w:rPr>
          <w:rFonts w:hint="eastAsia" w:ascii="宋体" w:hAnsi="宋体" w:cs="仿宋_GB2312+3+4"/>
          <w:kern w:val="0"/>
          <w:sz w:val="24"/>
          <w:highlight w:val="none"/>
        </w:rPr>
        <w:t>指</w:t>
      </w:r>
      <w:r>
        <w:rPr>
          <w:rFonts w:hint="eastAsia" w:ascii="宋体" w:hAnsi="宋体" w:cs="仿宋_GB2312+3+2"/>
          <w:kern w:val="0"/>
          <w:sz w:val="24"/>
          <w:highlight w:val="none"/>
        </w:rPr>
        <w:t>导</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业监督管理人员工作，</w:t>
      </w:r>
      <w:r>
        <w:rPr>
          <w:rFonts w:hint="eastAsia" w:ascii="宋体" w:hAnsi="宋体" w:cs="仿宋_GB2312+3+2"/>
          <w:kern w:val="0"/>
          <w:sz w:val="24"/>
          <w:highlight w:val="none"/>
        </w:rPr>
        <w:t>并</w:t>
      </w:r>
      <w:r>
        <w:rPr>
          <w:rFonts w:hint="eastAsia" w:ascii="宋体" w:hAnsi="宋体" w:cs="仿宋_GB2312+3+3"/>
          <w:kern w:val="0"/>
          <w:sz w:val="24"/>
          <w:highlight w:val="none"/>
        </w:rPr>
        <w:t>不得</w:t>
      </w:r>
      <w:r>
        <w:rPr>
          <w:rFonts w:hint="eastAsia" w:ascii="宋体" w:hAnsi="宋体" w:cs="仿宋_GB2312+3+5"/>
          <w:kern w:val="0"/>
          <w:sz w:val="24"/>
          <w:highlight w:val="none"/>
        </w:rPr>
        <w:t>干</w:t>
      </w:r>
      <w:r>
        <w:rPr>
          <w:rFonts w:hint="eastAsia" w:ascii="宋体" w:hAnsi="宋体" w:cs="仿宋_GB2312+3+8"/>
          <w:kern w:val="0"/>
          <w:sz w:val="24"/>
          <w:highlight w:val="none"/>
        </w:rPr>
        <w:t>扰</w:t>
      </w:r>
      <w:r>
        <w:rPr>
          <w:rFonts w:hint="eastAsia" w:ascii="宋体" w:hAnsi="宋体" w:cs="仿宋_GB2312+3+4"/>
          <w:kern w:val="0"/>
          <w:sz w:val="24"/>
          <w:highlight w:val="none"/>
        </w:rPr>
        <w:t>或</w:t>
      </w:r>
      <w:r>
        <w:rPr>
          <w:rFonts w:hint="eastAsia" w:ascii="宋体" w:hAnsi="宋体" w:cs="仿宋_GB2312+3+8"/>
          <w:kern w:val="0"/>
          <w:sz w:val="24"/>
          <w:highlight w:val="none"/>
        </w:rPr>
        <w:t>阻</w:t>
      </w:r>
      <w:r>
        <w:rPr>
          <w:rFonts w:hint="eastAsia" w:ascii="宋体" w:hAnsi="宋体" w:cs="仿宋_GB2312+3+9"/>
          <w:kern w:val="0"/>
          <w:sz w:val="24"/>
          <w:highlight w:val="none"/>
        </w:rPr>
        <w:t>挠</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业监督管理人员行</w:t>
      </w:r>
      <w:r>
        <w:rPr>
          <w:rFonts w:hint="eastAsia" w:ascii="宋体" w:hAnsi="宋体" w:cs="仿宋_GB2312+3+3"/>
          <w:kern w:val="0"/>
          <w:sz w:val="24"/>
          <w:highlight w:val="none"/>
        </w:rPr>
        <w:t>使职权</w:t>
      </w:r>
      <w:r>
        <w:rPr>
          <w:rFonts w:hint="eastAsia" w:ascii="宋体" w:hAnsi="宋体" w:cs="仿宋_GB2312+3+2"/>
          <w:kern w:val="0"/>
          <w:sz w:val="24"/>
          <w:highlight w:val="none"/>
        </w:rPr>
        <w:t>。</w:t>
      </w:r>
    </w:p>
    <w:p w14:paraId="0DBCD7EC">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4</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在</w:t>
      </w:r>
      <w:r>
        <w:rPr>
          <w:rFonts w:hint="eastAsia" w:ascii="宋体" w:hAnsi="宋体" w:cs="仿宋_GB2312+3+2"/>
          <w:kern w:val="0"/>
          <w:sz w:val="24"/>
          <w:highlight w:val="none"/>
        </w:rPr>
        <w:t>组织</w:t>
      </w:r>
      <w:r>
        <w:rPr>
          <w:rFonts w:hint="eastAsia" w:ascii="宋体" w:hAnsi="宋体" w:cs="仿宋_GB2312+3+1"/>
          <w:kern w:val="0"/>
          <w:sz w:val="24"/>
          <w:highlight w:val="none"/>
        </w:rPr>
        <w:t>项目工程施工</w:t>
      </w:r>
      <w:r>
        <w:rPr>
          <w:rFonts w:hint="eastAsia" w:ascii="宋体" w:hAnsi="宋体" w:cs="仿宋_GB2312+3+5"/>
          <w:kern w:val="0"/>
          <w:sz w:val="24"/>
          <w:highlight w:val="none"/>
        </w:rPr>
        <w:t>前</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须明确各</w:t>
      </w:r>
      <w:r>
        <w:rPr>
          <w:rFonts w:hint="eastAsia" w:ascii="宋体" w:hAnsi="宋体" w:cs="仿宋_GB2312+3+6"/>
          <w:kern w:val="0"/>
          <w:sz w:val="24"/>
          <w:highlight w:val="none"/>
        </w:rPr>
        <w:t>专</w:t>
      </w:r>
      <w:r>
        <w:rPr>
          <w:rFonts w:hint="eastAsia" w:ascii="宋体" w:hAnsi="宋体" w:cs="仿宋_GB2312+3+1"/>
          <w:kern w:val="0"/>
          <w:sz w:val="24"/>
          <w:highlight w:val="none"/>
        </w:rPr>
        <w:t>业管理部</w:t>
      </w:r>
      <w:r>
        <w:rPr>
          <w:rFonts w:hint="eastAsia" w:ascii="宋体" w:hAnsi="宋体" w:cs="仿宋_GB2312+3+2"/>
          <w:kern w:val="0"/>
          <w:sz w:val="24"/>
          <w:highlight w:val="none"/>
        </w:rPr>
        <w:t>门</w:t>
      </w:r>
      <w:r>
        <w:rPr>
          <w:rFonts w:hint="eastAsia" w:ascii="宋体" w:hAnsi="宋体" w:cs="仿宋_GB2312+3+1"/>
          <w:kern w:val="0"/>
          <w:sz w:val="24"/>
          <w:highlight w:val="none"/>
        </w:rPr>
        <w:t>和</w:t>
      </w:r>
      <w:r>
        <w:rPr>
          <w:rFonts w:hint="eastAsia" w:ascii="宋体" w:hAnsi="宋体" w:cs="仿宋_GB2312+3+3"/>
          <w:kern w:val="0"/>
          <w:sz w:val="24"/>
          <w:highlight w:val="none"/>
        </w:rPr>
        <w:t>关</w:t>
      </w:r>
      <w:r>
        <w:rPr>
          <w:rFonts w:hint="eastAsia" w:ascii="宋体" w:hAnsi="宋体" w:cs="仿宋_GB2312+3+6"/>
          <w:kern w:val="0"/>
          <w:sz w:val="24"/>
          <w:highlight w:val="none"/>
        </w:rPr>
        <w:t>键</w:t>
      </w:r>
      <w:r>
        <w:rPr>
          <w:rFonts w:hint="eastAsia" w:ascii="宋体" w:hAnsi="宋体" w:cs="仿宋_GB2312+3+3"/>
          <w:kern w:val="0"/>
          <w:sz w:val="24"/>
          <w:highlight w:val="none"/>
        </w:rPr>
        <w:t>岗</w:t>
      </w:r>
      <w:r>
        <w:rPr>
          <w:rFonts w:hint="eastAsia" w:ascii="宋体" w:hAnsi="宋体" w:cs="仿宋_GB2312+3+2"/>
          <w:kern w:val="0"/>
          <w:sz w:val="24"/>
          <w:highlight w:val="none"/>
        </w:rPr>
        <w:t>位</w:t>
      </w:r>
      <w:r>
        <w:rPr>
          <w:rFonts w:hint="eastAsia" w:ascii="宋体" w:hAnsi="宋体" w:cs="仿宋_GB2312+3+1"/>
          <w:kern w:val="0"/>
          <w:sz w:val="24"/>
          <w:highlight w:val="none"/>
        </w:rPr>
        <w:t>人员</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w:t>
      </w:r>
      <w:r>
        <w:rPr>
          <w:rFonts w:hint="eastAsia" w:ascii="宋体" w:hAnsi="宋体" w:cs="仿宋_GB2312+3+3"/>
          <w:kern w:val="0"/>
          <w:sz w:val="24"/>
          <w:highlight w:val="none"/>
        </w:rPr>
        <w:t>考核</w:t>
      </w:r>
      <w:r>
        <w:rPr>
          <w:rFonts w:hint="eastAsia" w:ascii="宋体" w:hAnsi="宋体" w:cs="仿宋_GB2312+3+4"/>
          <w:kern w:val="0"/>
          <w:sz w:val="24"/>
          <w:highlight w:val="none"/>
        </w:rPr>
        <w:t>指</w:t>
      </w:r>
      <w:r>
        <w:rPr>
          <w:rFonts w:hint="eastAsia" w:ascii="宋体" w:hAnsi="宋体" w:cs="仿宋_GB2312+3+1"/>
          <w:kern w:val="0"/>
          <w:sz w:val="24"/>
          <w:highlight w:val="none"/>
        </w:rPr>
        <w:t>标和</w:t>
      </w:r>
      <w:r>
        <w:rPr>
          <w:rFonts w:hint="eastAsia" w:ascii="宋体" w:hAnsi="宋体" w:cs="仿宋_GB2312+3+3"/>
          <w:kern w:val="0"/>
          <w:sz w:val="24"/>
          <w:highlight w:val="none"/>
        </w:rPr>
        <w:t>考核办</w:t>
      </w:r>
      <w:r>
        <w:rPr>
          <w:rFonts w:hint="eastAsia" w:ascii="宋体" w:hAnsi="宋体" w:cs="仿宋_GB2312+3+2"/>
          <w:kern w:val="0"/>
          <w:sz w:val="24"/>
          <w:highlight w:val="none"/>
        </w:rPr>
        <w:t>法</w:t>
      </w:r>
      <w:r>
        <w:rPr>
          <w:rFonts w:hint="eastAsia" w:ascii="宋体" w:hAnsi="宋体" w:cs="仿宋_GB2312+3+1"/>
          <w:kern w:val="0"/>
          <w:sz w:val="24"/>
          <w:highlight w:val="none"/>
        </w:rPr>
        <w:t>，</w:t>
      </w:r>
      <w:r>
        <w:rPr>
          <w:rFonts w:hint="eastAsia" w:ascii="宋体" w:hAnsi="宋体" w:cs="仿宋_GB2312+3+2"/>
          <w:kern w:val="0"/>
          <w:sz w:val="24"/>
          <w:highlight w:val="none"/>
        </w:rPr>
        <w:t>定期组织</w:t>
      </w:r>
      <w:r>
        <w:rPr>
          <w:rFonts w:hint="eastAsia" w:ascii="宋体" w:hAnsi="宋体" w:cs="仿宋_GB2312+3+1"/>
          <w:kern w:val="0"/>
          <w:sz w:val="24"/>
          <w:highlight w:val="none"/>
        </w:rPr>
        <w:t>实施</w:t>
      </w:r>
      <w:r>
        <w:rPr>
          <w:rFonts w:hint="eastAsia" w:ascii="宋体" w:hAnsi="宋体" w:cs="仿宋_GB2312+3+3"/>
          <w:kern w:val="0"/>
          <w:sz w:val="24"/>
          <w:highlight w:val="none"/>
        </w:rPr>
        <w:t>考核</w:t>
      </w:r>
      <w:r>
        <w:rPr>
          <w:rFonts w:hint="eastAsia" w:ascii="宋体" w:hAnsi="宋体" w:cs="仿宋_GB2312+3+1"/>
          <w:kern w:val="0"/>
          <w:sz w:val="24"/>
          <w:highlight w:val="none"/>
        </w:rPr>
        <w:t>，项目工程</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w:t>
      </w:r>
      <w:r>
        <w:rPr>
          <w:rFonts w:hint="eastAsia" w:ascii="宋体" w:hAnsi="宋体" w:cs="仿宋_GB2312+3+3"/>
          <w:kern w:val="0"/>
          <w:sz w:val="24"/>
          <w:highlight w:val="none"/>
        </w:rPr>
        <w:t>考核</w:t>
      </w:r>
      <w:r>
        <w:rPr>
          <w:rFonts w:hint="eastAsia" w:ascii="宋体" w:hAnsi="宋体" w:cs="仿宋_GB2312+3+1"/>
          <w:kern w:val="0"/>
          <w:sz w:val="24"/>
          <w:highlight w:val="none"/>
        </w:rPr>
        <w:t>要</w:t>
      </w:r>
      <w:r>
        <w:rPr>
          <w:rFonts w:hint="eastAsia" w:ascii="宋体" w:hAnsi="宋体" w:cs="仿宋_GB2312+3+4"/>
          <w:kern w:val="0"/>
          <w:sz w:val="24"/>
          <w:highlight w:val="none"/>
        </w:rPr>
        <w:t>与</w:t>
      </w:r>
      <w:r>
        <w:rPr>
          <w:rFonts w:hint="eastAsia" w:ascii="宋体" w:hAnsi="宋体" w:cs="仿宋_GB2312+3+1"/>
          <w:kern w:val="0"/>
          <w:sz w:val="24"/>
          <w:highlight w:val="none"/>
        </w:rPr>
        <w:t>经</w:t>
      </w:r>
      <w:r>
        <w:rPr>
          <w:rFonts w:hint="eastAsia" w:ascii="宋体" w:hAnsi="宋体" w:cs="仿宋_GB2312+3+2"/>
          <w:kern w:val="0"/>
          <w:sz w:val="24"/>
          <w:highlight w:val="none"/>
        </w:rPr>
        <w:t>济</w:t>
      </w:r>
      <w:r>
        <w:rPr>
          <w:rFonts w:hint="eastAsia" w:ascii="宋体" w:hAnsi="宋体" w:cs="仿宋_GB2312+3+1"/>
          <w:kern w:val="0"/>
          <w:sz w:val="24"/>
          <w:highlight w:val="none"/>
        </w:rPr>
        <w:t>效</w:t>
      </w:r>
      <w:r>
        <w:rPr>
          <w:rFonts w:hint="eastAsia" w:ascii="宋体" w:hAnsi="宋体" w:cs="仿宋_GB2312+3+3"/>
          <w:kern w:val="0"/>
          <w:sz w:val="24"/>
          <w:highlight w:val="none"/>
        </w:rPr>
        <w:t>益挂钩</w:t>
      </w:r>
      <w:r>
        <w:rPr>
          <w:rFonts w:hint="eastAsia" w:ascii="宋体" w:hAnsi="宋体" w:cs="仿宋_GB2312+3+2"/>
          <w:kern w:val="0"/>
          <w:sz w:val="24"/>
          <w:highlight w:val="none"/>
        </w:rPr>
        <w:t>；</w:t>
      </w:r>
    </w:p>
    <w:p w14:paraId="1C82263B">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2"/>
          <w:kern w:val="0"/>
          <w:sz w:val="24"/>
          <w:highlight w:val="none"/>
        </w:rPr>
        <w:t>5</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定期组织</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w:t>
      </w:r>
      <w:r>
        <w:rPr>
          <w:rFonts w:hint="eastAsia" w:ascii="宋体" w:hAnsi="宋体" w:cs="仿宋_GB2312+3+2"/>
          <w:kern w:val="0"/>
          <w:sz w:val="24"/>
          <w:highlight w:val="none"/>
        </w:rPr>
        <w:t>对上级</w:t>
      </w:r>
      <w:r>
        <w:rPr>
          <w:rFonts w:hint="eastAsia" w:ascii="宋体" w:hAnsi="宋体" w:cs="仿宋_GB2312+3+1"/>
          <w:kern w:val="0"/>
          <w:sz w:val="24"/>
          <w:highlight w:val="none"/>
        </w:rPr>
        <w:t>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中</w:t>
      </w:r>
      <w:r>
        <w:rPr>
          <w:rFonts w:hint="eastAsia" w:ascii="宋体" w:hAnsi="宋体" w:cs="仿宋_GB2312+3+2"/>
          <w:kern w:val="0"/>
          <w:sz w:val="24"/>
          <w:highlight w:val="none"/>
        </w:rPr>
        <w:t>提</w:t>
      </w:r>
      <w:r>
        <w:rPr>
          <w:rFonts w:hint="eastAsia" w:ascii="宋体" w:hAnsi="宋体" w:cs="仿宋_GB2312+3+4"/>
          <w:kern w:val="0"/>
          <w:sz w:val="24"/>
          <w:highlight w:val="none"/>
        </w:rPr>
        <w:t>出</w:t>
      </w:r>
      <w:r>
        <w:rPr>
          <w:rFonts w:hint="eastAsia" w:ascii="宋体" w:hAnsi="宋体" w:cs="仿宋_GB2312+3+3"/>
          <w:kern w:val="0"/>
          <w:sz w:val="24"/>
          <w:highlight w:val="none"/>
        </w:rPr>
        <w:t>的</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和管理</w:t>
      </w:r>
      <w:r>
        <w:rPr>
          <w:rFonts w:hint="eastAsia" w:ascii="宋体" w:hAnsi="宋体" w:cs="仿宋_GB2312+3+4"/>
          <w:kern w:val="0"/>
          <w:sz w:val="24"/>
          <w:highlight w:val="none"/>
        </w:rPr>
        <w:t>存</w:t>
      </w:r>
      <w:r>
        <w:rPr>
          <w:rFonts w:hint="eastAsia" w:ascii="宋体" w:hAnsi="宋体" w:cs="仿宋_GB2312+3+1"/>
          <w:kern w:val="0"/>
          <w:sz w:val="24"/>
          <w:highlight w:val="none"/>
        </w:rPr>
        <w:t>在</w:t>
      </w:r>
      <w:r>
        <w:rPr>
          <w:rFonts w:hint="eastAsia" w:ascii="宋体" w:hAnsi="宋体" w:cs="仿宋_GB2312+3+4"/>
          <w:kern w:val="0"/>
          <w:sz w:val="24"/>
          <w:highlight w:val="none"/>
        </w:rPr>
        <w:t>问题</w:t>
      </w:r>
      <w:r>
        <w:rPr>
          <w:rFonts w:hint="eastAsia" w:ascii="宋体" w:hAnsi="宋体" w:cs="仿宋_GB2312+3+1"/>
          <w:kern w:val="0"/>
          <w:sz w:val="24"/>
          <w:highlight w:val="none"/>
        </w:rPr>
        <w:t>，应</w:t>
      </w:r>
      <w:r>
        <w:rPr>
          <w:rFonts w:hint="eastAsia" w:ascii="宋体" w:hAnsi="宋体" w:cs="仿宋_GB2312+3+3"/>
          <w:kern w:val="0"/>
          <w:sz w:val="24"/>
          <w:highlight w:val="none"/>
        </w:rPr>
        <w:t>按</w:t>
      </w:r>
      <w:r>
        <w:rPr>
          <w:rFonts w:hint="eastAsia" w:ascii="宋体" w:hAnsi="宋体" w:cs="仿宋_GB2312+3+2"/>
          <w:kern w:val="0"/>
          <w:sz w:val="24"/>
          <w:highlight w:val="none"/>
        </w:rPr>
        <w:t>照“</w:t>
      </w:r>
      <w:r>
        <w:rPr>
          <w:rFonts w:hint="eastAsia" w:ascii="宋体" w:hAnsi="宋体" w:cs="仿宋_GB2312+3+1"/>
          <w:kern w:val="0"/>
          <w:sz w:val="24"/>
          <w:highlight w:val="none"/>
        </w:rPr>
        <w:t>三</w:t>
      </w:r>
      <w:r>
        <w:rPr>
          <w:rFonts w:hint="eastAsia" w:ascii="宋体" w:hAnsi="宋体" w:cs="仿宋_GB2312+3+2"/>
          <w:kern w:val="0"/>
          <w:sz w:val="24"/>
          <w:highlight w:val="none"/>
        </w:rPr>
        <w:t>定”</w:t>
      </w:r>
      <w:r>
        <w:rPr>
          <w:rFonts w:hint="eastAsia" w:ascii="宋体" w:hAnsi="宋体" w:cs="仿宋_GB2312+3+3"/>
          <w:kern w:val="0"/>
          <w:sz w:val="24"/>
          <w:highlight w:val="none"/>
        </w:rPr>
        <w:t>原则（</w:t>
      </w:r>
      <w:r>
        <w:rPr>
          <w:rFonts w:hint="eastAsia" w:ascii="宋体" w:hAnsi="宋体" w:cs="仿宋_GB2312+3+2"/>
          <w:kern w:val="0"/>
          <w:sz w:val="24"/>
          <w:highlight w:val="none"/>
        </w:rPr>
        <w:t>定</w:t>
      </w:r>
      <w:r>
        <w:rPr>
          <w:rFonts w:hint="eastAsia" w:ascii="宋体" w:hAnsi="宋体" w:cs="仿宋_GB2312+3+1"/>
          <w:kern w:val="0"/>
          <w:sz w:val="24"/>
          <w:highlight w:val="none"/>
        </w:rPr>
        <w:t>人、</w:t>
      </w:r>
      <w:r>
        <w:rPr>
          <w:rFonts w:hint="eastAsia" w:ascii="宋体" w:hAnsi="宋体" w:cs="仿宋_GB2312+3+2"/>
          <w:kern w:val="0"/>
          <w:sz w:val="24"/>
          <w:highlight w:val="none"/>
        </w:rPr>
        <w:t>定</w:t>
      </w:r>
      <w:r>
        <w:rPr>
          <w:rFonts w:hint="eastAsia" w:ascii="宋体" w:hAnsi="宋体" w:cs="仿宋_GB2312+3+3"/>
          <w:kern w:val="0"/>
          <w:sz w:val="24"/>
          <w:highlight w:val="none"/>
        </w:rPr>
        <w:t>时</w:t>
      </w:r>
      <w:r>
        <w:rPr>
          <w:rFonts w:hint="eastAsia" w:ascii="宋体" w:hAnsi="宋体" w:cs="仿宋_GB2312+3+7"/>
          <w:kern w:val="0"/>
          <w:sz w:val="24"/>
          <w:highlight w:val="none"/>
        </w:rPr>
        <w:t>间</w:t>
      </w:r>
      <w:r>
        <w:rPr>
          <w:rFonts w:hint="eastAsia" w:ascii="宋体" w:hAnsi="宋体" w:cs="仿宋_GB2312+3+1"/>
          <w:kern w:val="0"/>
          <w:sz w:val="24"/>
          <w:highlight w:val="none"/>
        </w:rPr>
        <w:t>、</w:t>
      </w:r>
      <w:r>
        <w:rPr>
          <w:rFonts w:hint="eastAsia" w:ascii="宋体" w:hAnsi="宋体" w:cs="仿宋_GB2312+3+2"/>
          <w:kern w:val="0"/>
          <w:sz w:val="24"/>
          <w:highlight w:val="none"/>
        </w:rPr>
        <w:t>定措</w:t>
      </w:r>
      <w:r>
        <w:rPr>
          <w:rFonts w:hint="eastAsia" w:ascii="宋体" w:hAnsi="宋体" w:cs="仿宋_GB2312+3+1"/>
          <w:kern w:val="0"/>
          <w:sz w:val="24"/>
          <w:highlight w:val="none"/>
        </w:rPr>
        <w:t>施</w:t>
      </w:r>
      <w:r>
        <w:rPr>
          <w:rFonts w:hint="eastAsia" w:ascii="宋体" w:hAnsi="宋体" w:cs="仿宋_GB2312+3+3"/>
          <w:kern w:val="0"/>
          <w:sz w:val="24"/>
          <w:highlight w:val="none"/>
        </w:rPr>
        <w:t>）</w:t>
      </w:r>
      <w:r>
        <w:rPr>
          <w:rFonts w:hint="eastAsia" w:ascii="宋体" w:hAnsi="宋体" w:cs="仿宋_GB2312+3+5"/>
          <w:kern w:val="0"/>
          <w:sz w:val="24"/>
          <w:highlight w:val="none"/>
        </w:rPr>
        <w:t>予</w:t>
      </w:r>
      <w:r>
        <w:rPr>
          <w:rFonts w:hint="eastAsia" w:ascii="宋体" w:hAnsi="宋体" w:cs="仿宋_GB2312+3+1"/>
          <w:kern w:val="0"/>
          <w:sz w:val="24"/>
          <w:highlight w:val="none"/>
        </w:rPr>
        <w:t>以</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3"/>
          <w:kern w:val="0"/>
          <w:sz w:val="24"/>
          <w:highlight w:val="none"/>
        </w:rPr>
        <w:t>按时</w:t>
      </w:r>
      <w:r>
        <w:rPr>
          <w:rFonts w:hint="eastAsia" w:ascii="宋体" w:hAnsi="宋体" w:cs="仿宋_GB2312+3+7"/>
          <w:kern w:val="0"/>
          <w:sz w:val="24"/>
          <w:highlight w:val="none"/>
        </w:rPr>
        <w:t>将</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4"/>
          <w:kern w:val="0"/>
          <w:sz w:val="24"/>
          <w:highlight w:val="none"/>
        </w:rPr>
        <w:t>情况</w:t>
      </w:r>
      <w:r>
        <w:rPr>
          <w:rFonts w:hint="eastAsia" w:ascii="宋体" w:hAnsi="宋体" w:cs="仿宋_GB2312+3+5"/>
          <w:kern w:val="0"/>
          <w:sz w:val="24"/>
          <w:highlight w:val="none"/>
        </w:rPr>
        <w:t>向</w:t>
      </w:r>
      <w:r>
        <w:rPr>
          <w:rFonts w:hint="eastAsia" w:ascii="宋体" w:hAnsi="宋体" w:cs="仿宋_GB2312+3+2"/>
          <w:kern w:val="0"/>
          <w:sz w:val="24"/>
          <w:highlight w:val="none"/>
        </w:rPr>
        <w:t>上级</w:t>
      </w:r>
      <w:r>
        <w:rPr>
          <w:rFonts w:hint="eastAsia" w:ascii="宋体" w:hAnsi="宋体" w:cs="仿宋_GB2312+3+4"/>
          <w:kern w:val="0"/>
          <w:sz w:val="24"/>
          <w:highlight w:val="none"/>
        </w:rPr>
        <w:t>反</w:t>
      </w:r>
      <w:r>
        <w:rPr>
          <w:rFonts w:hint="eastAsia" w:ascii="宋体" w:hAnsi="宋体" w:cs="仿宋_GB2312+3+9"/>
          <w:kern w:val="0"/>
          <w:sz w:val="24"/>
          <w:highlight w:val="none"/>
        </w:rPr>
        <w:t>馈</w:t>
      </w:r>
      <w:r>
        <w:rPr>
          <w:rFonts w:hint="eastAsia" w:ascii="宋体" w:hAnsi="宋体" w:cs="仿宋_GB2312+3+1"/>
          <w:kern w:val="0"/>
          <w:sz w:val="24"/>
          <w:highlight w:val="none"/>
        </w:rPr>
        <w:t>。</w:t>
      </w:r>
      <w:r>
        <w:rPr>
          <w:rFonts w:hint="eastAsia" w:ascii="宋体" w:hAnsi="宋体" w:cs="仿宋_GB2312+3+3"/>
          <w:kern w:val="0"/>
          <w:sz w:val="24"/>
          <w:highlight w:val="none"/>
        </w:rPr>
        <w:t>重</w:t>
      </w:r>
      <w:r>
        <w:rPr>
          <w:rFonts w:hint="eastAsia" w:ascii="宋体" w:hAnsi="宋体" w:cs="仿宋_GB2312+3+2"/>
          <w:kern w:val="0"/>
          <w:sz w:val="24"/>
          <w:highlight w:val="none"/>
        </w:rPr>
        <w:t>大</w:t>
      </w:r>
      <w:r>
        <w:rPr>
          <w:rFonts w:hint="eastAsia" w:ascii="宋体" w:hAnsi="宋体" w:cs="仿宋_GB2312+3+6"/>
          <w:kern w:val="0"/>
          <w:sz w:val="24"/>
          <w:highlight w:val="none"/>
        </w:rPr>
        <w:t>隐患</w:t>
      </w:r>
      <w:r>
        <w:rPr>
          <w:rFonts w:hint="eastAsia" w:ascii="宋体" w:hAnsi="宋体" w:cs="仿宋_GB2312+3+2"/>
          <w:kern w:val="0"/>
          <w:sz w:val="24"/>
          <w:highlight w:val="none"/>
        </w:rPr>
        <w:t>必</w:t>
      </w:r>
      <w:r>
        <w:rPr>
          <w:rFonts w:hint="eastAsia" w:ascii="宋体" w:hAnsi="宋体" w:cs="仿宋_GB2312+3+1"/>
          <w:kern w:val="0"/>
          <w:sz w:val="24"/>
          <w:highlight w:val="none"/>
        </w:rPr>
        <w:t>须立</w:t>
      </w:r>
      <w:r>
        <w:rPr>
          <w:rFonts w:hint="eastAsia" w:ascii="宋体" w:hAnsi="宋体" w:cs="仿宋_GB2312+3+7"/>
          <w:kern w:val="0"/>
          <w:sz w:val="24"/>
          <w:highlight w:val="none"/>
        </w:rPr>
        <w:t>即</w:t>
      </w:r>
      <w:r>
        <w:rPr>
          <w:rFonts w:hint="eastAsia" w:ascii="宋体" w:hAnsi="宋体" w:cs="仿宋_GB2312+3+5"/>
          <w:kern w:val="0"/>
          <w:sz w:val="24"/>
          <w:highlight w:val="none"/>
        </w:rPr>
        <w:t>停</w:t>
      </w:r>
      <w:r>
        <w:rPr>
          <w:rFonts w:hint="eastAsia" w:ascii="宋体" w:hAnsi="宋体" w:cs="仿宋_GB2312+3+4"/>
          <w:kern w:val="0"/>
          <w:sz w:val="24"/>
          <w:highlight w:val="none"/>
        </w:rPr>
        <w:t>止</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r>
        <w:rPr>
          <w:rFonts w:hint="eastAsia" w:ascii="宋体" w:hAnsi="宋体" w:cs="仿宋_GB2312+3+9"/>
          <w:kern w:val="0"/>
          <w:sz w:val="24"/>
          <w:highlight w:val="none"/>
        </w:rPr>
        <w:t>待</w:t>
      </w:r>
      <w:r>
        <w:rPr>
          <w:rFonts w:hint="eastAsia" w:ascii="宋体" w:hAnsi="宋体" w:cs="仿宋_GB2312+3+6"/>
          <w:kern w:val="0"/>
          <w:sz w:val="24"/>
          <w:highlight w:val="none"/>
        </w:rPr>
        <w:t>隐患</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1"/>
          <w:kern w:val="0"/>
          <w:sz w:val="24"/>
          <w:highlight w:val="none"/>
        </w:rPr>
        <w:t>，</w:t>
      </w:r>
      <w:r>
        <w:rPr>
          <w:rFonts w:hint="eastAsia" w:ascii="宋体" w:hAnsi="宋体" w:cs="仿宋_GB2312+3+2"/>
          <w:kern w:val="0"/>
          <w:sz w:val="24"/>
          <w:highlight w:val="none"/>
        </w:rPr>
        <w:t>报</w:t>
      </w:r>
      <w:r>
        <w:rPr>
          <w:rFonts w:hint="eastAsia" w:ascii="宋体" w:hAnsi="宋体" w:cs="仿宋_GB2312+3+6"/>
          <w:kern w:val="0"/>
          <w:sz w:val="24"/>
          <w:highlight w:val="none"/>
        </w:rPr>
        <w:t>请</w:t>
      </w:r>
      <w:r>
        <w:rPr>
          <w:rFonts w:hint="eastAsia" w:ascii="宋体" w:hAnsi="宋体" w:cs="仿宋_GB2312+3+2"/>
          <w:kern w:val="0"/>
          <w:sz w:val="24"/>
          <w:highlight w:val="none"/>
        </w:rPr>
        <w:t>上级</w:t>
      </w:r>
      <w:r>
        <w:rPr>
          <w:rFonts w:hint="eastAsia" w:ascii="宋体" w:hAnsi="宋体" w:cs="仿宋_GB2312+3+1"/>
          <w:kern w:val="0"/>
          <w:sz w:val="24"/>
          <w:highlight w:val="none"/>
        </w:rPr>
        <w:t>部</w:t>
      </w:r>
      <w:r>
        <w:rPr>
          <w:rFonts w:hint="eastAsia" w:ascii="宋体" w:hAnsi="宋体" w:cs="仿宋_GB2312+3+2"/>
          <w:kern w:val="0"/>
          <w:sz w:val="24"/>
          <w:highlight w:val="none"/>
        </w:rPr>
        <w:t>门</w:t>
      </w:r>
      <w:r>
        <w:rPr>
          <w:rFonts w:hint="eastAsia" w:ascii="宋体" w:hAnsi="宋体" w:cs="仿宋_GB2312+3+1"/>
          <w:kern w:val="0"/>
          <w:sz w:val="24"/>
          <w:highlight w:val="none"/>
        </w:rPr>
        <w:t>验</w:t>
      </w:r>
      <w:r>
        <w:rPr>
          <w:rFonts w:hint="eastAsia" w:ascii="宋体" w:hAnsi="宋体" w:cs="仿宋_GB2312+3+2"/>
          <w:kern w:val="0"/>
          <w:sz w:val="24"/>
          <w:highlight w:val="none"/>
        </w:rPr>
        <w:t>收合格后</w:t>
      </w:r>
      <w:r>
        <w:rPr>
          <w:rFonts w:hint="eastAsia" w:ascii="宋体" w:hAnsi="宋体" w:cs="仿宋_GB2312+3+1"/>
          <w:kern w:val="0"/>
          <w:sz w:val="24"/>
          <w:highlight w:val="none"/>
        </w:rPr>
        <w:t>，方</w:t>
      </w:r>
      <w:r>
        <w:rPr>
          <w:rFonts w:hint="eastAsia" w:ascii="宋体" w:hAnsi="宋体" w:cs="仿宋_GB2312+3+3"/>
          <w:kern w:val="0"/>
          <w:sz w:val="24"/>
          <w:highlight w:val="none"/>
        </w:rPr>
        <w:t>可</w:t>
      </w:r>
      <w:r>
        <w:rPr>
          <w:rFonts w:hint="eastAsia" w:ascii="宋体" w:hAnsi="宋体" w:cs="仿宋_GB2312+3+9"/>
          <w:kern w:val="0"/>
          <w:sz w:val="24"/>
          <w:highlight w:val="none"/>
        </w:rPr>
        <w:t>恢</w:t>
      </w:r>
      <w:r>
        <w:rPr>
          <w:rFonts w:hint="eastAsia" w:ascii="宋体" w:hAnsi="宋体" w:cs="仿宋_GB2312+3+5"/>
          <w:kern w:val="0"/>
          <w:sz w:val="24"/>
          <w:highlight w:val="none"/>
        </w:rPr>
        <w:t>复</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p>
    <w:p w14:paraId="541B564F">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6</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组织</w:t>
      </w:r>
      <w:r>
        <w:rPr>
          <w:rFonts w:hint="eastAsia" w:ascii="宋体" w:hAnsi="宋体" w:cs="仿宋_GB2312+3+1"/>
          <w:kern w:val="0"/>
          <w:sz w:val="24"/>
          <w:highlight w:val="none"/>
        </w:rPr>
        <w:t>制</w:t>
      </w:r>
      <w:r>
        <w:rPr>
          <w:rFonts w:hint="eastAsia" w:ascii="宋体" w:hAnsi="宋体" w:cs="仿宋_GB2312+3+2"/>
          <w:kern w:val="0"/>
          <w:sz w:val="24"/>
          <w:highlight w:val="none"/>
        </w:rPr>
        <w:t>定并</w:t>
      </w:r>
      <w:r>
        <w:rPr>
          <w:rFonts w:hint="eastAsia" w:ascii="宋体" w:hAnsi="宋体" w:cs="仿宋_GB2312+3+1"/>
          <w:kern w:val="0"/>
          <w:sz w:val="24"/>
          <w:highlight w:val="none"/>
        </w:rPr>
        <w:t>实施工程项目</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事故</w:t>
      </w:r>
      <w:r>
        <w:rPr>
          <w:rFonts w:hint="eastAsia" w:ascii="宋体" w:hAnsi="宋体" w:cs="仿宋_GB2312+3+1"/>
          <w:kern w:val="0"/>
          <w:sz w:val="24"/>
          <w:highlight w:val="none"/>
        </w:rPr>
        <w:t>应</w:t>
      </w:r>
      <w:r>
        <w:rPr>
          <w:rFonts w:hint="eastAsia" w:ascii="宋体" w:hAnsi="宋体" w:cs="仿宋_GB2312+3+8"/>
          <w:kern w:val="0"/>
          <w:sz w:val="24"/>
          <w:highlight w:val="none"/>
        </w:rPr>
        <w:t>急救</w:t>
      </w:r>
      <w:r>
        <w:rPr>
          <w:rFonts w:hint="eastAsia" w:ascii="宋体" w:hAnsi="宋体" w:cs="仿宋_GB2312+3+9"/>
          <w:kern w:val="0"/>
          <w:sz w:val="24"/>
          <w:highlight w:val="none"/>
        </w:rPr>
        <w:t>援</w:t>
      </w:r>
      <w:r>
        <w:rPr>
          <w:rFonts w:hint="eastAsia" w:ascii="宋体" w:hAnsi="宋体" w:cs="仿宋_GB2312+3+4"/>
          <w:kern w:val="0"/>
          <w:sz w:val="24"/>
          <w:highlight w:val="none"/>
        </w:rPr>
        <w:t>预案</w:t>
      </w:r>
      <w:r>
        <w:rPr>
          <w:rFonts w:hint="eastAsia" w:ascii="宋体" w:hAnsi="宋体" w:cs="仿宋_GB2312+3+2"/>
          <w:kern w:val="0"/>
          <w:sz w:val="24"/>
          <w:highlight w:val="none"/>
        </w:rPr>
        <w:t>。</w:t>
      </w:r>
    </w:p>
    <w:p w14:paraId="21D8D00E">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7</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全管理作为项目管理</w:t>
      </w:r>
      <w:r>
        <w:rPr>
          <w:rFonts w:hint="eastAsia" w:ascii="宋体" w:hAnsi="宋体" w:cs="仿宋_GB2312+3+3"/>
          <w:kern w:val="0"/>
          <w:sz w:val="24"/>
          <w:highlight w:val="none"/>
        </w:rPr>
        <w:t>重</w:t>
      </w:r>
      <w:r>
        <w:rPr>
          <w:rFonts w:hint="eastAsia" w:ascii="宋体" w:hAnsi="宋体" w:cs="仿宋_GB2312+3+1"/>
          <w:kern w:val="0"/>
          <w:sz w:val="24"/>
          <w:highlight w:val="none"/>
        </w:rPr>
        <w:t>要内</w:t>
      </w:r>
      <w:r>
        <w:rPr>
          <w:rFonts w:hint="eastAsia" w:ascii="宋体" w:hAnsi="宋体" w:cs="仿宋_GB2312+3+3"/>
          <w:kern w:val="0"/>
          <w:sz w:val="24"/>
          <w:highlight w:val="none"/>
        </w:rPr>
        <w:t>容</w:t>
      </w:r>
      <w:r>
        <w:rPr>
          <w:rFonts w:hint="eastAsia" w:ascii="宋体" w:hAnsi="宋体" w:cs="仿宋_GB2312+3+1"/>
          <w:kern w:val="0"/>
          <w:sz w:val="24"/>
          <w:highlight w:val="none"/>
        </w:rPr>
        <w:t>，</w:t>
      </w:r>
      <w:r>
        <w:rPr>
          <w:rFonts w:hint="eastAsia" w:ascii="宋体" w:hAnsi="宋体" w:cs="仿宋_GB2312+3+4"/>
          <w:kern w:val="0"/>
          <w:sz w:val="24"/>
          <w:highlight w:val="none"/>
        </w:rPr>
        <w:t>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同</w:t>
      </w:r>
      <w:r>
        <w:rPr>
          <w:rFonts w:hint="eastAsia" w:ascii="宋体" w:hAnsi="宋体" w:cs="仿宋_GB2312+3+3"/>
          <w:kern w:val="0"/>
          <w:sz w:val="24"/>
          <w:highlight w:val="none"/>
        </w:rPr>
        <w:t>时</w:t>
      </w:r>
      <w:r>
        <w:rPr>
          <w:rFonts w:hint="eastAsia" w:ascii="宋体" w:hAnsi="宋体" w:cs="仿宋_GB2312+3+1"/>
          <w:kern w:val="0"/>
          <w:sz w:val="24"/>
          <w:highlight w:val="none"/>
        </w:rPr>
        <w:t>进行</w:t>
      </w:r>
      <w:r>
        <w:rPr>
          <w:rFonts w:hint="eastAsia" w:ascii="宋体" w:hAnsi="宋体" w:cs="仿宋_GB2312+3+2"/>
          <w:kern w:val="0"/>
          <w:sz w:val="24"/>
          <w:highlight w:val="none"/>
        </w:rPr>
        <w:t>。</w:t>
      </w:r>
    </w:p>
    <w:p w14:paraId="48FE2BB6">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8</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建立、</w:t>
      </w:r>
      <w:r>
        <w:rPr>
          <w:rFonts w:hint="eastAsia" w:ascii="宋体" w:hAnsi="宋体" w:cs="仿宋_GB2312+3+3"/>
          <w:kern w:val="0"/>
          <w:sz w:val="24"/>
          <w:highlight w:val="none"/>
        </w:rPr>
        <w:t>健</w:t>
      </w:r>
      <w:r>
        <w:rPr>
          <w:rFonts w:hint="eastAsia" w:ascii="宋体" w:hAnsi="宋体" w:cs="仿宋_GB2312+3+1"/>
          <w:kern w:val="0"/>
          <w:sz w:val="24"/>
          <w:highlight w:val="none"/>
        </w:rPr>
        <w:t>全工程项目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管理规章制度和</w:t>
      </w:r>
      <w:r>
        <w:rPr>
          <w:rFonts w:hint="eastAsia" w:ascii="宋体" w:hAnsi="宋体" w:cs="仿宋_GB2312+3+4"/>
          <w:kern w:val="0"/>
          <w:sz w:val="24"/>
          <w:highlight w:val="none"/>
        </w:rPr>
        <w:t>操</w:t>
      </w:r>
      <w:r>
        <w:rPr>
          <w:rFonts w:hint="eastAsia" w:ascii="宋体" w:hAnsi="宋体" w:cs="仿宋_GB2312+3+1"/>
          <w:kern w:val="0"/>
          <w:sz w:val="24"/>
          <w:highlight w:val="none"/>
        </w:rPr>
        <w:t>作</w:t>
      </w:r>
      <w:r>
        <w:rPr>
          <w:rFonts w:hint="eastAsia" w:ascii="宋体" w:hAnsi="宋体" w:cs="仿宋_GB2312+3+2"/>
          <w:kern w:val="0"/>
          <w:sz w:val="24"/>
          <w:highlight w:val="none"/>
        </w:rPr>
        <w:t>规</w:t>
      </w:r>
      <w:r>
        <w:rPr>
          <w:rFonts w:hint="eastAsia" w:ascii="宋体" w:hAnsi="宋体" w:cs="仿宋_GB2312+3+1"/>
          <w:kern w:val="0"/>
          <w:sz w:val="24"/>
          <w:highlight w:val="none"/>
        </w:rPr>
        <w:t>程，</w:t>
      </w:r>
      <w:r>
        <w:rPr>
          <w:rFonts w:hint="eastAsia" w:ascii="宋体" w:hAnsi="宋体" w:cs="仿宋_GB2312+3+2"/>
          <w:kern w:val="0"/>
          <w:sz w:val="24"/>
          <w:highlight w:val="none"/>
        </w:rPr>
        <w:t>合</w:t>
      </w:r>
      <w:r>
        <w:rPr>
          <w:rFonts w:hint="eastAsia" w:ascii="宋体" w:hAnsi="宋体" w:cs="仿宋_GB2312+3+1"/>
          <w:kern w:val="0"/>
          <w:sz w:val="24"/>
          <w:highlight w:val="none"/>
        </w:rPr>
        <w:t>理</w:t>
      </w:r>
      <w:r>
        <w:rPr>
          <w:rFonts w:hint="eastAsia" w:ascii="宋体" w:hAnsi="宋体" w:cs="仿宋_GB2312+3+3"/>
          <w:kern w:val="0"/>
          <w:sz w:val="24"/>
          <w:highlight w:val="none"/>
        </w:rPr>
        <w:t>配</w:t>
      </w:r>
      <w:r>
        <w:rPr>
          <w:rFonts w:hint="eastAsia" w:ascii="宋体" w:hAnsi="宋体" w:cs="仿宋_GB2312+3+6"/>
          <w:kern w:val="0"/>
          <w:sz w:val="24"/>
          <w:highlight w:val="none"/>
        </w:rPr>
        <w:t>置</w:t>
      </w:r>
      <w:r>
        <w:rPr>
          <w:rFonts w:hint="eastAsia" w:ascii="宋体" w:hAnsi="宋体" w:cs="仿宋_GB2312+3+1"/>
          <w:kern w:val="0"/>
          <w:sz w:val="24"/>
          <w:highlight w:val="none"/>
        </w:rPr>
        <w:t>人</w:t>
      </w:r>
      <w:r>
        <w:rPr>
          <w:rFonts w:hint="eastAsia" w:ascii="宋体" w:hAnsi="宋体" w:cs="仿宋_GB2312+3+2"/>
          <w:kern w:val="0"/>
          <w:sz w:val="24"/>
          <w:highlight w:val="none"/>
        </w:rPr>
        <w:t>力</w:t>
      </w:r>
      <w:r>
        <w:rPr>
          <w:rFonts w:hint="eastAsia" w:ascii="宋体" w:hAnsi="宋体" w:cs="仿宋_GB2312+3+1"/>
          <w:kern w:val="0"/>
          <w:sz w:val="24"/>
          <w:highlight w:val="none"/>
        </w:rPr>
        <w:t>、</w:t>
      </w:r>
      <w:r>
        <w:rPr>
          <w:rFonts w:hint="eastAsia" w:ascii="宋体" w:hAnsi="宋体" w:cs="仿宋_GB2312+3+6"/>
          <w:kern w:val="0"/>
          <w:sz w:val="24"/>
          <w:highlight w:val="none"/>
        </w:rPr>
        <w:t>物</w:t>
      </w:r>
      <w:r>
        <w:rPr>
          <w:rFonts w:hint="eastAsia" w:ascii="宋体" w:hAnsi="宋体" w:cs="仿宋_GB2312+3+4"/>
          <w:kern w:val="0"/>
          <w:sz w:val="24"/>
          <w:highlight w:val="none"/>
        </w:rPr>
        <w:t>资</w:t>
      </w:r>
      <w:r>
        <w:rPr>
          <w:rFonts w:hint="eastAsia" w:ascii="宋体" w:hAnsi="宋体" w:cs="仿宋_GB2312+3+1"/>
          <w:kern w:val="0"/>
          <w:sz w:val="24"/>
          <w:highlight w:val="none"/>
        </w:rPr>
        <w:t>、机</w:t>
      </w:r>
      <w:r>
        <w:rPr>
          <w:rFonts w:hint="eastAsia" w:ascii="宋体" w:hAnsi="宋体" w:cs="仿宋_GB2312+3+3"/>
          <w:kern w:val="0"/>
          <w:sz w:val="24"/>
          <w:highlight w:val="none"/>
        </w:rPr>
        <w:t>具</w:t>
      </w:r>
      <w:r>
        <w:rPr>
          <w:rFonts w:hint="eastAsia" w:ascii="宋体" w:hAnsi="宋体" w:cs="仿宋_GB2312+3+1"/>
          <w:kern w:val="0"/>
          <w:sz w:val="24"/>
          <w:highlight w:val="none"/>
        </w:rPr>
        <w:t>、</w:t>
      </w:r>
      <w:r>
        <w:rPr>
          <w:rFonts w:hint="eastAsia" w:ascii="宋体" w:hAnsi="宋体" w:cs="仿宋_GB2312+3+4"/>
          <w:kern w:val="0"/>
          <w:sz w:val="24"/>
          <w:highlight w:val="none"/>
        </w:rPr>
        <w:t>资</w:t>
      </w:r>
      <w:r>
        <w:rPr>
          <w:rFonts w:hint="eastAsia" w:ascii="宋体" w:hAnsi="宋体" w:cs="仿宋_GB2312+3+3"/>
          <w:kern w:val="0"/>
          <w:sz w:val="24"/>
          <w:highlight w:val="none"/>
        </w:rPr>
        <w:t>金</w:t>
      </w:r>
      <w:r>
        <w:rPr>
          <w:rFonts w:hint="eastAsia" w:ascii="宋体" w:hAnsi="宋体" w:cs="仿宋_GB2312+3+4"/>
          <w:kern w:val="0"/>
          <w:sz w:val="24"/>
          <w:highlight w:val="none"/>
        </w:rPr>
        <w:t>等</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要</w:t>
      </w:r>
      <w:r>
        <w:rPr>
          <w:rFonts w:hint="eastAsia" w:ascii="宋体" w:hAnsi="宋体" w:cs="仿宋_GB2312+3+3"/>
          <w:kern w:val="0"/>
          <w:sz w:val="24"/>
          <w:highlight w:val="none"/>
        </w:rPr>
        <w:t>素</w:t>
      </w:r>
      <w:r>
        <w:rPr>
          <w:rFonts w:hint="eastAsia" w:ascii="宋体" w:hAnsi="宋体" w:cs="仿宋_GB2312+3+1"/>
          <w:kern w:val="0"/>
          <w:sz w:val="24"/>
          <w:highlight w:val="none"/>
        </w:rPr>
        <w:t>。保</w:t>
      </w:r>
      <w:r>
        <w:rPr>
          <w:rFonts w:hint="eastAsia" w:ascii="宋体" w:hAnsi="宋体" w:cs="仿宋_GB2312+3+3"/>
          <w:kern w:val="0"/>
          <w:sz w:val="24"/>
          <w:highlight w:val="none"/>
        </w:rPr>
        <w:t>证</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投</w:t>
      </w:r>
      <w:r>
        <w:rPr>
          <w:rFonts w:hint="eastAsia" w:ascii="宋体" w:hAnsi="宋体" w:cs="仿宋_GB2312+3+2"/>
          <w:kern w:val="0"/>
          <w:sz w:val="24"/>
          <w:highlight w:val="none"/>
        </w:rPr>
        <w:t>入</w:t>
      </w:r>
      <w:r>
        <w:rPr>
          <w:rFonts w:hint="eastAsia" w:ascii="宋体" w:hAnsi="宋体" w:cs="仿宋_GB2312+3+1"/>
          <w:kern w:val="0"/>
          <w:sz w:val="24"/>
          <w:highlight w:val="none"/>
        </w:rPr>
        <w:t>有效实施，</w:t>
      </w:r>
      <w:r>
        <w:rPr>
          <w:rFonts w:hint="eastAsia" w:ascii="宋体" w:hAnsi="宋体" w:cs="仿宋_GB2312+3+2"/>
          <w:kern w:val="0"/>
          <w:sz w:val="24"/>
          <w:highlight w:val="none"/>
        </w:rPr>
        <w:t>积极采用</w:t>
      </w:r>
      <w:r>
        <w:rPr>
          <w:rFonts w:hint="eastAsia" w:ascii="宋体" w:hAnsi="宋体" w:cs="仿宋_GB2312+3+1"/>
          <w:kern w:val="0"/>
          <w:sz w:val="24"/>
          <w:highlight w:val="none"/>
        </w:rPr>
        <w:t>新</w:t>
      </w:r>
      <w:r>
        <w:rPr>
          <w:rFonts w:hint="eastAsia" w:ascii="宋体" w:hAnsi="宋体" w:cs="仿宋_GB2312+3+2"/>
          <w:kern w:val="0"/>
          <w:sz w:val="24"/>
          <w:highlight w:val="none"/>
        </w:rPr>
        <w:t>技术</w:t>
      </w:r>
      <w:r>
        <w:rPr>
          <w:rFonts w:hint="eastAsia" w:ascii="宋体" w:hAnsi="宋体" w:cs="仿宋_GB2312+3+1"/>
          <w:kern w:val="0"/>
          <w:sz w:val="24"/>
          <w:highlight w:val="none"/>
        </w:rPr>
        <w:t>、新工</w:t>
      </w:r>
      <w:r>
        <w:rPr>
          <w:rFonts w:hint="eastAsia" w:ascii="宋体" w:hAnsi="宋体" w:cs="仿宋_GB2312+3+5"/>
          <w:kern w:val="0"/>
          <w:sz w:val="24"/>
          <w:highlight w:val="none"/>
        </w:rPr>
        <w:t>艺</w:t>
      </w:r>
      <w:r>
        <w:rPr>
          <w:rFonts w:hint="eastAsia" w:ascii="宋体" w:hAnsi="宋体" w:cs="仿宋_GB2312+3+1"/>
          <w:kern w:val="0"/>
          <w:sz w:val="24"/>
          <w:highlight w:val="none"/>
        </w:rPr>
        <w:t>、新</w:t>
      </w:r>
      <w:r>
        <w:rPr>
          <w:rFonts w:hint="eastAsia" w:ascii="宋体" w:hAnsi="宋体" w:cs="仿宋_GB2312+3+2"/>
          <w:kern w:val="0"/>
          <w:sz w:val="24"/>
          <w:highlight w:val="none"/>
        </w:rPr>
        <w:t>设</w:t>
      </w:r>
      <w:r>
        <w:rPr>
          <w:rFonts w:hint="eastAsia" w:ascii="宋体" w:hAnsi="宋体" w:cs="仿宋_GB2312+3+3"/>
          <w:kern w:val="0"/>
          <w:sz w:val="24"/>
          <w:highlight w:val="none"/>
        </w:rPr>
        <w:t>备</w:t>
      </w:r>
      <w:r>
        <w:rPr>
          <w:rFonts w:hint="eastAsia" w:ascii="宋体" w:hAnsi="宋体" w:cs="仿宋_GB2312+3+1"/>
          <w:kern w:val="0"/>
          <w:sz w:val="24"/>
          <w:highlight w:val="none"/>
        </w:rPr>
        <w:t>、新</w:t>
      </w:r>
      <w:r>
        <w:rPr>
          <w:rFonts w:hint="eastAsia" w:ascii="宋体" w:hAnsi="宋体" w:cs="仿宋_GB2312+3+4"/>
          <w:kern w:val="0"/>
          <w:sz w:val="24"/>
          <w:highlight w:val="none"/>
        </w:rPr>
        <w:t>材料</w:t>
      </w:r>
      <w:r>
        <w:rPr>
          <w:rFonts w:hint="eastAsia" w:ascii="宋体" w:hAnsi="宋体" w:cs="仿宋_GB2312+3+1"/>
          <w:kern w:val="0"/>
          <w:sz w:val="24"/>
          <w:highlight w:val="none"/>
        </w:rPr>
        <w:t>，</w:t>
      </w:r>
      <w:r>
        <w:rPr>
          <w:rFonts w:hint="eastAsia" w:ascii="宋体" w:hAnsi="宋体" w:cs="仿宋_GB2312+3+2"/>
          <w:kern w:val="0"/>
          <w:sz w:val="24"/>
          <w:highlight w:val="none"/>
        </w:rPr>
        <w:t>提</w:t>
      </w:r>
      <w:r>
        <w:rPr>
          <w:rFonts w:hint="eastAsia" w:ascii="宋体" w:hAnsi="宋体" w:cs="仿宋_GB2312+3+1"/>
          <w:kern w:val="0"/>
          <w:sz w:val="24"/>
          <w:highlight w:val="none"/>
        </w:rPr>
        <w:t>高施工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水平。</w:t>
      </w:r>
    </w:p>
    <w:p w14:paraId="732BA087">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3"/>
          <w:kern w:val="0"/>
          <w:sz w:val="24"/>
          <w:highlight w:val="none"/>
        </w:rPr>
        <w:t>9</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依</w:t>
      </w:r>
      <w:r>
        <w:rPr>
          <w:rFonts w:hint="eastAsia" w:ascii="宋体" w:hAnsi="宋体" w:cs="仿宋_GB2312+3+2"/>
          <w:kern w:val="0"/>
          <w:sz w:val="24"/>
          <w:highlight w:val="none"/>
        </w:rPr>
        <w:t>据</w:t>
      </w:r>
      <w:r>
        <w:rPr>
          <w:rFonts w:hint="eastAsia" w:ascii="宋体" w:hAnsi="宋体" w:cs="仿宋_GB2312+3+1"/>
          <w:kern w:val="0"/>
          <w:sz w:val="24"/>
          <w:highlight w:val="none"/>
        </w:rPr>
        <w:t>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w:t>
      </w:r>
      <w:r>
        <w:rPr>
          <w:rFonts w:hint="eastAsia" w:ascii="宋体" w:hAnsi="宋体" w:cs="仿宋_GB2312+3+2"/>
          <w:kern w:val="0"/>
          <w:sz w:val="24"/>
          <w:highlight w:val="none"/>
        </w:rPr>
        <w:t>科学编</w:t>
      </w:r>
      <w:r>
        <w:rPr>
          <w:rFonts w:hint="eastAsia" w:ascii="宋体" w:hAnsi="宋体" w:cs="仿宋_GB2312+3+1"/>
          <w:kern w:val="0"/>
          <w:sz w:val="24"/>
          <w:highlight w:val="none"/>
        </w:rPr>
        <w:t>制施工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3"/>
          <w:kern w:val="0"/>
          <w:sz w:val="24"/>
          <w:highlight w:val="none"/>
        </w:rPr>
        <w:t>正</w:t>
      </w:r>
      <w:r>
        <w:rPr>
          <w:rFonts w:hint="eastAsia" w:ascii="宋体" w:hAnsi="宋体" w:cs="仿宋_GB2312+3+1"/>
          <w:kern w:val="0"/>
          <w:sz w:val="24"/>
          <w:highlight w:val="none"/>
        </w:rPr>
        <w:t>确</w:t>
      </w:r>
      <w:r>
        <w:rPr>
          <w:rFonts w:hint="eastAsia" w:ascii="宋体" w:hAnsi="宋体" w:cs="仿宋_GB2312+3+4"/>
          <w:kern w:val="0"/>
          <w:sz w:val="24"/>
          <w:highlight w:val="none"/>
        </w:rPr>
        <w:t>处</w:t>
      </w:r>
      <w:r>
        <w:rPr>
          <w:rFonts w:hint="eastAsia" w:ascii="宋体" w:hAnsi="宋体" w:cs="仿宋_GB2312+3+1"/>
          <w:kern w:val="0"/>
          <w:sz w:val="24"/>
          <w:highlight w:val="none"/>
        </w:rPr>
        <w:t>理</w:t>
      </w:r>
      <w:r>
        <w:rPr>
          <w:rFonts w:hint="eastAsia" w:ascii="宋体" w:hAnsi="宋体" w:cs="仿宋_GB2312+3+3"/>
          <w:kern w:val="0"/>
          <w:sz w:val="24"/>
          <w:highlight w:val="none"/>
        </w:rPr>
        <w:t>好安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进度、</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效</w:t>
      </w:r>
      <w:r>
        <w:rPr>
          <w:rFonts w:hint="eastAsia" w:ascii="宋体" w:hAnsi="宋体" w:cs="仿宋_GB2312+3+3"/>
          <w:kern w:val="0"/>
          <w:sz w:val="24"/>
          <w:highlight w:val="none"/>
        </w:rPr>
        <w:t>益关</w:t>
      </w:r>
      <w:r>
        <w:rPr>
          <w:rFonts w:hint="eastAsia" w:ascii="宋体" w:hAnsi="宋体" w:cs="仿宋_GB2312+3+1"/>
          <w:kern w:val="0"/>
          <w:sz w:val="24"/>
          <w:highlight w:val="none"/>
        </w:rPr>
        <w:t>系，</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贯</w:t>
      </w:r>
      <w:r>
        <w:rPr>
          <w:rFonts w:hint="eastAsia" w:ascii="宋体" w:hAnsi="宋体" w:cs="仿宋_GB2312+3+9"/>
          <w:kern w:val="0"/>
          <w:sz w:val="24"/>
          <w:highlight w:val="none"/>
        </w:rPr>
        <w:t>穿</w:t>
      </w:r>
      <w:r>
        <w:rPr>
          <w:rFonts w:hint="eastAsia" w:ascii="宋体" w:hAnsi="宋体" w:cs="仿宋_GB2312+3+5"/>
          <w:kern w:val="0"/>
          <w:sz w:val="24"/>
          <w:highlight w:val="none"/>
        </w:rPr>
        <w:t>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全过程，</w:t>
      </w:r>
      <w:r>
        <w:rPr>
          <w:rFonts w:hint="eastAsia" w:ascii="宋体" w:hAnsi="宋体" w:cs="仿宋_GB2312+3+2"/>
          <w:kern w:val="0"/>
          <w:sz w:val="24"/>
          <w:highlight w:val="none"/>
        </w:rPr>
        <w:t>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摆</w:t>
      </w:r>
      <w:r>
        <w:rPr>
          <w:rFonts w:hint="eastAsia" w:ascii="宋体" w:hAnsi="宋体" w:cs="仿宋_GB2312+3+1"/>
          <w:kern w:val="0"/>
          <w:sz w:val="24"/>
          <w:highlight w:val="none"/>
        </w:rPr>
        <w:t>在</w:t>
      </w:r>
      <w:r>
        <w:rPr>
          <w:rFonts w:hint="eastAsia" w:ascii="宋体" w:hAnsi="宋体" w:cs="仿宋_GB2312+3+3"/>
          <w:kern w:val="0"/>
          <w:sz w:val="24"/>
          <w:highlight w:val="none"/>
        </w:rPr>
        <w:t>首</w:t>
      </w:r>
      <w:r>
        <w:rPr>
          <w:rFonts w:hint="eastAsia" w:ascii="宋体" w:hAnsi="宋体" w:cs="仿宋_GB2312+3+2"/>
          <w:kern w:val="0"/>
          <w:sz w:val="24"/>
          <w:highlight w:val="none"/>
        </w:rPr>
        <w:t>位</w:t>
      </w:r>
      <w:r>
        <w:rPr>
          <w:rFonts w:hint="eastAsia" w:ascii="宋体" w:hAnsi="宋体" w:cs="仿宋_GB2312+3+9"/>
          <w:kern w:val="0"/>
          <w:sz w:val="24"/>
          <w:highlight w:val="none"/>
        </w:rPr>
        <w:t>抓</w:t>
      </w:r>
      <w:r>
        <w:rPr>
          <w:rFonts w:hint="eastAsia" w:ascii="宋体" w:hAnsi="宋体" w:cs="仿宋_GB2312+3+7"/>
          <w:kern w:val="0"/>
          <w:sz w:val="24"/>
          <w:highlight w:val="none"/>
        </w:rPr>
        <w:t>紧</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3"/>
          <w:kern w:val="0"/>
          <w:sz w:val="24"/>
          <w:highlight w:val="none"/>
        </w:rPr>
        <w:t>好</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1"/>
          <w:kern w:val="0"/>
          <w:sz w:val="24"/>
          <w:highlight w:val="none"/>
        </w:rPr>
        <w:t>实</w:t>
      </w:r>
      <w:r>
        <w:rPr>
          <w:rFonts w:hint="eastAsia" w:ascii="宋体" w:hAnsi="宋体" w:cs="仿宋_GB2312+3+2"/>
          <w:kern w:val="0"/>
          <w:sz w:val="24"/>
          <w:highlight w:val="none"/>
        </w:rPr>
        <w:t>。</w:t>
      </w:r>
    </w:p>
    <w:p w14:paraId="2697DF5F">
      <w:pPr>
        <w:adjustRightInd w:val="0"/>
        <w:snapToGrid w:val="0"/>
        <w:spacing w:line="460" w:lineRule="exact"/>
        <w:ind w:firstLine="360" w:firstLineChars="150"/>
        <w:jc w:val="left"/>
        <w:rPr>
          <w:rFonts w:hint="eastAsia" w:ascii="宋体" w:hAnsi="宋体" w:cs="仿宋_GB2312+3+1"/>
          <w:kern w:val="0"/>
          <w:sz w:val="24"/>
          <w:highlight w:val="none"/>
        </w:rPr>
      </w:pPr>
      <w:r>
        <w:rPr>
          <w:rFonts w:hint="eastAsia" w:ascii="宋体" w:hAnsi="宋体" w:cs="仿宋_GB2312+3+1"/>
          <w:kern w:val="0"/>
          <w:sz w:val="24"/>
          <w:highlight w:val="none"/>
        </w:rPr>
        <w:t>10</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2"/>
          <w:kern w:val="0"/>
          <w:sz w:val="24"/>
          <w:highlight w:val="none"/>
        </w:rPr>
        <w:t>动</w:t>
      </w:r>
      <w:r>
        <w:rPr>
          <w:rFonts w:hint="eastAsia" w:ascii="宋体" w:hAnsi="宋体" w:cs="仿宋_GB2312+3+9"/>
          <w:kern w:val="0"/>
          <w:sz w:val="24"/>
          <w:highlight w:val="none"/>
        </w:rPr>
        <w:t>群众</w:t>
      </w:r>
      <w:r>
        <w:rPr>
          <w:rFonts w:hint="eastAsia" w:ascii="宋体" w:hAnsi="宋体" w:cs="仿宋_GB2312+3+1"/>
          <w:kern w:val="0"/>
          <w:sz w:val="24"/>
          <w:highlight w:val="none"/>
        </w:rPr>
        <w:t>，实行全员、全面、全方</w:t>
      </w:r>
      <w:r>
        <w:rPr>
          <w:rFonts w:hint="eastAsia" w:ascii="宋体" w:hAnsi="宋体" w:cs="仿宋_GB2312+3+2"/>
          <w:kern w:val="0"/>
          <w:sz w:val="24"/>
          <w:highlight w:val="none"/>
        </w:rPr>
        <w:t>位</w:t>
      </w:r>
      <w:r>
        <w:rPr>
          <w:rFonts w:hint="eastAsia" w:ascii="宋体" w:hAnsi="宋体" w:cs="仿宋_GB2312+3+1"/>
          <w:kern w:val="0"/>
          <w:sz w:val="24"/>
          <w:highlight w:val="none"/>
        </w:rPr>
        <w:t>、全过程的</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管理。经</w:t>
      </w:r>
      <w:r>
        <w:rPr>
          <w:rFonts w:hint="eastAsia" w:ascii="宋体" w:hAnsi="宋体" w:cs="仿宋_GB2312+3+3"/>
          <w:kern w:val="0"/>
          <w:sz w:val="24"/>
          <w:highlight w:val="none"/>
        </w:rPr>
        <w:t>常</w:t>
      </w:r>
      <w:r>
        <w:rPr>
          <w:rFonts w:hint="eastAsia" w:ascii="宋体" w:hAnsi="宋体" w:cs="仿宋_GB2312+3+5"/>
          <w:kern w:val="0"/>
          <w:sz w:val="24"/>
          <w:highlight w:val="none"/>
        </w:rPr>
        <w:t>听</w:t>
      </w:r>
      <w:r>
        <w:rPr>
          <w:rFonts w:hint="eastAsia" w:ascii="宋体" w:hAnsi="宋体" w:cs="仿宋_GB2312+3+6"/>
          <w:kern w:val="0"/>
          <w:sz w:val="24"/>
          <w:highlight w:val="none"/>
        </w:rPr>
        <w:t>取</w:t>
      </w:r>
      <w:r>
        <w:rPr>
          <w:rFonts w:hint="eastAsia" w:ascii="宋体" w:hAnsi="宋体" w:cs="仿宋_GB2312+3+4"/>
          <w:kern w:val="0"/>
          <w:sz w:val="24"/>
          <w:highlight w:val="none"/>
        </w:rPr>
        <w:t>广</w:t>
      </w:r>
      <w:r>
        <w:rPr>
          <w:rFonts w:hint="eastAsia" w:ascii="宋体" w:hAnsi="宋体" w:cs="仿宋_GB2312+3+2"/>
          <w:kern w:val="0"/>
          <w:sz w:val="24"/>
          <w:highlight w:val="none"/>
        </w:rPr>
        <w:t>大</w:t>
      </w:r>
      <w:r>
        <w:rPr>
          <w:rFonts w:hint="eastAsia" w:ascii="宋体" w:hAnsi="宋体" w:cs="仿宋_GB2312+3+1"/>
          <w:kern w:val="0"/>
          <w:sz w:val="24"/>
          <w:highlight w:val="none"/>
        </w:rPr>
        <w:t>员工在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方面的</w:t>
      </w:r>
      <w:r>
        <w:rPr>
          <w:rFonts w:hint="eastAsia" w:ascii="宋体" w:hAnsi="宋体" w:cs="仿宋_GB2312+3+3"/>
          <w:kern w:val="0"/>
          <w:sz w:val="24"/>
          <w:highlight w:val="none"/>
        </w:rPr>
        <w:t>意</w:t>
      </w:r>
      <w:r>
        <w:rPr>
          <w:rFonts w:hint="eastAsia" w:ascii="宋体" w:hAnsi="宋体" w:cs="仿宋_GB2312+3+6"/>
          <w:kern w:val="0"/>
          <w:sz w:val="24"/>
          <w:highlight w:val="none"/>
        </w:rPr>
        <w:t>见</w:t>
      </w:r>
      <w:r>
        <w:rPr>
          <w:rFonts w:hint="eastAsia" w:ascii="宋体" w:hAnsi="宋体" w:cs="仿宋_GB2312+3+1"/>
          <w:kern w:val="0"/>
          <w:sz w:val="24"/>
          <w:highlight w:val="none"/>
        </w:rPr>
        <w:t>和建</w:t>
      </w:r>
      <w:r>
        <w:rPr>
          <w:rFonts w:hint="eastAsia" w:ascii="宋体" w:hAnsi="宋体" w:cs="仿宋_GB2312+3+5"/>
          <w:kern w:val="0"/>
          <w:sz w:val="24"/>
          <w:highlight w:val="none"/>
        </w:rPr>
        <w:t>议</w:t>
      </w:r>
      <w:r>
        <w:rPr>
          <w:rFonts w:hint="eastAsia" w:ascii="宋体" w:hAnsi="宋体" w:cs="仿宋_GB2312+3+1"/>
          <w:kern w:val="0"/>
          <w:sz w:val="24"/>
          <w:highlight w:val="none"/>
        </w:rPr>
        <w:t>，</w:t>
      </w:r>
      <w:r>
        <w:rPr>
          <w:rFonts w:hint="eastAsia" w:ascii="宋体" w:hAnsi="宋体" w:cs="仿宋_GB2312+3+3"/>
          <w:kern w:val="0"/>
          <w:sz w:val="24"/>
          <w:highlight w:val="none"/>
        </w:rPr>
        <w:t>总</w:t>
      </w:r>
      <w:r>
        <w:rPr>
          <w:rFonts w:hint="eastAsia" w:ascii="宋体" w:hAnsi="宋体" w:cs="仿宋_GB2312+3+2"/>
          <w:kern w:val="0"/>
          <w:sz w:val="24"/>
          <w:highlight w:val="none"/>
        </w:rPr>
        <w:t>结</w:t>
      </w:r>
      <w:r>
        <w:rPr>
          <w:rFonts w:hint="eastAsia" w:ascii="宋体" w:hAnsi="宋体" w:cs="仿宋_GB2312+3+4"/>
          <w:kern w:val="0"/>
          <w:sz w:val="24"/>
          <w:highlight w:val="none"/>
        </w:rPr>
        <w:t>推广</w:t>
      </w:r>
      <w:r>
        <w:rPr>
          <w:rFonts w:hint="eastAsia" w:ascii="宋体" w:hAnsi="宋体" w:cs="仿宋_GB2312+3+2"/>
          <w:kern w:val="0"/>
          <w:sz w:val="24"/>
          <w:highlight w:val="none"/>
        </w:rPr>
        <w:t>科学</w:t>
      </w:r>
      <w:r>
        <w:rPr>
          <w:rFonts w:hint="eastAsia" w:ascii="宋体" w:hAnsi="宋体" w:cs="仿宋_GB2312+3+1"/>
          <w:kern w:val="0"/>
          <w:sz w:val="24"/>
          <w:highlight w:val="none"/>
        </w:rPr>
        <w:t>管理经验，</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5"/>
          <w:kern w:val="0"/>
          <w:sz w:val="24"/>
          <w:highlight w:val="none"/>
        </w:rPr>
        <w:t>表彰</w:t>
      </w:r>
      <w:r>
        <w:rPr>
          <w:rFonts w:hint="eastAsia" w:ascii="宋体" w:hAnsi="宋体" w:cs="仿宋_GB2312+3+2"/>
          <w:kern w:val="0"/>
          <w:sz w:val="24"/>
          <w:highlight w:val="none"/>
        </w:rPr>
        <w:t>先</w:t>
      </w:r>
      <w:r>
        <w:rPr>
          <w:rFonts w:hint="eastAsia" w:ascii="宋体" w:hAnsi="宋体" w:cs="仿宋_GB2312+3+1"/>
          <w:kern w:val="0"/>
          <w:sz w:val="24"/>
          <w:highlight w:val="none"/>
        </w:rPr>
        <w:t>进，</w:t>
      </w:r>
      <w:r>
        <w:rPr>
          <w:rFonts w:hint="eastAsia" w:ascii="宋体" w:hAnsi="宋体" w:cs="仿宋_GB2312+3+3"/>
          <w:kern w:val="0"/>
          <w:sz w:val="24"/>
          <w:highlight w:val="none"/>
        </w:rPr>
        <w:t>严</w:t>
      </w:r>
      <w:r>
        <w:rPr>
          <w:rFonts w:hint="eastAsia" w:ascii="宋体" w:hAnsi="宋体" w:cs="仿宋_GB2312+3+9"/>
          <w:kern w:val="0"/>
          <w:sz w:val="24"/>
          <w:highlight w:val="none"/>
        </w:rPr>
        <w:t>肃</w:t>
      </w:r>
      <w:r>
        <w:rPr>
          <w:rFonts w:hint="eastAsia" w:ascii="宋体" w:hAnsi="宋体" w:cs="仿宋_GB2312+3+4"/>
          <w:kern w:val="0"/>
          <w:sz w:val="24"/>
          <w:highlight w:val="none"/>
        </w:rPr>
        <w:t>处</w:t>
      </w:r>
      <w:r>
        <w:rPr>
          <w:rFonts w:hint="eastAsia" w:ascii="宋体" w:hAnsi="宋体" w:cs="仿宋_GB2312+3+6"/>
          <w:kern w:val="0"/>
          <w:sz w:val="24"/>
          <w:highlight w:val="none"/>
        </w:rPr>
        <w:t>罚</w:t>
      </w:r>
      <w:r>
        <w:rPr>
          <w:rFonts w:hint="eastAsia" w:ascii="宋体" w:hAnsi="宋体" w:cs="仿宋_GB2312+3+2"/>
          <w:kern w:val="0"/>
          <w:sz w:val="24"/>
          <w:highlight w:val="none"/>
        </w:rPr>
        <w:t>事故</w:t>
      </w:r>
      <w:r>
        <w:rPr>
          <w:rFonts w:hint="eastAsia" w:ascii="宋体" w:hAnsi="宋体" w:cs="仿宋_GB2312+3+1"/>
          <w:kern w:val="0"/>
          <w:sz w:val="24"/>
          <w:highlight w:val="none"/>
        </w:rPr>
        <w:t>责任</w:t>
      </w:r>
      <w:r>
        <w:rPr>
          <w:rFonts w:hint="eastAsia" w:ascii="宋体" w:hAnsi="宋体" w:cs="仿宋_GB2312+3+4"/>
          <w:kern w:val="0"/>
          <w:sz w:val="24"/>
          <w:highlight w:val="none"/>
        </w:rPr>
        <w:t>者</w:t>
      </w:r>
      <w:r>
        <w:rPr>
          <w:rFonts w:hint="eastAsia" w:ascii="宋体" w:hAnsi="宋体" w:cs="仿宋_GB2312+3+1"/>
          <w:kern w:val="0"/>
          <w:sz w:val="24"/>
          <w:highlight w:val="none"/>
        </w:rPr>
        <w:t>。</w:t>
      </w:r>
    </w:p>
    <w:p w14:paraId="0FB397D9">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11</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3"/>
          <w:kern w:val="0"/>
          <w:sz w:val="24"/>
          <w:highlight w:val="none"/>
        </w:rPr>
        <w:t>生</w:t>
      </w:r>
      <w:r>
        <w:rPr>
          <w:rFonts w:hint="eastAsia" w:ascii="宋体" w:hAnsi="宋体" w:cs="仿宋_GB2312+3+4"/>
          <w:kern w:val="0"/>
          <w:sz w:val="24"/>
          <w:highlight w:val="none"/>
        </w:rPr>
        <w:t>因</w:t>
      </w:r>
      <w:r>
        <w:rPr>
          <w:rFonts w:hint="eastAsia" w:ascii="宋体" w:hAnsi="宋体" w:cs="仿宋_GB2312+3+1"/>
          <w:kern w:val="0"/>
          <w:sz w:val="24"/>
          <w:highlight w:val="none"/>
        </w:rPr>
        <w:t>工</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3"/>
          <w:kern w:val="0"/>
          <w:sz w:val="24"/>
          <w:highlight w:val="none"/>
        </w:rPr>
        <w:t>时</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3"/>
          <w:kern w:val="0"/>
          <w:sz w:val="24"/>
          <w:highlight w:val="none"/>
        </w:rPr>
        <w:t>做好</w:t>
      </w:r>
      <w:r>
        <w:rPr>
          <w:rFonts w:hint="eastAsia" w:ascii="宋体" w:hAnsi="宋体" w:cs="仿宋_GB2312+3+2"/>
          <w:kern w:val="0"/>
          <w:sz w:val="24"/>
          <w:highlight w:val="none"/>
        </w:rPr>
        <w:t>事故现</w:t>
      </w:r>
      <w:r>
        <w:rPr>
          <w:rFonts w:hint="eastAsia" w:ascii="宋体" w:hAnsi="宋体" w:cs="仿宋_GB2312+3+1"/>
          <w:kern w:val="0"/>
          <w:sz w:val="24"/>
          <w:highlight w:val="none"/>
        </w:rPr>
        <w:t>场保</w:t>
      </w:r>
      <w:r>
        <w:rPr>
          <w:rFonts w:hint="eastAsia" w:ascii="宋体" w:hAnsi="宋体" w:cs="仿宋_GB2312+3+6"/>
          <w:kern w:val="0"/>
          <w:sz w:val="24"/>
          <w:highlight w:val="none"/>
        </w:rPr>
        <w:t>护</w:t>
      </w:r>
      <w:r>
        <w:rPr>
          <w:rFonts w:hint="eastAsia" w:ascii="宋体" w:hAnsi="宋体" w:cs="仿宋_GB2312+3+4"/>
          <w:kern w:val="0"/>
          <w:sz w:val="24"/>
          <w:highlight w:val="none"/>
        </w:rPr>
        <w:t>与</w:t>
      </w:r>
      <w:r>
        <w:rPr>
          <w:rFonts w:hint="eastAsia" w:ascii="宋体" w:hAnsi="宋体" w:cs="仿宋_GB2312+3+8"/>
          <w:kern w:val="0"/>
          <w:sz w:val="24"/>
          <w:highlight w:val="none"/>
        </w:rPr>
        <w:t>伤</w:t>
      </w:r>
      <w:r>
        <w:rPr>
          <w:rFonts w:hint="eastAsia" w:ascii="宋体" w:hAnsi="宋体" w:cs="仿宋_GB2312+3+1"/>
          <w:kern w:val="0"/>
          <w:sz w:val="24"/>
          <w:highlight w:val="none"/>
        </w:rPr>
        <w:t>员</w:t>
      </w:r>
      <w:r>
        <w:rPr>
          <w:rFonts w:hint="eastAsia" w:ascii="宋体" w:hAnsi="宋体" w:cs="仿宋_GB2312+3+8"/>
          <w:kern w:val="0"/>
          <w:sz w:val="24"/>
          <w:highlight w:val="none"/>
        </w:rPr>
        <w:t>抢救</w:t>
      </w:r>
      <w:r>
        <w:rPr>
          <w:rFonts w:hint="eastAsia" w:ascii="宋体" w:hAnsi="宋体" w:cs="仿宋_GB2312+3+1"/>
          <w:kern w:val="0"/>
          <w:sz w:val="24"/>
          <w:highlight w:val="none"/>
        </w:rPr>
        <w:t>工作，</w:t>
      </w:r>
      <w:r>
        <w:rPr>
          <w:rFonts w:hint="eastAsia" w:ascii="宋体" w:hAnsi="宋体" w:cs="仿宋_GB2312+3+3"/>
          <w:kern w:val="0"/>
          <w:sz w:val="24"/>
          <w:highlight w:val="none"/>
        </w:rPr>
        <w:t>按</w:t>
      </w:r>
      <w:r>
        <w:rPr>
          <w:rFonts w:hint="eastAsia" w:ascii="宋体" w:hAnsi="宋体" w:cs="仿宋_GB2312+3+2"/>
          <w:kern w:val="0"/>
          <w:sz w:val="24"/>
          <w:highlight w:val="none"/>
        </w:rPr>
        <w:t>规定及</w:t>
      </w:r>
      <w:r>
        <w:rPr>
          <w:rFonts w:hint="eastAsia" w:ascii="宋体" w:hAnsi="宋体" w:cs="仿宋_GB2312+3+3"/>
          <w:kern w:val="0"/>
          <w:sz w:val="24"/>
          <w:highlight w:val="none"/>
        </w:rPr>
        <w:t>时</w:t>
      </w:r>
      <w:r>
        <w:rPr>
          <w:rFonts w:hint="eastAsia" w:ascii="宋体" w:hAnsi="宋体" w:cs="仿宋_GB2312+3+2"/>
          <w:kern w:val="0"/>
          <w:sz w:val="24"/>
          <w:highlight w:val="none"/>
        </w:rPr>
        <w:t>上报</w:t>
      </w:r>
      <w:r>
        <w:rPr>
          <w:rFonts w:hint="eastAsia" w:ascii="宋体" w:hAnsi="宋体" w:cs="仿宋_GB2312+3+1"/>
          <w:kern w:val="0"/>
          <w:sz w:val="24"/>
          <w:highlight w:val="none"/>
        </w:rPr>
        <w:t>，</w:t>
      </w:r>
      <w:r>
        <w:rPr>
          <w:rFonts w:hint="eastAsia" w:ascii="宋体" w:hAnsi="宋体" w:cs="仿宋_GB2312+3+3"/>
          <w:kern w:val="0"/>
          <w:sz w:val="24"/>
          <w:highlight w:val="none"/>
        </w:rPr>
        <w:t>不得</w:t>
      </w:r>
      <w:r>
        <w:rPr>
          <w:rFonts w:hint="eastAsia" w:ascii="宋体" w:hAnsi="宋体" w:cs="仿宋_GB2312+3+6"/>
          <w:kern w:val="0"/>
          <w:sz w:val="24"/>
          <w:highlight w:val="none"/>
        </w:rPr>
        <w:t>隐</w:t>
      </w:r>
      <w:r>
        <w:rPr>
          <w:rFonts w:hint="eastAsia" w:ascii="宋体" w:hAnsi="宋体" w:cs="仿宋_GB2312+3+8"/>
          <w:kern w:val="0"/>
          <w:sz w:val="24"/>
          <w:highlight w:val="none"/>
        </w:rPr>
        <w:t>瞒</w:t>
      </w:r>
      <w:r>
        <w:rPr>
          <w:rFonts w:hint="eastAsia" w:ascii="宋体" w:hAnsi="宋体" w:cs="仿宋_GB2312+3+1"/>
          <w:kern w:val="0"/>
          <w:sz w:val="24"/>
          <w:highlight w:val="none"/>
        </w:rPr>
        <w:t>、</w:t>
      </w:r>
      <w:r>
        <w:rPr>
          <w:rFonts w:hint="eastAsia" w:ascii="宋体" w:hAnsi="宋体" w:cs="仿宋_GB2312+3+9"/>
          <w:kern w:val="0"/>
          <w:sz w:val="24"/>
          <w:highlight w:val="none"/>
        </w:rPr>
        <w:t>虚</w:t>
      </w:r>
      <w:r>
        <w:rPr>
          <w:rFonts w:hint="eastAsia" w:ascii="宋体" w:hAnsi="宋体" w:cs="仿宋_GB2312+3+2"/>
          <w:kern w:val="0"/>
          <w:sz w:val="24"/>
          <w:highlight w:val="none"/>
        </w:rPr>
        <w:t>报</w:t>
      </w:r>
      <w:r>
        <w:rPr>
          <w:rFonts w:hint="eastAsia" w:ascii="宋体" w:hAnsi="宋体" w:cs="仿宋_GB2312+3+1"/>
          <w:kern w:val="0"/>
          <w:sz w:val="24"/>
          <w:highlight w:val="none"/>
        </w:rPr>
        <w:t>和</w:t>
      </w:r>
      <w:r>
        <w:rPr>
          <w:rFonts w:hint="eastAsia" w:ascii="宋体" w:hAnsi="宋体" w:cs="仿宋_GB2312+3+2"/>
          <w:kern w:val="0"/>
          <w:sz w:val="24"/>
          <w:highlight w:val="none"/>
        </w:rPr>
        <w:t>故</w:t>
      </w:r>
      <w:r>
        <w:rPr>
          <w:rFonts w:hint="eastAsia" w:ascii="宋体" w:hAnsi="宋体" w:cs="仿宋_GB2312+3+3"/>
          <w:kern w:val="0"/>
          <w:sz w:val="24"/>
          <w:highlight w:val="none"/>
        </w:rPr>
        <w:t>意</w:t>
      </w:r>
      <w:r>
        <w:rPr>
          <w:rFonts w:hint="eastAsia" w:ascii="宋体" w:hAnsi="宋体" w:cs="仿宋_GB2312+3+10"/>
          <w:kern w:val="0"/>
          <w:sz w:val="24"/>
          <w:highlight w:val="none"/>
        </w:rPr>
        <w:t>拖延</w:t>
      </w:r>
      <w:r>
        <w:rPr>
          <w:rFonts w:hint="eastAsia" w:ascii="宋体" w:hAnsi="宋体" w:cs="仿宋_GB2312+3+3"/>
          <w:kern w:val="0"/>
          <w:sz w:val="24"/>
          <w:highlight w:val="none"/>
        </w:rPr>
        <w:t>不</w:t>
      </w:r>
      <w:r>
        <w:rPr>
          <w:rFonts w:hint="eastAsia" w:ascii="宋体" w:hAnsi="宋体" w:cs="仿宋_GB2312+3+2"/>
          <w:kern w:val="0"/>
          <w:sz w:val="24"/>
          <w:highlight w:val="none"/>
        </w:rPr>
        <w:t>报</w:t>
      </w:r>
      <w:r>
        <w:rPr>
          <w:rFonts w:hint="eastAsia" w:ascii="宋体" w:hAnsi="宋体" w:cs="仿宋_GB2312+3+1"/>
          <w:kern w:val="0"/>
          <w:sz w:val="24"/>
          <w:highlight w:val="none"/>
        </w:rPr>
        <w:t>。</w:t>
      </w:r>
      <w:r>
        <w:rPr>
          <w:rFonts w:hint="eastAsia" w:ascii="宋体" w:hAnsi="宋体" w:cs="仿宋_GB2312+3+2"/>
          <w:kern w:val="0"/>
          <w:sz w:val="24"/>
          <w:highlight w:val="none"/>
        </w:rPr>
        <w:t>积极</w:t>
      </w:r>
      <w:r>
        <w:rPr>
          <w:rFonts w:hint="eastAsia" w:ascii="宋体" w:hAnsi="宋体" w:cs="仿宋_GB2312+3+3"/>
          <w:kern w:val="0"/>
          <w:sz w:val="24"/>
          <w:highlight w:val="none"/>
        </w:rPr>
        <w:t>配</w:t>
      </w:r>
      <w:r>
        <w:rPr>
          <w:rFonts w:hint="eastAsia" w:ascii="宋体" w:hAnsi="宋体" w:cs="仿宋_GB2312+3+2"/>
          <w:kern w:val="0"/>
          <w:sz w:val="24"/>
          <w:highlight w:val="none"/>
        </w:rPr>
        <w:t>合事故</w:t>
      </w:r>
      <w:r>
        <w:rPr>
          <w:rFonts w:hint="eastAsia" w:ascii="宋体" w:hAnsi="宋体" w:cs="仿宋_GB2312+3+3"/>
          <w:kern w:val="0"/>
          <w:sz w:val="24"/>
          <w:highlight w:val="none"/>
        </w:rPr>
        <w:t>调</w:t>
      </w:r>
      <w:r>
        <w:rPr>
          <w:rFonts w:hint="eastAsia" w:ascii="宋体" w:hAnsi="宋体" w:cs="仿宋_GB2312+3+4"/>
          <w:kern w:val="0"/>
          <w:sz w:val="24"/>
          <w:highlight w:val="none"/>
        </w:rPr>
        <w:t>查</w:t>
      </w:r>
      <w:r>
        <w:rPr>
          <w:rFonts w:hint="eastAsia" w:ascii="宋体" w:hAnsi="宋体" w:cs="仿宋_GB2312+3+1"/>
          <w:kern w:val="0"/>
          <w:sz w:val="24"/>
          <w:highlight w:val="none"/>
        </w:rPr>
        <w:t>，认真制</w:t>
      </w:r>
      <w:r>
        <w:rPr>
          <w:rFonts w:hint="eastAsia" w:ascii="宋体" w:hAnsi="宋体" w:cs="仿宋_GB2312+3+2"/>
          <w:kern w:val="0"/>
          <w:sz w:val="24"/>
          <w:highlight w:val="none"/>
        </w:rPr>
        <w:t>定并</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防</w:t>
      </w:r>
      <w:r>
        <w:rPr>
          <w:rFonts w:hint="eastAsia" w:ascii="宋体" w:hAnsi="宋体" w:cs="仿宋_GB2312+3+1"/>
          <w:kern w:val="0"/>
          <w:sz w:val="24"/>
          <w:highlight w:val="none"/>
        </w:rPr>
        <w:t>范</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10"/>
          <w:kern w:val="0"/>
          <w:sz w:val="24"/>
          <w:highlight w:val="none"/>
        </w:rPr>
        <w:t>吸</w:t>
      </w:r>
      <w:r>
        <w:rPr>
          <w:rFonts w:hint="eastAsia" w:ascii="宋体" w:hAnsi="宋体" w:cs="仿宋_GB2312+3+6"/>
          <w:kern w:val="0"/>
          <w:sz w:val="24"/>
          <w:highlight w:val="none"/>
        </w:rPr>
        <w:t>取</w:t>
      </w:r>
      <w:r>
        <w:rPr>
          <w:rFonts w:hint="eastAsia" w:ascii="宋体" w:hAnsi="宋体" w:cs="仿宋_GB2312+3+2"/>
          <w:kern w:val="0"/>
          <w:sz w:val="24"/>
          <w:highlight w:val="none"/>
        </w:rPr>
        <w:t>事故</w:t>
      </w:r>
      <w:r>
        <w:rPr>
          <w:rFonts w:hint="eastAsia" w:ascii="宋体" w:hAnsi="宋体" w:cs="仿宋_GB2312+3+5"/>
          <w:kern w:val="0"/>
          <w:sz w:val="24"/>
          <w:highlight w:val="none"/>
        </w:rPr>
        <w:t>教</w:t>
      </w:r>
      <w:r>
        <w:rPr>
          <w:rFonts w:hint="eastAsia" w:ascii="宋体" w:hAnsi="宋体" w:cs="仿宋_GB2312+3+6"/>
          <w:kern w:val="0"/>
          <w:sz w:val="24"/>
          <w:highlight w:val="none"/>
        </w:rPr>
        <w:t>训</w:t>
      </w:r>
      <w:r>
        <w:rPr>
          <w:rFonts w:hint="eastAsia" w:ascii="宋体" w:hAnsi="宋体" w:cs="仿宋_GB2312+3+1"/>
          <w:kern w:val="0"/>
          <w:sz w:val="24"/>
          <w:highlight w:val="none"/>
        </w:rPr>
        <w:t>，</w:t>
      </w:r>
      <w:r>
        <w:rPr>
          <w:rFonts w:hint="eastAsia" w:ascii="宋体" w:hAnsi="宋体" w:cs="仿宋_GB2312+3+4"/>
          <w:kern w:val="0"/>
          <w:sz w:val="24"/>
          <w:highlight w:val="none"/>
        </w:rPr>
        <w:t>防止</w:t>
      </w:r>
      <w:r>
        <w:rPr>
          <w:rFonts w:hint="eastAsia" w:ascii="宋体" w:hAnsi="宋体" w:cs="仿宋_GB2312+3+1"/>
          <w:kern w:val="0"/>
          <w:sz w:val="24"/>
          <w:highlight w:val="none"/>
        </w:rPr>
        <w:t>发</w:t>
      </w:r>
      <w:r>
        <w:rPr>
          <w:rFonts w:hint="eastAsia" w:ascii="宋体" w:hAnsi="宋体" w:cs="仿宋_GB2312+3+3"/>
          <w:kern w:val="0"/>
          <w:sz w:val="24"/>
          <w:highlight w:val="none"/>
        </w:rPr>
        <w:t>生重</w:t>
      </w:r>
      <w:r>
        <w:rPr>
          <w:rFonts w:hint="eastAsia" w:ascii="宋体" w:hAnsi="宋体" w:cs="仿宋_GB2312+3+5"/>
          <w:kern w:val="0"/>
          <w:sz w:val="24"/>
          <w:highlight w:val="none"/>
        </w:rPr>
        <w:t>复</w:t>
      </w:r>
      <w:r>
        <w:rPr>
          <w:rFonts w:hint="eastAsia" w:ascii="宋体" w:hAnsi="宋体" w:cs="仿宋_GB2312+3+2"/>
          <w:kern w:val="0"/>
          <w:sz w:val="24"/>
          <w:highlight w:val="none"/>
        </w:rPr>
        <w:t>事故。</w:t>
      </w:r>
    </w:p>
    <w:p w14:paraId="0331D574">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12</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对</w:t>
      </w:r>
      <w:r>
        <w:rPr>
          <w:rFonts w:hint="eastAsia" w:ascii="宋体" w:hAnsi="宋体" w:cs="仿宋_GB2312+3+4"/>
          <w:kern w:val="0"/>
          <w:sz w:val="24"/>
          <w:highlight w:val="none"/>
        </w:rPr>
        <w:t>因违</w:t>
      </w:r>
      <w:r>
        <w:rPr>
          <w:rFonts w:hint="eastAsia" w:ascii="宋体" w:hAnsi="宋体" w:cs="仿宋_GB2312+3+5"/>
          <w:kern w:val="0"/>
          <w:sz w:val="24"/>
          <w:highlight w:val="none"/>
        </w:rPr>
        <w:t>章</w:t>
      </w:r>
      <w:r>
        <w:rPr>
          <w:rFonts w:hint="eastAsia" w:ascii="宋体" w:hAnsi="宋体" w:cs="仿宋_GB2312+3+4"/>
          <w:kern w:val="0"/>
          <w:sz w:val="24"/>
          <w:highlight w:val="none"/>
        </w:rPr>
        <w:t>指挥或</w:t>
      </w:r>
      <w:r>
        <w:rPr>
          <w:rFonts w:hint="eastAsia" w:ascii="宋体" w:hAnsi="宋体" w:cs="仿宋_GB2312+3+3"/>
          <w:kern w:val="0"/>
          <w:sz w:val="24"/>
          <w:highlight w:val="none"/>
        </w:rPr>
        <w:t>决</w:t>
      </w:r>
      <w:r>
        <w:rPr>
          <w:rFonts w:hint="eastAsia" w:ascii="宋体" w:hAnsi="宋体" w:cs="仿宋_GB2312+3+2"/>
          <w:kern w:val="0"/>
          <w:sz w:val="24"/>
          <w:highlight w:val="none"/>
        </w:rPr>
        <w:t>策</w:t>
      </w:r>
      <w:r>
        <w:rPr>
          <w:rFonts w:hint="eastAsia" w:ascii="宋体" w:hAnsi="宋体" w:cs="仿宋_GB2312+3+6"/>
          <w:kern w:val="0"/>
          <w:sz w:val="24"/>
          <w:highlight w:val="none"/>
        </w:rPr>
        <w:t>失</w:t>
      </w:r>
      <w:r>
        <w:rPr>
          <w:rFonts w:hint="eastAsia" w:ascii="宋体" w:hAnsi="宋体" w:cs="仿宋_GB2312+3+5"/>
          <w:kern w:val="0"/>
          <w:sz w:val="24"/>
          <w:highlight w:val="none"/>
        </w:rPr>
        <w:t>误而</w:t>
      </w:r>
      <w:r>
        <w:rPr>
          <w:rFonts w:hint="eastAsia" w:ascii="宋体" w:hAnsi="宋体" w:cs="仿宋_GB2312+3+4"/>
          <w:kern w:val="0"/>
          <w:sz w:val="24"/>
          <w:highlight w:val="none"/>
        </w:rPr>
        <w:t>造</w:t>
      </w:r>
      <w:r>
        <w:rPr>
          <w:rFonts w:hint="eastAsia" w:ascii="宋体" w:hAnsi="宋体" w:cs="仿宋_GB2312+3+2"/>
          <w:kern w:val="0"/>
          <w:sz w:val="24"/>
          <w:highlight w:val="none"/>
        </w:rPr>
        <w:t>成</w:t>
      </w:r>
      <w:r>
        <w:rPr>
          <w:rFonts w:hint="eastAsia" w:ascii="宋体" w:hAnsi="宋体" w:cs="仿宋_GB2312+3+1"/>
          <w:kern w:val="0"/>
          <w:sz w:val="24"/>
          <w:highlight w:val="none"/>
        </w:rPr>
        <w:t>员工</w:t>
      </w:r>
      <w:r>
        <w:rPr>
          <w:rFonts w:hint="eastAsia" w:ascii="宋体" w:hAnsi="宋体" w:cs="仿宋_GB2312+3+8"/>
          <w:kern w:val="0"/>
          <w:sz w:val="24"/>
          <w:highlight w:val="none"/>
        </w:rPr>
        <w:t>伤亡的</w:t>
      </w:r>
      <w:r>
        <w:rPr>
          <w:rFonts w:hint="eastAsia" w:ascii="宋体" w:hAnsi="宋体" w:cs="仿宋_GB2312+3+2"/>
          <w:kern w:val="0"/>
          <w:sz w:val="24"/>
          <w:highlight w:val="none"/>
        </w:rPr>
        <w:t>事故承</w:t>
      </w:r>
      <w:r>
        <w:rPr>
          <w:rFonts w:hint="eastAsia" w:ascii="宋体" w:hAnsi="宋体" w:cs="仿宋_GB2312+3+3"/>
          <w:kern w:val="0"/>
          <w:sz w:val="24"/>
          <w:highlight w:val="none"/>
        </w:rPr>
        <w:t>担</w:t>
      </w:r>
      <w:r>
        <w:rPr>
          <w:rFonts w:hint="eastAsia" w:ascii="宋体" w:hAnsi="宋体" w:cs="仿宋_GB2312+3+2"/>
          <w:kern w:val="0"/>
          <w:sz w:val="24"/>
          <w:highlight w:val="none"/>
        </w:rPr>
        <w:t>领导</w:t>
      </w:r>
      <w:r>
        <w:rPr>
          <w:rFonts w:hint="eastAsia" w:ascii="宋体" w:hAnsi="宋体" w:cs="仿宋_GB2312+3+1"/>
          <w:kern w:val="0"/>
          <w:sz w:val="24"/>
          <w:highlight w:val="none"/>
        </w:rPr>
        <w:t>责任。</w:t>
      </w:r>
      <w:r>
        <w:rPr>
          <w:rFonts w:hint="eastAsia" w:ascii="宋体" w:hAnsi="宋体" w:cs="仿宋_GB2312+3+2"/>
          <w:kern w:val="0"/>
          <w:sz w:val="24"/>
          <w:highlight w:val="none"/>
        </w:rPr>
        <w:t>并对</w:t>
      </w:r>
      <w:r>
        <w:rPr>
          <w:rFonts w:hint="eastAsia" w:ascii="宋体" w:hAnsi="宋体" w:cs="仿宋_GB2312+3+4"/>
          <w:kern w:val="0"/>
          <w:sz w:val="24"/>
          <w:highlight w:val="none"/>
        </w:rPr>
        <w:t>因</w:t>
      </w:r>
      <w:r>
        <w:rPr>
          <w:rFonts w:hint="eastAsia" w:ascii="宋体" w:hAnsi="宋体" w:cs="仿宋_GB2312+3+1"/>
          <w:kern w:val="0"/>
          <w:sz w:val="24"/>
          <w:highlight w:val="none"/>
        </w:rPr>
        <w:t>强</w:t>
      </w:r>
      <w:r>
        <w:rPr>
          <w:rFonts w:hint="eastAsia" w:ascii="宋体" w:hAnsi="宋体" w:cs="仿宋_GB2312+3+4"/>
          <w:kern w:val="0"/>
          <w:sz w:val="24"/>
          <w:highlight w:val="none"/>
        </w:rPr>
        <w:t>令</w:t>
      </w:r>
      <w:r>
        <w:rPr>
          <w:rFonts w:hint="eastAsia" w:ascii="宋体" w:hAnsi="宋体" w:cs="仿宋_GB2312+3+1"/>
          <w:kern w:val="0"/>
          <w:sz w:val="24"/>
          <w:highlight w:val="none"/>
        </w:rPr>
        <w:t>员工</w:t>
      </w:r>
      <w:r>
        <w:rPr>
          <w:rFonts w:hint="eastAsia" w:ascii="宋体" w:hAnsi="宋体" w:cs="仿宋_GB2312+3+4"/>
          <w:kern w:val="0"/>
          <w:sz w:val="24"/>
          <w:highlight w:val="none"/>
        </w:rPr>
        <w:t>违</w:t>
      </w:r>
      <w:r>
        <w:rPr>
          <w:rFonts w:hint="eastAsia" w:ascii="宋体" w:hAnsi="宋体" w:cs="仿宋_GB2312+3+5"/>
          <w:kern w:val="0"/>
          <w:sz w:val="24"/>
          <w:highlight w:val="none"/>
        </w:rPr>
        <w:t>章</w:t>
      </w:r>
      <w:r>
        <w:rPr>
          <w:rFonts w:hint="eastAsia" w:ascii="宋体" w:hAnsi="宋体" w:cs="仿宋_GB2312+3+10"/>
          <w:kern w:val="0"/>
          <w:sz w:val="24"/>
          <w:highlight w:val="none"/>
        </w:rPr>
        <w:t>冒</w:t>
      </w:r>
      <w:r>
        <w:rPr>
          <w:rFonts w:hint="eastAsia" w:ascii="宋体" w:hAnsi="宋体" w:cs="仿宋_GB2312+3+8"/>
          <w:kern w:val="0"/>
          <w:sz w:val="24"/>
          <w:highlight w:val="none"/>
        </w:rPr>
        <w:t>险</w:t>
      </w:r>
      <w:r>
        <w:rPr>
          <w:rFonts w:hint="eastAsia" w:ascii="宋体" w:hAnsi="宋体" w:cs="仿宋_GB2312+3+1"/>
          <w:kern w:val="0"/>
          <w:sz w:val="24"/>
          <w:highlight w:val="none"/>
        </w:rPr>
        <w:t>作业，发</w:t>
      </w:r>
      <w:r>
        <w:rPr>
          <w:rFonts w:hint="eastAsia" w:ascii="宋体" w:hAnsi="宋体" w:cs="仿宋_GB2312+3+3"/>
          <w:kern w:val="0"/>
          <w:sz w:val="24"/>
          <w:highlight w:val="none"/>
        </w:rPr>
        <w:t>生重</w:t>
      </w:r>
      <w:r>
        <w:rPr>
          <w:rFonts w:hint="eastAsia" w:ascii="宋体" w:hAnsi="宋体" w:cs="仿宋_GB2312+3+2"/>
          <w:kern w:val="0"/>
          <w:sz w:val="24"/>
          <w:highlight w:val="none"/>
        </w:rPr>
        <w:t>大</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1"/>
          <w:kern w:val="0"/>
          <w:sz w:val="24"/>
          <w:highlight w:val="none"/>
        </w:rPr>
        <w:t>，</w:t>
      </w:r>
      <w:r>
        <w:rPr>
          <w:rFonts w:hint="eastAsia" w:ascii="宋体" w:hAnsi="宋体" w:cs="仿宋_GB2312+3+2"/>
          <w:kern w:val="0"/>
          <w:sz w:val="24"/>
          <w:highlight w:val="none"/>
        </w:rPr>
        <w:t>承</w:t>
      </w:r>
      <w:r>
        <w:rPr>
          <w:rFonts w:hint="eastAsia" w:ascii="宋体" w:hAnsi="宋体" w:cs="仿宋_GB2312+3+3"/>
          <w:kern w:val="0"/>
          <w:sz w:val="24"/>
          <w:highlight w:val="none"/>
        </w:rPr>
        <w:t>担</w:t>
      </w:r>
      <w:r>
        <w:rPr>
          <w:rFonts w:hint="eastAsia" w:ascii="宋体" w:hAnsi="宋体" w:cs="仿宋_GB2312+3+8"/>
          <w:kern w:val="0"/>
          <w:sz w:val="24"/>
          <w:highlight w:val="none"/>
        </w:rPr>
        <w:t>刑</w:t>
      </w:r>
      <w:r>
        <w:rPr>
          <w:rFonts w:hint="eastAsia" w:ascii="宋体" w:hAnsi="宋体" w:cs="仿宋_GB2312+3+2"/>
          <w:kern w:val="0"/>
          <w:sz w:val="24"/>
          <w:highlight w:val="none"/>
        </w:rPr>
        <w:t>事</w:t>
      </w:r>
      <w:r>
        <w:rPr>
          <w:rFonts w:hint="eastAsia" w:ascii="宋体" w:hAnsi="宋体" w:cs="仿宋_GB2312+3+1"/>
          <w:kern w:val="0"/>
          <w:sz w:val="24"/>
          <w:highlight w:val="none"/>
        </w:rPr>
        <w:t>责任</w:t>
      </w:r>
      <w:r>
        <w:rPr>
          <w:rFonts w:hint="eastAsia" w:ascii="宋体" w:hAnsi="宋体" w:cs="仿宋_GB2312+3+2"/>
          <w:kern w:val="0"/>
          <w:sz w:val="24"/>
          <w:highlight w:val="none"/>
        </w:rPr>
        <w:t>。</w:t>
      </w:r>
    </w:p>
    <w:p w14:paraId="079D4189">
      <w:pPr>
        <w:bidi w:val="0"/>
        <w:ind w:firstLine="480" w:firstLineChars="200"/>
        <w:rPr>
          <w:rFonts w:hint="eastAsia"/>
          <w:highlight w:val="none"/>
        </w:rPr>
      </w:pPr>
      <w:r>
        <w:rPr>
          <w:rFonts w:hint="eastAsia"/>
          <w:highlight w:val="none"/>
        </w:rPr>
        <w:t>13</w:t>
      </w:r>
      <w:r>
        <w:rPr>
          <w:rFonts w:hint="eastAsia"/>
          <w:highlight w:val="none"/>
          <w:lang w:eastAsia="zh-CN"/>
        </w:rPr>
        <w:t>）</w:t>
      </w:r>
      <w:r>
        <w:rPr>
          <w:rFonts w:hint="eastAsia"/>
          <w:highlight w:val="none"/>
        </w:rPr>
        <w:t>及时、如实报告施工生产安全事故。</w:t>
      </w:r>
    </w:p>
    <w:p w14:paraId="1C9A5DE0">
      <w:pPr>
        <w:bidi w:val="0"/>
        <w:ind w:firstLine="480" w:firstLineChars="200"/>
        <w:rPr>
          <w:rFonts w:hint="default"/>
          <w:highlight w:val="none"/>
          <w:lang w:val="en-US" w:eastAsia="zh-CN"/>
        </w:rPr>
      </w:pPr>
      <w:r>
        <w:rPr>
          <w:rFonts w:hint="eastAsia"/>
          <w:highlight w:val="none"/>
        </w:rPr>
        <w:t>14</w:t>
      </w:r>
      <w:r>
        <w:rPr>
          <w:rFonts w:hint="eastAsia"/>
          <w:highlight w:val="none"/>
          <w:lang w:eastAsia="zh-CN"/>
        </w:rPr>
        <w:t>）</w:t>
      </w:r>
      <w:r>
        <w:rPr>
          <w:rFonts w:hint="eastAsia"/>
          <w:highlight w:val="none"/>
        </w:rPr>
        <w:t>保证安全生产和环保经费投入，并督促及时有效落实。</w:t>
      </w:r>
    </w:p>
    <w:p w14:paraId="7DF40141">
      <w:pPr>
        <w:spacing w:line="359" w:lineRule="auto"/>
        <w:ind w:left="516" w:firstLine="20"/>
        <w:rPr>
          <w:rFonts w:ascii="宋体" w:hAnsi="宋体" w:eastAsia="宋体" w:cs="宋体"/>
          <w:sz w:val="24"/>
          <w:szCs w:val="24"/>
          <w:highlight w:val="none"/>
        </w:rPr>
      </w:pPr>
      <w:r>
        <w:rPr>
          <w:rFonts w:ascii="宋体" w:hAnsi="宋体" w:eastAsia="宋体" w:cs="宋体"/>
          <w:spacing w:val="-2"/>
          <w:sz w:val="24"/>
          <w:szCs w:val="24"/>
          <w:highlight w:val="none"/>
        </w:rPr>
        <w:t>②</w:t>
      </w:r>
      <w:r>
        <w:rPr>
          <w:rFonts w:ascii="宋体" w:hAnsi="宋体" w:eastAsia="宋体" w:cs="宋体"/>
          <w:spacing w:val="-1"/>
          <w:sz w:val="24"/>
          <w:szCs w:val="24"/>
          <w:highlight w:val="none"/>
        </w:rPr>
        <w:t>项目总工程师</w:t>
      </w:r>
    </w:p>
    <w:p w14:paraId="6E2F0031">
      <w:pPr>
        <w:bidi w:val="0"/>
        <w:ind w:firstLine="480" w:firstLineChars="200"/>
        <w:rPr>
          <w:highlight w:val="none"/>
        </w:rPr>
      </w:pPr>
      <w:r>
        <w:rPr>
          <w:highlight w:val="none"/>
        </w:rPr>
        <w:t>项目总工程师对工程项目生产过程中安全生产负技术责任。</w:t>
      </w:r>
    </w:p>
    <w:p w14:paraId="50067DD4">
      <w:pPr>
        <w:numPr>
          <w:ilvl w:val="0"/>
          <w:numId w:val="0"/>
        </w:numPr>
        <w:bidi w:val="0"/>
        <w:ind w:firstLine="480" w:firstLineChars="200"/>
        <w:rPr>
          <w:highlight w:val="none"/>
        </w:rPr>
      </w:pPr>
      <w:r>
        <w:rPr>
          <w:highlight w:val="none"/>
        </w:rPr>
        <w:t>1)组织编制、会审施工组织设计、施工技术方案及危险性较大分部分项工程专项施工方案，对安全技术措施、防护设施进行技术把关。</w:t>
      </w:r>
    </w:p>
    <w:p w14:paraId="5FA506EA">
      <w:pPr>
        <w:numPr>
          <w:ilvl w:val="0"/>
          <w:numId w:val="0"/>
        </w:numPr>
        <w:bidi w:val="0"/>
        <w:ind w:firstLine="480" w:firstLineChars="200"/>
        <w:rPr>
          <w:highlight w:val="none"/>
        </w:rPr>
      </w:pPr>
      <w:r>
        <w:rPr>
          <w:highlight w:val="none"/>
        </w:rPr>
        <w:t>2)协助项目经理按规定要求开展实施项目的安全风险评估工作。</w:t>
      </w:r>
    </w:p>
    <w:p w14:paraId="7755C1CB">
      <w:pPr>
        <w:numPr>
          <w:ilvl w:val="0"/>
          <w:numId w:val="0"/>
        </w:numPr>
        <w:bidi w:val="0"/>
        <w:ind w:firstLine="480" w:firstLineChars="200"/>
        <w:rPr>
          <w:highlight w:val="none"/>
        </w:rPr>
      </w:pPr>
      <w:r>
        <w:rPr>
          <w:highlight w:val="none"/>
        </w:rPr>
        <w:t>3)对照图纸及设计说明的有关要求，组织对项目周围环境、地质条件、地下管</w:t>
      </w:r>
    </w:p>
    <w:p w14:paraId="1F79F0AC">
      <w:pPr>
        <w:bidi w:val="0"/>
        <w:rPr>
          <w:highlight w:val="none"/>
        </w:rPr>
      </w:pPr>
      <w:r>
        <w:rPr>
          <w:highlight w:val="none"/>
        </w:rPr>
        <w:t>线等因素进行调查复核。</w:t>
      </w:r>
    </w:p>
    <w:p w14:paraId="1E25C5AF">
      <w:pPr>
        <w:bidi w:val="0"/>
        <w:ind w:firstLine="480" w:firstLineChars="200"/>
        <w:rPr>
          <w:highlight w:val="none"/>
        </w:rPr>
      </w:pPr>
      <w:r>
        <w:rPr>
          <w:highlight w:val="none"/>
        </w:rPr>
        <w:t>4)督促技术部门按规定完成专项方案的报审、专家论证流程。</w:t>
      </w:r>
    </w:p>
    <w:p w14:paraId="568678C5">
      <w:pPr>
        <w:bidi w:val="0"/>
        <w:ind w:firstLine="480" w:firstLineChars="200"/>
        <w:rPr>
          <w:highlight w:val="none"/>
        </w:rPr>
      </w:pPr>
      <w:r>
        <w:rPr>
          <w:highlight w:val="none"/>
        </w:rPr>
        <w:t>5)督促技术部门牵头对分部分项工程施工进行安全技术交底。</w:t>
      </w:r>
    </w:p>
    <w:p w14:paraId="5EE3A7C9">
      <w:pPr>
        <w:bidi w:val="0"/>
        <w:ind w:firstLine="480" w:firstLineChars="200"/>
        <w:rPr>
          <w:highlight w:val="none"/>
        </w:rPr>
      </w:pPr>
      <w:r>
        <w:rPr>
          <w:highlight w:val="none"/>
        </w:rPr>
        <w:t>6)动态关注危险性较大分部分项工程实施过程中施工边界条件的变化，及时调 整专项施工方案。</w:t>
      </w:r>
    </w:p>
    <w:p w14:paraId="54EBEEC6">
      <w:pPr>
        <w:bidi w:val="0"/>
        <w:ind w:firstLine="480" w:firstLineChars="200"/>
        <w:rPr>
          <w:rFonts w:hint="default"/>
          <w:highlight w:val="none"/>
          <w:lang w:val="en-US" w:eastAsia="zh-CN"/>
        </w:rPr>
      </w:pPr>
      <w:r>
        <w:rPr>
          <w:highlight w:val="none"/>
        </w:rPr>
        <w:t>7)针对项目应用的新材料、新工艺、新技术、新设备，组织编制并督促实施安 全技术规程；编制作业指导书。</w:t>
      </w:r>
    </w:p>
    <w:p w14:paraId="1BE495AC">
      <w:pPr>
        <w:bidi w:val="0"/>
        <w:ind w:firstLine="480" w:firstLineChars="200"/>
        <w:rPr>
          <w:highlight w:val="none"/>
        </w:rPr>
      </w:pPr>
      <w:r>
        <w:rPr>
          <w:rFonts w:hint="eastAsia"/>
          <w:highlight w:val="none"/>
          <w:lang w:val="en-US" w:eastAsia="zh-CN"/>
        </w:rPr>
        <w:t>8</w:t>
      </w:r>
      <w:r>
        <w:rPr>
          <w:highlight w:val="none"/>
        </w:rPr>
        <w:t>)组织制订重大隐患治理方案。</w:t>
      </w:r>
    </w:p>
    <w:p w14:paraId="6FBCD397">
      <w:pPr>
        <w:bidi w:val="0"/>
        <w:ind w:firstLine="480" w:firstLineChars="200"/>
        <w:rPr>
          <w:highlight w:val="none"/>
        </w:rPr>
      </w:pPr>
      <w:r>
        <w:rPr>
          <w:rFonts w:hint="eastAsia"/>
          <w:highlight w:val="none"/>
          <w:lang w:val="en-US" w:eastAsia="zh-CN"/>
        </w:rPr>
        <w:t>9</w:t>
      </w:r>
      <w:r>
        <w:rPr>
          <w:highlight w:val="none"/>
        </w:rPr>
        <w:t>)分管试验检测工作，对试验检测的安全管理工作负技术领导责任。</w:t>
      </w:r>
    </w:p>
    <w:p w14:paraId="340CF243">
      <w:pPr>
        <w:bidi w:val="0"/>
        <w:ind w:firstLine="480" w:firstLineChars="200"/>
        <w:rPr>
          <w:highlight w:val="none"/>
        </w:rPr>
      </w:pPr>
      <w:r>
        <w:rPr>
          <w:highlight w:val="none"/>
        </w:rPr>
        <w:t>1</w:t>
      </w:r>
      <w:r>
        <w:rPr>
          <w:rFonts w:hint="eastAsia"/>
          <w:highlight w:val="none"/>
          <w:lang w:val="en-US" w:eastAsia="zh-CN"/>
        </w:rPr>
        <w:t>0</w:t>
      </w:r>
      <w:r>
        <w:rPr>
          <w:highlight w:val="none"/>
        </w:rPr>
        <w:t>)分管测量工作，对测量的安全管理工作负技术领导责任。</w:t>
      </w:r>
    </w:p>
    <w:p w14:paraId="132E7E49">
      <w:pPr>
        <w:bidi w:val="0"/>
        <w:ind w:firstLine="480" w:firstLineChars="200"/>
        <w:rPr>
          <w:highlight w:val="none"/>
        </w:rPr>
      </w:pPr>
      <w:r>
        <w:rPr>
          <w:highlight w:val="none"/>
        </w:rPr>
        <w:t>1</w:t>
      </w:r>
      <w:r>
        <w:rPr>
          <w:rFonts w:hint="eastAsia"/>
          <w:highlight w:val="none"/>
          <w:lang w:val="en-US" w:eastAsia="zh-CN"/>
        </w:rPr>
        <w:t>1</w:t>
      </w:r>
      <w:r>
        <w:rPr>
          <w:highlight w:val="none"/>
        </w:rPr>
        <w:t>) 按要求进行带班值班， 检查项目部的安全生产工作， 排查事故隐患， 协调解 决安全生产问题。</w:t>
      </w:r>
    </w:p>
    <w:p w14:paraId="19270DD3">
      <w:pPr>
        <w:bidi w:val="0"/>
        <w:ind w:firstLine="480" w:firstLineChars="200"/>
        <w:rPr>
          <w:highlight w:val="none"/>
        </w:rPr>
      </w:pPr>
      <w:r>
        <w:rPr>
          <w:highlight w:val="none"/>
        </w:rPr>
        <w:t>1</w:t>
      </w:r>
      <w:r>
        <w:rPr>
          <w:rFonts w:hint="eastAsia"/>
          <w:highlight w:val="none"/>
          <w:lang w:val="en-US" w:eastAsia="zh-CN"/>
        </w:rPr>
        <w:t>2</w:t>
      </w:r>
      <w:r>
        <w:rPr>
          <w:highlight w:val="none"/>
        </w:rPr>
        <w:t>)参加生产安全事故(重大隐患)的调查处理。</w:t>
      </w:r>
    </w:p>
    <w:p w14:paraId="5F2F6A84">
      <w:pPr>
        <w:bidi w:val="0"/>
        <w:ind w:firstLine="480" w:firstLineChars="200"/>
        <w:rPr>
          <w:highlight w:val="none"/>
        </w:rPr>
      </w:pPr>
      <w:r>
        <w:rPr>
          <w:highlight w:val="none"/>
        </w:rPr>
        <w:t>③安监部职责</w:t>
      </w:r>
    </w:p>
    <w:p w14:paraId="51FC446A">
      <w:pPr>
        <w:bidi w:val="0"/>
        <w:ind w:firstLine="480" w:firstLineChars="200"/>
        <w:rPr>
          <w:highlight w:val="none"/>
        </w:rPr>
      </w:pPr>
      <w:r>
        <w:rPr>
          <w:highlight w:val="none"/>
        </w:rPr>
        <w:t>1)及时获取、识别适用于本项目的职业健康安全生产法律法规及标准规范，并 及时对从业人员进行宣贯培训。</w:t>
      </w:r>
    </w:p>
    <w:p w14:paraId="11E0A663">
      <w:pPr>
        <w:bidi w:val="0"/>
        <w:ind w:firstLine="480" w:firstLineChars="200"/>
        <w:rPr>
          <w:highlight w:val="none"/>
        </w:rPr>
      </w:pPr>
      <w:r>
        <w:rPr>
          <w:highlight w:val="none"/>
        </w:rPr>
        <w:t>2)协助项目经理及分管领导制定以责任制为核心的职业健康安全生产规章制度。</w:t>
      </w:r>
    </w:p>
    <w:p w14:paraId="0DC52931">
      <w:pPr>
        <w:bidi w:val="0"/>
        <w:ind w:firstLine="480" w:firstLineChars="200"/>
        <w:rPr>
          <w:highlight w:val="none"/>
        </w:rPr>
      </w:pPr>
      <w:r>
        <w:rPr>
          <w:highlight w:val="none"/>
        </w:rPr>
        <w:t>3)参与制定安全操作规程。</w:t>
      </w:r>
    </w:p>
    <w:p w14:paraId="74E791AD">
      <w:pPr>
        <w:bidi w:val="0"/>
        <w:ind w:firstLine="480" w:firstLineChars="200"/>
        <w:rPr>
          <w:highlight w:val="none"/>
        </w:rPr>
      </w:pPr>
      <w:r>
        <w:rPr>
          <w:highlight w:val="none"/>
        </w:rPr>
        <w:t>4)牵头编制安全生产保证计划、年(季)度安全生产工作计划，并定期检查计 划实施情况。</w:t>
      </w:r>
    </w:p>
    <w:p w14:paraId="6D7D660F">
      <w:pPr>
        <w:bidi w:val="0"/>
        <w:ind w:firstLine="480" w:firstLineChars="200"/>
        <w:rPr>
          <w:highlight w:val="none"/>
        </w:rPr>
      </w:pPr>
      <w:r>
        <w:rPr>
          <w:highlight w:val="none"/>
        </w:rPr>
        <w:t>5)督促检查各部门、工段、班组、船舶认真执行国家安全生产方针、政策、法规、法令、标准及上级指示、决议等，组织签订安全生产责任书。</w:t>
      </w:r>
    </w:p>
    <w:p w14:paraId="7065633E">
      <w:pPr>
        <w:bidi w:val="0"/>
        <w:ind w:firstLine="480" w:firstLineChars="200"/>
        <w:rPr>
          <w:highlight w:val="none"/>
        </w:rPr>
      </w:pPr>
      <w:r>
        <w:rPr>
          <w:highlight w:val="none"/>
        </w:rPr>
        <w:t>6)牵头组织危险有害因素的识别与评价，建立重大危害因素清单；组织编制项目应急预案，组织应急预案培训、交底，适时开展应急演练。</w:t>
      </w:r>
    </w:p>
    <w:p w14:paraId="07C7AED0">
      <w:pPr>
        <w:bidi w:val="0"/>
        <w:ind w:firstLine="480" w:firstLineChars="200"/>
        <w:rPr>
          <w:highlight w:val="none"/>
        </w:rPr>
      </w:pPr>
      <w:r>
        <w:rPr>
          <w:highlight w:val="none"/>
        </w:rPr>
        <w:t>7)牵头建立项目危险性较大分部分项工程清单， 参与编制、会审专项施工方案。</w:t>
      </w:r>
    </w:p>
    <w:p w14:paraId="7DFF45FC">
      <w:pPr>
        <w:bidi w:val="0"/>
        <w:ind w:firstLine="480" w:firstLineChars="200"/>
        <w:rPr>
          <w:highlight w:val="none"/>
        </w:rPr>
      </w:pPr>
      <w:r>
        <w:rPr>
          <w:highlight w:val="none"/>
        </w:rPr>
        <w:t>8)参与危险作业施工许可验收。</w:t>
      </w:r>
    </w:p>
    <w:p w14:paraId="538BB2C3">
      <w:pPr>
        <w:bidi w:val="0"/>
        <w:ind w:firstLine="480" w:firstLineChars="200"/>
        <w:rPr>
          <w:highlight w:val="none"/>
        </w:rPr>
      </w:pPr>
      <w:r>
        <w:rPr>
          <w:highlight w:val="none"/>
        </w:rPr>
        <w:t>9)建立特种作业人员花名册，并动态更新。</w:t>
      </w:r>
    </w:p>
    <w:p w14:paraId="62640650">
      <w:pPr>
        <w:bidi w:val="0"/>
        <w:ind w:firstLine="480" w:firstLineChars="200"/>
        <w:rPr>
          <w:highlight w:val="none"/>
        </w:rPr>
      </w:pPr>
      <w:r>
        <w:rPr>
          <w:highlight w:val="none"/>
        </w:rPr>
        <w:t>10)根据需求编制年度安全教育培训计划， 组织对新进场人员的“三级安全教育”、进场教育等教育培训，保证全员三级安全教育培训覆盖率 100%。</w:t>
      </w:r>
    </w:p>
    <w:p w14:paraId="25874E6B">
      <w:pPr>
        <w:bidi w:val="0"/>
        <w:ind w:firstLine="480" w:firstLineChars="200"/>
        <w:rPr>
          <w:highlight w:val="none"/>
        </w:rPr>
      </w:pPr>
      <w:r>
        <w:rPr>
          <w:highlight w:val="none"/>
        </w:rPr>
        <w:t>11)参与分部分项工程安全技术交底， 组织或参与特种作业人员的安全操作规程交底和培训，参与新工艺、新设备、新技术、新材料使用的教育培训。</w:t>
      </w:r>
    </w:p>
    <w:p w14:paraId="26DC9120">
      <w:pPr>
        <w:bidi w:val="0"/>
        <w:rPr>
          <w:highlight w:val="none"/>
        </w:rPr>
      </w:pPr>
      <w:r>
        <w:rPr>
          <w:highlight w:val="none"/>
        </w:rPr>
        <w:t>通过交底或培训， 书面告知作业人员项目存在的危险因素、防范措施及事故应急 措施。</w:t>
      </w:r>
    </w:p>
    <w:p w14:paraId="597964C6">
      <w:pPr>
        <w:bidi w:val="0"/>
        <w:ind w:firstLine="480" w:firstLineChars="200"/>
        <w:rPr>
          <w:highlight w:val="none"/>
        </w:rPr>
      </w:pPr>
      <w:r>
        <w:rPr>
          <w:highlight w:val="none"/>
        </w:rPr>
        <w:t>12)组织开展日常安全生产检查，监督事故隐患的整改落实情况。</w:t>
      </w:r>
    </w:p>
    <w:p w14:paraId="01FA4C80">
      <w:pPr>
        <w:bidi w:val="0"/>
        <w:ind w:firstLine="480" w:firstLineChars="200"/>
        <w:rPr>
          <w:highlight w:val="none"/>
        </w:rPr>
      </w:pPr>
      <w:r>
        <w:rPr>
          <w:highlight w:val="none"/>
        </w:rPr>
        <w:t>13)组织消防、安全防护设施专项检查。</w:t>
      </w:r>
    </w:p>
    <w:p w14:paraId="1AA5F983">
      <w:pPr>
        <w:bidi w:val="0"/>
        <w:ind w:firstLine="480" w:firstLineChars="200"/>
        <w:rPr>
          <w:highlight w:val="none"/>
        </w:rPr>
      </w:pPr>
      <w:r>
        <w:rPr>
          <w:highlight w:val="none"/>
        </w:rPr>
        <w:t>14) 参与月度安全生产大检查， 参与防台防汛、特种设备、临电、起重作业、模板、脚手架、易燃易爆危化品等安全专项检查。对查出的重大隐患登记建档， 重大隐 患有治理方案，并报相关部门备案。</w:t>
      </w:r>
    </w:p>
    <w:p w14:paraId="2DE82DD4">
      <w:pPr>
        <w:bidi w:val="0"/>
        <w:ind w:firstLine="480" w:firstLineChars="200"/>
        <w:rPr>
          <w:highlight w:val="none"/>
        </w:rPr>
      </w:pPr>
      <w:r>
        <w:rPr>
          <w:highlight w:val="none"/>
        </w:rPr>
        <w:t>15)参与施工现场安全设施、临时设施的验收、检查、维护工作。</w:t>
      </w:r>
    </w:p>
    <w:p w14:paraId="6B0C1B48">
      <w:pPr>
        <w:bidi w:val="0"/>
        <w:ind w:firstLine="480" w:firstLineChars="200"/>
        <w:rPr>
          <w:highlight w:val="none"/>
        </w:rPr>
      </w:pPr>
      <w:r>
        <w:rPr>
          <w:highlight w:val="none"/>
        </w:rPr>
        <w:t>16)参与项目安全风险评估， 协助技术管理部门制定重大危险有害因素及重大隐 患管控措施。</w:t>
      </w:r>
    </w:p>
    <w:p w14:paraId="20B31450">
      <w:pPr>
        <w:bidi w:val="0"/>
        <w:ind w:firstLine="480" w:firstLineChars="200"/>
        <w:rPr>
          <w:highlight w:val="none"/>
        </w:rPr>
      </w:pPr>
      <w:r>
        <w:rPr>
          <w:highlight w:val="none"/>
        </w:rPr>
        <w:t>17)组织开展“安全生产月” 、“隐患排查治理”及各类安全专项整治活动，活动有 方案，有记录、有总结。</w:t>
      </w:r>
    </w:p>
    <w:p w14:paraId="7749C7E1">
      <w:pPr>
        <w:bidi w:val="0"/>
        <w:ind w:firstLine="480" w:firstLineChars="200"/>
        <w:rPr>
          <w:highlight w:val="none"/>
        </w:rPr>
      </w:pPr>
      <w:r>
        <w:rPr>
          <w:highlight w:val="none"/>
        </w:rPr>
        <w:t>18)牵头编制项目安全专项费用使用总计划、年度计划及月度计划， 统计安全生产措施费用投入情况，配合合同管理部门向业主计量安全生产措施费用。</w:t>
      </w:r>
    </w:p>
    <w:p w14:paraId="62E05E6A">
      <w:pPr>
        <w:bidi w:val="0"/>
        <w:ind w:firstLine="480" w:firstLineChars="200"/>
        <w:rPr>
          <w:highlight w:val="none"/>
        </w:rPr>
      </w:pPr>
      <w:r>
        <w:rPr>
          <w:highlight w:val="none"/>
        </w:rPr>
        <w:t>19)对行业主管部门或上级单位的安全投诉及时处理。针对业主、监理及上级主 管部门在检查中提出的隐患整改意见，及时整改闭合。</w:t>
      </w:r>
    </w:p>
    <w:p w14:paraId="7543D5C2">
      <w:pPr>
        <w:bidi w:val="0"/>
        <w:ind w:firstLine="480" w:firstLineChars="200"/>
        <w:rPr>
          <w:highlight w:val="none"/>
        </w:rPr>
      </w:pPr>
      <w:r>
        <w:rPr>
          <w:highlight w:val="none"/>
        </w:rPr>
        <w:t>20)及时参与事故现场处置， 及时向有关部门报告。配合事故调查处理， 及时落 实整改措施。</w:t>
      </w:r>
    </w:p>
    <w:p w14:paraId="229CFC28">
      <w:pPr>
        <w:bidi w:val="0"/>
        <w:ind w:firstLine="480" w:firstLineChars="200"/>
        <w:rPr>
          <w:highlight w:val="none"/>
        </w:rPr>
      </w:pPr>
      <w:r>
        <w:rPr>
          <w:highlight w:val="none"/>
        </w:rPr>
        <w:t>21)协助上级安全管理部门落实国家注册安全工程师、国家要求取证的安全生产 管理人员的继续教育、取证换证工作，严格执行有关人员持证上岗的规定。</w:t>
      </w:r>
    </w:p>
    <w:p w14:paraId="064C5565">
      <w:pPr>
        <w:bidi w:val="0"/>
        <w:ind w:firstLine="480" w:firstLineChars="200"/>
        <w:rPr>
          <w:highlight w:val="none"/>
        </w:rPr>
      </w:pPr>
      <w:r>
        <w:rPr>
          <w:highlight w:val="none"/>
        </w:rPr>
        <w:t>22)按要求上报各类安全生产信息报表。</w:t>
      </w:r>
    </w:p>
    <w:p w14:paraId="3E078FA3">
      <w:pPr>
        <w:bidi w:val="0"/>
        <w:ind w:firstLine="480" w:firstLineChars="200"/>
        <w:rPr>
          <w:highlight w:val="none"/>
        </w:rPr>
      </w:pPr>
      <w:r>
        <w:rPr>
          <w:highlight w:val="none"/>
        </w:rPr>
        <w:t>④合约部职责</w:t>
      </w:r>
    </w:p>
    <w:p w14:paraId="2F480E09">
      <w:pPr>
        <w:bidi w:val="0"/>
        <w:ind w:firstLine="480" w:firstLineChars="200"/>
        <w:rPr>
          <w:highlight w:val="none"/>
        </w:rPr>
      </w:pPr>
      <w:r>
        <w:rPr>
          <w:highlight w:val="none"/>
        </w:rPr>
        <w:t>1)组织分包招议标及合同审查，确保分包单位具有独立法人资格和相应的资质 等级资格。</w:t>
      </w:r>
    </w:p>
    <w:p w14:paraId="471ABC63">
      <w:pPr>
        <w:bidi w:val="0"/>
        <w:ind w:firstLine="480" w:firstLineChars="200"/>
        <w:rPr>
          <w:highlight w:val="none"/>
        </w:rPr>
      </w:pPr>
      <w:r>
        <w:rPr>
          <w:highlight w:val="none"/>
        </w:rPr>
        <w:t>2)在签订有效的分包合同时，必须同时签订安全生产协议书。</w:t>
      </w:r>
    </w:p>
    <w:p w14:paraId="731AB5E1">
      <w:pPr>
        <w:bidi w:val="0"/>
        <w:ind w:firstLine="480" w:firstLineChars="200"/>
        <w:rPr>
          <w:highlight w:val="none"/>
        </w:rPr>
      </w:pPr>
      <w:r>
        <w:rPr>
          <w:highlight w:val="none"/>
        </w:rPr>
        <w:t>3)协助生产管理部门、安全管理部门做好分包队伍安全管理。</w:t>
      </w:r>
    </w:p>
    <w:p w14:paraId="11275F93">
      <w:pPr>
        <w:bidi w:val="0"/>
        <w:ind w:firstLine="480" w:firstLineChars="200"/>
        <w:rPr>
          <w:highlight w:val="none"/>
        </w:rPr>
      </w:pPr>
      <w:r>
        <w:rPr>
          <w:highlight w:val="none"/>
        </w:rPr>
        <w:t>4)做好安全生产措施费用的计量。</w:t>
      </w:r>
    </w:p>
    <w:p w14:paraId="1861E7DD">
      <w:pPr>
        <w:bidi w:val="0"/>
        <w:ind w:firstLine="480" w:firstLineChars="200"/>
        <w:rPr>
          <w:highlight w:val="none"/>
        </w:rPr>
      </w:pPr>
      <w:r>
        <w:rPr>
          <w:highlight w:val="none"/>
        </w:rPr>
        <w:t>5)使用、管理好本企业安全生产方面的资质证书。</w:t>
      </w:r>
    </w:p>
    <w:p w14:paraId="57D395A6">
      <w:pPr>
        <w:bidi w:val="0"/>
        <w:ind w:firstLine="480" w:firstLineChars="200"/>
        <w:rPr>
          <w:highlight w:val="none"/>
        </w:rPr>
      </w:pPr>
      <w:r>
        <w:rPr>
          <w:highlight w:val="none"/>
        </w:rPr>
        <w:t>6)每月定期收集分包队伍进场人员信息，协助综合办公室对进(退)场劳务人 员进行登记造册。</w:t>
      </w:r>
    </w:p>
    <w:p w14:paraId="5DB6D1F4">
      <w:pPr>
        <w:bidi w:val="0"/>
        <w:ind w:firstLine="480" w:firstLineChars="200"/>
        <w:rPr>
          <w:highlight w:val="none"/>
        </w:rPr>
      </w:pPr>
      <w:r>
        <w:rPr>
          <w:highlight w:val="none"/>
        </w:rPr>
        <w:t>⑤其他部门人员安全生产责任制</w:t>
      </w:r>
    </w:p>
    <w:p w14:paraId="53EB51DA">
      <w:pPr>
        <w:bidi w:val="0"/>
        <w:ind w:firstLine="480" w:firstLineChars="200"/>
        <w:rPr>
          <w:highlight w:val="none"/>
        </w:rPr>
      </w:pPr>
      <w:r>
        <w:rPr>
          <w:highlight w:val="none"/>
        </w:rPr>
        <w:t>负责配合协调现场安全生产工作，给予安全生产最大的支持。</w:t>
      </w:r>
    </w:p>
    <w:p w14:paraId="060F4787">
      <w:pPr>
        <w:bidi w:val="0"/>
        <w:ind w:firstLine="480" w:firstLineChars="200"/>
        <w:rPr>
          <w:highlight w:val="none"/>
        </w:rPr>
      </w:pPr>
      <w:r>
        <w:rPr>
          <w:highlight w:val="none"/>
        </w:rPr>
        <w:t>⑥安全监督人员安全生产责任</w:t>
      </w:r>
    </w:p>
    <w:p w14:paraId="66E8FF35">
      <w:pPr>
        <w:bidi w:val="0"/>
        <w:ind w:firstLine="480" w:firstLineChars="200"/>
        <w:rPr>
          <w:highlight w:val="none"/>
        </w:rPr>
      </w:pPr>
      <w:r>
        <w:rPr>
          <w:highlight w:val="none"/>
        </w:rPr>
        <w:t>1)负责监督施工现场安全管理制度及各项管理规定的贯彻实施，落实现场安全生产奖罚制度。</w:t>
      </w:r>
    </w:p>
    <w:p w14:paraId="44B45354">
      <w:pPr>
        <w:bidi w:val="0"/>
        <w:ind w:firstLine="480" w:firstLineChars="200"/>
        <w:rPr>
          <w:highlight w:val="none"/>
        </w:rPr>
      </w:pPr>
      <w:r>
        <w:rPr>
          <w:highlight w:val="none"/>
        </w:rPr>
        <w:t>2)进行日常安全检查，发现隐患及时上报安监部长，并要求现场技术人员及时 进行整改，跟踪落实各类事故隐患的整改。</w:t>
      </w:r>
    </w:p>
    <w:p w14:paraId="492D8DEA">
      <w:pPr>
        <w:bidi w:val="0"/>
        <w:ind w:firstLine="480" w:firstLineChars="200"/>
        <w:rPr>
          <w:highlight w:val="none"/>
        </w:rPr>
      </w:pPr>
      <w:r>
        <w:rPr>
          <w:highlight w:val="none"/>
        </w:rPr>
        <w:t>3)督促现场所有人员按要求穿戴好劳动防护用品，检查各项安全防护措施的有 效性， 有权制止他人的违规行为， 发现重大隐患要求现场立即整改， 并及时向安监部长和现场负责人报告。</w:t>
      </w:r>
    </w:p>
    <w:p w14:paraId="2E918D03">
      <w:pPr>
        <w:bidi w:val="0"/>
        <w:ind w:firstLine="480" w:firstLineChars="200"/>
        <w:rPr>
          <w:highlight w:val="none"/>
        </w:rPr>
      </w:pPr>
      <w:r>
        <w:rPr>
          <w:highlight w:val="none"/>
        </w:rPr>
        <w:t>4)负责各班组的安全教育和管理，协助相关部门抓好各班组、设备的资质管理 和相关证照把关，施工过程中加强督促检查，控制各班组、设备的事故发生率。</w:t>
      </w:r>
    </w:p>
    <w:p w14:paraId="5E327852">
      <w:pPr>
        <w:bidi w:val="0"/>
        <w:ind w:firstLine="480" w:firstLineChars="200"/>
        <w:rPr>
          <w:highlight w:val="none"/>
        </w:rPr>
      </w:pPr>
      <w:r>
        <w:rPr>
          <w:highlight w:val="none"/>
        </w:rPr>
        <w:t>5)组织开展安全教育和培训工作，对特殊工种作业人员把好外培质量关，确保 特殊工种的安全技术素质，确保持证上岗。</w:t>
      </w:r>
    </w:p>
    <w:p w14:paraId="5B155810">
      <w:pPr>
        <w:bidi w:val="0"/>
        <w:ind w:firstLine="480" w:firstLineChars="200"/>
        <w:rPr>
          <w:highlight w:val="none"/>
        </w:rPr>
      </w:pPr>
      <w:r>
        <w:rPr>
          <w:highlight w:val="none"/>
        </w:rPr>
        <w:t>6)组织召开现场安全会议和开展各类安全活动。</w:t>
      </w:r>
    </w:p>
    <w:p w14:paraId="35B4EC81">
      <w:pPr>
        <w:bidi w:val="0"/>
        <w:ind w:firstLine="480" w:firstLineChars="200"/>
        <w:rPr>
          <w:highlight w:val="none"/>
        </w:rPr>
      </w:pPr>
      <w:r>
        <w:rPr>
          <w:highlight w:val="none"/>
        </w:rPr>
        <w:t>7)重点抓好施工的季节性安全防范措施的现场落实工作。</w:t>
      </w:r>
    </w:p>
    <w:p w14:paraId="7ABC3186">
      <w:pPr>
        <w:bidi w:val="0"/>
        <w:ind w:firstLine="480" w:firstLineChars="200"/>
        <w:rPr>
          <w:highlight w:val="none"/>
        </w:rPr>
      </w:pPr>
      <w:r>
        <w:rPr>
          <w:highlight w:val="none"/>
        </w:rPr>
        <w:t>8) 及时传达上级主管部门对施工现场有关安全生产的指令， 抓好现场落实工作。</w:t>
      </w:r>
    </w:p>
    <w:p w14:paraId="3C615F8D">
      <w:pPr>
        <w:bidi w:val="0"/>
        <w:ind w:firstLine="480" w:firstLineChars="200"/>
        <w:rPr>
          <w:highlight w:val="none"/>
        </w:rPr>
      </w:pPr>
      <w:r>
        <w:rPr>
          <w:highlight w:val="none"/>
        </w:rPr>
        <w:t>9)发现事故，立即上报现场负责人，并采取有效措施防止事故扩大及蔓延，参 加各类事故(包括事故险兆)的调查、分析和处理。</w:t>
      </w:r>
    </w:p>
    <w:p w14:paraId="1ECE9933">
      <w:pPr>
        <w:bidi w:val="0"/>
        <w:ind w:firstLine="480" w:firstLineChars="200"/>
        <w:rPr>
          <w:highlight w:val="none"/>
        </w:rPr>
      </w:pPr>
      <w:r>
        <w:rPr>
          <w:highlight w:val="none"/>
        </w:rPr>
        <w:t>10)完成领导临时交办的工作任务。</w:t>
      </w:r>
    </w:p>
    <w:p w14:paraId="02B97089">
      <w:pPr>
        <w:bidi w:val="0"/>
        <w:ind w:firstLine="480" w:firstLineChars="200"/>
        <w:rPr>
          <w:highlight w:val="none"/>
        </w:rPr>
      </w:pPr>
      <w:r>
        <w:rPr>
          <w:highlight w:val="none"/>
        </w:rPr>
        <w:t>⑦班(组)长安全生产责任</w:t>
      </w:r>
    </w:p>
    <w:p w14:paraId="35C7C02D">
      <w:pPr>
        <w:bidi w:val="0"/>
        <w:ind w:firstLine="480" w:firstLineChars="200"/>
        <w:rPr>
          <w:highlight w:val="none"/>
        </w:rPr>
      </w:pPr>
      <w:r>
        <w:rPr>
          <w:highlight w:val="none"/>
        </w:rPr>
        <w:t>1)带领本班组员工认真落实上级安全生产规章制度，严格执行安全管理标准和 操作规程，遵守劳动纪律，制止“三违”行为。</w:t>
      </w:r>
    </w:p>
    <w:p w14:paraId="4D6EBD71">
      <w:pPr>
        <w:bidi w:val="0"/>
        <w:ind w:firstLine="480" w:firstLineChars="200"/>
        <w:rPr>
          <w:highlight w:val="none"/>
        </w:rPr>
      </w:pPr>
      <w:r>
        <w:rPr>
          <w:highlight w:val="none"/>
        </w:rPr>
        <w:t>2)认真坚持“三工”  (工前交代、工中检查、工后讲评)制度，积极开展班组安 全生产活动，做好班组安全活动记录和交接班记录。</w:t>
      </w:r>
    </w:p>
    <w:p w14:paraId="56E2E8F4">
      <w:pPr>
        <w:bidi w:val="0"/>
        <w:ind w:firstLine="480" w:firstLineChars="200"/>
        <w:rPr>
          <w:highlight w:val="none"/>
        </w:rPr>
      </w:pPr>
      <w:r>
        <w:rPr>
          <w:highlight w:val="none"/>
        </w:rPr>
        <w:t>3)认真组织安全生产和技术学习，不断提高班组人员安全技能素质，做好施工 过程中安全生产检查。及时制止员工违章行为， 消除事故隐患。 本班组不能处理事故 隐患及时向上级领导报告。</w:t>
      </w:r>
    </w:p>
    <w:p w14:paraId="09DE2FA3">
      <w:pPr>
        <w:bidi w:val="0"/>
        <w:ind w:firstLine="480" w:firstLineChars="200"/>
        <w:rPr>
          <w:highlight w:val="none"/>
        </w:rPr>
      </w:pPr>
      <w:r>
        <w:rPr>
          <w:highlight w:val="none"/>
        </w:rPr>
        <w:t>4)自觉接受上级领导和安检人员监督检查，对检查中提出的问题及时进行整改 不留隐患。</w:t>
      </w:r>
    </w:p>
    <w:p w14:paraId="7F9BE45A">
      <w:pPr>
        <w:bidi w:val="0"/>
        <w:ind w:firstLine="480" w:firstLineChars="200"/>
        <w:rPr>
          <w:rFonts w:hint="default"/>
          <w:highlight w:val="none"/>
          <w:lang w:val="en-US" w:eastAsia="zh-CN"/>
        </w:rPr>
      </w:pPr>
      <w:r>
        <w:rPr>
          <w:highlight w:val="none"/>
        </w:rPr>
        <w:t>5)认真执行安全技术交底制度，对不具备安全生产条件，人身安全得不到保障 工程任务，有权拒绝施工， 必要时可越级向上级领导或安检部门反映， 待问题解决后方可复工。</w:t>
      </w:r>
    </w:p>
    <w:p w14:paraId="670D3EC5">
      <w:pPr>
        <w:bidi w:val="0"/>
        <w:ind w:firstLine="480" w:firstLineChars="200"/>
        <w:rPr>
          <w:highlight w:val="none"/>
        </w:rPr>
      </w:pPr>
      <w:r>
        <w:rPr>
          <w:highlight w:val="none"/>
        </w:rPr>
        <w:t>6)对发现违章指挥、违章作业行为不予制止以及发现事故隐患不及时消除而导 致人身伤亡事故，承担直接领导责任。</w:t>
      </w:r>
    </w:p>
    <w:p w14:paraId="7B2D79FA">
      <w:pPr>
        <w:bidi w:val="0"/>
        <w:ind w:firstLine="480" w:firstLineChars="200"/>
        <w:rPr>
          <w:highlight w:val="none"/>
        </w:rPr>
      </w:pPr>
      <w:r>
        <w:rPr>
          <w:highlight w:val="none"/>
        </w:rPr>
        <w:t>⑨施工作业人员安全生产责任</w:t>
      </w:r>
    </w:p>
    <w:p w14:paraId="5775196E">
      <w:pPr>
        <w:bidi w:val="0"/>
        <w:ind w:firstLine="480" w:firstLineChars="200"/>
        <w:rPr>
          <w:highlight w:val="none"/>
        </w:rPr>
      </w:pPr>
      <w:r>
        <w:rPr>
          <w:highlight w:val="none"/>
        </w:rPr>
        <w:t>1)在班组长直接领导下积极参加各项安全活动，刻苦学习安全技术知识，不断 提高安全操作技能。</w:t>
      </w:r>
    </w:p>
    <w:p w14:paraId="35FA2C1C">
      <w:pPr>
        <w:bidi w:val="0"/>
        <w:ind w:firstLine="480" w:firstLineChars="200"/>
        <w:rPr>
          <w:highlight w:val="none"/>
        </w:rPr>
      </w:pPr>
      <w:r>
        <w:rPr>
          <w:highlight w:val="none"/>
        </w:rPr>
        <w:t>2)自觉遵守安全生产规章制度和操作规程，严格按照安全技术交底施工，按规 定佩戴劳动防护用品。在施工作业中做到不伤害他人，不伤害自己，不被他人伤害， 同时有责任劝阻他人违章作业。</w:t>
      </w:r>
    </w:p>
    <w:p w14:paraId="6E35D6C7">
      <w:pPr>
        <w:bidi w:val="0"/>
        <w:ind w:firstLine="480" w:firstLineChars="200"/>
        <w:rPr>
          <w:highlight w:val="none"/>
        </w:rPr>
      </w:pPr>
      <w:r>
        <w:rPr>
          <w:highlight w:val="none"/>
        </w:rPr>
        <w:t>3)爱护和正确使用机械设备、工具及劳动保护用品、防护用具；对成品、半成 品、材料及废料等按指定地点堆放整齐，做到文明施工。</w:t>
      </w:r>
    </w:p>
    <w:p w14:paraId="67D4D470">
      <w:pPr>
        <w:bidi w:val="0"/>
        <w:ind w:firstLine="480" w:firstLineChars="200"/>
        <w:rPr>
          <w:highlight w:val="none"/>
        </w:rPr>
      </w:pPr>
      <w:r>
        <w:rPr>
          <w:highlight w:val="none"/>
        </w:rPr>
        <w:t>4)作业前对使用机具、机械、电器设备、作业环境安全情况进行认真检查，发 现问题及时处理或向领导报告。</w:t>
      </w:r>
    </w:p>
    <w:p w14:paraId="3EF93BDF">
      <w:pPr>
        <w:bidi w:val="0"/>
        <w:ind w:firstLine="480" w:firstLineChars="200"/>
        <w:rPr>
          <w:highlight w:val="none"/>
        </w:rPr>
      </w:pPr>
      <w:r>
        <w:rPr>
          <w:highlight w:val="none"/>
        </w:rPr>
        <w:t>5)从事特种作业人员和技术工种人员积极参加培训，掌握本岗位操作技能，取 得特种作业资格，做到持证上岗。</w:t>
      </w:r>
    </w:p>
    <w:p w14:paraId="6F2B0FE4">
      <w:pPr>
        <w:bidi w:val="0"/>
        <w:ind w:firstLine="480" w:firstLineChars="200"/>
        <w:rPr>
          <w:highlight w:val="none"/>
        </w:rPr>
      </w:pPr>
      <w:r>
        <w:rPr>
          <w:highlight w:val="none"/>
        </w:rPr>
        <w:t>6)对施工现场不具备安全生产条件，有权建议改进，对违章指挥，强令冒险作 业，有权拒绝执行， 对危害生命安全和身体健康的行为， 有权提出批评、检举和控告。</w:t>
      </w:r>
    </w:p>
    <w:p w14:paraId="38DE0C97">
      <w:pPr>
        <w:bidi w:val="0"/>
        <w:ind w:firstLine="480" w:firstLineChars="200"/>
        <w:rPr>
          <w:highlight w:val="none"/>
        </w:rPr>
      </w:pPr>
      <w:r>
        <w:rPr>
          <w:highlight w:val="none"/>
        </w:rPr>
        <w:t>7)对因违章操作、盲目蛮干或不听指挥而造成本人及他人人身伤害事故和经济 损失承担直接责任。</w:t>
      </w:r>
    </w:p>
    <w:p w14:paraId="2C5AAE1C">
      <w:pPr>
        <w:pStyle w:val="3"/>
        <w:rPr>
          <w:highlight w:val="none"/>
        </w:rPr>
      </w:pPr>
      <w:bookmarkStart w:id="239" w:name="_Toc26411"/>
      <w:r>
        <w:rPr>
          <w:rFonts w:hint="eastAsia"/>
          <w:highlight w:val="none"/>
          <w:lang w:val="en-US" w:eastAsia="zh-CN"/>
        </w:rPr>
        <w:t>6</w:t>
      </w:r>
      <w:r>
        <w:rPr>
          <w:rFonts w:hint="eastAsia"/>
          <w:highlight w:val="none"/>
        </w:rPr>
        <w:t>.2 制度保障措施</w:t>
      </w:r>
      <w:bookmarkEnd w:id="236"/>
      <w:bookmarkEnd w:id="237"/>
      <w:bookmarkEnd w:id="239"/>
    </w:p>
    <w:bookmarkEnd w:id="238"/>
    <w:p w14:paraId="5599593D">
      <w:pPr>
        <w:bidi w:val="0"/>
        <w:ind w:firstLine="480" w:firstLineChars="20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建立完善的进场验收及检查制度。对进场设备严格执行进场验收，不合格设备材料，不予进场；实行作业前检查制度，对不合格材料、零部件不得使用并及时更换。</w:t>
      </w:r>
    </w:p>
    <w:p w14:paraId="3AFEF059">
      <w:pPr>
        <w:bidi w:val="0"/>
        <w:ind w:firstLine="480" w:firstLineChars="200"/>
        <w:rPr>
          <w:rFonts w:hint="eastAsia"/>
          <w:highlight w:val="none"/>
        </w:rPr>
      </w:pPr>
      <w:r>
        <w:rPr>
          <w:rFonts w:hint="eastAsia" w:ascii="宋体" w:hAnsi="宋体" w:eastAsia="宋体" w:cs="宋体"/>
          <w:color w:val="000000"/>
          <w:kern w:val="0"/>
          <w:sz w:val="24"/>
          <w:szCs w:val="24"/>
          <w:highlight w:val="none"/>
          <w:lang w:val="en-US" w:eastAsia="zh-CN" w:bidi="ar"/>
        </w:rPr>
        <w:t>（2）实行逐级安全技术交底制，由经理部组织有关人员进行详细安全技术交底，凡参加安全技术交底的人员要履行签字手续，并保存资料。项目经理部专职监察工程师对安全技术措施的执行情况进行监督检查，并</w:t>
      </w:r>
      <w:r>
        <w:rPr>
          <w:rFonts w:hint="eastAsia" w:cs="宋体"/>
          <w:color w:val="000000"/>
          <w:kern w:val="0"/>
          <w:sz w:val="24"/>
          <w:szCs w:val="24"/>
          <w:highlight w:val="none"/>
          <w:lang w:val="en-US" w:eastAsia="zh-CN" w:bidi="ar"/>
        </w:rPr>
        <w:t>做好</w:t>
      </w:r>
      <w:r>
        <w:rPr>
          <w:rFonts w:hint="eastAsia" w:ascii="宋体" w:hAnsi="宋体" w:eastAsia="宋体" w:cs="宋体"/>
          <w:color w:val="000000"/>
          <w:kern w:val="0"/>
          <w:sz w:val="24"/>
          <w:szCs w:val="24"/>
          <w:highlight w:val="none"/>
          <w:lang w:val="en-US" w:eastAsia="zh-CN" w:bidi="ar"/>
        </w:rPr>
        <w:t>记录和反馈信息。</w:t>
      </w:r>
    </w:p>
    <w:p w14:paraId="55F659B4">
      <w:pPr>
        <w:bidi w:val="0"/>
        <w:ind w:firstLine="48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建立和贯彻执行安全教育制度。对进场人员进行岗前教育和三级教育，使用安装作业安全教育，并做好记录存档</w:t>
      </w:r>
      <w:r>
        <w:rPr>
          <w:rFonts w:hint="eastAsia"/>
          <w:highlight w:val="none"/>
          <w:lang w:eastAsia="zh-CN"/>
        </w:rPr>
        <w:t>。</w:t>
      </w:r>
    </w:p>
    <w:p w14:paraId="46FDBD58">
      <w:pPr>
        <w:bidi w:val="0"/>
        <w:ind w:firstLine="480" w:firstLineChars="20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危险性较大分部分项工程安全专项方案编制审批制度</w:t>
      </w:r>
      <w:r>
        <w:rPr>
          <w:rFonts w:hint="eastAsia"/>
          <w:highlight w:val="none"/>
          <w:lang w:eastAsia="zh-CN"/>
        </w:rPr>
        <w:t>。</w:t>
      </w:r>
      <w:r>
        <w:rPr>
          <w:highlight w:val="none"/>
        </w:rPr>
        <w:t>危险性较大的分部分项工程开工前，由项目总工程师组织工程、安</w:t>
      </w:r>
      <w:r>
        <w:rPr>
          <w:rFonts w:hint="eastAsia"/>
          <w:highlight w:val="none"/>
          <w:lang w:val="en-US" w:eastAsia="zh-CN"/>
        </w:rPr>
        <w:t>监</w:t>
      </w:r>
      <w:r>
        <w:rPr>
          <w:highlight w:val="none"/>
        </w:rPr>
        <w:t>及质检等部门的专业技术人员编制专项方案并按照归属关系及时将编制的专项方案报送公司或 分(子)公司总工办审核。超过一定规模的危险性较大分部分项工程安全专项方案编制后，项目部应组织有关专家对方案进行论证，并根据专家组提供的论证报告修改完善专项方案，并经目总监理工程师、建设单位项目负责人签字后，方可组织实施。</w:t>
      </w:r>
    </w:p>
    <w:p w14:paraId="16E2EA67">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（5）</w:t>
      </w:r>
      <w:r>
        <w:rPr>
          <w:highlight w:val="none"/>
        </w:rPr>
        <w:t>危险作业</w:t>
      </w:r>
      <w:r>
        <w:rPr>
          <w:rFonts w:hint="eastAsia"/>
          <w:highlight w:val="none"/>
          <w:lang w:val="en-US" w:eastAsia="zh-CN"/>
        </w:rPr>
        <w:t>许可</w:t>
      </w:r>
      <w:r>
        <w:rPr>
          <w:highlight w:val="none"/>
        </w:rPr>
        <w:t>制度</w:t>
      </w:r>
      <w:r>
        <w:rPr>
          <w:rFonts w:hint="eastAsia"/>
          <w:highlight w:val="none"/>
          <w:lang w:eastAsia="zh-CN"/>
        </w:rPr>
        <w:t>。</w:t>
      </w:r>
      <w:r>
        <w:rPr>
          <w:rFonts w:ascii="宋体" w:hAnsi="宋体" w:eastAsia="宋体" w:cs="Times New Roman"/>
          <w:highlight w:val="none"/>
        </w:rPr>
        <w:t>项目实施前，项目</w:t>
      </w:r>
      <w:r>
        <w:rPr>
          <w:rFonts w:hint="eastAsia" w:ascii="宋体" w:hAnsi="宋体" w:eastAsia="宋体" w:cs="Times New Roman"/>
          <w:highlight w:val="none"/>
        </w:rPr>
        <w:t>经理</w:t>
      </w:r>
      <w:r>
        <w:rPr>
          <w:rFonts w:ascii="宋体" w:hAnsi="宋体" w:eastAsia="宋体" w:cs="Times New Roman"/>
          <w:highlight w:val="none"/>
        </w:rPr>
        <w:t>部生产管理部门应根据危险源辨识情况，确定项目中存在的危险作业,并作为现场安全管控重点，做好相关的安全技术措施准备工作。危险作业计划施工时，负责该施工作业的工长</w:t>
      </w:r>
      <w:r>
        <w:rPr>
          <w:rFonts w:hint="eastAsia" w:ascii="宋体" w:hAnsi="宋体" w:eastAsia="宋体" w:cs="Times New Roman"/>
          <w:highlight w:val="none"/>
        </w:rPr>
        <w:t>（项目现场总监）</w:t>
      </w:r>
      <w:r>
        <w:rPr>
          <w:rFonts w:ascii="宋体" w:hAnsi="宋体" w:eastAsia="宋体" w:cs="Times New Roman"/>
          <w:highlight w:val="none"/>
        </w:rPr>
        <w:t>或工程管理人员应于施工前至少7日，向现场的生产</w:t>
      </w:r>
      <w:r>
        <w:rPr>
          <w:rFonts w:hint="eastAsia" w:ascii="宋体" w:hAnsi="宋体" w:eastAsia="宋体" w:cs="Times New Roman"/>
          <w:highlight w:val="none"/>
        </w:rPr>
        <w:t>副</w:t>
      </w:r>
      <w:r>
        <w:rPr>
          <w:rFonts w:ascii="宋体" w:hAnsi="宋体" w:eastAsia="宋体" w:cs="Times New Roman"/>
          <w:highlight w:val="none"/>
        </w:rPr>
        <w:t>经理提出作业申请。接到危险作业施工申请后，生产</w:t>
      </w:r>
      <w:r>
        <w:rPr>
          <w:rFonts w:hint="eastAsia" w:ascii="宋体" w:hAnsi="宋体" w:eastAsia="宋体" w:cs="Times New Roman"/>
          <w:highlight w:val="none"/>
        </w:rPr>
        <w:t>副</w:t>
      </w:r>
      <w:r>
        <w:rPr>
          <w:rFonts w:ascii="宋体" w:hAnsi="宋体" w:eastAsia="宋体" w:cs="Times New Roman"/>
          <w:highlight w:val="none"/>
        </w:rPr>
        <w:t>经理应会同技术负责人、</w:t>
      </w:r>
      <w:r>
        <w:rPr>
          <w:rFonts w:hint="eastAsia" w:ascii="宋体" w:hAnsi="宋体" w:eastAsia="宋体" w:cs="Times New Roman"/>
          <w:highlight w:val="none"/>
        </w:rPr>
        <w:t>分管设备副经理、</w:t>
      </w:r>
      <w:r>
        <w:rPr>
          <w:rFonts w:ascii="宋体" w:hAnsi="宋体" w:eastAsia="宋体" w:cs="Times New Roman"/>
          <w:highlight w:val="none"/>
        </w:rPr>
        <w:t>安全总监组织班组长、</w:t>
      </w:r>
      <w:r>
        <w:rPr>
          <w:rFonts w:hint="eastAsia" w:ascii="宋体" w:hAnsi="宋体" w:eastAsia="宋体" w:cs="Times New Roman"/>
          <w:highlight w:val="none"/>
        </w:rPr>
        <w:t>生产</w:t>
      </w:r>
      <w:r>
        <w:rPr>
          <w:rFonts w:ascii="宋体" w:hAnsi="宋体" w:eastAsia="宋体" w:cs="Times New Roman"/>
          <w:highlight w:val="none"/>
        </w:rPr>
        <w:t>、技术、质量、</w:t>
      </w:r>
      <w:r>
        <w:rPr>
          <w:rFonts w:hint="eastAsia" w:ascii="宋体" w:hAnsi="宋体" w:eastAsia="宋体" w:cs="Times New Roman"/>
          <w:highlight w:val="none"/>
        </w:rPr>
        <w:t>设备</w:t>
      </w:r>
      <w:r>
        <w:rPr>
          <w:rFonts w:ascii="宋体" w:hAnsi="宋体" w:eastAsia="宋体" w:cs="Times New Roman"/>
          <w:highlight w:val="none"/>
        </w:rPr>
        <w:t>、安全等管理部门进行现场作业条件确认。项目技术负责人、生产</w:t>
      </w:r>
      <w:r>
        <w:rPr>
          <w:rFonts w:hint="eastAsia" w:ascii="宋体" w:hAnsi="宋体" w:eastAsia="宋体" w:cs="Times New Roman"/>
          <w:highlight w:val="none"/>
        </w:rPr>
        <w:t>副</w:t>
      </w:r>
      <w:r>
        <w:rPr>
          <w:rFonts w:ascii="宋体" w:hAnsi="宋体" w:eastAsia="宋体" w:cs="Times New Roman"/>
          <w:highlight w:val="none"/>
        </w:rPr>
        <w:t>经理</w:t>
      </w:r>
      <w:r>
        <w:rPr>
          <w:rFonts w:hint="eastAsia" w:ascii="宋体" w:hAnsi="宋体" w:eastAsia="宋体" w:cs="Times New Roman"/>
          <w:highlight w:val="none"/>
        </w:rPr>
        <w:t>、分管设备副经理</w:t>
      </w:r>
      <w:r>
        <w:rPr>
          <w:rFonts w:ascii="宋体" w:hAnsi="宋体" w:eastAsia="宋体" w:cs="Times New Roman"/>
          <w:highlight w:val="none"/>
        </w:rPr>
        <w:t>和安全总监应当根据检查结果对作业条件进行复核。技术负责人负责有关工程技术质量内容的检查复核，</w:t>
      </w:r>
      <w:r>
        <w:rPr>
          <w:rFonts w:hint="eastAsia" w:ascii="宋体" w:hAnsi="宋体" w:eastAsia="宋体" w:cs="Times New Roman"/>
          <w:highlight w:val="none"/>
        </w:rPr>
        <w:t>分管设备副</w:t>
      </w:r>
      <w:r>
        <w:rPr>
          <w:rFonts w:ascii="宋体" w:hAnsi="宋体" w:eastAsia="宋体" w:cs="Times New Roman"/>
          <w:highlight w:val="none"/>
        </w:rPr>
        <w:t>经理负责设备</w:t>
      </w:r>
      <w:r>
        <w:rPr>
          <w:rFonts w:hint="eastAsia" w:ascii="宋体" w:hAnsi="宋体" w:eastAsia="宋体" w:cs="Times New Roman"/>
          <w:highlight w:val="none"/>
        </w:rPr>
        <w:t>的检查复核，生产副经理负责</w:t>
      </w:r>
      <w:r>
        <w:rPr>
          <w:rFonts w:ascii="宋体" w:hAnsi="宋体" w:eastAsia="宋体" w:cs="Times New Roman"/>
          <w:highlight w:val="none"/>
        </w:rPr>
        <w:t>安全防护设施的检查复核，安全总监负责监督现场条件确认的落实情况。</w:t>
      </w:r>
    </w:p>
    <w:p w14:paraId="7D6D5406">
      <w:pPr>
        <w:keepNext w:val="0"/>
        <w:keepLines w:val="0"/>
        <w:widowControl/>
        <w:suppressLineNumbers w:val="0"/>
        <w:ind w:firstLine="480" w:firstLineChars="200"/>
        <w:jc w:val="left"/>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cs="Times New Roman"/>
          <w:highlight w:val="none"/>
          <w:lang w:val="en-US" w:eastAsia="zh-CN"/>
        </w:rPr>
        <w:t>安全风险分级管控制度。</w:t>
      </w:r>
      <w:r>
        <w:rPr>
          <w:rFonts w:hint="eastAsia" w:ascii="宋体" w:hAnsi="宋体" w:eastAsia="宋体" w:cs="宋体"/>
          <w:color w:val="000000"/>
          <w:kern w:val="0"/>
          <w:sz w:val="24"/>
          <w:szCs w:val="24"/>
          <w:highlight w:val="none"/>
          <w:lang w:val="en-US" w:eastAsia="zh-CN" w:bidi="ar"/>
        </w:rPr>
        <w:t xml:space="preserve">安全生产风险管控遵循风险级别越高管控层级越高的原则，并符合下列要求： </w:t>
      </w:r>
    </w:p>
    <w:p w14:paraId="7B9BF1E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 xml:space="preserve">、对于较大风险和重大风险应重点进行管控； </w:t>
      </w:r>
    </w:p>
    <w:p w14:paraId="4CF1E0C9">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b</w:t>
      </w:r>
      <w:r>
        <w:rPr>
          <w:rFonts w:hint="eastAsia" w:ascii="宋体" w:hAnsi="宋体" w:eastAsia="宋体" w:cs="宋体"/>
          <w:color w:val="000000"/>
          <w:kern w:val="0"/>
          <w:sz w:val="24"/>
          <w:szCs w:val="24"/>
          <w:highlight w:val="none"/>
          <w:lang w:val="en-US" w:eastAsia="zh-CN" w:bidi="ar"/>
        </w:rPr>
        <w:t xml:space="preserve">、上一级负责管控的施工安全风险，下一级必须同时负责具体管控，并逐级落实具体措施； </w:t>
      </w:r>
    </w:p>
    <w:p w14:paraId="2733896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宋体" w:hAnsi="宋体" w:eastAsia="宋体" w:cs="宋体"/>
          <w:color w:val="000000"/>
          <w:kern w:val="0"/>
          <w:sz w:val="24"/>
          <w:szCs w:val="24"/>
          <w:highlight w:val="none"/>
          <w:lang w:val="en-US" w:eastAsia="zh-CN" w:bidi="ar"/>
        </w:rPr>
        <w:t xml:space="preserve">、管控层级可进行增加或提级； </w:t>
      </w:r>
    </w:p>
    <w:p w14:paraId="2C795EA4">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、风险管控采取公示告知、组织编制并落实专项施工方案、带班跟班作业、上级监督检查等方式予以管控。</w:t>
      </w:r>
    </w:p>
    <w:p w14:paraId="7CDD4499">
      <w:pPr>
        <w:bidi w:val="0"/>
        <w:ind w:firstLine="480" w:firstLineChars="200"/>
        <w:rPr>
          <w:highlight w:val="none"/>
        </w:rPr>
      </w:pPr>
      <w:r>
        <w:rPr>
          <w:rFonts w:hint="eastAsia"/>
          <w:highlight w:val="none"/>
          <w:lang w:val="en-US" w:eastAsia="zh-CN"/>
        </w:rPr>
        <w:t>项目部应加强安全生产风险的现场监控，明确分管领导、现场负责人，配齐生产、技术、安全、设备、班组长等相关人员，做好领导带班生产、管理人员跟班作业等，结合日常各项工作，实行网格化管理，实施监测预警，在相应方案中明确监控对象、监测指标及阈值、分级预警及处置流程等，按方案进行风险预警处置。较大风险（Ⅲ级）点、重大风险（</w:t>
      </w:r>
      <w:r>
        <w:rPr>
          <w:rFonts w:hint="default"/>
          <w:highlight w:val="none"/>
          <w:lang w:val="en-US" w:eastAsia="zh-CN"/>
        </w:rPr>
        <w:t>IV</w:t>
      </w:r>
      <w:r>
        <w:rPr>
          <w:rFonts w:hint="eastAsia"/>
          <w:highlight w:val="none"/>
          <w:lang w:val="en-US" w:eastAsia="zh-CN"/>
        </w:rPr>
        <w:t>级）点由生产管理部督促安装远程视频监控，分别接入分子公司、公司生产指挥中心。</w:t>
      </w:r>
    </w:p>
    <w:p w14:paraId="7B854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（8）事故隐患排查治理制度</w:t>
      </w:r>
    </w:p>
    <w:p w14:paraId="7FDA0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一般事故隐患由项目部安全管理部门和检查部门督促责任工区、责任部门或者责任分包作业单位整改落实，并组织验收。</w:t>
      </w:r>
    </w:p>
    <w:p w14:paraId="53CE5F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重大事故隐患由项目主要负责人组织制定、实施事故隐患 治理方案，并组织验收；安全管理部门负责督促整改落实。重 大事故隐患治理方案应当包括以下内容：</w:t>
      </w:r>
    </w:p>
    <w:p w14:paraId="71C41332">
      <w:pPr>
        <w:bidi w:val="0"/>
        <w:ind w:firstLine="480" w:firstLineChars="200"/>
        <w:rPr>
          <w:rFonts w:hint="eastAsia"/>
          <w:highlight w:val="none"/>
          <w:lang w:val="en-US" w:eastAsia="zh-CN"/>
        </w:rPr>
      </w:pPr>
      <w:bookmarkStart w:id="240" w:name="（一）治理的目标和任务；"/>
      <w:bookmarkEnd w:id="240"/>
      <w:r>
        <w:rPr>
          <w:rFonts w:hint="eastAsia"/>
          <w:highlight w:val="none"/>
          <w:lang w:val="en-US" w:eastAsia="zh-CN"/>
        </w:rPr>
        <w:t>（一）治理的目标和任务；</w:t>
      </w:r>
    </w:p>
    <w:p w14:paraId="544E3A26">
      <w:pPr>
        <w:bidi w:val="0"/>
        <w:ind w:firstLine="480" w:firstLineChars="200"/>
        <w:rPr>
          <w:rFonts w:hint="eastAsia"/>
          <w:highlight w:val="none"/>
          <w:lang w:val="en-US" w:eastAsia="zh-CN"/>
        </w:rPr>
      </w:pPr>
      <w:bookmarkStart w:id="241" w:name="（二）采取的方法和措施；"/>
      <w:bookmarkEnd w:id="241"/>
      <w:r>
        <w:rPr>
          <w:rFonts w:hint="eastAsia"/>
          <w:highlight w:val="none"/>
          <w:lang w:val="en-US" w:eastAsia="zh-CN"/>
        </w:rPr>
        <w:t>（二）采取的方法和措施；</w:t>
      </w:r>
    </w:p>
    <w:p w14:paraId="3F84DE8C">
      <w:pPr>
        <w:bidi w:val="0"/>
        <w:ind w:firstLine="480" w:firstLineChars="200"/>
        <w:rPr>
          <w:rFonts w:hint="eastAsia"/>
          <w:highlight w:val="none"/>
          <w:lang w:val="en-US" w:eastAsia="zh-CN"/>
        </w:rPr>
      </w:pPr>
      <w:bookmarkStart w:id="242" w:name="（三）经费和物资的落实；"/>
      <w:bookmarkEnd w:id="242"/>
      <w:r>
        <w:rPr>
          <w:rFonts w:hint="eastAsia"/>
          <w:highlight w:val="none"/>
          <w:lang w:val="en-US" w:eastAsia="zh-CN"/>
        </w:rPr>
        <w:t>（三）经费和物资的落实；</w:t>
      </w:r>
    </w:p>
    <w:p w14:paraId="678ABD47">
      <w:pPr>
        <w:bidi w:val="0"/>
        <w:ind w:firstLine="480" w:firstLineChars="200"/>
        <w:rPr>
          <w:rFonts w:hint="eastAsia"/>
          <w:highlight w:val="none"/>
          <w:lang w:val="en-US" w:eastAsia="zh-CN"/>
        </w:rPr>
      </w:pPr>
      <w:bookmarkStart w:id="243" w:name="（四）负责治理的机构和人员；"/>
      <w:bookmarkEnd w:id="243"/>
      <w:r>
        <w:rPr>
          <w:rFonts w:hint="eastAsia"/>
          <w:highlight w:val="none"/>
          <w:lang w:val="en-US" w:eastAsia="zh-CN"/>
        </w:rPr>
        <w:t>（四）负责治理的机构和人员；</w:t>
      </w:r>
    </w:p>
    <w:p w14:paraId="1693D4AE">
      <w:pPr>
        <w:bidi w:val="0"/>
        <w:ind w:firstLine="480" w:firstLineChars="200"/>
        <w:rPr>
          <w:rFonts w:hint="eastAsia"/>
          <w:highlight w:val="none"/>
          <w:lang w:val="en-US" w:eastAsia="zh-CN"/>
        </w:rPr>
      </w:pPr>
      <w:bookmarkStart w:id="244" w:name="（五）治理的时限和要求；"/>
      <w:bookmarkEnd w:id="244"/>
      <w:r>
        <w:rPr>
          <w:rFonts w:hint="eastAsia"/>
          <w:highlight w:val="none"/>
          <w:lang w:val="en-US" w:eastAsia="zh-CN"/>
        </w:rPr>
        <w:t>（五）治理的时限和要求；</w:t>
      </w:r>
    </w:p>
    <w:p w14:paraId="2DF9302D">
      <w:pPr>
        <w:bidi w:val="0"/>
        <w:ind w:firstLine="480" w:firstLineChars="200"/>
        <w:rPr>
          <w:rFonts w:hint="eastAsia"/>
          <w:highlight w:val="none"/>
          <w:lang w:val="en-US" w:eastAsia="zh-CN"/>
        </w:rPr>
      </w:pPr>
      <w:bookmarkStart w:id="245" w:name="（六）安全措施和应急预案。"/>
      <w:bookmarkEnd w:id="245"/>
      <w:r>
        <w:rPr>
          <w:rFonts w:hint="eastAsia"/>
          <w:highlight w:val="none"/>
          <w:lang w:val="en-US" w:eastAsia="zh-CN"/>
        </w:rPr>
        <w:t>（六）安全措施和应急预案。</w:t>
      </w:r>
      <w:bookmarkStart w:id="246" w:name="第十三条【事故隐患治理防范】"/>
      <w:bookmarkEnd w:id="246"/>
      <w:r>
        <w:rPr>
          <w:rFonts w:hint="eastAsia"/>
          <w:highlight w:val="none"/>
          <w:lang w:val="en-US" w:eastAsia="zh-CN"/>
        </w:rPr>
        <w:t xml:space="preserve"> </w:t>
      </w:r>
    </w:p>
    <w:p w14:paraId="561D06F1">
      <w:pPr>
        <w:bidi w:val="0"/>
        <w:ind w:left="480" w:leftChars="200" w:firstLine="0" w:firstLineChars="0"/>
        <w:rPr>
          <w:highlight w:val="none"/>
        </w:rPr>
      </w:pPr>
      <w:r>
        <w:rPr>
          <w:rFonts w:hint="eastAsia"/>
          <w:highlight w:val="none"/>
        </w:rPr>
        <w:t>建立和完善塔式起重机安装作业各岗位（领导、相关部门）安全生产职责。严格按照各岗位安全生产职责执行。</w:t>
      </w:r>
    </w:p>
    <w:p w14:paraId="1BD61A76">
      <w:pPr>
        <w:bidi w:val="0"/>
        <w:ind w:firstLine="480" w:firstLineChars="200"/>
        <w:rPr>
          <w:highlight w:val="none"/>
        </w:rPr>
      </w:pPr>
      <w:r>
        <w:rPr>
          <w:rFonts w:hint="eastAsia"/>
          <w:highlight w:val="none"/>
        </w:rPr>
        <w:t>项目部从项目经理至作业员应层层明确安全岗位职责，确保安全工作有章可循。各部门安全岗位职责分工参见表</w:t>
      </w:r>
      <w:r>
        <w:rPr>
          <w:rFonts w:hint="eastAsia"/>
          <w:highlight w:val="none"/>
          <w:lang w:val="en-US" w:eastAsia="zh-CN"/>
        </w:rPr>
        <w:t>6</w:t>
      </w:r>
      <w:r>
        <w:rPr>
          <w:rFonts w:hint="eastAsia"/>
          <w:highlight w:val="none"/>
        </w:rPr>
        <w:t>.2-1</w:t>
      </w:r>
    </w:p>
    <w:p w14:paraId="73762266">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表6.2-1 安全生产岗位职责分工</w:t>
      </w:r>
    </w:p>
    <w:tbl>
      <w:tblPr>
        <w:tblStyle w:val="28"/>
        <w:tblW w:w="90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71"/>
        <w:gridCol w:w="5765"/>
      </w:tblGrid>
      <w:tr w14:paraId="0946B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5781EF2F">
            <w:pPr>
              <w:pStyle w:val="102"/>
              <w:bidi w:val="0"/>
              <w:rPr>
                <w:rFonts w:hint="eastAsia"/>
                <w:highlight w:val="none"/>
              </w:rPr>
            </w:pPr>
            <w:r>
              <w:rPr>
                <w:rFonts w:hint="eastAsia"/>
                <w:highlight w:val="none"/>
              </w:rPr>
              <w:t>安全生产</w:t>
            </w:r>
          </w:p>
          <w:p w14:paraId="1279BAEF">
            <w:pPr>
              <w:pStyle w:val="102"/>
              <w:bidi w:val="0"/>
              <w:rPr>
                <w:rFonts w:hint="eastAsia"/>
                <w:highlight w:val="none"/>
              </w:rPr>
            </w:pPr>
            <w:r>
              <w:rPr>
                <w:rFonts w:hint="eastAsia"/>
                <w:highlight w:val="none"/>
              </w:rPr>
              <w:t>领导小组</w:t>
            </w:r>
          </w:p>
        </w:tc>
        <w:tc>
          <w:tcPr>
            <w:tcW w:w="1035" w:type="dxa"/>
            <w:vAlign w:val="center"/>
          </w:tcPr>
          <w:p w14:paraId="08F995A6">
            <w:pPr>
              <w:pStyle w:val="102"/>
              <w:bidi w:val="0"/>
              <w:rPr>
                <w:rFonts w:hint="eastAsia"/>
                <w:highlight w:val="none"/>
              </w:rPr>
            </w:pPr>
            <w:r>
              <w:rPr>
                <w:rFonts w:hint="eastAsia"/>
                <w:highlight w:val="none"/>
              </w:rPr>
              <w:t>责任人</w:t>
            </w:r>
          </w:p>
        </w:tc>
        <w:tc>
          <w:tcPr>
            <w:tcW w:w="1171" w:type="dxa"/>
            <w:vAlign w:val="center"/>
          </w:tcPr>
          <w:p w14:paraId="4F5641BB">
            <w:pPr>
              <w:pStyle w:val="102"/>
              <w:bidi w:val="0"/>
              <w:rPr>
                <w:rFonts w:hint="eastAsia"/>
                <w:highlight w:val="none"/>
              </w:rPr>
            </w:pPr>
            <w:r>
              <w:rPr>
                <w:rFonts w:hint="eastAsia"/>
                <w:highlight w:val="none"/>
              </w:rPr>
              <w:t>职  务</w:t>
            </w:r>
          </w:p>
        </w:tc>
        <w:tc>
          <w:tcPr>
            <w:tcW w:w="5765" w:type="dxa"/>
            <w:vAlign w:val="center"/>
          </w:tcPr>
          <w:p w14:paraId="5DE0978F">
            <w:pPr>
              <w:pStyle w:val="102"/>
              <w:bidi w:val="0"/>
              <w:rPr>
                <w:rFonts w:hint="eastAsia"/>
                <w:highlight w:val="none"/>
              </w:rPr>
            </w:pPr>
            <w:r>
              <w:rPr>
                <w:rFonts w:hint="eastAsia"/>
                <w:highlight w:val="none"/>
              </w:rPr>
              <w:t>职责分工</w:t>
            </w:r>
          </w:p>
        </w:tc>
      </w:tr>
      <w:tr w14:paraId="6B7C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64C3508C">
            <w:pPr>
              <w:pStyle w:val="102"/>
              <w:bidi w:val="0"/>
              <w:rPr>
                <w:rFonts w:hint="eastAsia"/>
                <w:highlight w:val="none"/>
              </w:rPr>
            </w:pPr>
            <w:r>
              <w:rPr>
                <w:rFonts w:hint="eastAsia"/>
                <w:highlight w:val="none"/>
              </w:rPr>
              <w:t>组  长</w:t>
            </w:r>
          </w:p>
        </w:tc>
        <w:tc>
          <w:tcPr>
            <w:tcW w:w="1035" w:type="dxa"/>
            <w:vAlign w:val="center"/>
          </w:tcPr>
          <w:p w14:paraId="2D2ED6CA">
            <w:pPr>
              <w:pStyle w:val="102"/>
              <w:bidi w:val="0"/>
              <w:rPr>
                <w:rFonts w:hint="eastAsia"/>
                <w:highlight w:val="none"/>
                <w:lang w:val="en-US" w:eastAsia="zh-CN"/>
              </w:rPr>
            </w:pPr>
            <w:r>
              <w:rPr>
                <w:rFonts w:hint="eastAsia"/>
                <w:highlight w:val="none"/>
                <w:lang w:val="en-US" w:eastAsia="zh-CN"/>
              </w:rPr>
              <w:t>程金平</w:t>
            </w:r>
          </w:p>
        </w:tc>
        <w:tc>
          <w:tcPr>
            <w:tcW w:w="1171" w:type="dxa"/>
            <w:vAlign w:val="center"/>
          </w:tcPr>
          <w:p w14:paraId="188AC164">
            <w:pPr>
              <w:pStyle w:val="102"/>
              <w:bidi w:val="0"/>
              <w:rPr>
                <w:rFonts w:hint="eastAsia"/>
                <w:highlight w:val="none"/>
              </w:rPr>
            </w:pPr>
            <w:r>
              <w:rPr>
                <w:rFonts w:hint="eastAsia"/>
                <w:highlight w:val="none"/>
              </w:rPr>
              <w:t>项目经理</w:t>
            </w:r>
          </w:p>
        </w:tc>
        <w:tc>
          <w:tcPr>
            <w:tcW w:w="5765" w:type="dxa"/>
            <w:vAlign w:val="center"/>
          </w:tcPr>
          <w:p w14:paraId="2C486402">
            <w:pPr>
              <w:pStyle w:val="102"/>
              <w:bidi w:val="0"/>
              <w:rPr>
                <w:rFonts w:hint="eastAsia"/>
                <w:highlight w:val="none"/>
              </w:rPr>
            </w:pPr>
            <w:r>
              <w:rPr>
                <w:rFonts w:hint="eastAsia"/>
                <w:highlight w:val="none"/>
              </w:rPr>
              <w:t>安全第一责任人，主要负责进行定期或不定期安全大检查，及时解决安全隐患；组织项目部各部门进行全员安全教育，开展安全生产竞赛，发布安全生产奖惩办法与奖惩决定；主持处理安全事故，提出今后事故预防措施，并督促实施。</w:t>
            </w:r>
          </w:p>
        </w:tc>
      </w:tr>
      <w:tr w14:paraId="04C1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592385A5">
            <w:pPr>
              <w:pStyle w:val="102"/>
              <w:bidi w:val="0"/>
              <w:rPr>
                <w:rFonts w:hint="eastAsia"/>
                <w:highlight w:val="none"/>
              </w:rPr>
            </w:pPr>
            <w:r>
              <w:rPr>
                <w:rFonts w:hint="eastAsia"/>
                <w:highlight w:val="none"/>
              </w:rPr>
              <w:t>副组长</w:t>
            </w:r>
          </w:p>
        </w:tc>
        <w:tc>
          <w:tcPr>
            <w:tcW w:w="1035" w:type="dxa"/>
            <w:vAlign w:val="center"/>
          </w:tcPr>
          <w:p w14:paraId="2CDCAA1D">
            <w:pPr>
              <w:pStyle w:val="102"/>
              <w:bidi w:val="0"/>
              <w:rPr>
                <w:rFonts w:hint="eastAsia"/>
                <w:highlight w:val="none"/>
                <w:lang w:val="en-US" w:eastAsia="zh-CN"/>
              </w:rPr>
            </w:pPr>
            <w:r>
              <w:rPr>
                <w:rFonts w:hint="eastAsia"/>
                <w:highlight w:val="none"/>
                <w:lang w:val="en-US" w:eastAsia="zh-CN"/>
              </w:rPr>
              <w:t>赵凯</w:t>
            </w:r>
          </w:p>
        </w:tc>
        <w:tc>
          <w:tcPr>
            <w:tcW w:w="1171" w:type="dxa"/>
            <w:vAlign w:val="center"/>
          </w:tcPr>
          <w:p w14:paraId="3DD93FB3">
            <w:pPr>
              <w:pStyle w:val="102"/>
              <w:bidi w:val="0"/>
              <w:rPr>
                <w:rFonts w:hint="eastAsia"/>
                <w:highlight w:val="none"/>
              </w:rPr>
            </w:pPr>
            <w:r>
              <w:rPr>
                <w:rFonts w:hint="eastAsia"/>
                <w:highlight w:val="none"/>
              </w:rPr>
              <w:t>项目书记</w:t>
            </w:r>
          </w:p>
        </w:tc>
        <w:tc>
          <w:tcPr>
            <w:tcW w:w="5765" w:type="dxa"/>
            <w:vAlign w:val="center"/>
          </w:tcPr>
          <w:p w14:paraId="767CF32B">
            <w:pPr>
              <w:pStyle w:val="102"/>
              <w:bidi w:val="0"/>
              <w:rPr>
                <w:rFonts w:hint="eastAsia"/>
                <w:highlight w:val="none"/>
              </w:rPr>
            </w:pPr>
            <w:r>
              <w:rPr>
                <w:rFonts w:hint="eastAsia"/>
                <w:highlight w:val="none"/>
              </w:rPr>
              <w:t>安全生产直接责任人，主要负责制定各种安全生产岗位责任制，并检查、督促、执行落实；安排日常安全工作，定期召开安全例会，分析安全情况，找出存在的问题，采取措施，并组织实施；经常深入现场检查设备、工具、生产、安全设施等情况，及时消除隐患。</w:t>
            </w:r>
          </w:p>
        </w:tc>
      </w:tr>
      <w:tr w14:paraId="50E9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761F89BA">
            <w:pPr>
              <w:pStyle w:val="102"/>
              <w:bidi w:val="0"/>
              <w:rPr>
                <w:rFonts w:hint="eastAsia"/>
                <w:highlight w:val="none"/>
              </w:rPr>
            </w:pPr>
          </w:p>
        </w:tc>
        <w:tc>
          <w:tcPr>
            <w:tcW w:w="1035" w:type="dxa"/>
            <w:vAlign w:val="center"/>
          </w:tcPr>
          <w:p w14:paraId="77F756A8">
            <w:pPr>
              <w:pStyle w:val="102"/>
              <w:bidi w:val="0"/>
              <w:rPr>
                <w:rFonts w:hint="eastAsia"/>
                <w:highlight w:val="none"/>
                <w:lang w:val="en-US" w:eastAsia="zh-CN"/>
              </w:rPr>
            </w:pPr>
            <w:r>
              <w:rPr>
                <w:rFonts w:hint="eastAsia"/>
                <w:highlight w:val="none"/>
                <w:lang w:val="en-US" w:eastAsia="zh-CN"/>
              </w:rPr>
              <w:t>刘海</w:t>
            </w:r>
          </w:p>
        </w:tc>
        <w:tc>
          <w:tcPr>
            <w:tcW w:w="1171" w:type="dxa"/>
            <w:vAlign w:val="center"/>
          </w:tcPr>
          <w:p w14:paraId="2F9600DA">
            <w:pPr>
              <w:pStyle w:val="102"/>
              <w:bidi w:val="0"/>
              <w:rPr>
                <w:rFonts w:hint="eastAsia"/>
                <w:highlight w:val="none"/>
              </w:rPr>
            </w:pPr>
            <w:r>
              <w:rPr>
                <w:rFonts w:hint="eastAsia"/>
                <w:highlight w:val="none"/>
              </w:rPr>
              <w:t>项目总工</w:t>
            </w:r>
          </w:p>
        </w:tc>
        <w:tc>
          <w:tcPr>
            <w:tcW w:w="5765" w:type="dxa"/>
            <w:vAlign w:val="center"/>
          </w:tcPr>
          <w:p w14:paraId="1A10AF82">
            <w:pPr>
              <w:pStyle w:val="102"/>
              <w:bidi w:val="0"/>
              <w:rPr>
                <w:rFonts w:hint="eastAsia"/>
                <w:highlight w:val="none"/>
              </w:rPr>
            </w:pPr>
            <w:r>
              <w:rPr>
                <w:rFonts w:hint="eastAsia"/>
                <w:highlight w:val="none"/>
              </w:rPr>
              <w:t>组织编制、审定施工方案，审核技术文件和处理技术问题时，必须贯彻安全生产的原则；指导安全技术教育，组织安全专业技术培训；参加伤亡事故的调查处理，负责作出技术性结论。</w:t>
            </w:r>
          </w:p>
        </w:tc>
      </w:tr>
      <w:tr w14:paraId="1A861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9A88EF">
            <w:pPr>
              <w:pStyle w:val="102"/>
              <w:bidi w:val="0"/>
              <w:rPr>
                <w:rFonts w:hint="eastAsia"/>
                <w:highlight w:val="none"/>
              </w:rPr>
            </w:pPr>
          </w:p>
        </w:tc>
        <w:tc>
          <w:tcPr>
            <w:tcW w:w="1035" w:type="dxa"/>
            <w:vAlign w:val="center"/>
          </w:tcPr>
          <w:p w14:paraId="4EE389BE">
            <w:pPr>
              <w:pStyle w:val="102"/>
              <w:bidi w:val="0"/>
              <w:rPr>
                <w:rFonts w:hint="default"/>
                <w:highlight w:val="none"/>
                <w:lang w:val="en-US" w:eastAsia="zh-CN"/>
              </w:rPr>
            </w:pPr>
            <w:r>
              <w:rPr>
                <w:rFonts w:hint="eastAsia"/>
                <w:highlight w:val="none"/>
                <w:lang w:val="en-US" w:eastAsia="zh-CN"/>
              </w:rPr>
              <w:t>李野</w:t>
            </w:r>
          </w:p>
        </w:tc>
        <w:tc>
          <w:tcPr>
            <w:tcW w:w="1171" w:type="dxa"/>
            <w:vAlign w:val="center"/>
          </w:tcPr>
          <w:p w14:paraId="42315458">
            <w:pPr>
              <w:pStyle w:val="102"/>
              <w:bidi w:val="0"/>
              <w:rPr>
                <w:rFonts w:hint="eastAsia"/>
                <w:highlight w:val="none"/>
              </w:rPr>
            </w:pPr>
            <w:r>
              <w:rPr>
                <w:rFonts w:hint="eastAsia"/>
                <w:highlight w:val="none"/>
              </w:rPr>
              <w:t>副经理</w:t>
            </w:r>
          </w:p>
        </w:tc>
        <w:tc>
          <w:tcPr>
            <w:tcW w:w="5765" w:type="dxa"/>
            <w:vAlign w:val="center"/>
          </w:tcPr>
          <w:p w14:paraId="22275A84">
            <w:pPr>
              <w:pStyle w:val="102"/>
              <w:bidi w:val="0"/>
              <w:rPr>
                <w:rFonts w:hint="eastAsia"/>
                <w:highlight w:val="none"/>
              </w:rPr>
            </w:pPr>
            <w:r>
              <w:rPr>
                <w:rFonts w:hint="eastAsia"/>
                <w:highlight w:val="none"/>
              </w:rPr>
              <w:t>对项目安全生产承担直接责任、执行公司各项安全生产规定，贯彻项目部的安全管理制度；审查施工方案中提出的安全技术保证措施；提出安全生产奖惩意见；事故发生后，组织事故的调查、分析、处理和上报工作；参与事故的调查、处理和整改隐患。</w:t>
            </w:r>
          </w:p>
        </w:tc>
      </w:tr>
      <w:tr w14:paraId="6A7C5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3450C983">
            <w:pPr>
              <w:pStyle w:val="102"/>
              <w:bidi w:val="0"/>
              <w:rPr>
                <w:rFonts w:hint="eastAsia"/>
                <w:highlight w:val="none"/>
              </w:rPr>
            </w:pPr>
            <w:r>
              <w:rPr>
                <w:rFonts w:hint="eastAsia"/>
                <w:highlight w:val="none"/>
              </w:rPr>
              <w:t>组  员</w:t>
            </w:r>
          </w:p>
        </w:tc>
        <w:tc>
          <w:tcPr>
            <w:tcW w:w="1035" w:type="dxa"/>
            <w:vAlign w:val="center"/>
          </w:tcPr>
          <w:p w14:paraId="6BDB42A5">
            <w:pPr>
              <w:pStyle w:val="102"/>
              <w:bidi w:val="0"/>
              <w:rPr>
                <w:rFonts w:hint="eastAsia"/>
                <w:highlight w:val="none"/>
                <w:lang w:val="en-US" w:eastAsia="zh-CN"/>
              </w:rPr>
            </w:pPr>
            <w:r>
              <w:rPr>
                <w:rFonts w:hint="eastAsia"/>
                <w:highlight w:val="none"/>
                <w:lang w:val="en-US" w:eastAsia="zh-CN"/>
              </w:rPr>
              <w:t>岳蛟</w:t>
            </w:r>
          </w:p>
        </w:tc>
        <w:tc>
          <w:tcPr>
            <w:tcW w:w="1171" w:type="dxa"/>
            <w:vAlign w:val="center"/>
          </w:tcPr>
          <w:p w14:paraId="638C7639">
            <w:pPr>
              <w:pStyle w:val="102"/>
              <w:bidi w:val="0"/>
              <w:rPr>
                <w:rFonts w:hint="eastAsia"/>
                <w:highlight w:val="none"/>
              </w:rPr>
            </w:pPr>
            <w:r>
              <w:rPr>
                <w:rFonts w:hint="eastAsia"/>
                <w:highlight w:val="none"/>
              </w:rPr>
              <w:t>质检部部长</w:t>
            </w:r>
          </w:p>
        </w:tc>
        <w:tc>
          <w:tcPr>
            <w:tcW w:w="5765" w:type="dxa"/>
            <w:vAlign w:val="center"/>
          </w:tcPr>
          <w:p w14:paraId="15CFD5DF">
            <w:pPr>
              <w:pStyle w:val="102"/>
              <w:bidi w:val="0"/>
              <w:rPr>
                <w:rFonts w:hint="eastAsia"/>
                <w:highlight w:val="none"/>
              </w:rPr>
            </w:pPr>
            <w:r>
              <w:rPr>
                <w:rFonts w:hint="eastAsia"/>
                <w:highlight w:val="none"/>
              </w:rPr>
              <w:t>经常深入现场，检查、掌握安全生产动态，提出整改意见，制止违章作业，对违反安全的操作，有权责令停工，并立即报告有关领导。参加领导组织的定期和不定期的安全检查，对查出的问题用安全通知书等形式上报下达，限期改进。</w:t>
            </w:r>
          </w:p>
        </w:tc>
      </w:tr>
      <w:tr w14:paraId="6E03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349E0A67">
            <w:pPr>
              <w:pStyle w:val="102"/>
              <w:bidi w:val="0"/>
              <w:rPr>
                <w:rFonts w:hint="eastAsia"/>
                <w:highlight w:val="none"/>
              </w:rPr>
            </w:pPr>
          </w:p>
        </w:tc>
        <w:tc>
          <w:tcPr>
            <w:tcW w:w="1035" w:type="dxa"/>
            <w:vAlign w:val="center"/>
          </w:tcPr>
          <w:p w14:paraId="2A21F3B0">
            <w:pPr>
              <w:pStyle w:val="102"/>
              <w:bidi w:val="0"/>
              <w:rPr>
                <w:rFonts w:hint="eastAsia"/>
                <w:highlight w:val="none"/>
                <w:lang w:val="en-US" w:eastAsia="zh-CN"/>
              </w:rPr>
            </w:pPr>
            <w:r>
              <w:rPr>
                <w:rFonts w:hint="eastAsia"/>
                <w:highlight w:val="none"/>
                <w:lang w:val="en-US" w:eastAsia="zh-CN"/>
              </w:rPr>
              <w:t>陈硕</w:t>
            </w:r>
          </w:p>
        </w:tc>
        <w:tc>
          <w:tcPr>
            <w:tcW w:w="1171" w:type="dxa"/>
            <w:vAlign w:val="center"/>
          </w:tcPr>
          <w:p w14:paraId="252DAD57">
            <w:pPr>
              <w:pStyle w:val="102"/>
              <w:bidi w:val="0"/>
              <w:rPr>
                <w:rFonts w:hint="eastAsia"/>
                <w:highlight w:val="none"/>
              </w:rPr>
            </w:pPr>
            <w:r>
              <w:rPr>
                <w:rFonts w:hint="eastAsia"/>
                <w:highlight w:val="none"/>
              </w:rPr>
              <w:t>安</w:t>
            </w:r>
            <w:r>
              <w:rPr>
                <w:rFonts w:hint="eastAsia"/>
                <w:highlight w:val="none"/>
                <w:lang w:val="en-US" w:eastAsia="zh-CN"/>
              </w:rPr>
              <w:t>监</w:t>
            </w:r>
            <w:r>
              <w:rPr>
                <w:rFonts w:hint="eastAsia"/>
                <w:highlight w:val="none"/>
              </w:rPr>
              <w:t>部部长</w:t>
            </w:r>
          </w:p>
        </w:tc>
        <w:tc>
          <w:tcPr>
            <w:tcW w:w="5765" w:type="dxa"/>
            <w:vAlign w:val="center"/>
          </w:tcPr>
          <w:p w14:paraId="0F106E2D">
            <w:pPr>
              <w:pStyle w:val="102"/>
              <w:bidi w:val="0"/>
              <w:rPr>
                <w:rFonts w:hint="eastAsia"/>
                <w:highlight w:val="none"/>
              </w:rPr>
            </w:pPr>
            <w:r>
              <w:rPr>
                <w:rFonts w:hint="eastAsia"/>
                <w:highlight w:val="none"/>
              </w:rPr>
              <w:t>认真贯彻执行施工组织设计和技术交底中的安全措施；在施工现场随班盯岗，随时注意检查工人操作、工作环境、生产机具等安全情况和防护用品的正确使用情况；必须坚持特殊工种工人持证操作。</w:t>
            </w:r>
          </w:p>
        </w:tc>
      </w:tr>
      <w:tr w14:paraId="23DE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085BCC6">
            <w:pPr>
              <w:pStyle w:val="102"/>
              <w:bidi w:val="0"/>
              <w:rPr>
                <w:rFonts w:hint="eastAsia"/>
                <w:highlight w:val="none"/>
              </w:rPr>
            </w:pPr>
          </w:p>
        </w:tc>
        <w:tc>
          <w:tcPr>
            <w:tcW w:w="1035" w:type="dxa"/>
            <w:vAlign w:val="center"/>
          </w:tcPr>
          <w:p w14:paraId="76AF63B8">
            <w:pPr>
              <w:pStyle w:val="102"/>
              <w:bidi w:val="0"/>
              <w:rPr>
                <w:rFonts w:hint="eastAsia"/>
                <w:highlight w:val="none"/>
                <w:lang w:val="en-US" w:eastAsia="zh-CN"/>
              </w:rPr>
            </w:pPr>
            <w:r>
              <w:rPr>
                <w:rFonts w:hint="eastAsia"/>
                <w:highlight w:val="none"/>
                <w:lang w:val="en-US" w:eastAsia="zh-CN"/>
              </w:rPr>
              <w:t>丁阳</w:t>
            </w:r>
          </w:p>
        </w:tc>
        <w:tc>
          <w:tcPr>
            <w:tcW w:w="1171" w:type="dxa"/>
            <w:vAlign w:val="center"/>
          </w:tcPr>
          <w:p w14:paraId="364B9618">
            <w:pPr>
              <w:pStyle w:val="102"/>
              <w:bidi w:val="0"/>
              <w:rPr>
                <w:rFonts w:hint="eastAsia"/>
                <w:highlight w:val="none"/>
              </w:rPr>
            </w:pPr>
            <w:r>
              <w:rPr>
                <w:rFonts w:hint="eastAsia"/>
                <w:highlight w:val="none"/>
              </w:rPr>
              <w:t>设备部部长</w:t>
            </w:r>
          </w:p>
        </w:tc>
        <w:tc>
          <w:tcPr>
            <w:tcW w:w="5765" w:type="dxa"/>
            <w:vAlign w:val="center"/>
          </w:tcPr>
          <w:p w14:paraId="3CF326B6">
            <w:pPr>
              <w:pStyle w:val="102"/>
              <w:bidi w:val="0"/>
              <w:rPr>
                <w:rFonts w:hint="eastAsia"/>
                <w:highlight w:val="none"/>
              </w:rPr>
            </w:pPr>
            <w:r>
              <w:rPr>
                <w:rFonts w:hint="eastAsia"/>
                <w:highlight w:val="none"/>
              </w:rPr>
              <w:t>认真落实公司及项目部关于设备管理的规章制度。加强设备的科学管理，确保设备使用安全，对违反设备操作规程及时提出处理意见。</w:t>
            </w:r>
          </w:p>
          <w:p w14:paraId="0779544E">
            <w:pPr>
              <w:pStyle w:val="102"/>
              <w:bidi w:val="0"/>
              <w:rPr>
                <w:rFonts w:hint="eastAsia"/>
                <w:highlight w:val="none"/>
              </w:rPr>
            </w:pPr>
            <w:r>
              <w:rPr>
                <w:rFonts w:hint="eastAsia"/>
                <w:highlight w:val="none"/>
              </w:rPr>
              <w:t>负责对设备安全事故提出分析和处理意见。</w:t>
            </w:r>
          </w:p>
        </w:tc>
      </w:tr>
      <w:tr w14:paraId="06225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7DBA245">
            <w:pPr>
              <w:pStyle w:val="102"/>
              <w:bidi w:val="0"/>
              <w:rPr>
                <w:rFonts w:hint="eastAsia"/>
                <w:highlight w:val="none"/>
              </w:rPr>
            </w:pPr>
          </w:p>
        </w:tc>
        <w:tc>
          <w:tcPr>
            <w:tcW w:w="1035" w:type="dxa"/>
            <w:vAlign w:val="center"/>
          </w:tcPr>
          <w:p w14:paraId="289F6C02">
            <w:pPr>
              <w:pStyle w:val="102"/>
              <w:bidi w:val="0"/>
              <w:rPr>
                <w:rFonts w:hint="eastAsia"/>
                <w:highlight w:val="none"/>
                <w:lang w:eastAsia="zh-CN"/>
              </w:rPr>
            </w:pPr>
            <w:r>
              <w:rPr>
                <w:rFonts w:hint="eastAsia"/>
                <w:highlight w:val="none"/>
                <w:lang w:val="en-US" w:eastAsia="zh-CN"/>
              </w:rPr>
              <w:t>桂海波</w:t>
            </w:r>
          </w:p>
        </w:tc>
        <w:tc>
          <w:tcPr>
            <w:tcW w:w="1171" w:type="dxa"/>
            <w:vAlign w:val="center"/>
          </w:tcPr>
          <w:p w14:paraId="6635E7A2">
            <w:pPr>
              <w:pStyle w:val="102"/>
              <w:bidi w:val="0"/>
              <w:rPr>
                <w:rFonts w:hint="eastAsia"/>
                <w:highlight w:val="none"/>
              </w:rPr>
            </w:pPr>
            <w:r>
              <w:rPr>
                <w:rFonts w:hint="eastAsia"/>
                <w:highlight w:val="none"/>
              </w:rPr>
              <w:t>工程部部长</w:t>
            </w:r>
          </w:p>
        </w:tc>
        <w:tc>
          <w:tcPr>
            <w:tcW w:w="5765" w:type="dxa"/>
            <w:vAlign w:val="center"/>
          </w:tcPr>
          <w:p w14:paraId="6E2257C6">
            <w:pPr>
              <w:pStyle w:val="102"/>
              <w:bidi w:val="0"/>
              <w:rPr>
                <w:rFonts w:hint="eastAsia"/>
                <w:highlight w:val="none"/>
              </w:rPr>
            </w:pPr>
            <w:r>
              <w:rPr>
                <w:rFonts w:hint="eastAsia"/>
                <w:highlight w:val="none"/>
              </w:rPr>
              <w:t>以身作则并教育职工严格遵守劳动纪律，严格执行安全技术操作规程；坚持工间检查制度和交接班制度；合理安排劳力，根据工人的身体、年龄、技术、熟练程度和其他特点分配工作，以防事故的发生；发生事故，要立即组织抢救和报告，并保护现场，参加事故调查分析</w:t>
            </w:r>
          </w:p>
        </w:tc>
      </w:tr>
    </w:tbl>
    <w:p w14:paraId="1E7E2513">
      <w:pPr>
        <w:pStyle w:val="3"/>
        <w:rPr>
          <w:highlight w:val="none"/>
        </w:rPr>
      </w:pPr>
      <w:bookmarkStart w:id="247" w:name="_Toc20981"/>
      <w:bookmarkStart w:id="248" w:name="_Toc29419"/>
      <w:bookmarkStart w:id="249" w:name="_Toc42642306"/>
      <w:r>
        <w:rPr>
          <w:rFonts w:hint="eastAsia"/>
          <w:highlight w:val="none"/>
          <w:lang w:val="en-US" w:eastAsia="zh-CN"/>
        </w:rPr>
        <w:t>6</w:t>
      </w:r>
      <w:r>
        <w:rPr>
          <w:rFonts w:hint="eastAsia"/>
          <w:highlight w:val="none"/>
        </w:rPr>
        <w:t>.3 监管措施</w:t>
      </w:r>
      <w:bookmarkEnd w:id="247"/>
      <w:bookmarkEnd w:id="248"/>
      <w:bookmarkEnd w:id="249"/>
    </w:p>
    <w:p w14:paraId="05A29CDA">
      <w:pPr>
        <w:bidi w:val="0"/>
        <w:ind w:firstLine="480" w:firstLineChars="200"/>
        <w:rPr>
          <w:highlight w:val="none"/>
        </w:rPr>
      </w:pPr>
      <w:r>
        <w:rPr>
          <w:rFonts w:hint="eastAsia"/>
          <w:highlight w:val="none"/>
        </w:rPr>
        <w:t>为落实塔式起重机安装安全管理工作，项目部采取以下监控措施：</w:t>
      </w:r>
    </w:p>
    <w:p w14:paraId="2A94EE1C">
      <w:pPr>
        <w:bidi w:val="0"/>
        <w:rPr>
          <w:highlight w:val="none"/>
        </w:rPr>
      </w:pPr>
      <w:r>
        <w:rPr>
          <w:rFonts w:hint="eastAsia"/>
          <w:highlight w:val="none"/>
        </w:rPr>
        <w:t>1）现场安全、技术管理人员必须参与作业施工方案的编制，熟悉方案。</w:t>
      </w:r>
    </w:p>
    <w:p w14:paraId="564F60AD">
      <w:pPr>
        <w:bidi w:val="0"/>
        <w:rPr>
          <w:highlight w:val="none"/>
        </w:rPr>
      </w:pPr>
      <w:r>
        <w:rPr>
          <w:rFonts w:hint="eastAsia"/>
          <w:highlight w:val="none"/>
        </w:rPr>
        <w:t>2）安装作业时必须按施工组织设备要求配置相关人员。</w:t>
      </w:r>
    </w:p>
    <w:p w14:paraId="5196A7CB">
      <w:pPr>
        <w:bidi w:val="0"/>
        <w:rPr>
          <w:highlight w:val="none"/>
        </w:rPr>
      </w:pPr>
      <w:r>
        <w:rPr>
          <w:rFonts w:hint="eastAsia"/>
          <w:highlight w:val="none"/>
        </w:rPr>
        <w:t>现场安全员监督操作人员是否按施工方案几安全操作规程进行操作，并督促操作人员按规定正确使用安全防护用品。</w:t>
      </w:r>
    </w:p>
    <w:p w14:paraId="10BC1752">
      <w:pPr>
        <w:bidi w:val="0"/>
        <w:rPr>
          <w:highlight w:val="none"/>
        </w:rPr>
      </w:pPr>
      <w:r>
        <w:rPr>
          <w:rFonts w:hint="eastAsia"/>
          <w:highlight w:val="none"/>
        </w:rPr>
        <w:t>3）专职安全人员对操作人员的操作实施全程监控，发现不良行为及时制</w:t>
      </w:r>
    </w:p>
    <w:p w14:paraId="542ECC19">
      <w:pPr>
        <w:bidi w:val="0"/>
        <w:rPr>
          <w:highlight w:val="none"/>
        </w:rPr>
      </w:pPr>
      <w:r>
        <w:rPr>
          <w:rFonts w:hint="eastAsia"/>
          <w:highlight w:val="none"/>
        </w:rPr>
        <w:t>止纠正。</w:t>
      </w:r>
    </w:p>
    <w:p w14:paraId="01EE2E65">
      <w:pPr>
        <w:bidi w:val="0"/>
        <w:rPr>
          <w:highlight w:val="none"/>
        </w:rPr>
      </w:pPr>
      <w:r>
        <w:rPr>
          <w:rFonts w:hint="eastAsia"/>
          <w:highlight w:val="none"/>
        </w:rPr>
        <w:t>4）现场管理人员必须留存影像、图片、纸质资料并建立每日汇报机制。</w:t>
      </w:r>
    </w:p>
    <w:p w14:paraId="6AEB3A89">
      <w:pPr>
        <w:bidi w:val="0"/>
        <w:rPr>
          <w:highlight w:val="none"/>
        </w:rPr>
      </w:pPr>
      <w:r>
        <w:rPr>
          <w:rFonts w:hint="eastAsia"/>
          <w:highlight w:val="none"/>
        </w:rPr>
        <w:t>5）带班领导随机抽查现场落实情况。</w:t>
      </w:r>
    </w:p>
    <w:p w14:paraId="40C2177A">
      <w:pPr>
        <w:bidi w:val="0"/>
        <w:rPr>
          <w:highlight w:val="none"/>
        </w:rPr>
      </w:pPr>
      <w:r>
        <w:rPr>
          <w:rFonts w:hint="eastAsia"/>
          <w:highlight w:val="none"/>
        </w:rPr>
        <w:t>6）每项工作完成后必须进行验收后方可开展下道工序。</w:t>
      </w:r>
    </w:p>
    <w:p w14:paraId="27A3C973">
      <w:pPr>
        <w:pStyle w:val="3"/>
        <w:rPr>
          <w:highlight w:val="none"/>
        </w:rPr>
      </w:pPr>
      <w:bookmarkStart w:id="250" w:name="_Toc17860"/>
      <w:bookmarkStart w:id="251" w:name="_Toc20307"/>
      <w:bookmarkStart w:id="252" w:name="_Toc42642307"/>
      <w:r>
        <w:rPr>
          <w:rFonts w:hint="eastAsia"/>
          <w:highlight w:val="none"/>
          <w:lang w:val="en-US" w:eastAsia="zh-CN"/>
        </w:rPr>
        <w:t>6</w:t>
      </w:r>
      <w:r>
        <w:rPr>
          <w:rFonts w:hint="eastAsia"/>
          <w:highlight w:val="none"/>
        </w:rPr>
        <w:t>.4 施工安全技术控制措施</w:t>
      </w:r>
      <w:bookmarkEnd w:id="250"/>
      <w:bookmarkEnd w:id="251"/>
      <w:bookmarkEnd w:id="252"/>
    </w:p>
    <w:p w14:paraId="3D492511">
      <w:pPr>
        <w:pStyle w:val="4"/>
        <w:tabs>
          <w:tab w:val="left" w:pos="0"/>
          <w:tab w:val="left" w:pos="630"/>
        </w:tabs>
        <w:bidi w:val="0"/>
        <w:rPr>
          <w:rFonts w:hint="default"/>
          <w:highlight w:val="none"/>
          <w:lang w:val="en-US" w:eastAsia="zh-CN"/>
        </w:rPr>
      </w:pPr>
      <w:bookmarkStart w:id="253" w:name="_Toc23080"/>
      <w:bookmarkStart w:id="254" w:name="_Toc17617"/>
      <w:r>
        <w:rPr>
          <w:rFonts w:hint="eastAsia"/>
          <w:highlight w:val="none"/>
          <w:lang w:val="en-US" w:eastAsia="zh-CN"/>
        </w:rPr>
        <w:t>6.4.1</w:t>
      </w:r>
      <w:r>
        <w:rPr>
          <w:rFonts w:hint="default"/>
          <w:highlight w:val="none"/>
          <w:lang w:val="en-US" w:eastAsia="zh-CN"/>
        </w:rPr>
        <w:t>安装</w:t>
      </w:r>
      <w:r>
        <w:rPr>
          <w:rFonts w:hint="eastAsia"/>
          <w:highlight w:val="none"/>
          <w:lang w:val="en-US" w:eastAsia="zh-CN"/>
        </w:rPr>
        <w:t>安全</w:t>
      </w:r>
      <w:r>
        <w:rPr>
          <w:rFonts w:hint="eastAsia"/>
          <w:highlight w:val="none"/>
        </w:rPr>
        <w:t>技术</w:t>
      </w:r>
      <w:r>
        <w:rPr>
          <w:rFonts w:hint="eastAsia"/>
          <w:highlight w:val="none"/>
          <w:lang w:val="en-US" w:eastAsia="zh-CN"/>
        </w:rPr>
        <w:t>管控措施</w:t>
      </w:r>
      <w:bookmarkEnd w:id="253"/>
      <w:bookmarkEnd w:id="254"/>
    </w:p>
    <w:p w14:paraId="10F0BC99">
      <w:pPr>
        <w:bidi w:val="0"/>
        <w:rPr>
          <w:rFonts w:hint="default"/>
          <w:highlight w:val="none"/>
          <w:lang w:val="en-US" w:eastAsia="zh-CN"/>
        </w:rPr>
      </w:pPr>
      <w:r>
        <w:rPr>
          <w:rFonts w:hint="default"/>
          <w:highlight w:val="none"/>
          <w:lang w:val="en-US" w:eastAsia="zh-CN"/>
        </w:rPr>
        <w:t>（1）必须佩戴安全帽，上高人员必须穿防滑鞋，危险部位作业必须系好安全带。</w:t>
      </w:r>
    </w:p>
    <w:p w14:paraId="41A61162">
      <w:pPr>
        <w:bidi w:val="0"/>
        <w:rPr>
          <w:rFonts w:hint="default"/>
          <w:highlight w:val="none"/>
          <w:lang w:val="en-US" w:eastAsia="zh-CN"/>
        </w:rPr>
      </w:pPr>
      <w:r>
        <w:rPr>
          <w:rFonts w:hint="default"/>
          <w:highlight w:val="none"/>
          <w:lang w:val="en-US" w:eastAsia="zh-CN"/>
        </w:rPr>
        <w:t>（2）作业吊车必须严格遵守安全操作规程。</w:t>
      </w:r>
    </w:p>
    <w:p w14:paraId="72AF5483">
      <w:pPr>
        <w:bidi w:val="0"/>
        <w:rPr>
          <w:rFonts w:hint="default"/>
          <w:highlight w:val="none"/>
          <w:lang w:val="en-US" w:eastAsia="zh-CN"/>
        </w:rPr>
      </w:pPr>
      <w:r>
        <w:rPr>
          <w:rFonts w:hint="default"/>
          <w:highlight w:val="none"/>
          <w:lang w:val="en-US" w:eastAsia="zh-CN"/>
        </w:rPr>
        <w:t>（3）工作期间一律禁止饮酒。</w:t>
      </w:r>
    </w:p>
    <w:p w14:paraId="44BC8B7E">
      <w:pPr>
        <w:bidi w:val="0"/>
        <w:rPr>
          <w:rFonts w:hint="default"/>
          <w:highlight w:val="none"/>
          <w:lang w:val="en-US" w:eastAsia="zh-CN"/>
        </w:rPr>
      </w:pPr>
      <w:r>
        <w:rPr>
          <w:rFonts w:hint="default"/>
          <w:highlight w:val="none"/>
          <w:lang w:val="en-US" w:eastAsia="zh-CN"/>
        </w:rPr>
        <w:t>（4）集中精力，不得随意开玩笑和打闹。</w:t>
      </w:r>
    </w:p>
    <w:p w14:paraId="2CFB3A12">
      <w:pPr>
        <w:bidi w:val="0"/>
        <w:rPr>
          <w:rFonts w:hint="default"/>
          <w:highlight w:val="none"/>
          <w:lang w:val="en-US" w:eastAsia="zh-CN"/>
        </w:rPr>
      </w:pPr>
      <w:r>
        <w:rPr>
          <w:rFonts w:hint="default"/>
          <w:highlight w:val="none"/>
          <w:lang w:val="en-US" w:eastAsia="zh-CN"/>
        </w:rPr>
        <w:t>（5）交叉作业时，要注意工具和零部件放置位置必须安全可靠，防止坠落伤人。</w:t>
      </w:r>
    </w:p>
    <w:p w14:paraId="014C83F0">
      <w:pPr>
        <w:bidi w:val="0"/>
        <w:rPr>
          <w:rFonts w:hint="default"/>
          <w:highlight w:val="none"/>
          <w:lang w:val="en-US" w:eastAsia="zh-CN"/>
        </w:rPr>
      </w:pPr>
      <w:r>
        <w:rPr>
          <w:rFonts w:hint="default"/>
          <w:highlight w:val="none"/>
          <w:lang w:val="en-US" w:eastAsia="zh-CN"/>
        </w:rPr>
        <w:t>（6）指挥人员应熟悉吊车起重性能、吊物的起重量以及构件安装部位。</w:t>
      </w:r>
    </w:p>
    <w:p w14:paraId="6EB2A446">
      <w:pPr>
        <w:bidi w:val="0"/>
        <w:rPr>
          <w:rFonts w:hint="default"/>
          <w:highlight w:val="none"/>
          <w:lang w:val="en-US" w:eastAsia="zh-CN"/>
        </w:rPr>
      </w:pPr>
      <w:r>
        <w:rPr>
          <w:rFonts w:hint="default"/>
          <w:highlight w:val="none"/>
          <w:lang w:val="en-US" w:eastAsia="zh-CN"/>
        </w:rPr>
        <w:t>（7）规定品起重高度超过两米要系拖拉绳。</w:t>
      </w:r>
    </w:p>
    <w:p w14:paraId="294983AE">
      <w:pPr>
        <w:bidi w:val="0"/>
        <w:rPr>
          <w:rFonts w:hint="default"/>
          <w:highlight w:val="none"/>
          <w:lang w:val="en-US" w:eastAsia="zh-CN"/>
        </w:rPr>
      </w:pPr>
      <w:r>
        <w:rPr>
          <w:rFonts w:hint="default"/>
          <w:highlight w:val="none"/>
          <w:lang w:val="en-US" w:eastAsia="zh-CN"/>
        </w:rPr>
        <w:t>（8）钢丝绳必须符合安全规定，所吊构件重心必须准确，符合说明书的要求。</w:t>
      </w:r>
    </w:p>
    <w:p w14:paraId="2262592A">
      <w:pPr>
        <w:bidi w:val="0"/>
        <w:rPr>
          <w:rFonts w:hint="default"/>
          <w:highlight w:val="none"/>
          <w:lang w:val="en-US" w:eastAsia="zh-CN"/>
        </w:rPr>
      </w:pPr>
      <w:r>
        <w:rPr>
          <w:rFonts w:hint="default"/>
          <w:highlight w:val="none"/>
          <w:lang w:val="en-US" w:eastAsia="zh-CN"/>
        </w:rPr>
        <w:t>（9）总成件及附属装置必须按规定上足所有的螺栓及销，确保使用的安全性。</w:t>
      </w:r>
    </w:p>
    <w:p w14:paraId="1228DD29">
      <w:pPr>
        <w:bidi w:val="0"/>
        <w:rPr>
          <w:rFonts w:hint="default"/>
          <w:highlight w:val="none"/>
          <w:lang w:val="en-US" w:eastAsia="zh-CN"/>
        </w:rPr>
      </w:pPr>
      <w:r>
        <w:rPr>
          <w:rFonts w:hint="default"/>
          <w:highlight w:val="none"/>
          <w:lang w:val="en-US" w:eastAsia="zh-CN"/>
        </w:rPr>
        <w:t>（10）有的裸体电线必须停电，专人守护。</w:t>
      </w:r>
    </w:p>
    <w:p w14:paraId="13E9D545">
      <w:pPr>
        <w:bidi w:val="0"/>
        <w:rPr>
          <w:rFonts w:hint="default"/>
          <w:highlight w:val="none"/>
          <w:lang w:val="en-US" w:eastAsia="zh-CN"/>
        </w:rPr>
      </w:pPr>
      <w:r>
        <w:rPr>
          <w:rFonts w:hint="default"/>
          <w:highlight w:val="none"/>
          <w:lang w:val="en-US" w:eastAsia="zh-CN"/>
        </w:rPr>
        <w:t>（11）雪、大雾、大风（风速达8.3m/s）等天气禁止拆装塔吊。</w:t>
      </w:r>
    </w:p>
    <w:p w14:paraId="67B7533E">
      <w:pPr>
        <w:bidi w:val="0"/>
        <w:rPr>
          <w:rFonts w:hint="default"/>
          <w:highlight w:val="none"/>
          <w:lang w:val="en-US" w:eastAsia="zh-CN"/>
        </w:rPr>
      </w:pPr>
      <w:r>
        <w:rPr>
          <w:rFonts w:hint="default"/>
          <w:highlight w:val="none"/>
          <w:lang w:val="en-US" w:eastAsia="zh-CN"/>
        </w:rPr>
        <w:t>（12）必须有足够的照明灯光。</w:t>
      </w:r>
    </w:p>
    <w:p w14:paraId="2C9C4FD8">
      <w:pPr>
        <w:bidi w:val="0"/>
        <w:rPr>
          <w:rFonts w:hint="default"/>
          <w:highlight w:val="none"/>
          <w:lang w:val="en-US" w:eastAsia="zh-CN"/>
        </w:rPr>
      </w:pPr>
      <w:r>
        <w:rPr>
          <w:rFonts w:hint="default"/>
          <w:highlight w:val="none"/>
          <w:lang w:val="en-US" w:eastAsia="zh-CN"/>
        </w:rPr>
        <w:t>（13）应禁止闲杂人员的进出，临街作业时，要采取临时保护措施。</w:t>
      </w:r>
    </w:p>
    <w:p w14:paraId="2B902131">
      <w:pPr>
        <w:pStyle w:val="4"/>
        <w:tabs>
          <w:tab w:val="left" w:pos="0"/>
          <w:tab w:val="left" w:pos="630"/>
        </w:tabs>
        <w:bidi w:val="0"/>
        <w:rPr>
          <w:rFonts w:hint="default"/>
          <w:highlight w:val="none"/>
          <w:lang w:val="en-US" w:eastAsia="zh-CN"/>
        </w:rPr>
      </w:pPr>
      <w:bookmarkStart w:id="255" w:name="_Toc24437"/>
      <w:bookmarkStart w:id="256" w:name="_Toc3128"/>
      <w:r>
        <w:rPr>
          <w:rFonts w:hint="eastAsia"/>
          <w:highlight w:val="none"/>
          <w:lang w:val="en-US" w:eastAsia="zh-CN"/>
        </w:rPr>
        <w:t>6.4.2</w:t>
      </w:r>
      <w:r>
        <w:rPr>
          <w:rFonts w:hint="default"/>
          <w:highlight w:val="none"/>
          <w:lang w:val="en-US" w:eastAsia="zh-CN"/>
        </w:rPr>
        <w:t>顶升</w:t>
      </w:r>
      <w:r>
        <w:rPr>
          <w:rFonts w:hint="eastAsia"/>
          <w:highlight w:val="none"/>
          <w:lang w:val="en-US" w:eastAsia="zh-CN"/>
        </w:rPr>
        <w:t>过程安全</w:t>
      </w:r>
      <w:r>
        <w:rPr>
          <w:rFonts w:hint="eastAsia"/>
          <w:highlight w:val="none"/>
        </w:rPr>
        <w:t>技术</w:t>
      </w:r>
      <w:r>
        <w:rPr>
          <w:rFonts w:hint="eastAsia"/>
          <w:highlight w:val="none"/>
          <w:lang w:val="en-US" w:eastAsia="zh-CN"/>
        </w:rPr>
        <w:t>管控措施</w:t>
      </w:r>
      <w:bookmarkEnd w:id="255"/>
      <w:bookmarkEnd w:id="256"/>
    </w:p>
    <w:p w14:paraId="26B11E2C">
      <w:pPr>
        <w:rPr>
          <w:rFonts w:hint="default"/>
          <w:highlight w:val="none"/>
          <w:lang w:val="en-US" w:eastAsia="zh-CN"/>
        </w:rPr>
      </w:pPr>
      <w:r>
        <w:rPr>
          <w:rFonts w:hint="default"/>
          <w:highlight w:val="none"/>
          <w:lang w:val="en-US" w:eastAsia="zh-CN"/>
        </w:rPr>
        <w:t>（1）</w:t>
      </w:r>
      <w:r>
        <w:rPr>
          <w:rFonts w:hint="eastAsia"/>
          <w:highlight w:val="none"/>
          <w:lang w:val="en-US" w:eastAsia="zh-CN"/>
        </w:rPr>
        <w:t>风力大于</w:t>
      </w:r>
      <w:r>
        <w:rPr>
          <w:rFonts w:hint="default"/>
          <w:highlight w:val="none"/>
          <w:lang w:val="en-US" w:eastAsia="zh-CN"/>
        </w:rPr>
        <w:t>于四级禁止顶升。</w:t>
      </w:r>
    </w:p>
    <w:p w14:paraId="7F39712A">
      <w:pPr>
        <w:rPr>
          <w:rFonts w:hint="default"/>
          <w:highlight w:val="none"/>
          <w:lang w:val="en-US" w:eastAsia="zh-CN"/>
        </w:rPr>
      </w:pPr>
      <w:r>
        <w:rPr>
          <w:rFonts w:hint="default"/>
          <w:highlight w:val="none"/>
          <w:lang w:val="en-US" w:eastAsia="zh-CN"/>
        </w:rPr>
        <w:t>（2）作业人员均要持有效证件上岗。</w:t>
      </w:r>
    </w:p>
    <w:p w14:paraId="79879815">
      <w:pPr>
        <w:rPr>
          <w:rFonts w:hint="default"/>
          <w:highlight w:val="none"/>
          <w:lang w:val="en-US" w:eastAsia="zh-CN"/>
        </w:rPr>
      </w:pPr>
      <w:r>
        <w:rPr>
          <w:rFonts w:hint="default"/>
          <w:highlight w:val="none"/>
          <w:lang w:val="en-US" w:eastAsia="zh-CN"/>
        </w:rPr>
        <w:t>（3）遵守安全操作规程及说明书规定的工艺和技术交底进行。</w:t>
      </w:r>
    </w:p>
    <w:p w14:paraId="15D9D9AC">
      <w:pPr>
        <w:rPr>
          <w:rFonts w:hint="default"/>
          <w:highlight w:val="none"/>
          <w:lang w:val="en-US" w:eastAsia="zh-CN"/>
        </w:rPr>
      </w:pPr>
      <w:r>
        <w:rPr>
          <w:rFonts w:hint="default"/>
          <w:highlight w:val="none"/>
          <w:lang w:val="en-US" w:eastAsia="zh-CN"/>
        </w:rPr>
        <w:t>（4）作业人员必须戴安全帽，着防滑鞋，必要时系安全带。</w:t>
      </w:r>
    </w:p>
    <w:p w14:paraId="11112B65">
      <w:pPr>
        <w:rPr>
          <w:rFonts w:hint="default"/>
          <w:highlight w:val="none"/>
          <w:lang w:val="en-US" w:eastAsia="zh-CN"/>
        </w:rPr>
      </w:pPr>
      <w:r>
        <w:rPr>
          <w:rFonts w:hint="default"/>
          <w:highlight w:val="none"/>
          <w:lang w:val="en-US" w:eastAsia="zh-CN"/>
        </w:rPr>
        <w:t>（5）使用的工具及螺栓应放在安全可靠的位置，防止坠落伤人。</w:t>
      </w:r>
    </w:p>
    <w:p w14:paraId="202BE2BF">
      <w:pPr>
        <w:pStyle w:val="5"/>
        <w:tabs>
          <w:tab w:val="left" w:pos="0"/>
        </w:tabs>
        <w:bidi w:val="0"/>
        <w:rPr>
          <w:rFonts w:hint="default"/>
          <w:highlight w:val="none"/>
          <w:lang w:val="en-US" w:eastAsia="zh-CN"/>
        </w:rPr>
      </w:pPr>
      <w:r>
        <w:rPr>
          <w:rFonts w:hint="eastAsia"/>
          <w:highlight w:val="none"/>
          <w:lang w:val="en-US" w:eastAsia="zh-CN"/>
        </w:rPr>
        <w:t>6.4.2.1</w:t>
      </w:r>
      <w:r>
        <w:rPr>
          <w:rFonts w:hint="default"/>
          <w:highlight w:val="none"/>
          <w:lang w:val="en-US" w:eastAsia="zh-CN"/>
        </w:rPr>
        <w:t>顶升过程中</w:t>
      </w:r>
      <w:r>
        <w:rPr>
          <w:rFonts w:hint="eastAsia"/>
          <w:highlight w:val="none"/>
          <w:lang w:val="en-US" w:eastAsia="zh-CN"/>
        </w:rPr>
        <w:t>安全</w:t>
      </w:r>
      <w:r>
        <w:rPr>
          <w:rFonts w:hint="eastAsia"/>
          <w:highlight w:val="none"/>
        </w:rPr>
        <w:t>技术</w:t>
      </w:r>
      <w:r>
        <w:rPr>
          <w:rFonts w:hint="eastAsia"/>
          <w:highlight w:val="none"/>
          <w:lang w:val="en-US" w:eastAsia="zh-CN"/>
        </w:rPr>
        <w:t>管控措施</w:t>
      </w:r>
    </w:p>
    <w:p w14:paraId="6471D804">
      <w:pPr>
        <w:rPr>
          <w:rFonts w:hint="default"/>
          <w:highlight w:val="none"/>
          <w:lang w:val="en-US" w:eastAsia="zh-CN"/>
        </w:rPr>
      </w:pPr>
      <w:r>
        <w:rPr>
          <w:rFonts w:hint="eastAsia"/>
          <w:highlight w:val="none"/>
          <w:lang w:val="en-US" w:eastAsia="zh-CN"/>
        </w:rPr>
        <w:t>（1）</w:t>
      </w:r>
      <w:r>
        <w:rPr>
          <w:rFonts w:hint="default"/>
          <w:highlight w:val="none"/>
          <w:lang w:val="en-US" w:eastAsia="zh-CN"/>
        </w:rPr>
        <w:t>运动前，必须检查顶升横梁是否处在正确位置，顶升上部是否处于平衡位置，否则应加以调整，使塔身前后两边平衡。调整方法：调整小车的位置，使得塔吊的上部重心落在顶升横梁的位置上，实际操作中，观察到爬升架上四角导向轮基本上与塔身标准节弦杆脱开时，即为理想位置）。</w:t>
      </w:r>
    </w:p>
    <w:p w14:paraId="78854261">
      <w:pPr>
        <w:rPr>
          <w:rFonts w:hint="default"/>
          <w:highlight w:val="none"/>
          <w:lang w:val="en-US" w:eastAsia="zh-CN"/>
        </w:rPr>
      </w:pPr>
      <w:r>
        <w:rPr>
          <w:rFonts w:hint="eastAsia"/>
          <w:highlight w:val="none"/>
          <w:lang w:val="en-US" w:eastAsia="zh-CN"/>
        </w:rPr>
        <w:t>（2）</w:t>
      </w:r>
      <w:r>
        <w:rPr>
          <w:rFonts w:hint="default"/>
          <w:highlight w:val="none"/>
          <w:lang w:val="en-US" w:eastAsia="zh-CN"/>
        </w:rPr>
        <w:t>操作中，吊臂不能旋转，油缸始终处于规定压力。</w:t>
      </w:r>
    </w:p>
    <w:p w14:paraId="649B1EC5">
      <w:pPr>
        <w:rPr>
          <w:rFonts w:hint="default"/>
          <w:highlight w:val="none"/>
          <w:lang w:val="en-US" w:eastAsia="zh-CN"/>
        </w:rPr>
      </w:pPr>
      <w:r>
        <w:rPr>
          <w:rFonts w:hint="eastAsia"/>
          <w:highlight w:val="none"/>
          <w:lang w:val="en-US" w:eastAsia="zh-CN"/>
        </w:rPr>
        <w:t>（3）</w:t>
      </w:r>
      <w:r>
        <w:rPr>
          <w:rFonts w:hint="default"/>
          <w:highlight w:val="none"/>
          <w:lang w:val="en-US" w:eastAsia="zh-CN"/>
        </w:rPr>
        <w:t>允许单独动作，严禁爬升与其它动作同时进行。</w:t>
      </w:r>
    </w:p>
    <w:p w14:paraId="66CD2B4E">
      <w:pPr>
        <w:rPr>
          <w:rFonts w:hint="default"/>
          <w:highlight w:val="none"/>
          <w:lang w:val="en-US" w:eastAsia="zh-CN"/>
        </w:rPr>
      </w:pPr>
      <w:r>
        <w:rPr>
          <w:rFonts w:hint="eastAsia"/>
          <w:highlight w:val="none"/>
          <w:lang w:val="en-US" w:eastAsia="zh-CN"/>
        </w:rPr>
        <w:t>（4）</w:t>
      </w:r>
      <w:r>
        <w:rPr>
          <w:rFonts w:hint="default"/>
          <w:highlight w:val="none"/>
          <w:lang w:val="en-US" w:eastAsia="zh-CN"/>
        </w:rPr>
        <w:t>升套与塔身标准节脱离后，禁止起吊重物。</w:t>
      </w:r>
    </w:p>
    <w:p w14:paraId="08AA370C">
      <w:pPr>
        <w:rPr>
          <w:rFonts w:hint="default"/>
          <w:highlight w:val="none"/>
          <w:lang w:val="en-US" w:eastAsia="zh-CN"/>
        </w:rPr>
      </w:pPr>
      <w:r>
        <w:rPr>
          <w:rFonts w:hint="eastAsia"/>
          <w:highlight w:val="none"/>
          <w:lang w:val="en-US" w:eastAsia="zh-CN"/>
        </w:rPr>
        <w:t>（5）</w:t>
      </w:r>
      <w:r>
        <w:rPr>
          <w:rFonts w:hint="default"/>
          <w:highlight w:val="none"/>
          <w:lang w:val="en-US" w:eastAsia="zh-CN"/>
        </w:rPr>
        <w:t>过程中起重臂应保持在正前方位置（引进标准节方为前方）。</w:t>
      </w:r>
    </w:p>
    <w:p w14:paraId="51955115">
      <w:pPr>
        <w:rPr>
          <w:rFonts w:hint="default"/>
          <w:highlight w:val="none"/>
          <w:lang w:val="en-US" w:eastAsia="zh-CN"/>
        </w:rPr>
      </w:pPr>
      <w:r>
        <w:rPr>
          <w:rFonts w:hint="eastAsia"/>
          <w:highlight w:val="none"/>
          <w:lang w:val="en-US" w:eastAsia="zh-CN"/>
        </w:rPr>
        <w:t>（6）</w:t>
      </w:r>
      <w:r>
        <w:rPr>
          <w:rFonts w:hint="default"/>
          <w:highlight w:val="none"/>
          <w:lang w:val="en-US" w:eastAsia="zh-CN"/>
        </w:rPr>
        <w:t>过程中，回转机构必须处于有效的制动状态。</w:t>
      </w:r>
    </w:p>
    <w:p w14:paraId="0D982EF4">
      <w:pPr>
        <w:rPr>
          <w:rFonts w:hint="default"/>
          <w:highlight w:val="none"/>
          <w:lang w:val="en-US" w:eastAsia="zh-CN"/>
        </w:rPr>
      </w:pPr>
      <w:r>
        <w:rPr>
          <w:rFonts w:hint="eastAsia"/>
          <w:highlight w:val="none"/>
          <w:lang w:val="en-US" w:eastAsia="zh-CN"/>
        </w:rPr>
        <w:t>（7）</w:t>
      </w:r>
      <w:r>
        <w:rPr>
          <w:rFonts w:hint="default"/>
          <w:highlight w:val="none"/>
          <w:lang w:val="en-US" w:eastAsia="zh-CN"/>
        </w:rPr>
        <w:t>连续加节，每加完一节后，用塔身自身起吊下一标准节前，塔身标准节和下支座之间的高强度螺栓要全部拧紧。</w:t>
      </w:r>
    </w:p>
    <w:p w14:paraId="541846E1">
      <w:pPr>
        <w:rPr>
          <w:rFonts w:hint="default"/>
          <w:highlight w:val="none"/>
          <w:lang w:val="en-US" w:eastAsia="zh-CN"/>
        </w:rPr>
      </w:pPr>
      <w:r>
        <w:rPr>
          <w:rFonts w:hint="eastAsia"/>
          <w:highlight w:val="none"/>
          <w:lang w:val="en-US" w:eastAsia="zh-CN"/>
        </w:rPr>
        <w:t>（8）</w:t>
      </w:r>
      <w:r>
        <w:rPr>
          <w:rFonts w:hint="default"/>
          <w:highlight w:val="none"/>
          <w:lang w:val="en-US" w:eastAsia="zh-CN"/>
        </w:rPr>
        <w:t>继续加的标准节必须与已有的塔身标准节对齐。</w:t>
      </w:r>
    </w:p>
    <w:p w14:paraId="453D2071">
      <w:pPr>
        <w:pStyle w:val="5"/>
        <w:tabs>
          <w:tab w:val="left" w:pos="0"/>
        </w:tabs>
        <w:bidi w:val="0"/>
        <w:rPr>
          <w:rFonts w:hint="default"/>
          <w:highlight w:val="none"/>
          <w:lang w:val="en-US" w:eastAsia="zh-CN"/>
        </w:rPr>
      </w:pPr>
      <w:r>
        <w:rPr>
          <w:rFonts w:hint="eastAsia"/>
          <w:highlight w:val="none"/>
          <w:lang w:val="en-US" w:eastAsia="zh-CN"/>
        </w:rPr>
        <w:t>6.4.2.2</w:t>
      </w:r>
      <w:r>
        <w:rPr>
          <w:rFonts w:hint="default"/>
          <w:highlight w:val="none"/>
          <w:lang w:val="en-US" w:eastAsia="zh-CN"/>
        </w:rPr>
        <w:t>顶升完毕后</w:t>
      </w:r>
      <w:r>
        <w:rPr>
          <w:rFonts w:hint="eastAsia"/>
          <w:highlight w:val="none"/>
          <w:lang w:val="en-US" w:eastAsia="zh-CN"/>
        </w:rPr>
        <w:t>安全</w:t>
      </w:r>
      <w:r>
        <w:rPr>
          <w:rFonts w:hint="eastAsia"/>
          <w:highlight w:val="none"/>
        </w:rPr>
        <w:t>技术</w:t>
      </w:r>
      <w:r>
        <w:rPr>
          <w:rFonts w:hint="eastAsia"/>
          <w:highlight w:val="none"/>
          <w:lang w:val="en-US" w:eastAsia="zh-CN"/>
        </w:rPr>
        <w:t>管控措施</w:t>
      </w:r>
    </w:p>
    <w:p w14:paraId="5AEE4F8C">
      <w:pPr>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加节完毕，应旋转臂架至不同的角度，检查塔身节各接头高强度螺栓的拧紧情况，重点检查下支座与塔身连接螺栓的紧固情况。（哪一塔身主弦杆位于平衡臂正下方，就把主弦杆从下到下的螺栓拧紧）。</w:t>
      </w:r>
    </w:p>
    <w:p w14:paraId="0E880576">
      <w:pPr>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加节完毕，将爬升架下降到塔身底部并加以固定，以降低整个塔机的重心和减少迎风面积。</w:t>
      </w:r>
    </w:p>
    <w:p w14:paraId="46EA9A66">
      <w:pPr>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加节完毕，将操作手柄置于零位，并切断液压系统电源。</w:t>
      </w:r>
    </w:p>
    <w:p w14:paraId="04EEA392">
      <w:pPr>
        <w:pStyle w:val="4"/>
        <w:tabs>
          <w:tab w:val="left" w:pos="0"/>
          <w:tab w:val="left" w:pos="630"/>
        </w:tabs>
        <w:bidi w:val="0"/>
        <w:rPr>
          <w:rFonts w:hint="default"/>
          <w:highlight w:val="none"/>
          <w:lang w:val="en-US" w:eastAsia="zh-CN"/>
        </w:rPr>
      </w:pPr>
      <w:bookmarkStart w:id="257" w:name="_Toc5740"/>
      <w:bookmarkStart w:id="258" w:name="_Toc11806"/>
      <w:r>
        <w:rPr>
          <w:rFonts w:hint="eastAsia"/>
          <w:highlight w:val="none"/>
          <w:lang w:val="en-US" w:eastAsia="zh-CN"/>
        </w:rPr>
        <w:t>6.4.3</w:t>
      </w:r>
      <w:r>
        <w:rPr>
          <w:rFonts w:hint="default"/>
          <w:highlight w:val="none"/>
          <w:lang w:val="en-US" w:eastAsia="zh-CN"/>
        </w:rPr>
        <w:t>群塔施工安全</w:t>
      </w:r>
      <w:r>
        <w:rPr>
          <w:rFonts w:hint="eastAsia"/>
          <w:highlight w:val="none"/>
        </w:rPr>
        <w:t>技术</w:t>
      </w:r>
      <w:r>
        <w:rPr>
          <w:rFonts w:hint="default"/>
          <w:highlight w:val="none"/>
          <w:lang w:val="en-US" w:eastAsia="zh-CN"/>
        </w:rPr>
        <w:t>保证措施</w:t>
      </w:r>
      <w:bookmarkEnd w:id="257"/>
      <w:bookmarkEnd w:id="258"/>
    </w:p>
    <w:p w14:paraId="7FC657E0">
      <w:pPr>
        <w:pStyle w:val="5"/>
        <w:tabs>
          <w:tab w:val="left" w:pos="0"/>
        </w:tabs>
        <w:bidi w:val="0"/>
        <w:rPr>
          <w:rFonts w:hint="default"/>
          <w:highlight w:val="none"/>
          <w:lang w:val="en-US" w:eastAsia="zh-CN"/>
        </w:rPr>
      </w:pPr>
      <w:r>
        <w:rPr>
          <w:rFonts w:hint="eastAsia"/>
          <w:highlight w:val="none"/>
          <w:lang w:val="en-US" w:eastAsia="zh-CN"/>
        </w:rPr>
        <w:t>6.4.3.1</w:t>
      </w:r>
      <w:r>
        <w:rPr>
          <w:rFonts w:hint="default"/>
          <w:highlight w:val="none"/>
          <w:lang w:val="en-US" w:eastAsia="zh-CN"/>
        </w:rPr>
        <w:t>群塔安装顶升应遵循的原则</w:t>
      </w:r>
    </w:p>
    <w:p w14:paraId="2B96D45A">
      <w:pPr>
        <w:bidi w:val="0"/>
        <w:rPr>
          <w:rFonts w:hint="default"/>
          <w:highlight w:val="none"/>
          <w:lang w:val="en-US" w:eastAsia="zh-CN"/>
        </w:rPr>
      </w:pPr>
      <w:r>
        <w:rPr>
          <w:rFonts w:hint="default"/>
          <w:highlight w:val="none"/>
          <w:lang w:val="en-US" w:eastAsia="zh-CN"/>
        </w:rPr>
        <w:t>（1）高塔的最低部件</w:t>
      </w:r>
      <w:r>
        <w:rPr>
          <w:rFonts w:hint="eastAsia"/>
          <w:highlight w:val="none"/>
          <w:lang w:val="en-US" w:eastAsia="zh-CN"/>
        </w:rPr>
        <w:t>（</w:t>
      </w:r>
      <w:r>
        <w:rPr>
          <w:rFonts w:hint="default"/>
          <w:highlight w:val="none"/>
          <w:lang w:val="en-US" w:eastAsia="zh-CN"/>
        </w:rPr>
        <w:t>吊钩较高的位置，平衡重</w:t>
      </w:r>
      <w:r>
        <w:rPr>
          <w:rFonts w:hint="eastAsia"/>
          <w:highlight w:val="none"/>
          <w:lang w:val="en-US" w:eastAsia="zh-CN"/>
        </w:rPr>
        <w:t>）</w:t>
      </w:r>
      <w:r>
        <w:rPr>
          <w:rFonts w:hint="default"/>
          <w:highlight w:val="none"/>
          <w:lang w:val="en-US" w:eastAsia="zh-CN"/>
        </w:rPr>
        <w:t>和另一台塔机的最高部件之间的净高差必须大于2米</w:t>
      </w:r>
      <w:r>
        <w:rPr>
          <w:rFonts w:hint="eastAsia"/>
          <w:highlight w:val="none"/>
          <w:lang w:val="en-US" w:eastAsia="zh-CN"/>
        </w:rPr>
        <w:t>（</w:t>
      </w:r>
      <w:r>
        <w:rPr>
          <w:rFonts w:hint="default"/>
          <w:highlight w:val="none"/>
          <w:lang w:val="en-US" w:eastAsia="zh-CN"/>
        </w:rPr>
        <w:t>最小值</w:t>
      </w:r>
      <w:r>
        <w:rPr>
          <w:rFonts w:hint="eastAsia"/>
          <w:highlight w:val="none"/>
          <w:lang w:val="en-US" w:eastAsia="zh-CN"/>
        </w:rPr>
        <w:t>）</w:t>
      </w:r>
      <w:r>
        <w:rPr>
          <w:rFonts w:hint="default"/>
          <w:highlight w:val="none"/>
          <w:lang w:val="en-US" w:eastAsia="zh-CN"/>
        </w:rPr>
        <w:t>。</w:t>
      </w:r>
    </w:p>
    <w:p w14:paraId="47826075">
      <w:pPr>
        <w:bidi w:val="0"/>
        <w:rPr>
          <w:rFonts w:hint="default"/>
          <w:highlight w:val="none"/>
          <w:lang w:val="en-US" w:eastAsia="zh-CN"/>
        </w:rPr>
      </w:pPr>
      <w:r>
        <w:rPr>
          <w:rFonts w:hint="default"/>
          <w:highlight w:val="none"/>
          <w:lang w:val="en-US" w:eastAsia="zh-CN"/>
        </w:rPr>
        <w:t>（2）当塔机在另一台塔机的上面工作时，高塔必须装备有防止起升钢丝绳进入正在工作的低搭的平衡臂工作区域的装置，安全距离为2米。</w:t>
      </w:r>
    </w:p>
    <w:p w14:paraId="01E357EF">
      <w:pPr>
        <w:bidi w:val="0"/>
        <w:ind w:left="0" w:leftChars="0" w:firstLine="0" w:firstLineChars="0"/>
        <w:jc w:val="center"/>
        <w:rPr>
          <w:rFonts w:hint="eastAsia" w:ascii="宋体" w:hAnsi="宋体" w:cs="宋体"/>
          <w:kern w:val="0"/>
          <w:sz w:val="24"/>
          <w:highlight w:val="none"/>
        </w:rPr>
      </w:pPr>
      <w:r>
        <w:rPr>
          <w:rFonts w:hint="eastAsia" w:ascii="宋体" w:hAnsi="宋体" w:cs="宋体"/>
          <w:kern w:val="0"/>
          <w:sz w:val="24"/>
          <w:highlight w:val="none"/>
        </w:rPr>
        <w:drawing>
          <wp:inline distT="0" distB="0" distL="114300" distR="114300">
            <wp:extent cx="4912995" cy="2195830"/>
            <wp:effectExtent l="0" t="0" r="1905" b="1270"/>
            <wp:docPr id="11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0"/>
                    <pic:cNvPicPr>
                      <a:picLocks noChangeAspect="1"/>
                    </pic:cNvPicPr>
                  </pic:nvPicPr>
                  <pic:blipFill>
                    <a:blip r:embed="rId67"/>
                    <a:stretch>
                      <a:fillRect/>
                    </a:stretch>
                  </pic:blipFill>
                  <pic:spPr>
                    <a:xfrm>
                      <a:off x="0" y="0"/>
                      <a:ext cx="4912995" cy="2195830"/>
                    </a:xfrm>
                    <a:prstGeom prst="rect">
                      <a:avLst/>
                    </a:prstGeom>
                    <a:noFill/>
                    <a:ln>
                      <a:noFill/>
                    </a:ln>
                  </pic:spPr>
                </pic:pic>
              </a:graphicData>
            </a:graphic>
          </wp:inline>
        </w:drawing>
      </w:r>
    </w:p>
    <w:p w14:paraId="5556A752">
      <w:pPr>
        <w:bidi w:val="0"/>
        <w:ind w:left="0" w:leftChars="0" w:firstLine="0" w:firstLineChars="0"/>
        <w:jc w:val="center"/>
        <w:rPr>
          <w:rFonts w:hint="eastAsia"/>
          <w:highlight w:val="none"/>
        </w:rPr>
      </w:pPr>
      <w:r>
        <w:rPr>
          <w:rFonts w:ascii="宋体" w:hAnsi="宋体"/>
          <w:sz w:val="24"/>
          <w:highlight w:val="none"/>
        </w:rPr>
        <w:drawing>
          <wp:inline distT="0" distB="0" distL="114300" distR="114300">
            <wp:extent cx="3962400" cy="2195830"/>
            <wp:effectExtent l="0" t="0" r="0" b="1270"/>
            <wp:docPr id="11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1"/>
                    <pic:cNvPicPr>
                      <a:picLocks noChangeAspect="1"/>
                    </pic:cNvPicPr>
                  </pic:nvPicPr>
                  <pic:blipFill>
                    <a:blip r:embed="rId68"/>
                    <a:stretch>
                      <a:fillRect/>
                    </a:stretch>
                  </pic:blipFill>
                  <pic:spPr>
                    <a:xfrm>
                      <a:off x="0" y="0"/>
                      <a:ext cx="3962400" cy="2195830"/>
                    </a:xfrm>
                    <a:prstGeom prst="rect">
                      <a:avLst/>
                    </a:prstGeom>
                    <a:noFill/>
                    <a:ln>
                      <a:noFill/>
                    </a:ln>
                  </pic:spPr>
                </pic:pic>
              </a:graphicData>
            </a:graphic>
          </wp:inline>
        </w:drawing>
      </w:r>
    </w:p>
    <w:p w14:paraId="73C69690">
      <w:pPr>
        <w:pStyle w:val="14"/>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图6.4.3-1 群塔安装示意图</w:t>
      </w:r>
    </w:p>
    <w:p w14:paraId="576B6832">
      <w:pPr>
        <w:pStyle w:val="5"/>
        <w:tabs>
          <w:tab w:val="left" w:pos="0"/>
        </w:tabs>
        <w:bidi w:val="0"/>
        <w:rPr>
          <w:rFonts w:hint="default"/>
          <w:highlight w:val="none"/>
          <w:lang w:val="en-US" w:eastAsia="zh-CN"/>
        </w:rPr>
      </w:pPr>
      <w:r>
        <w:rPr>
          <w:rFonts w:hint="eastAsia"/>
          <w:highlight w:val="none"/>
          <w:lang w:val="en-US" w:eastAsia="zh-CN"/>
        </w:rPr>
        <w:t>6.4.3.2</w:t>
      </w:r>
      <w:r>
        <w:rPr>
          <w:rFonts w:hint="default"/>
          <w:highlight w:val="none"/>
          <w:lang w:val="en-US" w:eastAsia="zh-CN"/>
        </w:rPr>
        <w:t>群塔作业应遵循的原则</w:t>
      </w:r>
    </w:p>
    <w:p w14:paraId="35D1E8D4">
      <w:pPr>
        <w:rPr>
          <w:rFonts w:hint="default"/>
          <w:b/>
          <w:bCs/>
          <w:highlight w:val="none"/>
          <w:lang w:val="en-US" w:eastAsia="zh-CN"/>
        </w:rPr>
      </w:pPr>
      <w:r>
        <w:rPr>
          <w:rFonts w:hint="default"/>
          <w:b/>
          <w:bCs/>
          <w:highlight w:val="none"/>
          <w:lang w:val="en-US" w:eastAsia="zh-CN"/>
        </w:rPr>
        <w:t>1、低塔让高塔原则</w:t>
      </w:r>
    </w:p>
    <w:p w14:paraId="193C3049">
      <w:pPr>
        <w:ind w:firstLine="480" w:firstLineChars="200"/>
        <w:rPr>
          <w:rFonts w:hint="default"/>
          <w:highlight w:val="none"/>
          <w:lang w:val="en-US" w:eastAsia="zh-CN"/>
        </w:rPr>
      </w:pPr>
      <w:r>
        <w:rPr>
          <w:rFonts w:hint="default"/>
          <w:highlight w:val="none"/>
          <w:lang w:val="en-US" w:eastAsia="zh-CN"/>
        </w:rPr>
        <w:t>一般情况下，主要位置的塔吊、施工繁忙的塔吊应安装的较高，次要位置的塔吊安装的较低，施工中，低位塔吊应关注相关的高位塔吊运行情况，在查明情况后再进行动作。</w:t>
      </w:r>
    </w:p>
    <w:p w14:paraId="2DEE6E10">
      <w:pPr>
        <w:rPr>
          <w:rFonts w:hint="default"/>
          <w:b/>
          <w:bCs/>
          <w:highlight w:val="none"/>
          <w:lang w:val="en-US" w:eastAsia="zh-CN"/>
        </w:rPr>
      </w:pPr>
      <w:r>
        <w:rPr>
          <w:rFonts w:hint="default"/>
          <w:b/>
          <w:bCs/>
          <w:highlight w:val="none"/>
          <w:lang w:val="en-US" w:eastAsia="zh-CN"/>
        </w:rPr>
        <w:t>2、后塔让先塔原则</w:t>
      </w:r>
    </w:p>
    <w:p w14:paraId="0ACFB34D">
      <w:pPr>
        <w:ind w:firstLine="480" w:firstLineChars="200"/>
        <w:rPr>
          <w:rFonts w:hint="default"/>
          <w:highlight w:val="none"/>
          <w:lang w:val="en-US" w:eastAsia="zh-CN"/>
        </w:rPr>
      </w:pPr>
      <w:r>
        <w:rPr>
          <w:rFonts w:hint="default"/>
          <w:highlight w:val="none"/>
          <w:lang w:val="en-US" w:eastAsia="zh-CN"/>
        </w:rPr>
        <w:t>塔吊同时在交叉作业区运行时，后进入该区域的塔吊应避让先进入该区域的塔吊。</w:t>
      </w:r>
    </w:p>
    <w:p w14:paraId="2A7900E7">
      <w:pPr>
        <w:rPr>
          <w:rFonts w:hint="default"/>
          <w:b/>
          <w:bCs/>
          <w:highlight w:val="none"/>
          <w:lang w:val="en-US" w:eastAsia="zh-CN"/>
        </w:rPr>
      </w:pPr>
      <w:r>
        <w:rPr>
          <w:rFonts w:hint="default"/>
          <w:b/>
          <w:bCs/>
          <w:highlight w:val="none"/>
          <w:lang w:val="en-US" w:eastAsia="zh-CN"/>
        </w:rPr>
        <w:t>3、动塔让静塔原则</w:t>
      </w:r>
    </w:p>
    <w:p w14:paraId="2DA33E79">
      <w:pPr>
        <w:ind w:firstLine="480" w:firstLineChars="200"/>
        <w:rPr>
          <w:rFonts w:hint="default"/>
          <w:highlight w:val="none"/>
          <w:lang w:val="en-US" w:eastAsia="zh-CN"/>
        </w:rPr>
      </w:pPr>
      <w:r>
        <w:rPr>
          <w:rFonts w:hint="default"/>
          <w:highlight w:val="none"/>
          <w:lang w:val="en-US" w:eastAsia="zh-CN"/>
        </w:rPr>
        <w:t>塔吊在交叉作业区施工时，有动作的塔吊应避让正停在某位置施工的塔吊。</w:t>
      </w:r>
    </w:p>
    <w:p w14:paraId="3CEED3FA">
      <w:pPr>
        <w:rPr>
          <w:rFonts w:hint="default"/>
          <w:b/>
          <w:bCs/>
          <w:highlight w:val="none"/>
          <w:lang w:val="en-US" w:eastAsia="zh-CN"/>
        </w:rPr>
      </w:pPr>
      <w:r>
        <w:rPr>
          <w:rFonts w:hint="default"/>
          <w:b/>
          <w:bCs/>
          <w:highlight w:val="none"/>
          <w:lang w:val="en-US" w:eastAsia="zh-CN"/>
        </w:rPr>
        <w:t>4、荷重先行原则</w:t>
      </w:r>
    </w:p>
    <w:p w14:paraId="6F543125">
      <w:pPr>
        <w:ind w:firstLine="480" w:firstLineChars="200"/>
        <w:rPr>
          <w:rFonts w:hint="default"/>
          <w:highlight w:val="none"/>
          <w:lang w:val="en-US" w:eastAsia="zh-CN"/>
        </w:rPr>
      </w:pPr>
      <w:r>
        <w:rPr>
          <w:rFonts w:hint="default"/>
          <w:highlight w:val="none"/>
          <w:lang w:val="en-US" w:eastAsia="zh-CN"/>
        </w:rPr>
        <w:t>两塔同时施工在交叉作业区时，无吊载的塔吊应避让有吊载的塔吊，吊载较轻或所吊构件较小的塔吊应避让吊载较重或吊物尺寸较大的塔吊。</w:t>
      </w:r>
    </w:p>
    <w:p w14:paraId="48C70BBC">
      <w:pPr>
        <w:rPr>
          <w:rFonts w:hint="default"/>
          <w:b/>
          <w:bCs/>
          <w:highlight w:val="none"/>
          <w:lang w:val="en-US" w:eastAsia="zh-CN"/>
        </w:rPr>
      </w:pPr>
      <w:r>
        <w:rPr>
          <w:rFonts w:hint="default"/>
          <w:b/>
          <w:bCs/>
          <w:highlight w:val="none"/>
          <w:lang w:val="en-US" w:eastAsia="zh-CN"/>
        </w:rPr>
        <w:t>5、客塔让主塔原则</w:t>
      </w:r>
    </w:p>
    <w:p w14:paraId="0D95D36C">
      <w:pPr>
        <w:ind w:firstLine="480" w:firstLineChars="200"/>
        <w:rPr>
          <w:rFonts w:hint="default"/>
          <w:highlight w:val="none"/>
          <w:lang w:val="en-US" w:eastAsia="zh-CN"/>
        </w:rPr>
      </w:pPr>
      <w:r>
        <w:rPr>
          <w:rFonts w:hint="default"/>
          <w:highlight w:val="none"/>
          <w:lang w:val="en-US" w:eastAsia="zh-CN"/>
        </w:rPr>
        <w:t>在明确划分施工区域后，闯入非本塔吊施工区域的塔吊应主动避让，该区域主塔吊。</w:t>
      </w:r>
    </w:p>
    <w:p w14:paraId="03B9115C">
      <w:pPr>
        <w:pStyle w:val="4"/>
        <w:tabs>
          <w:tab w:val="left" w:pos="0"/>
          <w:tab w:val="left" w:pos="630"/>
        </w:tabs>
        <w:bidi w:val="0"/>
        <w:rPr>
          <w:rFonts w:hint="default"/>
          <w:highlight w:val="none"/>
          <w:lang w:val="en-US" w:eastAsia="zh-CN"/>
        </w:rPr>
      </w:pPr>
      <w:bookmarkStart w:id="259" w:name="_Toc20568"/>
      <w:bookmarkStart w:id="260" w:name="_Toc13270"/>
      <w:r>
        <w:rPr>
          <w:rFonts w:hint="eastAsia"/>
          <w:highlight w:val="none"/>
          <w:lang w:val="en-US" w:eastAsia="zh-CN"/>
        </w:rPr>
        <w:t>6.4.4</w:t>
      </w:r>
      <w:r>
        <w:rPr>
          <w:rFonts w:hint="default"/>
          <w:highlight w:val="none"/>
          <w:lang w:val="en-US" w:eastAsia="zh-CN"/>
        </w:rPr>
        <w:t>吊装</w:t>
      </w:r>
      <w:r>
        <w:rPr>
          <w:rFonts w:hint="eastAsia"/>
          <w:highlight w:val="none"/>
          <w:lang w:val="en-US" w:eastAsia="zh-CN"/>
        </w:rPr>
        <w:t>安全技术管控措施</w:t>
      </w:r>
      <w:bookmarkEnd w:id="259"/>
      <w:bookmarkEnd w:id="260"/>
    </w:p>
    <w:p w14:paraId="08F0FEA1">
      <w:pPr>
        <w:ind w:firstLine="480" w:firstLineChars="200"/>
        <w:rPr>
          <w:rFonts w:hint="default"/>
          <w:highlight w:val="none"/>
          <w:lang w:val="en-US" w:eastAsia="zh-CN"/>
        </w:rPr>
      </w:pPr>
      <w:r>
        <w:rPr>
          <w:rFonts w:hint="default"/>
          <w:highlight w:val="none"/>
          <w:lang w:val="en-US" w:eastAsia="zh-CN"/>
        </w:rPr>
        <w:t>起重吊装前，必须对工作现场环境、经过路线、架空电线、建筑物以及构件重量和分布等情况进行全面了解，吊装操作规定如下：</w:t>
      </w:r>
    </w:p>
    <w:p w14:paraId="214363ED">
      <w:pPr>
        <w:rPr>
          <w:rFonts w:hint="default"/>
          <w:highlight w:val="none"/>
          <w:lang w:val="en-US" w:eastAsia="zh-CN"/>
        </w:rPr>
      </w:pPr>
      <w:r>
        <w:rPr>
          <w:rFonts w:hint="eastAsia"/>
          <w:highlight w:val="none"/>
          <w:lang w:val="en-US" w:eastAsia="zh-CN"/>
        </w:rPr>
        <w:t>1、</w:t>
      </w:r>
      <w:r>
        <w:rPr>
          <w:rFonts w:hint="default"/>
          <w:highlight w:val="none"/>
          <w:lang w:val="en-US" w:eastAsia="zh-CN"/>
        </w:rPr>
        <w:t>起重臂回转半径内无障碍物。</w:t>
      </w:r>
    </w:p>
    <w:p w14:paraId="374EDD92">
      <w:pPr>
        <w:rPr>
          <w:rFonts w:hint="default"/>
          <w:highlight w:val="none"/>
          <w:lang w:val="en-US" w:eastAsia="zh-CN"/>
        </w:rPr>
      </w:pPr>
      <w:r>
        <w:rPr>
          <w:rFonts w:hint="eastAsia"/>
          <w:highlight w:val="none"/>
          <w:lang w:val="en-US" w:eastAsia="zh-CN"/>
        </w:rPr>
        <w:t>2、</w:t>
      </w:r>
      <w:r>
        <w:rPr>
          <w:rFonts w:hint="default"/>
          <w:highlight w:val="none"/>
          <w:lang w:val="en-US" w:eastAsia="zh-CN"/>
        </w:rPr>
        <w:t>操作前重点检查：</w:t>
      </w:r>
    </w:p>
    <w:p w14:paraId="42DFA866">
      <w:pPr>
        <w:rPr>
          <w:rFonts w:hint="default"/>
          <w:highlight w:val="none"/>
          <w:lang w:val="en-US" w:eastAsia="zh-CN"/>
        </w:rPr>
      </w:pPr>
      <w:r>
        <w:rPr>
          <w:rFonts w:hint="eastAsia"/>
          <w:highlight w:val="none"/>
          <w:lang w:val="en-US" w:eastAsia="zh-CN"/>
        </w:rPr>
        <w:t>（1）</w:t>
      </w:r>
      <w:r>
        <w:rPr>
          <w:rFonts w:hint="default"/>
          <w:highlight w:val="none"/>
          <w:lang w:val="en-US" w:eastAsia="zh-CN"/>
        </w:rPr>
        <w:t>机械结构的外观情况，各传动机构应正常；</w:t>
      </w:r>
    </w:p>
    <w:p w14:paraId="0BD074A0">
      <w:pPr>
        <w:rPr>
          <w:rFonts w:hint="default"/>
          <w:highlight w:val="none"/>
          <w:lang w:val="en-US" w:eastAsia="zh-CN"/>
        </w:rPr>
      </w:pPr>
      <w:r>
        <w:rPr>
          <w:rFonts w:hint="eastAsia"/>
          <w:highlight w:val="none"/>
          <w:lang w:val="en-US" w:eastAsia="zh-CN"/>
        </w:rPr>
        <w:t>（2）</w:t>
      </w:r>
      <w:r>
        <w:rPr>
          <w:rFonts w:hint="default"/>
          <w:highlight w:val="none"/>
          <w:lang w:val="en-US" w:eastAsia="zh-CN"/>
        </w:rPr>
        <w:t>各齿轮箱、液压油箱的油位应符合标准；</w:t>
      </w:r>
    </w:p>
    <w:p w14:paraId="58224DD9">
      <w:pPr>
        <w:rPr>
          <w:rFonts w:hint="default"/>
          <w:highlight w:val="none"/>
          <w:lang w:val="en-US" w:eastAsia="zh-CN"/>
        </w:rPr>
      </w:pPr>
      <w:r>
        <w:rPr>
          <w:rFonts w:hint="eastAsia"/>
          <w:highlight w:val="none"/>
          <w:lang w:val="en-US" w:eastAsia="zh-CN"/>
        </w:rPr>
        <w:t>（3）</w:t>
      </w:r>
      <w:r>
        <w:rPr>
          <w:rFonts w:hint="default"/>
          <w:highlight w:val="none"/>
          <w:lang w:val="en-US" w:eastAsia="zh-CN"/>
        </w:rPr>
        <w:t>主要部位连接螺栓应无松动；</w:t>
      </w:r>
    </w:p>
    <w:p w14:paraId="1D2433B6">
      <w:pPr>
        <w:rPr>
          <w:rFonts w:hint="default"/>
          <w:highlight w:val="none"/>
          <w:lang w:val="en-US" w:eastAsia="zh-CN"/>
        </w:rPr>
      </w:pPr>
      <w:r>
        <w:rPr>
          <w:rFonts w:hint="eastAsia"/>
          <w:highlight w:val="none"/>
          <w:lang w:val="en-US" w:eastAsia="zh-CN"/>
        </w:rPr>
        <w:t>（4）</w:t>
      </w:r>
      <w:r>
        <w:rPr>
          <w:rFonts w:hint="default"/>
          <w:highlight w:val="none"/>
          <w:lang w:val="en-US" w:eastAsia="zh-CN"/>
        </w:rPr>
        <w:t>钢丝绳磨损情况及穿绕滑轮应符合规定；</w:t>
      </w:r>
    </w:p>
    <w:p w14:paraId="1D582A50">
      <w:pPr>
        <w:rPr>
          <w:rFonts w:hint="default"/>
          <w:highlight w:val="none"/>
          <w:lang w:val="en-US" w:eastAsia="zh-CN"/>
        </w:rPr>
      </w:pPr>
      <w:r>
        <w:rPr>
          <w:rFonts w:hint="eastAsia"/>
          <w:highlight w:val="none"/>
          <w:lang w:val="en-US" w:eastAsia="zh-CN"/>
        </w:rPr>
        <w:t>（5）</w:t>
      </w:r>
      <w:r>
        <w:rPr>
          <w:rFonts w:hint="default"/>
          <w:highlight w:val="none"/>
          <w:lang w:val="en-US" w:eastAsia="zh-CN"/>
        </w:rPr>
        <w:t>供电电缆应无磨损；</w:t>
      </w:r>
    </w:p>
    <w:p w14:paraId="7CB5140E">
      <w:pPr>
        <w:rPr>
          <w:rFonts w:hint="default"/>
          <w:highlight w:val="none"/>
          <w:lang w:val="en-US" w:eastAsia="zh-CN"/>
        </w:rPr>
      </w:pPr>
      <w:r>
        <w:rPr>
          <w:rFonts w:hint="eastAsia"/>
          <w:highlight w:val="none"/>
          <w:lang w:val="en-US" w:eastAsia="zh-CN"/>
        </w:rPr>
        <w:t>（6）</w:t>
      </w:r>
      <w:r>
        <w:rPr>
          <w:rFonts w:hint="default"/>
          <w:highlight w:val="none"/>
          <w:lang w:val="en-US" w:eastAsia="zh-CN"/>
        </w:rPr>
        <w:t>检查电源电压应达到380伏，其变动范围不得超过±20伏，送电前启动控制开关应在零位。接通电源，检查金属结构部分无漏电后方可上机操作；</w:t>
      </w:r>
    </w:p>
    <w:p w14:paraId="557DE64D">
      <w:pPr>
        <w:rPr>
          <w:rFonts w:hint="default"/>
          <w:highlight w:val="none"/>
          <w:lang w:val="en-US" w:eastAsia="zh-CN"/>
        </w:rPr>
      </w:pPr>
      <w:r>
        <w:rPr>
          <w:rFonts w:hint="eastAsia"/>
          <w:highlight w:val="none"/>
          <w:lang w:val="en-US" w:eastAsia="zh-CN"/>
        </w:rPr>
        <w:t>（7）</w:t>
      </w:r>
      <w:r>
        <w:rPr>
          <w:rFonts w:hint="default"/>
          <w:highlight w:val="none"/>
          <w:lang w:val="en-US" w:eastAsia="zh-CN"/>
        </w:rPr>
        <w:t>空载运转，检查回转、起重、变幅等各机构的制动器、安全限位、防护装置等确认正确后，方可作业。</w:t>
      </w:r>
    </w:p>
    <w:p w14:paraId="2910B3FB">
      <w:pPr>
        <w:rPr>
          <w:rFonts w:hint="default"/>
          <w:highlight w:val="none"/>
          <w:lang w:val="en-US" w:eastAsia="zh-CN"/>
        </w:rPr>
      </w:pPr>
      <w:r>
        <w:rPr>
          <w:rFonts w:hint="eastAsia"/>
          <w:highlight w:val="none"/>
          <w:lang w:val="en-US" w:eastAsia="zh-CN"/>
        </w:rPr>
        <w:t>3、</w:t>
      </w:r>
      <w:r>
        <w:rPr>
          <w:rFonts w:hint="default"/>
          <w:highlight w:val="none"/>
          <w:lang w:val="en-US" w:eastAsia="zh-CN"/>
        </w:rPr>
        <w:t>在作业时，操作人员在进行起重机回转、吊钩升降、变幅等动作前，应鸣声示意。</w:t>
      </w:r>
    </w:p>
    <w:p w14:paraId="6F5FFD4A">
      <w:pPr>
        <w:rPr>
          <w:rFonts w:hint="default"/>
          <w:highlight w:val="none"/>
          <w:lang w:val="en-US" w:eastAsia="zh-CN"/>
        </w:rPr>
      </w:pPr>
      <w:r>
        <w:rPr>
          <w:rFonts w:hint="eastAsia"/>
          <w:highlight w:val="none"/>
          <w:lang w:val="en-US" w:eastAsia="zh-CN"/>
        </w:rPr>
        <w:t>4、</w:t>
      </w:r>
      <w:r>
        <w:rPr>
          <w:rFonts w:hint="default"/>
          <w:highlight w:val="none"/>
          <w:lang w:val="en-US" w:eastAsia="zh-CN"/>
        </w:rPr>
        <w:t>地面指挥人员必须经过培训取得合格证后，方可担任指挥。作业时应与操作人员密切配合。操作人员应严格执行指挥人员的信号，如信号不清或错误，操作人员应拒绝执行。</w:t>
      </w:r>
    </w:p>
    <w:p w14:paraId="781476F9">
      <w:pPr>
        <w:rPr>
          <w:rFonts w:hint="default"/>
          <w:highlight w:val="none"/>
          <w:lang w:val="en-US" w:eastAsia="zh-CN"/>
        </w:rPr>
      </w:pPr>
      <w:r>
        <w:rPr>
          <w:rFonts w:hint="eastAsia"/>
          <w:highlight w:val="none"/>
          <w:lang w:val="en-US" w:eastAsia="zh-CN"/>
        </w:rPr>
        <w:t>5、</w:t>
      </w:r>
      <w:r>
        <w:rPr>
          <w:rFonts w:hint="default"/>
          <w:highlight w:val="none"/>
          <w:lang w:val="en-US" w:eastAsia="zh-CN"/>
        </w:rPr>
        <w:t>当操作室远离地面，正常指挥发生困难时，可设高空、地面两个指挥人员或采用对讲机进行指挥。</w:t>
      </w:r>
    </w:p>
    <w:p w14:paraId="509CAEDC">
      <w:pPr>
        <w:rPr>
          <w:rFonts w:hint="default"/>
          <w:highlight w:val="none"/>
          <w:lang w:val="en-US" w:eastAsia="zh-CN"/>
        </w:rPr>
      </w:pPr>
      <w:r>
        <w:rPr>
          <w:rFonts w:hint="eastAsia"/>
          <w:highlight w:val="none"/>
          <w:lang w:val="en-US" w:eastAsia="zh-CN"/>
        </w:rPr>
        <w:t>6、</w:t>
      </w:r>
      <w:r>
        <w:rPr>
          <w:rFonts w:hint="default"/>
          <w:highlight w:val="none"/>
          <w:lang w:val="en-US" w:eastAsia="zh-CN"/>
        </w:rPr>
        <w:t>遇六级以上大风或大雨、大雪、大雾等恶劣天气时应停止起重机露天作业。</w:t>
      </w:r>
    </w:p>
    <w:p w14:paraId="2D6FC361">
      <w:pPr>
        <w:rPr>
          <w:rFonts w:hint="default"/>
          <w:highlight w:val="none"/>
          <w:lang w:val="en-US" w:eastAsia="zh-CN"/>
        </w:rPr>
      </w:pPr>
      <w:r>
        <w:rPr>
          <w:rFonts w:hint="eastAsia"/>
          <w:highlight w:val="none"/>
          <w:lang w:val="en-US" w:eastAsia="zh-CN"/>
        </w:rPr>
        <w:t>7、</w:t>
      </w:r>
      <w:r>
        <w:rPr>
          <w:rFonts w:hint="default"/>
          <w:highlight w:val="none"/>
          <w:lang w:val="en-US" w:eastAsia="zh-CN"/>
        </w:rPr>
        <w:t>起重机的变幅指示器、力矩限制器以及起重机的各种行程限位开关等保护装置，必须完整齐全、灵敏可靠，不得随意调整和拆除。严禁用限位装置代替操作机构。</w:t>
      </w:r>
    </w:p>
    <w:p w14:paraId="2176A50C">
      <w:pPr>
        <w:rPr>
          <w:rFonts w:hint="default"/>
          <w:highlight w:val="none"/>
          <w:lang w:val="en-US" w:eastAsia="zh-CN"/>
        </w:rPr>
      </w:pPr>
      <w:r>
        <w:rPr>
          <w:rFonts w:hint="eastAsia"/>
          <w:highlight w:val="none"/>
          <w:lang w:val="en-US" w:eastAsia="zh-CN"/>
        </w:rPr>
        <w:t>8、</w:t>
      </w:r>
      <w:r>
        <w:rPr>
          <w:rFonts w:hint="default"/>
          <w:highlight w:val="none"/>
          <w:lang w:val="en-US" w:eastAsia="zh-CN"/>
        </w:rPr>
        <w:t>起重机作业时，重物下方不得有人停留或通过。严禁用塔吊运载人员。</w:t>
      </w:r>
    </w:p>
    <w:p w14:paraId="60ECD6A6">
      <w:pPr>
        <w:rPr>
          <w:rFonts w:hint="default"/>
          <w:highlight w:val="none"/>
          <w:lang w:val="en-US" w:eastAsia="zh-CN"/>
        </w:rPr>
      </w:pPr>
      <w:r>
        <w:rPr>
          <w:rFonts w:hint="eastAsia"/>
          <w:highlight w:val="none"/>
          <w:lang w:val="en-US" w:eastAsia="zh-CN"/>
        </w:rPr>
        <w:t>9、</w:t>
      </w:r>
      <w:r>
        <w:rPr>
          <w:rFonts w:hint="default"/>
          <w:highlight w:val="none"/>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66BC2A9E">
      <w:pPr>
        <w:rPr>
          <w:rFonts w:hint="default"/>
          <w:highlight w:val="none"/>
          <w:lang w:val="en-US" w:eastAsia="zh-CN"/>
        </w:rPr>
      </w:pPr>
      <w:r>
        <w:rPr>
          <w:rFonts w:hint="eastAsia"/>
          <w:highlight w:val="none"/>
          <w:lang w:val="en-US" w:eastAsia="zh-CN"/>
        </w:rPr>
        <w:t>10、</w:t>
      </w:r>
      <w:r>
        <w:rPr>
          <w:rFonts w:hint="default"/>
          <w:highlight w:val="none"/>
          <w:lang w:val="en-US" w:eastAsia="zh-CN"/>
        </w:rPr>
        <w:t>严禁使用起重机进行斜拉、斜吊、和起吊地下埋设或凝结在地面上的重物。现场浇筑的砼构件或模板，必须全部松动后方可起吊。</w:t>
      </w:r>
    </w:p>
    <w:p w14:paraId="628C8FFC">
      <w:pPr>
        <w:rPr>
          <w:rFonts w:hint="default"/>
          <w:highlight w:val="none"/>
          <w:lang w:val="en-US" w:eastAsia="zh-CN"/>
        </w:rPr>
      </w:pPr>
      <w:r>
        <w:rPr>
          <w:rFonts w:hint="eastAsia"/>
          <w:highlight w:val="none"/>
          <w:lang w:val="en-US" w:eastAsia="zh-CN"/>
        </w:rPr>
        <w:t>11、</w:t>
      </w:r>
      <w:r>
        <w:rPr>
          <w:rFonts w:hint="default"/>
          <w:highlight w:val="none"/>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C5EA1EE">
      <w:pPr>
        <w:rPr>
          <w:rFonts w:hint="default"/>
          <w:highlight w:val="none"/>
          <w:lang w:val="en-US" w:eastAsia="zh-CN"/>
        </w:rPr>
      </w:pPr>
      <w:r>
        <w:rPr>
          <w:rFonts w:hint="eastAsia"/>
          <w:highlight w:val="none"/>
          <w:lang w:val="en-US" w:eastAsia="zh-CN"/>
        </w:rPr>
        <w:t>12、</w:t>
      </w:r>
      <w:r>
        <w:rPr>
          <w:rFonts w:hint="default"/>
          <w:highlight w:val="none"/>
          <w:lang w:val="en-US" w:eastAsia="zh-CN"/>
        </w:rPr>
        <w:t>起重机在雨雪天气作业时，应先经过试吊，确认制动器灵敏可靠后方可进行作业。</w:t>
      </w:r>
    </w:p>
    <w:p w14:paraId="06D88E2F">
      <w:pPr>
        <w:rPr>
          <w:rFonts w:hint="default"/>
          <w:highlight w:val="none"/>
          <w:lang w:val="en-US" w:eastAsia="zh-CN"/>
        </w:rPr>
      </w:pPr>
      <w:r>
        <w:rPr>
          <w:rFonts w:hint="eastAsia"/>
          <w:highlight w:val="none"/>
          <w:lang w:val="en-US" w:eastAsia="zh-CN"/>
        </w:rPr>
        <w:t>13、</w:t>
      </w:r>
      <w:r>
        <w:rPr>
          <w:rFonts w:hint="default"/>
          <w:highlight w:val="none"/>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2964EE9C">
      <w:pPr>
        <w:rPr>
          <w:rFonts w:hint="default"/>
          <w:highlight w:val="none"/>
          <w:lang w:val="en-US" w:eastAsia="zh-CN"/>
        </w:rPr>
      </w:pPr>
      <w:r>
        <w:rPr>
          <w:rFonts w:hint="eastAsia"/>
          <w:highlight w:val="none"/>
          <w:lang w:val="en-US" w:eastAsia="zh-CN"/>
        </w:rPr>
        <w:t>14、</w:t>
      </w:r>
      <w:r>
        <w:rPr>
          <w:rFonts w:hint="default"/>
          <w:highlight w:val="none"/>
          <w:lang w:val="en-US" w:eastAsia="zh-CN"/>
        </w:rPr>
        <w:t>重物提升和降落速度要均匀。严禁突快突慢和突然制动。左右回转动作要平稳，当回转未停稳前不得作回转运动。</w:t>
      </w:r>
    </w:p>
    <w:p w14:paraId="56303645">
      <w:pPr>
        <w:rPr>
          <w:rFonts w:hint="default"/>
          <w:highlight w:val="none"/>
          <w:lang w:val="en-US" w:eastAsia="zh-CN"/>
        </w:rPr>
      </w:pPr>
      <w:r>
        <w:rPr>
          <w:rFonts w:hint="eastAsia"/>
          <w:highlight w:val="none"/>
          <w:lang w:val="en-US" w:eastAsia="zh-CN"/>
        </w:rPr>
        <w:t>15、</w:t>
      </w:r>
      <w:r>
        <w:rPr>
          <w:rFonts w:hint="default"/>
          <w:highlight w:val="none"/>
          <w:lang w:val="en-US" w:eastAsia="zh-CN"/>
        </w:rPr>
        <w:t>起重机不得靠近架空输电线路作业，如限于现场条件，必须在线路旁作业时，应采取安全保护措施。3.16起重机使用的钢丝绳，应有制造厂的技术证明文件作为依据。如无证件时应经过检测试验合格后方可使用。</w:t>
      </w:r>
    </w:p>
    <w:p w14:paraId="782E79D4">
      <w:pPr>
        <w:rPr>
          <w:rFonts w:hint="default"/>
          <w:highlight w:val="none"/>
          <w:lang w:val="en-US" w:eastAsia="zh-CN"/>
        </w:rPr>
      </w:pPr>
      <w:r>
        <w:rPr>
          <w:rFonts w:hint="eastAsia"/>
          <w:highlight w:val="none"/>
          <w:lang w:val="en-US" w:eastAsia="zh-CN"/>
        </w:rPr>
        <w:t>16、</w:t>
      </w:r>
      <w:r>
        <w:rPr>
          <w:rFonts w:hint="default"/>
          <w:highlight w:val="none"/>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56047A5E">
      <w:pPr>
        <w:rPr>
          <w:rFonts w:hint="default"/>
          <w:highlight w:val="none"/>
          <w:lang w:val="en-US" w:eastAsia="zh-CN"/>
        </w:rPr>
      </w:pPr>
      <w:r>
        <w:rPr>
          <w:rFonts w:hint="eastAsia"/>
          <w:highlight w:val="none"/>
          <w:lang w:val="en-US" w:eastAsia="zh-CN"/>
        </w:rPr>
        <w:t>17、</w:t>
      </w:r>
      <w:r>
        <w:rPr>
          <w:rFonts w:hint="default"/>
          <w:highlight w:val="none"/>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271CC781">
      <w:pPr>
        <w:rPr>
          <w:rFonts w:hint="default"/>
          <w:highlight w:val="none"/>
          <w:lang w:val="en-US" w:eastAsia="zh-CN"/>
        </w:rPr>
      </w:pPr>
      <w:r>
        <w:rPr>
          <w:rFonts w:hint="eastAsia"/>
          <w:highlight w:val="none"/>
          <w:lang w:val="en-US" w:eastAsia="zh-CN"/>
        </w:rPr>
        <w:t>18、</w:t>
      </w:r>
      <w:r>
        <w:rPr>
          <w:rFonts w:hint="default"/>
          <w:highlight w:val="none"/>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572984A2">
      <w:pPr>
        <w:rPr>
          <w:rFonts w:hint="default"/>
          <w:highlight w:val="none"/>
          <w:lang w:val="en-US" w:eastAsia="zh-CN"/>
        </w:rPr>
      </w:pPr>
      <w:r>
        <w:rPr>
          <w:rFonts w:hint="eastAsia"/>
          <w:highlight w:val="none"/>
          <w:lang w:val="en-US" w:eastAsia="zh-CN"/>
        </w:rPr>
        <w:t>19、</w:t>
      </w:r>
      <w:r>
        <w:rPr>
          <w:rFonts w:hint="default"/>
          <w:highlight w:val="none"/>
          <w:lang w:val="en-US" w:eastAsia="zh-CN"/>
        </w:rPr>
        <w:t>起重机的吊钩和吊环严禁补焊，有下列情况之一的即应更换：</w:t>
      </w:r>
    </w:p>
    <w:p w14:paraId="4C4ED6CC">
      <w:pPr>
        <w:rPr>
          <w:rFonts w:hint="default"/>
          <w:highlight w:val="none"/>
          <w:lang w:val="en-US" w:eastAsia="zh-CN"/>
        </w:rPr>
      </w:pPr>
      <w:r>
        <w:rPr>
          <w:rFonts w:hint="eastAsia"/>
          <w:highlight w:val="none"/>
          <w:lang w:val="en-US" w:eastAsia="zh-CN"/>
        </w:rPr>
        <w:t>（1）</w:t>
      </w:r>
      <w:r>
        <w:rPr>
          <w:rFonts w:hint="default"/>
          <w:highlight w:val="none"/>
          <w:lang w:val="en-US" w:eastAsia="zh-CN"/>
        </w:rPr>
        <w:t>表面有裂纹。</w:t>
      </w:r>
    </w:p>
    <w:p w14:paraId="2ECDBC7F">
      <w:pPr>
        <w:rPr>
          <w:rFonts w:hint="default"/>
          <w:highlight w:val="none"/>
          <w:lang w:val="en-US" w:eastAsia="zh-CN"/>
        </w:rPr>
      </w:pPr>
      <w:r>
        <w:rPr>
          <w:rFonts w:hint="eastAsia"/>
          <w:highlight w:val="none"/>
          <w:lang w:val="en-US" w:eastAsia="zh-CN"/>
        </w:rPr>
        <w:t>（2）</w:t>
      </w:r>
      <w:r>
        <w:rPr>
          <w:rFonts w:hint="default"/>
          <w:highlight w:val="none"/>
          <w:lang w:val="en-US" w:eastAsia="zh-CN"/>
        </w:rPr>
        <w:t>危险断面及钩颈有永久变形。</w:t>
      </w:r>
    </w:p>
    <w:p w14:paraId="324C4CDA">
      <w:pPr>
        <w:rPr>
          <w:rFonts w:hint="default"/>
          <w:highlight w:val="none"/>
          <w:lang w:val="en-US" w:eastAsia="zh-CN"/>
        </w:rPr>
      </w:pPr>
      <w:r>
        <w:rPr>
          <w:rFonts w:hint="eastAsia"/>
          <w:highlight w:val="none"/>
          <w:lang w:val="en-US" w:eastAsia="zh-CN"/>
        </w:rPr>
        <w:t>（3）</w:t>
      </w:r>
      <w:r>
        <w:rPr>
          <w:rFonts w:hint="default"/>
          <w:highlight w:val="none"/>
          <w:lang w:val="en-US" w:eastAsia="zh-CN"/>
        </w:rPr>
        <w:t>挂绳处断面磨损超过高度10％。</w:t>
      </w:r>
    </w:p>
    <w:p w14:paraId="18179B4C">
      <w:pPr>
        <w:rPr>
          <w:rFonts w:hint="default"/>
          <w:highlight w:val="none"/>
          <w:lang w:val="en-US" w:eastAsia="zh-CN"/>
        </w:rPr>
      </w:pPr>
      <w:r>
        <w:rPr>
          <w:rFonts w:hint="eastAsia"/>
          <w:highlight w:val="none"/>
          <w:lang w:val="en-US" w:eastAsia="zh-CN"/>
        </w:rPr>
        <w:t>（4）</w:t>
      </w:r>
      <w:r>
        <w:rPr>
          <w:rFonts w:hint="default"/>
          <w:highlight w:val="none"/>
          <w:lang w:val="en-US" w:eastAsia="zh-CN"/>
        </w:rPr>
        <w:t>吊钩衬套磨损超过原厚度50％，心轴（销子）磨损超过其直径的百分之三。</w:t>
      </w:r>
    </w:p>
    <w:p w14:paraId="22AEC297">
      <w:pPr>
        <w:rPr>
          <w:rFonts w:hint="default"/>
          <w:highlight w:val="none"/>
          <w:lang w:val="en-US" w:eastAsia="zh-CN"/>
        </w:rPr>
      </w:pPr>
      <w:r>
        <w:rPr>
          <w:rFonts w:hint="eastAsia"/>
          <w:highlight w:val="none"/>
          <w:lang w:val="en-US" w:eastAsia="zh-CN"/>
        </w:rPr>
        <w:t>（5）</w:t>
      </w:r>
      <w:r>
        <w:rPr>
          <w:rFonts w:hint="default"/>
          <w:highlight w:val="none"/>
          <w:lang w:val="en-US" w:eastAsia="zh-CN"/>
        </w:rPr>
        <w:t>起重机制动器的制动鼓面磨损达1.5—2.0mm时（大径取大值，小径取小值）或制动带磨损超过原厚度50％时均应更换。</w:t>
      </w:r>
    </w:p>
    <w:p w14:paraId="650DA767">
      <w:pPr>
        <w:rPr>
          <w:rFonts w:hint="default"/>
          <w:highlight w:val="none"/>
          <w:lang w:val="en-US" w:eastAsia="zh-CN"/>
        </w:rPr>
      </w:pPr>
      <w:r>
        <w:rPr>
          <w:rFonts w:hint="eastAsia"/>
          <w:highlight w:val="none"/>
          <w:lang w:val="en-US" w:eastAsia="zh-CN"/>
        </w:rPr>
        <w:t>20、</w:t>
      </w:r>
      <w:r>
        <w:rPr>
          <w:rFonts w:hint="default"/>
          <w:highlight w:val="none"/>
          <w:lang w:val="en-US" w:eastAsia="zh-CN"/>
        </w:rPr>
        <w:t>吊装作业步骤</w:t>
      </w:r>
    </w:p>
    <w:p w14:paraId="6142F52E">
      <w:pPr>
        <w:rPr>
          <w:rFonts w:hint="default"/>
          <w:highlight w:val="none"/>
          <w:lang w:val="en-US" w:eastAsia="zh-CN"/>
        </w:rPr>
      </w:pPr>
      <w:r>
        <w:rPr>
          <w:rFonts w:hint="default"/>
          <w:highlight w:val="none"/>
          <w:lang w:val="en-US" w:eastAsia="zh-CN"/>
        </w:rPr>
        <w:t>（1）作业前，应进行空载运转，试验各工作机构是否运转正常，有无噪音及异响，各机构的制动器及安全防护装置是否有效，确认正常后方可作业。</w:t>
      </w:r>
    </w:p>
    <w:p w14:paraId="34063D75">
      <w:pPr>
        <w:rPr>
          <w:rFonts w:hint="default"/>
          <w:highlight w:val="none"/>
          <w:lang w:val="en-US" w:eastAsia="zh-CN"/>
        </w:rPr>
      </w:pPr>
      <w:r>
        <w:rPr>
          <w:rFonts w:hint="default"/>
          <w:highlight w:val="none"/>
          <w:lang w:val="en-US" w:eastAsia="zh-CN"/>
        </w:rPr>
        <w:t>（2）由地面指挥告知塔吊司机吊装内容，通知司索工就位，并将吊装路线及时告知地面工作人员做好避让工作。</w:t>
      </w:r>
    </w:p>
    <w:p w14:paraId="5C712513">
      <w:pPr>
        <w:rPr>
          <w:rFonts w:hint="default"/>
          <w:highlight w:val="none"/>
          <w:lang w:val="en-US" w:eastAsia="zh-CN"/>
        </w:rPr>
      </w:pPr>
      <w:r>
        <w:rPr>
          <w:rFonts w:hint="default"/>
          <w:highlight w:val="none"/>
          <w:lang w:val="en-US" w:eastAsia="zh-CN"/>
        </w:rPr>
        <w:t>（3）司索工绑扎吊物吊点。</w:t>
      </w:r>
    </w:p>
    <w:p w14:paraId="7894B77C">
      <w:pPr>
        <w:rPr>
          <w:rFonts w:hint="default"/>
          <w:highlight w:val="none"/>
          <w:lang w:val="en-US" w:eastAsia="zh-CN"/>
        </w:rPr>
      </w:pPr>
      <w:r>
        <w:rPr>
          <w:rFonts w:hint="default"/>
          <w:highlight w:val="none"/>
          <w:lang w:val="en-US" w:eastAsia="zh-CN"/>
        </w:rPr>
        <w:t>（4）信号工通知塔吊司机试吊。</w:t>
      </w:r>
    </w:p>
    <w:p w14:paraId="153FB9A6">
      <w:pPr>
        <w:rPr>
          <w:rFonts w:hint="default"/>
          <w:highlight w:val="none"/>
          <w:lang w:val="en-US" w:eastAsia="zh-CN"/>
        </w:rPr>
      </w:pPr>
      <w:r>
        <w:rPr>
          <w:rFonts w:hint="default"/>
          <w:highlight w:val="none"/>
          <w:lang w:val="en-US" w:eastAsia="zh-CN"/>
        </w:rPr>
        <w:t>（5）信号工通知塔吊司机正式起吊。</w:t>
      </w:r>
    </w:p>
    <w:p w14:paraId="26CEF2E9">
      <w:pPr>
        <w:rPr>
          <w:rFonts w:hint="default"/>
          <w:highlight w:val="none"/>
          <w:lang w:val="en-US" w:eastAsia="zh-CN"/>
        </w:rPr>
      </w:pPr>
      <w:r>
        <w:rPr>
          <w:rFonts w:hint="default"/>
          <w:highlight w:val="none"/>
          <w:lang w:val="en-US" w:eastAsia="zh-CN"/>
        </w:rPr>
        <w:t>（6）信号工通知塔吊司机将起吊物平稳就位。</w:t>
      </w:r>
    </w:p>
    <w:p w14:paraId="6803AD94">
      <w:pPr>
        <w:pStyle w:val="4"/>
        <w:tabs>
          <w:tab w:val="left" w:pos="0"/>
          <w:tab w:val="left" w:pos="630"/>
        </w:tabs>
        <w:bidi w:val="0"/>
        <w:rPr>
          <w:rFonts w:hint="default"/>
          <w:highlight w:val="none"/>
          <w:lang w:val="en-US" w:eastAsia="zh-CN"/>
        </w:rPr>
      </w:pPr>
      <w:bookmarkStart w:id="261" w:name="_Toc11245"/>
      <w:bookmarkStart w:id="262" w:name="_Toc9542"/>
      <w:r>
        <w:rPr>
          <w:rFonts w:hint="eastAsia"/>
          <w:highlight w:val="none"/>
          <w:lang w:val="en-US" w:eastAsia="zh-CN"/>
        </w:rPr>
        <w:t>6.4.5塔机</w:t>
      </w:r>
      <w:r>
        <w:rPr>
          <w:rFonts w:hint="default"/>
          <w:highlight w:val="none"/>
          <w:lang w:val="en-US" w:eastAsia="zh-CN"/>
        </w:rPr>
        <w:t>操作中安全注意事项</w:t>
      </w:r>
      <w:bookmarkEnd w:id="261"/>
      <w:bookmarkEnd w:id="262"/>
    </w:p>
    <w:p w14:paraId="095139F9">
      <w:pPr>
        <w:rPr>
          <w:rFonts w:hint="default"/>
          <w:highlight w:val="none"/>
          <w:lang w:val="en-US" w:eastAsia="zh-CN"/>
        </w:rPr>
      </w:pPr>
      <w:r>
        <w:rPr>
          <w:rFonts w:hint="default"/>
          <w:highlight w:val="none"/>
          <w:lang w:val="en-US" w:eastAsia="zh-CN"/>
        </w:rPr>
        <w:t>（1）操作各控制器时应依次逐级操作，严禁越档操作。在变换运转方向时，应将控制器转到零位，待电动机停止转动后，在转向另一方向。操作时力求平稳。严禁急开急停。</w:t>
      </w:r>
    </w:p>
    <w:p w14:paraId="55B01C63">
      <w:pPr>
        <w:rPr>
          <w:rFonts w:hint="default"/>
          <w:highlight w:val="none"/>
          <w:lang w:val="en-US" w:eastAsia="zh-CN"/>
        </w:rPr>
      </w:pPr>
      <w:r>
        <w:rPr>
          <w:rFonts w:hint="default"/>
          <w:highlight w:val="none"/>
          <w:lang w:val="en-US" w:eastAsia="zh-CN"/>
        </w:rPr>
        <w:t>（2）吊钩提升接近臂杆顶部、小车行至端点时，应减速缓行至停止位置。吊钩距臂杆顶部不得小于一米。</w:t>
      </w:r>
    </w:p>
    <w:p w14:paraId="301762F1">
      <w:pPr>
        <w:rPr>
          <w:rFonts w:hint="default"/>
          <w:highlight w:val="none"/>
          <w:lang w:val="en-US" w:eastAsia="zh-CN"/>
        </w:rPr>
      </w:pPr>
      <w:r>
        <w:rPr>
          <w:rFonts w:hint="default"/>
          <w:highlight w:val="none"/>
          <w:lang w:val="en-US" w:eastAsia="zh-CN"/>
        </w:rPr>
        <w:t>（3）每次变幅后应对变幅部位进行检查。允许带载变幅的在满荷载或接近满荷载时，不得变幅。</w:t>
      </w:r>
    </w:p>
    <w:p w14:paraId="596582DD">
      <w:pPr>
        <w:rPr>
          <w:rFonts w:hint="default"/>
          <w:highlight w:val="none"/>
          <w:lang w:val="en-US" w:eastAsia="zh-CN"/>
        </w:rPr>
      </w:pPr>
      <w:r>
        <w:rPr>
          <w:rFonts w:hint="default"/>
          <w:highlight w:val="none"/>
          <w:lang w:val="en-US" w:eastAsia="zh-CN"/>
        </w:rPr>
        <w:t>（4）提升重物后严禁自由下落。重物就位时，可用微动机构或使用制动器使之缓慢下降。</w:t>
      </w:r>
    </w:p>
    <w:p w14:paraId="569C76CE">
      <w:pPr>
        <w:rPr>
          <w:rFonts w:hint="default"/>
          <w:highlight w:val="none"/>
          <w:lang w:val="en-US" w:eastAsia="zh-CN"/>
        </w:rPr>
      </w:pPr>
      <w:r>
        <w:rPr>
          <w:rFonts w:hint="default"/>
          <w:highlight w:val="none"/>
          <w:lang w:val="en-US" w:eastAsia="zh-CN"/>
        </w:rPr>
        <w:t>（5）提升的重物平移时，应高出其跨越的障碍物0.5m以上。</w:t>
      </w:r>
    </w:p>
    <w:p w14:paraId="728C61FF">
      <w:pPr>
        <w:rPr>
          <w:rFonts w:hint="default"/>
          <w:highlight w:val="none"/>
          <w:lang w:val="en-US" w:eastAsia="zh-CN"/>
        </w:rPr>
      </w:pPr>
      <w:r>
        <w:rPr>
          <w:rFonts w:hint="default"/>
          <w:highlight w:val="none"/>
          <w:lang w:val="en-US" w:eastAsia="zh-CN"/>
        </w:rPr>
        <w:t>（6）钢筋、型钢、管材等细长和多根物件必须捆扎牢靠，多点起吊。单头“千斤”或捆扎不牢靠不准吊。</w:t>
      </w:r>
    </w:p>
    <w:p w14:paraId="5EE892D1">
      <w:pPr>
        <w:rPr>
          <w:rFonts w:hint="default"/>
          <w:highlight w:val="none"/>
          <w:lang w:val="en-US" w:eastAsia="zh-CN"/>
        </w:rPr>
      </w:pPr>
      <w:r>
        <w:rPr>
          <w:rFonts w:hint="default"/>
          <w:highlight w:val="none"/>
          <w:lang w:val="en-US" w:eastAsia="zh-CN"/>
        </w:rPr>
        <w:t>（7）多孔板、积灰斗、手推翻斗车不用四点吊或大模板外挂板不用卸甲不准吊。</w:t>
      </w:r>
    </w:p>
    <w:p w14:paraId="6A9B4F97">
      <w:pPr>
        <w:rPr>
          <w:rFonts w:hint="default"/>
          <w:highlight w:val="none"/>
          <w:lang w:val="en-US" w:eastAsia="zh-CN"/>
        </w:rPr>
      </w:pPr>
      <w:r>
        <w:rPr>
          <w:rFonts w:hint="default"/>
          <w:highlight w:val="none"/>
          <w:lang w:val="en-US" w:eastAsia="zh-CN"/>
        </w:rPr>
        <w:t>（8）吊砌块必须使用安全可靠的砌块夹具，吊砖必须使用砖笼，并堆放整齐。木砖、预埋件等零星物件要用盛器堆放稳妥，叠放不齐不准吊。</w:t>
      </w:r>
    </w:p>
    <w:p w14:paraId="63040859">
      <w:pPr>
        <w:pStyle w:val="4"/>
        <w:tabs>
          <w:tab w:val="left" w:pos="0"/>
          <w:tab w:val="left" w:pos="630"/>
        </w:tabs>
        <w:bidi w:val="0"/>
        <w:rPr>
          <w:rFonts w:hint="default"/>
          <w:highlight w:val="none"/>
          <w:lang w:val="en-US" w:eastAsia="zh-CN"/>
        </w:rPr>
      </w:pPr>
      <w:bookmarkStart w:id="263" w:name="_Toc538"/>
      <w:bookmarkStart w:id="264" w:name="_Toc1108"/>
      <w:r>
        <w:rPr>
          <w:rFonts w:hint="eastAsia"/>
          <w:highlight w:val="none"/>
          <w:lang w:val="en-US" w:eastAsia="zh-CN"/>
        </w:rPr>
        <w:t>6.4.6塔机</w:t>
      </w:r>
      <w:r>
        <w:rPr>
          <w:rFonts w:hint="default"/>
          <w:highlight w:val="none"/>
          <w:lang w:val="en-US" w:eastAsia="zh-CN"/>
        </w:rPr>
        <w:t>作业后安全注意事项</w:t>
      </w:r>
      <w:bookmarkEnd w:id="263"/>
      <w:bookmarkEnd w:id="264"/>
    </w:p>
    <w:p w14:paraId="2BF4AB31">
      <w:pPr>
        <w:rPr>
          <w:rFonts w:hint="default"/>
          <w:highlight w:val="none"/>
          <w:lang w:val="en-US" w:eastAsia="zh-CN"/>
        </w:rPr>
      </w:pPr>
      <w:r>
        <w:rPr>
          <w:rFonts w:hint="default"/>
          <w:highlight w:val="none"/>
          <w:lang w:val="en-US" w:eastAsia="zh-CN"/>
        </w:rPr>
        <w:t>（1）作业后，臂杆应转到顺风方向，并放松回转制动器。小车及平衡重应移到非工作状态位置。吊钩提升到离臂杆顶端2—3m处。</w:t>
      </w:r>
    </w:p>
    <w:p w14:paraId="3F8DB6DA">
      <w:pPr>
        <w:rPr>
          <w:rFonts w:hint="default"/>
          <w:highlight w:val="none"/>
          <w:lang w:val="en-US" w:eastAsia="zh-CN"/>
        </w:rPr>
      </w:pPr>
      <w:r>
        <w:rPr>
          <w:rFonts w:hint="default"/>
          <w:highlight w:val="none"/>
          <w:lang w:val="en-US" w:eastAsia="zh-CN"/>
        </w:rPr>
        <w:t>（2）将每个控制开关拨至零位，依次断开各路开关，关闭操作室门窗，下机后关闭电源总开关。打开高空指示灯。</w:t>
      </w:r>
    </w:p>
    <w:p w14:paraId="6E2CB721">
      <w:pPr>
        <w:rPr>
          <w:rFonts w:hint="default"/>
          <w:highlight w:val="none"/>
          <w:lang w:val="en-US" w:eastAsia="zh-CN"/>
        </w:rPr>
      </w:pPr>
      <w:r>
        <w:rPr>
          <w:rFonts w:hint="default"/>
          <w:highlight w:val="none"/>
          <w:lang w:val="en-US" w:eastAsia="zh-CN"/>
        </w:rPr>
        <w:t>（3）应用经纬仪经常检查塔身垂直度并及时调整。</w:t>
      </w:r>
    </w:p>
    <w:p w14:paraId="7E8F234F">
      <w:pPr>
        <w:rPr>
          <w:rFonts w:hint="default"/>
          <w:highlight w:val="none"/>
          <w:lang w:val="en-US" w:eastAsia="zh-CN"/>
        </w:rPr>
      </w:pPr>
    </w:p>
    <w:p w14:paraId="73973224">
      <w:pPr>
        <w:pStyle w:val="4"/>
        <w:bidi w:val="0"/>
        <w:rPr>
          <w:highlight w:val="none"/>
        </w:rPr>
      </w:pPr>
      <w:bookmarkStart w:id="265" w:name="_Toc24745_WPSOffice_Level2"/>
      <w:bookmarkStart w:id="266" w:name="_Toc530055697"/>
      <w:r>
        <w:rPr>
          <w:rFonts w:hint="eastAsia"/>
          <w:highlight w:val="none"/>
          <w:lang w:val="en-US" w:eastAsia="zh-CN"/>
        </w:rPr>
        <w:t>6</w:t>
      </w:r>
      <w:r>
        <w:rPr>
          <w:highlight w:val="none"/>
        </w:rPr>
        <w:t>.4.</w:t>
      </w:r>
      <w:r>
        <w:rPr>
          <w:rFonts w:hint="eastAsia"/>
          <w:highlight w:val="none"/>
          <w:lang w:val="en-US" w:eastAsia="zh-CN"/>
        </w:rPr>
        <w:t>7</w:t>
      </w:r>
      <w:r>
        <w:rPr>
          <w:rFonts w:hint="eastAsia"/>
          <w:highlight w:val="none"/>
        </w:rPr>
        <w:t>电气设备</w:t>
      </w:r>
      <w:r>
        <w:rPr>
          <w:rFonts w:hint="eastAsia"/>
          <w:highlight w:val="none"/>
          <w:lang w:val="en-US" w:eastAsia="zh-CN"/>
        </w:rPr>
        <w:t>技术管控措施</w:t>
      </w:r>
    </w:p>
    <w:bookmarkEnd w:id="265"/>
    <w:bookmarkEnd w:id="266"/>
    <w:p w14:paraId="212C7ECB">
      <w:pPr>
        <w:bidi w:val="0"/>
        <w:rPr>
          <w:highlight w:val="none"/>
        </w:rPr>
      </w:pPr>
      <w:bookmarkStart w:id="267" w:name="_Toc530055698"/>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电气部分</w:t>
      </w:r>
      <w:bookmarkEnd w:id="267"/>
    </w:p>
    <w:p w14:paraId="74FC9021">
      <w:pPr>
        <w:bidi w:val="0"/>
        <w:ind w:firstLine="480" w:firstLineChars="20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D4C9387">
      <w:pPr>
        <w:bidi w:val="0"/>
        <w:rPr>
          <w:highlight w:val="none"/>
        </w:rPr>
      </w:pPr>
      <w:bookmarkStart w:id="268" w:name="_Toc530055699"/>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供电</w:t>
      </w:r>
      <w:bookmarkEnd w:id="268"/>
    </w:p>
    <w:p w14:paraId="59BE2BC6">
      <w:pPr>
        <w:bidi w:val="0"/>
        <w:ind w:firstLine="480" w:firstLineChars="200"/>
        <w:rPr>
          <w:highlight w:val="none"/>
        </w:rPr>
      </w:pPr>
      <w:r>
        <w:rPr>
          <w:rFonts w:hint="eastAsia"/>
          <w:highlight w:val="none"/>
        </w:rPr>
        <w:t>起重机供电电源为三相交流电源,电压380V±10%,频率50HZ。</w:t>
      </w:r>
    </w:p>
    <w:p w14:paraId="27377D02">
      <w:pPr>
        <w:bidi w:val="0"/>
        <w:rPr>
          <w:highlight w:val="none"/>
        </w:rPr>
      </w:pPr>
      <w:bookmarkStart w:id="269" w:name="_Toc530055700"/>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电气保护</w:t>
      </w:r>
      <w:bookmarkEnd w:id="269"/>
    </w:p>
    <w:p w14:paraId="7A2867AA">
      <w:pPr>
        <w:bidi w:val="0"/>
        <w:rPr>
          <w:highlight w:val="none"/>
        </w:rPr>
      </w:pPr>
      <w:r>
        <w:rPr>
          <w:rFonts w:hint="eastAsia"/>
          <w:highlight w:val="none"/>
        </w:rPr>
        <w:t>1）短路及过载保护</w:t>
      </w:r>
    </w:p>
    <w:p w14:paraId="4BA21377">
      <w:pPr>
        <w:bidi w:val="0"/>
        <w:ind w:firstLine="480" w:firstLineChars="200"/>
        <w:rPr>
          <w:highlight w:val="none"/>
        </w:rPr>
      </w:pPr>
      <w:r>
        <w:rPr>
          <w:rFonts w:hint="eastAsia"/>
          <w:highlight w:val="none"/>
        </w:rPr>
        <w:t>起重机总受电屏、控制屏进出电源设置断路器、控制回路设置小容量断路器，使各机构在短路，过载等事故状态下，迅速与电源脱离,以达到保护设备及</w:t>
      </w:r>
      <w:bookmarkStart w:id="270" w:name="_Toc20258_WPSOffice_Level2"/>
      <w:r>
        <w:rPr>
          <w:rFonts w:hint="eastAsia"/>
          <w:highlight w:val="none"/>
        </w:rPr>
        <w:t>人机安全的目的。</w:t>
      </w:r>
      <w:bookmarkEnd w:id="270"/>
    </w:p>
    <w:p w14:paraId="7FC3883D">
      <w:pPr>
        <w:bidi w:val="0"/>
        <w:rPr>
          <w:highlight w:val="none"/>
        </w:rPr>
      </w:pPr>
      <w:r>
        <w:rPr>
          <w:rFonts w:hint="eastAsia"/>
          <w:highlight w:val="none"/>
        </w:rPr>
        <w:t>2）失压保护</w:t>
      </w:r>
    </w:p>
    <w:p w14:paraId="2187EC71">
      <w:pPr>
        <w:bidi w:val="0"/>
        <w:ind w:firstLine="480" w:firstLineChars="200"/>
        <w:rPr>
          <w:highlight w:val="none"/>
        </w:rPr>
      </w:pPr>
      <w:r>
        <w:rPr>
          <w:rFonts w:hint="eastAsia"/>
          <w:highlight w:val="none"/>
        </w:rPr>
        <w:t>在总受电屏及机构控制屏中，用线路接触器</w:t>
      </w:r>
      <w:bookmarkStart w:id="271" w:name="_Toc12226_WPSOffice_Level2"/>
      <w:r>
        <w:rPr>
          <w:rFonts w:hint="eastAsia"/>
          <w:highlight w:val="none"/>
        </w:rPr>
        <w:t>作为失压保护</w:t>
      </w:r>
      <w:bookmarkEnd w:id="271"/>
      <w:r>
        <w:rPr>
          <w:rFonts w:hint="eastAsia"/>
          <w:highlight w:val="none"/>
        </w:rPr>
        <w:t>装置，当供电电源中断时,能够自动断开电源。</w:t>
      </w:r>
    </w:p>
    <w:p w14:paraId="58B2AC2D">
      <w:pPr>
        <w:bidi w:val="0"/>
        <w:rPr>
          <w:highlight w:val="none"/>
        </w:rPr>
      </w:pPr>
      <w:r>
        <w:rPr>
          <w:rFonts w:hint="eastAsia"/>
          <w:highlight w:val="none"/>
        </w:rPr>
        <w:t>3）零位保护</w:t>
      </w:r>
    </w:p>
    <w:p w14:paraId="1165CFCF">
      <w:pPr>
        <w:bidi w:val="0"/>
        <w:ind w:firstLine="480" w:firstLineChars="20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w:t>
      </w:r>
      <w:bookmarkStart w:id="272" w:name="_Toc29864_WPSOffice_Level1"/>
      <w:r>
        <w:rPr>
          <w:rFonts w:hint="eastAsia"/>
          <w:highlight w:val="none"/>
        </w:rPr>
        <w:t>的电动机才能启动工作。</w:t>
      </w:r>
      <w:bookmarkEnd w:id="272"/>
    </w:p>
    <w:p w14:paraId="055EC179">
      <w:pPr>
        <w:bidi w:val="0"/>
        <w:rPr>
          <w:highlight w:val="none"/>
        </w:rPr>
      </w:pPr>
      <w:r>
        <w:rPr>
          <w:rFonts w:hint="eastAsia"/>
          <w:highlight w:val="none"/>
        </w:rPr>
        <w:t>4）紧急断电保护</w:t>
      </w:r>
    </w:p>
    <w:p w14:paraId="53110ECC">
      <w:pPr>
        <w:bidi w:val="0"/>
        <w:ind w:firstLine="480" w:firstLineChars="200"/>
        <w:rPr>
          <w:highlight w:val="none"/>
        </w:rPr>
      </w:pPr>
      <w:r>
        <w:rPr>
          <w:rFonts w:hint="eastAsia"/>
          <w:highlight w:val="none"/>
        </w:rPr>
        <w:t>司机室内设有紧急断电按钮，当起重机发生紧急情况时，随时方便地切断控制回路电源，从而使主回路断电，确保起重机的安全运行。</w:t>
      </w:r>
    </w:p>
    <w:p w14:paraId="1D66F3C3">
      <w:pPr>
        <w:bidi w:val="0"/>
        <w:rPr>
          <w:highlight w:val="none"/>
        </w:rPr>
      </w:pPr>
      <w:r>
        <w:rPr>
          <w:rFonts w:hint="eastAsia"/>
          <w:highlight w:val="none"/>
        </w:rPr>
        <w:t>5）起升,行程限位保护</w:t>
      </w:r>
    </w:p>
    <w:p w14:paraId="66A668B7">
      <w:pPr>
        <w:bidi w:val="0"/>
        <w:ind w:firstLine="480" w:firstLineChars="20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w:t>
      </w:r>
      <w:bookmarkStart w:id="273" w:name="_Toc27220_WPSOffice_Level2"/>
      <w:r>
        <w:rPr>
          <w:rFonts w:hint="eastAsia"/>
          <w:highlight w:val="none"/>
        </w:rPr>
        <w:t>车的目的，确保起重机的</w:t>
      </w:r>
      <w:bookmarkEnd w:id="273"/>
      <w:r>
        <w:rPr>
          <w:rFonts w:hint="eastAsia"/>
          <w:highlight w:val="none"/>
        </w:rPr>
        <w:t>安全运行。</w:t>
      </w:r>
    </w:p>
    <w:p w14:paraId="60BD1612">
      <w:pPr>
        <w:bidi w:val="0"/>
        <w:rPr>
          <w:highlight w:val="none"/>
        </w:rPr>
      </w:pPr>
      <w:r>
        <w:rPr>
          <w:rFonts w:hint="eastAsia"/>
          <w:highlight w:val="none"/>
          <w:lang w:val="en-US" w:eastAsia="zh-CN"/>
        </w:rPr>
        <w:t>6</w:t>
      </w:r>
      <w:r>
        <w:rPr>
          <w:rFonts w:hint="eastAsia"/>
          <w:highlight w:val="none"/>
        </w:rPr>
        <w:t>）超载保护</w:t>
      </w:r>
    </w:p>
    <w:p w14:paraId="6F54A060">
      <w:pPr>
        <w:bidi w:val="0"/>
        <w:ind w:firstLine="480" w:firstLineChars="20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297EB24B">
      <w:pPr>
        <w:bidi w:val="0"/>
        <w:rPr>
          <w:highlight w:val="none"/>
        </w:rPr>
      </w:pPr>
      <w:r>
        <w:rPr>
          <w:rFonts w:hint="eastAsia"/>
          <w:highlight w:val="none"/>
          <w:lang w:val="en-US" w:eastAsia="zh-CN"/>
        </w:rPr>
        <w:t>7</w:t>
      </w:r>
      <w:r>
        <w:rPr>
          <w:rFonts w:hint="eastAsia"/>
          <w:highlight w:val="none"/>
        </w:rPr>
        <w:t>）控制柜,端子箱防护等级IP55，端子箱采用下部或侧部进线上部做防雨，槽盖加防脱落装置。</w:t>
      </w:r>
    </w:p>
    <w:p w14:paraId="1B212E70">
      <w:pPr>
        <w:bidi w:val="0"/>
        <w:rPr>
          <w:highlight w:val="none"/>
        </w:rPr>
      </w:pPr>
      <w:bookmarkStart w:id="274" w:name="_Toc530055703"/>
      <w:bookmarkStart w:id="275" w:name="_Toc530055701"/>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起重机的接地</w:t>
      </w:r>
      <w:bookmarkEnd w:id="274"/>
    </w:p>
    <w:p w14:paraId="12F5321F">
      <w:pPr>
        <w:bidi w:val="0"/>
        <w:rPr>
          <w:highlight w:val="none"/>
        </w:rPr>
      </w:pPr>
      <w:r>
        <w:rPr>
          <w:rFonts w:hint="eastAsia"/>
          <w:highlight w:val="none"/>
        </w:rPr>
        <w:t>1）起重机的金属结构及所有电气设备的金属外壳，电缆金属外皮和变压器的低压侧均有可靠的接地。</w:t>
      </w:r>
    </w:p>
    <w:p w14:paraId="3AF6199D">
      <w:pPr>
        <w:bidi w:val="0"/>
        <w:rPr>
          <w:highlight w:val="none"/>
        </w:rPr>
      </w:pPr>
      <w:r>
        <w:rPr>
          <w:rFonts w:hint="eastAsia"/>
          <w:highlight w:val="none"/>
        </w:rPr>
        <w:t>3）起重机上任何一点的接地电阻均不大于4Ω。</w:t>
      </w:r>
    </w:p>
    <w:p w14:paraId="596E8B17">
      <w:pPr>
        <w:bidi w:val="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操纵方式</w:t>
      </w:r>
      <w:bookmarkEnd w:id="275"/>
    </w:p>
    <w:p w14:paraId="1900238B">
      <w:pPr>
        <w:bidi w:val="0"/>
        <w:rPr>
          <w:highlight w:val="none"/>
        </w:rPr>
      </w:pPr>
      <w:r>
        <w:rPr>
          <w:rFonts w:hint="eastAsia"/>
          <w:highlight w:val="none"/>
        </w:rPr>
        <w:t>1）司机室设有总电源和控制电源开关状态信号指示灯。</w:t>
      </w:r>
    </w:p>
    <w:p w14:paraId="075EC4ED">
      <w:pPr>
        <w:bidi w:val="0"/>
        <w:rPr>
          <w:highlight w:val="none"/>
        </w:rPr>
      </w:pPr>
      <w:r>
        <w:rPr>
          <w:rFonts w:hint="eastAsia"/>
          <w:highlight w:val="none"/>
        </w:rPr>
        <w:t>2）司机室设置交流220V电源插座及三相380V电源，备接其它电气设备。</w:t>
      </w:r>
    </w:p>
    <w:p w14:paraId="5F936AA7">
      <w:pPr>
        <w:bidi w:val="0"/>
        <w:rPr>
          <w:highlight w:val="none"/>
        </w:rPr>
      </w:pPr>
      <w:r>
        <w:rPr>
          <w:rFonts w:hint="eastAsia"/>
          <w:highlight w:val="none"/>
        </w:rPr>
        <w:t>3）司机室设有36V插座，以便于检修作业。</w:t>
      </w:r>
    </w:p>
    <w:p w14:paraId="0D12F839">
      <w:pPr>
        <w:bidi w:val="0"/>
        <w:rPr>
          <w:highlight w:val="none"/>
        </w:rPr>
      </w:pPr>
      <w:r>
        <w:rPr>
          <w:rFonts w:hint="eastAsia"/>
          <w:highlight w:val="none"/>
        </w:rPr>
        <w:t>4）司机室用交流220V/40W荧光灯具照明，以满足照度不低于200LX的要求。</w:t>
      </w:r>
    </w:p>
    <w:p w14:paraId="4D44D57A">
      <w:pPr>
        <w:bidi w:val="0"/>
        <w:rPr>
          <w:highlight w:val="none"/>
        </w:rPr>
      </w:pPr>
      <w:bookmarkStart w:id="276" w:name="_Toc530055702"/>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照明信号</w:t>
      </w:r>
      <w:bookmarkEnd w:id="276"/>
    </w:p>
    <w:p w14:paraId="34D86656">
      <w:pPr>
        <w:bidi w:val="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4B7FFE47">
      <w:pPr>
        <w:bidi w:val="0"/>
        <w:rPr>
          <w:highlight w:val="none"/>
        </w:rPr>
      </w:pPr>
      <w:r>
        <w:rPr>
          <w:rFonts w:hint="eastAsia"/>
          <w:highlight w:val="none"/>
        </w:rPr>
        <w:t>2）设有报警装置,操作时起提示作用，在司机室通过按钮开关控制。</w:t>
      </w:r>
    </w:p>
    <w:p w14:paraId="6B581DC7">
      <w:pPr>
        <w:bidi w:val="0"/>
        <w:rPr>
          <w:highlight w:val="none"/>
        </w:rPr>
      </w:pPr>
      <w:bookmarkStart w:id="277" w:name="_Toc530055704"/>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其它</w:t>
      </w:r>
      <w:bookmarkEnd w:id="277"/>
    </w:p>
    <w:p w14:paraId="51BC3D44">
      <w:pPr>
        <w:bidi w:val="0"/>
        <w:rPr>
          <w:highlight w:val="none"/>
        </w:rPr>
      </w:pPr>
      <w:r>
        <w:rPr>
          <w:rFonts w:hint="eastAsia"/>
          <w:highlight w:val="none"/>
        </w:rPr>
        <w:t>1）起重机上布线采用截面积不小于2.5mm²的铜导线。</w:t>
      </w:r>
    </w:p>
    <w:p w14:paraId="3825E0F6">
      <w:pPr>
        <w:bidi w:val="0"/>
        <w:rPr>
          <w:color w:val="808080" w:themeColor="background1" w:themeShade="80"/>
          <w:highlight w:val="none"/>
        </w:rPr>
      </w:pPr>
      <w:r>
        <w:rPr>
          <w:rFonts w:hint="eastAsia"/>
          <w:highlight w:val="none"/>
        </w:rPr>
        <w:t>2）总受电屏和各机构控制屏中的布线采用铜导线和铜排。</w:t>
      </w:r>
    </w:p>
    <w:p w14:paraId="361865C9">
      <w:pPr>
        <w:pStyle w:val="4"/>
        <w:tabs>
          <w:tab w:val="left" w:pos="0"/>
          <w:tab w:val="left" w:pos="630"/>
        </w:tabs>
        <w:bidi w:val="0"/>
        <w:rPr>
          <w:rFonts w:hint="default"/>
          <w:highlight w:val="none"/>
          <w:lang w:val="en-US" w:eastAsia="zh-CN"/>
        </w:rPr>
      </w:pPr>
      <w:bookmarkStart w:id="278" w:name="_Toc9893"/>
      <w:bookmarkStart w:id="279" w:name="_Toc19093"/>
      <w:r>
        <w:rPr>
          <w:rFonts w:hint="eastAsia"/>
          <w:highlight w:val="none"/>
          <w:lang w:val="en-US" w:eastAsia="zh-CN"/>
        </w:rPr>
        <w:t>6.4.8</w:t>
      </w:r>
      <w:r>
        <w:rPr>
          <w:rFonts w:hint="default"/>
          <w:highlight w:val="none"/>
          <w:lang w:val="en-US" w:eastAsia="zh-CN"/>
        </w:rPr>
        <w:t>维护与保养</w:t>
      </w:r>
      <w:bookmarkEnd w:id="278"/>
      <w:bookmarkEnd w:id="279"/>
    </w:p>
    <w:p w14:paraId="5B595DD9">
      <w:pPr>
        <w:rPr>
          <w:rFonts w:hint="default"/>
          <w:highlight w:val="none"/>
          <w:lang w:val="en-US" w:eastAsia="zh-CN"/>
        </w:rPr>
      </w:pPr>
      <w:r>
        <w:rPr>
          <w:rFonts w:hint="eastAsia"/>
          <w:highlight w:val="none"/>
          <w:lang w:val="en-US" w:eastAsia="zh-CN"/>
        </w:rPr>
        <w:t>（1）</w:t>
      </w:r>
      <w:r>
        <w:rPr>
          <w:rFonts w:hint="default"/>
          <w:highlight w:val="none"/>
          <w:lang w:val="en-US" w:eastAsia="zh-CN"/>
        </w:rPr>
        <w:t>机械的制动器应经常进行检查和调整制动瓦和制动轮的间隙，以保证制动的灵活可靠，其间隙在0.5～1.0mm之间，在摩擦面上不应有污物存在，遇有异物即用汽油洗净。</w:t>
      </w:r>
    </w:p>
    <w:p w14:paraId="11CE9896">
      <w:pPr>
        <w:rPr>
          <w:rFonts w:hint="default"/>
          <w:highlight w:val="none"/>
          <w:lang w:val="en-US" w:eastAsia="zh-CN"/>
        </w:rPr>
      </w:pPr>
      <w:r>
        <w:rPr>
          <w:rFonts w:hint="eastAsia"/>
          <w:highlight w:val="none"/>
          <w:lang w:val="en-US" w:eastAsia="zh-CN"/>
        </w:rPr>
        <w:t>（2）</w:t>
      </w:r>
      <w:r>
        <w:rPr>
          <w:rFonts w:hint="default"/>
          <w:highlight w:val="none"/>
          <w:lang w:val="en-US" w:eastAsia="zh-CN"/>
        </w:rPr>
        <w:t>减速箱、变速箱、外啮合齿轮等部分的润滑按照润滑指标进行添加或更换。要注意检查各部位的钢丝绳有无断股现象和松股现象，如超过有关规定，必须立即更换。</w:t>
      </w:r>
    </w:p>
    <w:p w14:paraId="4CD38123">
      <w:pPr>
        <w:rPr>
          <w:rFonts w:hint="default"/>
          <w:highlight w:val="none"/>
          <w:lang w:val="en-US" w:eastAsia="zh-CN"/>
        </w:rPr>
      </w:pPr>
      <w:r>
        <w:rPr>
          <w:rFonts w:hint="eastAsia"/>
          <w:highlight w:val="none"/>
          <w:lang w:val="en-US" w:eastAsia="zh-CN"/>
        </w:rPr>
        <w:t>（3）</w:t>
      </w:r>
      <w:r>
        <w:rPr>
          <w:rFonts w:hint="default"/>
          <w:highlight w:val="none"/>
          <w:lang w:val="en-US" w:eastAsia="zh-CN"/>
        </w:rPr>
        <w:t>经常检查各部位的联结情况，如有松动应予以拧紧，塔身连结螺栓应在塔身受压时检查松紧度，所有连接销轴必须带有开口销，并需张开。</w:t>
      </w:r>
    </w:p>
    <w:p w14:paraId="6BA691EB">
      <w:pPr>
        <w:rPr>
          <w:rFonts w:hint="default"/>
          <w:highlight w:val="none"/>
          <w:lang w:val="en-US" w:eastAsia="zh-CN"/>
        </w:rPr>
      </w:pPr>
      <w:r>
        <w:rPr>
          <w:rFonts w:hint="eastAsia"/>
          <w:highlight w:val="none"/>
          <w:lang w:val="en-US" w:eastAsia="zh-CN"/>
        </w:rPr>
        <w:t>（4）</w:t>
      </w:r>
      <w:r>
        <w:rPr>
          <w:rFonts w:hint="default"/>
          <w:highlight w:val="none"/>
          <w:lang w:val="en-US" w:eastAsia="zh-CN"/>
        </w:rPr>
        <w:t>安装、拆卸和调整回转机械时，要注意保证回转机械与减速器的中心线与回转大齿圈的中心线平行，回转小齿轮与大齿圈的啮合面不小于70％，啮合间隙要合适。</w:t>
      </w:r>
    </w:p>
    <w:p w14:paraId="0FA2835A">
      <w:pPr>
        <w:rPr>
          <w:rFonts w:hint="default"/>
          <w:highlight w:val="none"/>
          <w:lang w:val="en-US" w:eastAsia="zh-CN"/>
        </w:rPr>
      </w:pPr>
      <w:r>
        <w:rPr>
          <w:rFonts w:hint="eastAsia"/>
          <w:highlight w:val="none"/>
          <w:lang w:val="en-US" w:eastAsia="zh-CN"/>
        </w:rPr>
        <w:t>（5）</w:t>
      </w:r>
      <w:r>
        <w:rPr>
          <w:rFonts w:hint="default"/>
          <w:highlight w:val="none"/>
          <w:lang w:val="en-US" w:eastAsia="zh-CN"/>
        </w:rPr>
        <w:t>在运输中尽量设法防止构件变形及碰撞损坏，必须定期检修和保养，经常检查结构联结螺栓、焊缝以及构件是否损坏、变形和松动。</w:t>
      </w:r>
    </w:p>
    <w:p w14:paraId="36416BB6">
      <w:pPr>
        <w:rPr>
          <w:rFonts w:hint="default"/>
          <w:highlight w:val="none"/>
          <w:lang w:val="en-US" w:eastAsia="zh-CN"/>
        </w:rPr>
      </w:pPr>
      <w:r>
        <w:rPr>
          <w:rFonts w:hint="eastAsia"/>
          <w:highlight w:val="none"/>
          <w:lang w:val="en-US" w:eastAsia="zh-CN"/>
        </w:rPr>
        <w:t>（6）</w:t>
      </w:r>
      <w:r>
        <w:rPr>
          <w:rFonts w:hint="default"/>
          <w:highlight w:val="none"/>
          <w:lang w:val="en-US" w:eastAsia="zh-CN"/>
        </w:rPr>
        <w:t>塔吊基础沉降观测半月一次。垂直度在塔吊自由高度时半月一次测定。 在塔机出现沉降，垂直度偏差超过规定范围时，必须进行偏差校正。在最低节与塔吊基脚螺栓加垫钢片校正。校正过程中用高吨位千斤顶顶起塔身，顶塔身之前，塔身用大缆绳四面揽紧，在确保安全的前提下才能起顶塔身。</w:t>
      </w:r>
    </w:p>
    <w:p w14:paraId="55173C25">
      <w:pPr>
        <w:rPr>
          <w:rFonts w:ascii="宋体" w:hAnsi="宋体" w:eastAsia="宋体" w:cs="宋体"/>
          <w:color w:val="808080" w:themeColor="background1" w:themeShade="80"/>
          <w:sz w:val="24"/>
          <w:szCs w:val="24"/>
          <w:highlight w:val="none"/>
        </w:rPr>
      </w:pPr>
      <w:r>
        <w:rPr>
          <w:rFonts w:hint="eastAsia"/>
          <w:highlight w:val="none"/>
          <w:lang w:val="en-US" w:eastAsia="zh-CN"/>
        </w:rPr>
        <w:t>（7）</w:t>
      </w:r>
      <w:r>
        <w:rPr>
          <w:rFonts w:hint="default"/>
          <w:highlight w:val="none"/>
          <w:lang w:val="en-US" w:eastAsia="zh-CN"/>
        </w:rPr>
        <w:t>塔机必须定机定人，专人负责，非机组人员不得进入司机室擅自进行操作。处理电气故障时，须有维修人员。</w:t>
      </w:r>
    </w:p>
    <w:p w14:paraId="45A6AF37">
      <w:pPr>
        <w:pStyle w:val="4"/>
        <w:bidi w:val="0"/>
        <w:rPr>
          <w:rFonts w:hint="eastAsia"/>
          <w:highlight w:val="none"/>
        </w:rPr>
      </w:pPr>
      <w:r>
        <w:rPr>
          <w:rFonts w:hint="eastAsia"/>
          <w:highlight w:val="none"/>
          <w:lang w:val="en-US" w:eastAsia="zh-CN"/>
        </w:rPr>
        <w:t>6</w:t>
      </w:r>
      <w:r>
        <w:rPr>
          <w:rFonts w:hint="eastAsia"/>
          <w:highlight w:val="none"/>
        </w:rPr>
        <w:t>.4.9强制性条文和具体措施</w:t>
      </w:r>
    </w:p>
    <w:p w14:paraId="12E7A684">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应执行的强制性条文</w:t>
      </w:r>
    </w:p>
    <w:p w14:paraId="7E06D737">
      <w:pPr>
        <w:bidi w:val="0"/>
        <w:ind w:firstLine="480" w:firstLineChars="20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3644ED83">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具体措施</w:t>
      </w:r>
    </w:p>
    <w:p w14:paraId="541C9491">
      <w:pPr>
        <w:bidi w:val="0"/>
        <w:ind w:firstLine="480" w:firstLineChars="200"/>
        <w:rPr>
          <w:rFonts w:hint="eastAsia" w:ascii="宋体" w:hAnsi="宋体" w:eastAsia="宋体" w:cs="宋体"/>
          <w:color w:val="808080" w:themeColor="background1" w:themeShade="80"/>
          <w:szCs w:val="24"/>
          <w:highlight w:val="none"/>
        </w:rPr>
      </w:pPr>
      <w:r>
        <w:rPr>
          <w:rFonts w:hint="eastAsia"/>
          <w:highlight w:val="none"/>
        </w:rPr>
        <w:t>电气系统的验收作为整机验收的一部分，调试不合格不得投入使用。</w:t>
      </w:r>
    </w:p>
    <w:p w14:paraId="46F70687">
      <w:pPr>
        <w:pStyle w:val="4"/>
        <w:bidi w:val="0"/>
        <w:rPr>
          <w:rFonts w:hint="default"/>
          <w:highlight w:val="none"/>
          <w:lang w:val="en-US" w:eastAsia="zh-CN"/>
        </w:rPr>
      </w:pPr>
      <w:bookmarkStart w:id="280" w:name="_Toc18484"/>
      <w:bookmarkStart w:id="281" w:name="_Toc5129"/>
      <w:bookmarkStart w:id="282" w:name="_Toc951"/>
      <w:r>
        <w:rPr>
          <w:rFonts w:hint="eastAsia"/>
          <w:highlight w:val="none"/>
          <w:lang w:val="en-US" w:eastAsia="zh-CN"/>
        </w:rPr>
        <w:t>6.4.10监控监测措施</w:t>
      </w:r>
      <w:bookmarkEnd w:id="280"/>
      <w:bookmarkEnd w:id="281"/>
      <w:bookmarkEnd w:id="282"/>
    </w:p>
    <w:p w14:paraId="6874E436">
      <w:pPr>
        <w:pStyle w:val="5"/>
        <w:bidi w:val="0"/>
        <w:rPr>
          <w:rFonts w:hint="default"/>
          <w:highlight w:val="none"/>
          <w:lang w:val="en-US" w:eastAsia="zh-CN"/>
        </w:rPr>
      </w:pPr>
      <w:bookmarkStart w:id="283" w:name="_Toc22702"/>
      <w:bookmarkStart w:id="284" w:name="_Toc32645"/>
      <w:r>
        <w:rPr>
          <w:rFonts w:hint="eastAsia"/>
          <w:highlight w:val="none"/>
          <w:lang w:val="en-US" w:eastAsia="zh-CN"/>
        </w:rPr>
        <w:t>6.4.10.1监测项目</w:t>
      </w:r>
      <w:bookmarkEnd w:id="283"/>
      <w:bookmarkEnd w:id="284"/>
    </w:p>
    <w:p w14:paraId="5EFCFD8E">
      <w:pPr>
        <w:ind w:firstLine="480" w:firstLineChars="200"/>
        <w:rPr>
          <w:rFonts w:hint="default"/>
          <w:highlight w:val="none"/>
          <w:lang w:val="en-US" w:eastAsia="zh-CN"/>
        </w:rPr>
      </w:pPr>
      <w:r>
        <w:rPr>
          <w:rFonts w:hint="default"/>
          <w:highlight w:val="none"/>
          <w:lang w:val="en-US" w:eastAsia="zh-CN"/>
        </w:rPr>
        <w:t>塔吊监测的主要内容为塔身垂直度监测、基础沉降监测、基础位移监测。</w:t>
      </w:r>
    </w:p>
    <w:p w14:paraId="6001870B">
      <w:pPr>
        <w:pStyle w:val="5"/>
        <w:bidi w:val="0"/>
        <w:rPr>
          <w:rFonts w:hint="default"/>
          <w:highlight w:val="none"/>
          <w:lang w:val="en-US" w:eastAsia="zh-CN"/>
        </w:rPr>
      </w:pPr>
      <w:bookmarkStart w:id="285" w:name="_Toc14789"/>
      <w:bookmarkStart w:id="286" w:name="_Toc17955"/>
      <w:r>
        <w:rPr>
          <w:rFonts w:hint="eastAsia"/>
          <w:highlight w:val="none"/>
          <w:lang w:val="en-US" w:eastAsia="zh-CN"/>
        </w:rPr>
        <w:t>6.4.10.2监测方法</w:t>
      </w:r>
      <w:bookmarkEnd w:id="285"/>
      <w:bookmarkEnd w:id="286"/>
    </w:p>
    <w:p w14:paraId="0923FBF8">
      <w:pPr>
        <w:ind w:firstLine="480" w:firstLineChars="200"/>
        <w:rPr>
          <w:rFonts w:hint="default"/>
          <w:highlight w:val="none"/>
          <w:lang w:val="en-US" w:eastAsia="zh-CN"/>
        </w:rPr>
      </w:pPr>
      <w:r>
        <w:rPr>
          <w:rFonts w:hint="default"/>
          <w:highlight w:val="none"/>
          <w:lang w:val="en-US" w:eastAsia="zh-CN"/>
        </w:rPr>
        <w:t>塔吊安装好由技术监督部门进行设备检测</w:t>
      </w:r>
      <w:r>
        <w:rPr>
          <w:rFonts w:hint="eastAsia"/>
          <w:highlight w:val="none"/>
          <w:lang w:val="en-US" w:eastAsia="zh-CN"/>
        </w:rPr>
        <w:t>，</w:t>
      </w:r>
      <w:r>
        <w:rPr>
          <w:rFonts w:hint="default"/>
          <w:highlight w:val="none"/>
          <w:lang w:val="en-US" w:eastAsia="zh-CN"/>
        </w:rPr>
        <w:t>检测合格再组织检查验收，验收合格后方可交付使用。</w:t>
      </w:r>
    </w:p>
    <w:p w14:paraId="0C4E7CB3">
      <w:pPr>
        <w:bidi w:val="0"/>
        <w:ind w:firstLine="480" w:firstLineChars="200"/>
        <w:rPr>
          <w:rFonts w:hint="default"/>
          <w:highlight w:val="none"/>
          <w:lang w:val="en-US" w:eastAsia="zh-CN"/>
        </w:rPr>
      </w:pPr>
      <w:r>
        <w:rPr>
          <w:rFonts w:hint="eastAsia"/>
          <w:highlight w:val="none"/>
          <w:lang w:val="en-US" w:eastAsia="zh-CN"/>
        </w:rPr>
        <w:t>（</w:t>
      </w:r>
      <w:r>
        <w:rPr>
          <w:rFonts w:hint="default"/>
          <w:highlight w:val="none"/>
          <w:lang w:val="en-US" w:eastAsia="zh-CN"/>
        </w:rPr>
        <w:t>1）塔吊塔身垂直度监测</w:t>
      </w:r>
    </w:p>
    <w:p w14:paraId="37B954B2">
      <w:pPr>
        <w:bidi w:val="0"/>
        <w:ind w:firstLine="480" w:firstLineChars="200"/>
        <w:rPr>
          <w:rFonts w:hint="eastAsia"/>
          <w:highlight w:val="none"/>
          <w:lang w:val="en-US" w:eastAsia="zh-CN"/>
        </w:rPr>
      </w:pPr>
      <w:r>
        <w:rPr>
          <w:rFonts w:hint="default"/>
          <w:highlight w:val="none"/>
          <w:lang w:val="en-US" w:eastAsia="zh-CN"/>
        </w:rPr>
        <w:t>用</w:t>
      </w:r>
      <w:r>
        <w:rPr>
          <w:rFonts w:hint="eastAsia"/>
          <w:highlight w:val="none"/>
          <w:lang w:val="en-US" w:eastAsia="zh-CN"/>
        </w:rPr>
        <w:t>全站仪</w:t>
      </w:r>
      <w:r>
        <w:rPr>
          <w:rFonts w:hint="default"/>
          <w:highlight w:val="none"/>
          <w:lang w:val="en-US" w:eastAsia="zh-CN"/>
        </w:rPr>
        <w:t>定期测量塔吊垂直度确保塔吊使用过程的安全稳定，测量方法</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01A31A32">
      <w:pPr>
        <w:bidi w:val="0"/>
        <w:ind w:left="0" w:leftChars="0" w:firstLine="0" w:firstLineChars="0"/>
        <w:jc w:val="center"/>
        <w:rPr>
          <w:highlight w:val="none"/>
        </w:rPr>
      </w:pPr>
      <w:r>
        <w:rPr>
          <w:highlight w:val="none"/>
        </w:rPr>
        <w:drawing>
          <wp:inline distT="0" distB="0" distL="114300" distR="114300">
            <wp:extent cx="4229100" cy="1573530"/>
            <wp:effectExtent l="0" t="0" r="0" b="1270"/>
            <wp:docPr id="3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
                    <pic:cNvPicPr>
                      <a:picLocks noChangeAspect="1"/>
                    </pic:cNvPicPr>
                  </pic:nvPicPr>
                  <pic:blipFill>
                    <a:blip r:embed="rId69"/>
                    <a:stretch>
                      <a:fillRect/>
                    </a:stretch>
                  </pic:blipFill>
                  <pic:spPr>
                    <a:xfrm>
                      <a:off x="0" y="0"/>
                      <a:ext cx="4229100" cy="1573530"/>
                    </a:xfrm>
                    <a:prstGeom prst="rect">
                      <a:avLst/>
                    </a:prstGeom>
                    <a:noFill/>
                    <a:ln>
                      <a:noFill/>
                    </a:ln>
                  </pic:spPr>
                </pic:pic>
              </a:graphicData>
            </a:graphic>
          </wp:inline>
        </w:drawing>
      </w:r>
    </w:p>
    <w:p w14:paraId="6439C6B0">
      <w:pPr>
        <w:pStyle w:val="14"/>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图6.4.10-1</w:t>
      </w:r>
      <w:r>
        <w:rPr>
          <w:rFonts w:hint="default"/>
          <w:highlight w:val="none"/>
          <w:lang w:val="en-US" w:eastAsia="zh-CN"/>
        </w:rPr>
        <w:t>塔吊垂直度观测示意图</w:t>
      </w:r>
    </w:p>
    <w:p w14:paraId="7C761D9A">
      <w:pPr>
        <w:bidi w:val="0"/>
        <w:ind w:firstLine="480" w:firstLineChars="200"/>
        <w:rPr>
          <w:rFonts w:hint="default"/>
          <w:highlight w:val="none"/>
          <w:lang w:val="en-US" w:eastAsia="zh-CN"/>
        </w:rPr>
      </w:pPr>
      <w:r>
        <w:rPr>
          <w:rFonts w:hint="default"/>
          <w:highlight w:val="none"/>
          <w:lang w:val="en-US" w:eastAsia="zh-CN"/>
        </w:rPr>
        <w:t>独立状态或附着状态下最高附着点以上塔身轴线对支承面垂直度不得大于4/1000</w:t>
      </w:r>
      <w:r>
        <w:rPr>
          <w:rFonts w:hint="eastAsia"/>
          <w:highlight w:val="none"/>
          <w:lang w:val="en-US" w:eastAsia="zh-CN"/>
        </w:rPr>
        <w:t>，</w:t>
      </w:r>
      <w:r>
        <w:rPr>
          <w:rFonts w:hint="default"/>
          <w:highlight w:val="none"/>
          <w:lang w:val="en-US" w:eastAsia="zh-CN"/>
        </w:rPr>
        <w:t>最高附着点下塔身轴线对支承面垂直度不得大于相应高度的2/1000。即塔机垂直度&lt;4/1000，安装附着装置后，附着以下&lt;2/1000，附着以上&lt;4/1000。</w:t>
      </w:r>
    </w:p>
    <w:p w14:paraId="41A5305B">
      <w:pPr>
        <w:bidi w:val="0"/>
        <w:ind w:firstLine="480" w:firstLineChars="200"/>
        <w:rPr>
          <w:rFonts w:hint="eastAsia"/>
          <w:highlight w:val="none"/>
          <w:lang w:val="en-US" w:eastAsia="zh-CN"/>
        </w:rPr>
      </w:pPr>
      <w:r>
        <w:rPr>
          <w:rFonts w:hint="eastAsia"/>
          <w:highlight w:val="none"/>
          <w:lang w:val="en-US" w:eastAsia="zh-CN"/>
        </w:rPr>
        <w:t>（2）塔吊基础沉降、位移监测</w:t>
      </w:r>
    </w:p>
    <w:p w14:paraId="537365EC">
      <w:pPr>
        <w:bidi w:val="0"/>
        <w:ind w:firstLine="480" w:firstLineChars="200"/>
        <w:rPr>
          <w:rFonts w:hint="default"/>
          <w:highlight w:val="none"/>
          <w:lang w:val="en-US" w:eastAsia="zh-CN"/>
        </w:rPr>
      </w:pPr>
      <w:r>
        <w:rPr>
          <w:rFonts w:hint="default"/>
          <w:highlight w:val="none"/>
          <w:lang w:val="en-US" w:eastAsia="zh-CN"/>
        </w:rPr>
        <w:t>在塔</w:t>
      </w:r>
      <w:r>
        <w:rPr>
          <w:rFonts w:hint="eastAsia"/>
          <w:highlight w:val="none"/>
          <w:lang w:val="en-US" w:eastAsia="zh-CN"/>
        </w:rPr>
        <w:t>吊</w:t>
      </w:r>
      <w:r>
        <w:rPr>
          <w:rFonts w:hint="default"/>
          <w:highlight w:val="none"/>
          <w:lang w:val="en-US" w:eastAsia="zh-CN"/>
        </w:rPr>
        <w:t>基础承台上设置四个水平定位点，作为沉降观测点。布置情况</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3D4F6965">
      <w:pPr>
        <w:bidi w:val="0"/>
        <w:ind w:left="0" w:leftChars="0" w:firstLine="0" w:firstLineChars="0"/>
        <w:jc w:val="center"/>
        <w:rPr>
          <w:rFonts w:hint="default"/>
          <w:highlight w:val="none"/>
          <w:lang w:val="en-US" w:eastAsia="zh-CN"/>
        </w:rPr>
      </w:pPr>
      <w:r>
        <w:rPr>
          <w:highlight w:val="none"/>
        </w:rPr>
        <w:drawing>
          <wp:inline distT="0" distB="0" distL="114300" distR="114300">
            <wp:extent cx="4632960" cy="2103755"/>
            <wp:effectExtent l="0" t="0" r="2540" b="444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70">
                      <a:clrChange>
                        <a:clrFrom>
                          <a:srgbClr val="FCFEFC">
                            <a:alpha val="100000"/>
                          </a:srgbClr>
                        </a:clrFrom>
                        <a:clrTo>
                          <a:srgbClr val="FCFEFC">
                            <a:alpha val="100000"/>
                            <a:alpha val="0"/>
                          </a:srgbClr>
                        </a:clrTo>
                      </a:clrChange>
                    </a:blip>
                    <a:stretch>
                      <a:fillRect/>
                    </a:stretch>
                  </pic:blipFill>
                  <pic:spPr>
                    <a:xfrm>
                      <a:off x="0" y="0"/>
                      <a:ext cx="4632960" cy="2103755"/>
                    </a:xfrm>
                    <a:prstGeom prst="rect">
                      <a:avLst/>
                    </a:prstGeom>
                    <a:noFill/>
                    <a:ln>
                      <a:noFill/>
                    </a:ln>
                  </pic:spPr>
                </pic:pic>
              </a:graphicData>
            </a:graphic>
          </wp:inline>
        </w:drawing>
      </w:r>
    </w:p>
    <w:p w14:paraId="6F8D86AD">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图6.4.10-2塔吊沉降观测示意图</w:t>
      </w:r>
    </w:p>
    <w:p w14:paraId="759A4706">
      <w:pPr>
        <w:pStyle w:val="5"/>
        <w:bidi w:val="0"/>
        <w:rPr>
          <w:rFonts w:hint="default"/>
          <w:highlight w:val="none"/>
          <w:lang w:val="en-US" w:eastAsia="zh-CN"/>
        </w:rPr>
      </w:pPr>
      <w:bookmarkStart w:id="287" w:name="_Toc3551"/>
      <w:bookmarkStart w:id="288" w:name="_Toc12390"/>
      <w:r>
        <w:rPr>
          <w:rFonts w:hint="eastAsia"/>
          <w:highlight w:val="none"/>
          <w:lang w:val="en-US" w:eastAsia="zh-CN"/>
        </w:rPr>
        <w:t>6.4.10.3监测频率</w:t>
      </w:r>
      <w:bookmarkEnd w:id="287"/>
      <w:bookmarkEnd w:id="288"/>
    </w:p>
    <w:p w14:paraId="4D654238">
      <w:pPr>
        <w:ind w:firstLine="480" w:firstLineChars="200"/>
        <w:rPr>
          <w:rFonts w:hint="default"/>
          <w:highlight w:val="none"/>
          <w:lang w:val="en-US" w:eastAsia="zh-CN"/>
        </w:rPr>
      </w:pPr>
      <w:r>
        <w:rPr>
          <w:rFonts w:hint="eastAsia"/>
          <w:highlight w:val="none"/>
          <w:lang w:val="en-US" w:eastAsia="zh-CN"/>
        </w:rPr>
        <w:t>正常使用情况下，</w:t>
      </w:r>
      <w:r>
        <w:rPr>
          <w:rFonts w:hint="default"/>
          <w:highlight w:val="none"/>
          <w:lang w:val="en-US" w:eastAsia="zh-CN"/>
        </w:rPr>
        <w:t>主体施工阶段每月不得少于二次</w:t>
      </w:r>
      <w:r>
        <w:rPr>
          <w:rFonts w:hint="eastAsia"/>
          <w:highlight w:val="none"/>
          <w:lang w:val="en-US" w:eastAsia="zh-CN"/>
        </w:rPr>
        <w:t>，</w:t>
      </w:r>
      <w:r>
        <w:rPr>
          <w:rFonts w:hint="default"/>
          <w:highlight w:val="none"/>
          <w:lang w:val="en-US" w:eastAsia="zh-CN"/>
        </w:rPr>
        <w:t>其它阶段每月一次</w:t>
      </w:r>
      <w:r>
        <w:rPr>
          <w:rFonts w:hint="eastAsia"/>
          <w:highlight w:val="none"/>
          <w:lang w:val="en-US" w:eastAsia="zh-CN"/>
        </w:rPr>
        <w:t>。遇特殊天气或其他特殊情况，根据实际需要增加监控监测频率，如三天一次、每周一次等。</w:t>
      </w:r>
    </w:p>
    <w:p w14:paraId="4252DAA5">
      <w:pPr>
        <w:pStyle w:val="5"/>
        <w:bidi w:val="0"/>
        <w:rPr>
          <w:rFonts w:hint="default"/>
          <w:highlight w:val="none"/>
          <w:lang w:val="en-US" w:eastAsia="zh-CN"/>
        </w:rPr>
      </w:pPr>
      <w:bookmarkStart w:id="289" w:name="_Toc12969"/>
      <w:bookmarkStart w:id="290" w:name="_Toc24242"/>
      <w:r>
        <w:rPr>
          <w:rFonts w:hint="eastAsia"/>
          <w:highlight w:val="none"/>
          <w:lang w:val="en-US" w:eastAsia="zh-CN"/>
        </w:rPr>
        <w:t>6.4.10.4监测记录表</w:t>
      </w:r>
      <w:bookmarkEnd w:id="289"/>
      <w:bookmarkEnd w:id="290"/>
    </w:p>
    <w:p w14:paraId="30176616">
      <w:pPr>
        <w:pStyle w:val="14"/>
        <w:bidi w:val="0"/>
        <w:rPr>
          <w:rFonts w:hint="eastAsia"/>
          <w:highlight w:val="none"/>
          <w:lang w:val="en-US" w:eastAsia="zh-CN"/>
        </w:rPr>
      </w:pPr>
      <w:r>
        <w:rPr>
          <w:rFonts w:hint="eastAsia"/>
          <w:highlight w:val="none"/>
          <w:lang w:val="en-US" w:eastAsia="zh-CN"/>
        </w:rPr>
        <w:t>表6-</w:t>
      </w:r>
      <w:r>
        <w:rPr>
          <w:rFonts w:hint="eastAsia"/>
          <w:highlight w:val="none"/>
          <w:lang w:val="en-US" w:eastAsia="zh-CN"/>
        </w:rPr>
        <w:fldChar w:fldCharType="begin"/>
      </w:r>
      <w:r>
        <w:rPr>
          <w:rFonts w:hint="eastAsia"/>
          <w:highlight w:val="none"/>
          <w:lang w:val="en-US" w:eastAsia="zh-CN"/>
        </w:rPr>
        <w:instrText xml:space="preserve"> SEQ 表6- \* ARABIC </w:instrText>
      </w:r>
      <w:r>
        <w:rPr>
          <w:rFonts w:hint="eastAsia"/>
          <w:highlight w:val="none"/>
          <w:lang w:val="en-US" w:eastAsia="zh-CN"/>
        </w:rPr>
        <w:fldChar w:fldCharType="separate"/>
      </w:r>
      <w:r>
        <w:rPr>
          <w:rFonts w:hint="eastAsia"/>
          <w:highlight w:val="none"/>
          <w:lang w:val="en-US" w:eastAsia="zh-CN"/>
        </w:rPr>
        <w:t>5</w:t>
      </w:r>
      <w:r>
        <w:rPr>
          <w:rFonts w:hint="eastAsia"/>
          <w:highlight w:val="none"/>
          <w:lang w:val="en-US" w:eastAsia="zh-CN"/>
        </w:rPr>
        <w:fldChar w:fldCharType="end"/>
      </w:r>
      <w:r>
        <w:rPr>
          <w:rFonts w:hint="eastAsia"/>
          <w:highlight w:val="none"/>
          <w:lang w:val="en-US" w:eastAsia="zh-CN"/>
        </w:rPr>
        <w:t>塔式起重机垂直度观测记录表</w:t>
      </w:r>
    </w:p>
    <w:tbl>
      <w:tblPr>
        <w:tblStyle w:val="28"/>
        <w:tblW w:w="499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1121"/>
        <w:gridCol w:w="927"/>
        <w:gridCol w:w="929"/>
        <w:gridCol w:w="813"/>
        <w:gridCol w:w="813"/>
        <w:gridCol w:w="813"/>
        <w:gridCol w:w="813"/>
        <w:gridCol w:w="818"/>
        <w:gridCol w:w="830"/>
      </w:tblGrid>
      <w:tr w14:paraId="3C32F9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73" w:type="pct"/>
            <w:tcBorders>
              <w:tl2br w:val="nil"/>
              <w:tr2bl w:val="nil"/>
            </w:tcBorders>
            <w:shd w:val="clear" w:color="auto" w:fill="DAE3F3" w:themeFill="accent5" w:themeFillTint="32"/>
            <w:noWrap w:val="0"/>
            <w:vAlign w:val="center"/>
          </w:tcPr>
          <w:p w14:paraId="6062E3B2">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658" w:type="pct"/>
            <w:tcBorders>
              <w:tl2br w:val="nil"/>
              <w:tr2bl w:val="nil"/>
            </w:tcBorders>
            <w:shd w:val="clear" w:color="auto" w:fill="DAE3F3" w:themeFill="accent5" w:themeFillTint="32"/>
            <w:noWrap w:val="0"/>
            <w:vAlign w:val="center"/>
          </w:tcPr>
          <w:p w14:paraId="3F69449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塔吊布置位置及编号</w:t>
            </w:r>
          </w:p>
        </w:tc>
        <w:tc>
          <w:tcPr>
            <w:tcW w:w="544" w:type="pct"/>
            <w:tcBorders>
              <w:tl2br w:val="nil"/>
              <w:tr2bl w:val="nil"/>
            </w:tcBorders>
            <w:shd w:val="clear" w:color="auto" w:fill="DAE3F3" w:themeFill="accent5" w:themeFillTint="32"/>
            <w:noWrap w:val="0"/>
            <w:vAlign w:val="center"/>
          </w:tcPr>
          <w:p w14:paraId="7B69464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545" w:type="pct"/>
            <w:tcBorders>
              <w:tl2br w:val="nil"/>
              <w:tr2bl w:val="nil"/>
            </w:tcBorders>
            <w:shd w:val="clear" w:color="auto" w:fill="DAE3F3" w:themeFill="accent5" w:themeFillTint="32"/>
            <w:noWrap w:val="0"/>
            <w:vAlign w:val="center"/>
          </w:tcPr>
          <w:p w14:paraId="6C30A88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测量高度</w:t>
            </w:r>
          </w:p>
        </w:tc>
        <w:tc>
          <w:tcPr>
            <w:tcW w:w="477" w:type="pct"/>
            <w:tcBorders>
              <w:tl2br w:val="nil"/>
              <w:tr2bl w:val="nil"/>
            </w:tcBorders>
            <w:shd w:val="clear" w:color="auto" w:fill="DAE3F3" w:themeFill="accent5" w:themeFillTint="32"/>
            <w:noWrap w:val="0"/>
            <w:vAlign w:val="center"/>
          </w:tcPr>
          <w:p w14:paraId="6E20F10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X方向偏差</w:t>
            </w:r>
          </w:p>
        </w:tc>
        <w:tc>
          <w:tcPr>
            <w:tcW w:w="477" w:type="pct"/>
            <w:tcBorders>
              <w:tl2br w:val="nil"/>
              <w:tr2bl w:val="nil"/>
            </w:tcBorders>
            <w:shd w:val="clear" w:color="auto" w:fill="DAE3F3" w:themeFill="accent5" w:themeFillTint="32"/>
            <w:noWrap w:val="0"/>
            <w:vAlign w:val="center"/>
          </w:tcPr>
          <w:p w14:paraId="29414AE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Y方向偏差</w:t>
            </w:r>
          </w:p>
        </w:tc>
        <w:tc>
          <w:tcPr>
            <w:tcW w:w="477" w:type="pct"/>
            <w:tcBorders>
              <w:tl2br w:val="nil"/>
              <w:tr2bl w:val="nil"/>
            </w:tcBorders>
            <w:shd w:val="clear" w:color="auto" w:fill="DAE3F3" w:themeFill="accent5" w:themeFillTint="32"/>
            <w:noWrap w:val="0"/>
            <w:vAlign w:val="center"/>
          </w:tcPr>
          <w:p w14:paraId="648292C7">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垂直度偏差</w:t>
            </w:r>
          </w:p>
        </w:tc>
        <w:tc>
          <w:tcPr>
            <w:tcW w:w="477" w:type="pct"/>
            <w:tcBorders>
              <w:tl2br w:val="nil"/>
              <w:tr2bl w:val="nil"/>
            </w:tcBorders>
            <w:shd w:val="clear" w:color="auto" w:fill="DAE3F3" w:themeFill="accent5" w:themeFillTint="32"/>
            <w:noWrap w:val="0"/>
            <w:vAlign w:val="center"/>
          </w:tcPr>
          <w:p w14:paraId="34DE9AEB">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480" w:type="pct"/>
            <w:tcBorders>
              <w:tl2br w:val="nil"/>
              <w:tr2bl w:val="nil"/>
            </w:tcBorders>
            <w:shd w:val="clear" w:color="auto" w:fill="DAE3F3" w:themeFill="accent5" w:themeFillTint="32"/>
            <w:noWrap w:val="0"/>
            <w:vAlign w:val="center"/>
          </w:tcPr>
          <w:p w14:paraId="3515DB8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487" w:type="pct"/>
            <w:tcBorders>
              <w:tl2br w:val="nil"/>
              <w:tr2bl w:val="nil"/>
            </w:tcBorders>
            <w:shd w:val="clear" w:color="auto" w:fill="DAE3F3" w:themeFill="accent5" w:themeFillTint="32"/>
            <w:noWrap w:val="0"/>
            <w:vAlign w:val="center"/>
          </w:tcPr>
          <w:p w14:paraId="4829626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7842D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6B99DD9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658" w:type="pct"/>
            <w:tcBorders>
              <w:tl2br w:val="nil"/>
              <w:tr2bl w:val="nil"/>
            </w:tcBorders>
            <w:noWrap w:val="0"/>
            <w:vAlign w:val="center"/>
          </w:tcPr>
          <w:p w14:paraId="087E00C9">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7F9F1E63">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3957A43B">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2DAFBD1">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3917C1F8">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76D85C9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1F29FF87">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6DA6B557">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73BD7B3D">
            <w:pPr>
              <w:spacing w:line="240" w:lineRule="auto"/>
              <w:ind w:firstLine="0" w:firstLineChars="0"/>
              <w:jc w:val="center"/>
              <w:rPr>
                <w:rFonts w:hint="eastAsia" w:ascii="仿宋" w:hAnsi="仿宋" w:eastAsia="仿宋" w:cs="仿宋"/>
                <w:sz w:val="21"/>
                <w:szCs w:val="21"/>
                <w:highlight w:val="none"/>
              </w:rPr>
            </w:pPr>
          </w:p>
        </w:tc>
      </w:tr>
      <w:tr w14:paraId="1F125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12AA22C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58" w:type="pct"/>
            <w:tcBorders>
              <w:tl2br w:val="nil"/>
              <w:tr2bl w:val="nil"/>
            </w:tcBorders>
            <w:noWrap w:val="0"/>
            <w:vAlign w:val="center"/>
          </w:tcPr>
          <w:p w14:paraId="747EABCC">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1F54A54B">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5B913B0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E8E1AA7">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6006DAD">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0938D410">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B44B555">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769149BE">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181829D7">
            <w:pPr>
              <w:spacing w:line="240" w:lineRule="auto"/>
              <w:ind w:firstLine="0" w:firstLineChars="0"/>
              <w:jc w:val="center"/>
              <w:rPr>
                <w:rFonts w:hint="eastAsia" w:ascii="仿宋" w:hAnsi="仿宋" w:eastAsia="仿宋" w:cs="仿宋"/>
                <w:sz w:val="21"/>
                <w:szCs w:val="21"/>
                <w:highlight w:val="none"/>
              </w:rPr>
            </w:pPr>
          </w:p>
        </w:tc>
      </w:tr>
    </w:tbl>
    <w:p w14:paraId="310ED20F">
      <w:pPr>
        <w:pStyle w:val="14"/>
        <w:bidi w:val="0"/>
        <w:rPr>
          <w:rFonts w:hint="eastAsia"/>
          <w:highlight w:val="none"/>
          <w:lang w:val="en-US" w:eastAsia="zh-CN"/>
        </w:rPr>
      </w:pPr>
      <w:r>
        <w:rPr>
          <w:rFonts w:hint="eastAsia"/>
          <w:highlight w:val="none"/>
          <w:lang w:val="en-US" w:eastAsia="zh-CN"/>
        </w:rPr>
        <w:t>表6-</w:t>
      </w:r>
      <w:r>
        <w:rPr>
          <w:rFonts w:hint="eastAsia"/>
          <w:highlight w:val="none"/>
          <w:lang w:val="en-US" w:eastAsia="zh-CN"/>
        </w:rPr>
        <w:fldChar w:fldCharType="begin"/>
      </w:r>
      <w:r>
        <w:rPr>
          <w:rFonts w:hint="eastAsia"/>
          <w:highlight w:val="none"/>
          <w:lang w:val="en-US" w:eastAsia="zh-CN"/>
        </w:rPr>
        <w:instrText xml:space="preserve"> SEQ 表6- \* ARABIC </w:instrText>
      </w:r>
      <w:r>
        <w:rPr>
          <w:rFonts w:hint="eastAsia"/>
          <w:highlight w:val="none"/>
          <w:lang w:val="en-US" w:eastAsia="zh-CN"/>
        </w:rPr>
        <w:fldChar w:fldCharType="separate"/>
      </w:r>
      <w:r>
        <w:rPr>
          <w:rFonts w:hint="eastAsia"/>
          <w:highlight w:val="none"/>
          <w:lang w:val="en-US" w:eastAsia="zh-CN"/>
        </w:rPr>
        <w:t>6</w:t>
      </w:r>
      <w:r>
        <w:rPr>
          <w:rFonts w:hint="eastAsia"/>
          <w:highlight w:val="none"/>
          <w:lang w:val="en-US" w:eastAsia="zh-CN"/>
        </w:rPr>
        <w:fldChar w:fldCharType="end"/>
      </w:r>
      <w:r>
        <w:rPr>
          <w:rFonts w:hint="eastAsia"/>
          <w:highlight w:val="none"/>
          <w:lang w:val="en-US" w:eastAsia="zh-CN"/>
        </w:rPr>
        <w:t>塔式起重机基础沉降、位移观测记录表</w:t>
      </w:r>
    </w:p>
    <w:tbl>
      <w:tblPr>
        <w:tblStyle w:val="28"/>
        <w:tblW w:w="499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704"/>
        <w:gridCol w:w="619"/>
        <w:gridCol w:w="803"/>
        <w:gridCol w:w="812"/>
        <w:gridCol w:w="534"/>
        <w:gridCol w:w="655"/>
        <w:gridCol w:w="694"/>
        <w:gridCol w:w="536"/>
        <w:gridCol w:w="544"/>
        <w:gridCol w:w="635"/>
        <w:gridCol w:w="670"/>
        <w:gridCol w:w="675"/>
      </w:tblGrid>
      <w:tr w14:paraId="5F48FF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restart"/>
            <w:tcBorders>
              <w:tl2br w:val="nil"/>
              <w:tr2bl w:val="nil"/>
            </w:tcBorders>
            <w:shd w:val="clear" w:color="auto" w:fill="DAE3F3" w:themeFill="accent5" w:themeFillTint="32"/>
            <w:noWrap w:val="0"/>
            <w:vAlign w:val="center"/>
          </w:tcPr>
          <w:p w14:paraId="0EC8E439">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413" w:type="pct"/>
            <w:vMerge w:val="restart"/>
            <w:tcBorders>
              <w:tl2br w:val="nil"/>
              <w:tr2bl w:val="nil"/>
            </w:tcBorders>
            <w:shd w:val="clear" w:color="auto" w:fill="DAE3F3" w:themeFill="accent5" w:themeFillTint="32"/>
            <w:noWrap w:val="0"/>
            <w:vAlign w:val="center"/>
          </w:tcPr>
          <w:p w14:paraId="2023215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塔吊布置位置及编号</w:t>
            </w:r>
          </w:p>
        </w:tc>
        <w:tc>
          <w:tcPr>
            <w:tcW w:w="363" w:type="pct"/>
            <w:vMerge w:val="restart"/>
            <w:tcBorders>
              <w:tl2br w:val="nil"/>
              <w:tr2bl w:val="nil"/>
            </w:tcBorders>
            <w:shd w:val="clear" w:color="auto" w:fill="DAE3F3" w:themeFill="accent5" w:themeFillTint="32"/>
            <w:noWrap w:val="0"/>
            <w:vAlign w:val="center"/>
          </w:tcPr>
          <w:p w14:paraId="3D61DD5D">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471" w:type="pct"/>
            <w:vMerge w:val="restart"/>
            <w:tcBorders>
              <w:tl2br w:val="nil"/>
              <w:tr2bl w:val="nil"/>
            </w:tcBorders>
            <w:shd w:val="clear" w:color="auto" w:fill="DAE3F3" w:themeFill="accent5" w:themeFillTint="32"/>
            <w:noWrap w:val="0"/>
            <w:vAlign w:val="center"/>
          </w:tcPr>
          <w:p w14:paraId="4A9674FA">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X坐标值</w:t>
            </w:r>
          </w:p>
        </w:tc>
        <w:tc>
          <w:tcPr>
            <w:tcW w:w="476" w:type="pct"/>
            <w:vMerge w:val="restart"/>
            <w:tcBorders>
              <w:tl2br w:val="nil"/>
              <w:tr2bl w:val="nil"/>
            </w:tcBorders>
            <w:shd w:val="clear" w:color="auto" w:fill="DAE3F3" w:themeFill="accent5" w:themeFillTint="32"/>
            <w:noWrap w:val="0"/>
            <w:vAlign w:val="center"/>
          </w:tcPr>
          <w:p w14:paraId="61C563B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Y坐标值</w:t>
            </w:r>
          </w:p>
        </w:tc>
        <w:tc>
          <w:tcPr>
            <w:tcW w:w="313" w:type="pct"/>
            <w:vMerge w:val="restart"/>
            <w:tcBorders>
              <w:tl2br w:val="nil"/>
              <w:tr2bl w:val="nil"/>
            </w:tcBorders>
            <w:shd w:val="clear" w:color="auto" w:fill="DAE3F3" w:themeFill="accent5" w:themeFillTint="32"/>
            <w:noWrap w:val="0"/>
            <w:vAlign w:val="center"/>
          </w:tcPr>
          <w:p w14:paraId="2633D97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高程值(m)</w:t>
            </w:r>
          </w:p>
        </w:tc>
        <w:tc>
          <w:tcPr>
            <w:tcW w:w="791" w:type="pct"/>
            <w:gridSpan w:val="2"/>
            <w:tcBorders>
              <w:tl2br w:val="nil"/>
              <w:tr2bl w:val="nil"/>
            </w:tcBorders>
            <w:shd w:val="clear" w:color="auto" w:fill="DAE3F3" w:themeFill="accent5" w:themeFillTint="32"/>
            <w:noWrap w:val="0"/>
            <w:vAlign w:val="center"/>
          </w:tcPr>
          <w:p w14:paraId="1D704B1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沉降差（mm）</w:t>
            </w:r>
          </w:p>
        </w:tc>
        <w:tc>
          <w:tcPr>
            <w:tcW w:w="633" w:type="pct"/>
            <w:gridSpan w:val="2"/>
            <w:tcBorders>
              <w:tl2br w:val="nil"/>
              <w:tr2bl w:val="nil"/>
            </w:tcBorders>
            <w:shd w:val="clear" w:color="auto" w:fill="DAE3F3" w:themeFill="accent5" w:themeFillTint="32"/>
            <w:noWrap w:val="0"/>
            <w:vAlign w:val="center"/>
          </w:tcPr>
          <w:p w14:paraId="66AFD6F4">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位移差（mm）</w:t>
            </w:r>
          </w:p>
        </w:tc>
        <w:tc>
          <w:tcPr>
            <w:tcW w:w="372" w:type="pct"/>
            <w:vMerge w:val="restart"/>
            <w:tcBorders>
              <w:tl2br w:val="nil"/>
              <w:tr2bl w:val="nil"/>
            </w:tcBorders>
            <w:shd w:val="clear" w:color="auto" w:fill="DAE3F3" w:themeFill="accent5" w:themeFillTint="32"/>
            <w:noWrap w:val="0"/>
            <w:vAlign w:val="center"/>
          </w:tcPr>
          <w:p w14:paraId="42C48822">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393" w:type="pct"/>
            <w:vMerge w:val="restart"/>
            <w:tcBorders>
              <w:tl2br w:val="nil"/>
              <w:tr2bl w:val="nil"/>
            </w:tcBorders>
            <w:shd w:val="clear" w:color="auto" w:fill="DAE3F3" w:themeFill="accent5" w:themeFillTint="32"/>
            <w:noWrap w:val="0"/>
            <w:vAlign w:val="center"/>
          </w:tcPr>
          <w:p w14:paraId="6845FC0F">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395" w:type="pct"/>
            <w:vMerge w:val="restart"/>
            <w:tcBorders>
              <w:tl2br w:val="nil"/>
              <w:tr2bl w:val="nil"/>
            </w:tcBorders>
            <w:shd w:val="clear" w:color="auto" w:fill="DAE3F3" w:themeFill="accent5" w:themeFillTint="32"/>
            <w:noWrap w:val="0"/>
            <w:vAlign w:val="center"/>
          </w:tcPr>
          <w:p w14:paraId="1ED050F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47771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continue"/>
            <w:tcBorders>
              <w:tl2br w:val="nil"/>
              <w:tr2bl w:val="nil"/>
            </w:tcBorders>
            <w:shd w:val="clear" w:color="auto" w:fill="DAE3F3" w:themeFill="accent5" w:themeFillTint="32"/>
            <w:noWrap w:val="0"/>
            <w:vAlign w:val="center"/>
          </w:tcPr>
          <w:p w14:paraId="4E8A9218">
            <w:pPr>
              <w:spacing w:line="240" w:lineRule="auto"/>
              <w:ind w:firstLine="0" w:firstLineChars="0"/>
              <w:jc w:val="center"/>
              <w:rPr>
                <w:highlight w:val="none"/>
              </w:rPr>
            </w:pPr>
          </w:p>
        </w:tc>
        <w:tc>
          <w:tcPr>
            <w:tcW w:w="413" w:type="pct"/>
            <w:vMerge w:val="continue"/>
            <w:tcBorders>
              <w:tl2br w:val="nil"/>
              <w:tr2bl w:val="nil"/>
            </w:tcBorders>
            <w:shd w:val="clear" w:color="auto" w:fill="DAE3F3" w:themeFill="accent5" w:themeFillTint="32"/>
            <w:noWrap w:val="0"/>
            <w:vAlign w:val="center"/>
          </w:tcPr>
          <w:p w14:paraId="7584E79E">
            <w:pPr>
              <w:spacing w:line="240" w:lineRule="auto"/>
              <w:ind w:firstLine="0" w:firstLineChars="0"/>
              <w:jc w:val="center"/>
              <w:rPr>
                <w:highlight w:val="none"/>
              </w:rPr>
            </w:pPr>
          </w:p>
        </w:tc>
        <w:tc>
          <w:tcPr>
            <w:tcW w:w="363" w:type="pct"/>
            <w:vMerge w:val="continue"/>
            <w:tcBorders>
              <w:tl2br w:val="nil"/>
              <w:tr2bl w:val="nil"/>
            </w:tcBorders>
            <w:shd w:val="clear" w:color="auto" w:fill="DAE3F3" w:themeFill="accent5" w:themeFillTint="32"/>
            <w:noWrap w:val="0"/>
            <w:vAlign w:val="center"/>
          </w:tcPr>
          <w:p w14:paraId="1AC2B482">
            <w:pPr>
              <w:spacing w:line="240" w:lineRule="auto"/>
              <w:ind w:firstLine="0" w:firstLineChars="0"/>
              <w:jc w:val="center"/>
              <w:rPr>
                <w:highlight w:val="none"/>
              </w:rPr>
            </w:pPr>
          </w:p>
        </w:tc>
        <w:tc>
          <w:tcPr>
            <w:tcW w:w="471" w:type="pct"/>
            <w:vMerge w:val="continue"/>
            <w:tcBorders>
              <w:tl2br w:val="nil"/>
              <w:tr2bl w:val="nil"/>
            </w:tcBorders>
            <w:shd w:val="clear" w:color="auto" w:fill="DAE3F3" w:themeFill="accent5" w:themeFillTint="32"/>
            <w:noWrap w:val="0"/>
            <w:vAlign w:val="center"/>
          </w:tcPr>
          <w:p w14:paraId="41015434">
            <w:pPr>
              <w:spacing w:line="240" w:lineRule="auto"/>
              <w:ind w:firstLine="0" w:firstLineChars="0"/>
              <w:jc w:val="center"/>
              <w:rPr>
                <w:highlight w:val="none"/>
              </w:rPr>
            </w:pPr>
          </w:p>
        </w:tc>
        <w:tc>
          <w:tcPr>
            <w:tcW w:w="476" w:type="pct"/>
            <w:vMerge w:val="continue"/>
            <w:tcBorders>
              <w:tl2br w:val="nil"/>
              <w:tr2bl w:val="nil"/>
            </w:tcBorders>
            <w:shd w:val="clear" w:color="auto" w:fill="DAE3F3" w:themeFill="accent5" w:themeFillTint="32"/>
            <w:noWrap w:val="0"/>
            <w:vAlign w:val="center"/>
          </w:tcPr>
          <w:p w14:paraId="0F69C141">
            <w:pPr>
              <w:spacing w:line="240" w:lineRule="auto"/>
              <w:ind w:firstLine="0" w:firstLineChars="0"/>
              <w:jc w:val="center"/>
              <w:rPr>
                <w:highlight w:val="none"/>
              </w:rPr>
            </w:pPr>
          </w:p>
        </w:tc>
        <w:tc>
          <w:tcPr>
            <w:tcW w:w="313" w:type="pct"/>
            <w:vMerge w:val="continue"/>
            <w:tcBorders>
              <w:tl2br w:val="nil"/>
              <w:tr2bl w:val="nil"/>
            </w:tcBorders>
            <w:shd w:val="clear" w:color="auto" w:fill="DAE3F3" w:themeFill="accent5" w:themeFillTint="32"/>
            <w:noWrap w:val="0"/>
            <w:vAlign w:val="center"/>
          </w:tcPr>
          <w:p w14:paraId="0A1AE50B">
            <w:pPr>
              <w:spacing w:line="240" w:lineRule="auto"/>
              <w:ind w:firstLine="0" w:firstLineChars="0"/>
              <w:jc w:val="center"/>
              <w:rPr>
                <w:highlight w:val="none"/>
              </w:rPr>
            </w:pPr>
          </w:p>
        </w:tc>
        <w:tc>
          <w:tcPr>
            <w:tcW w:w="384" w:type="pct"/>
            <w:tcBorders>
              <w:tl2br w:val="nil"/>
              <w:tr2bl w:val="nil"/>
            </w:tcBorders>
            <w:shd w:val="clear" w:color="auto" w:fill="DAE3F3" w:themeFill="accent5" w:themeFillTint="32"/>
            <w:noWrap w:val="0"/>
            <w:vAlign w:val="center"/>
          </w:tcPr>
          <w:p w14:paraId="6743EC5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406" w:type="pct"/>
            <w:tcBorders>
              <w:tl2br w:val="nil"/>
              <w:tr2bl w:val="nil"/>
            </w:tcBorders>
            <w:shd w:val="clear" w:color="auto" w:fill="DAE3F3" w:themeFill="accent5" w:themeFillTint="32"/>
            <w:noWrap w:val="0"/>
            <w:vAlign w:val="center"/>
          </w:tcPr>
          <w:p w14:paraId="5F4E9CB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累计</w:t>
            </w:r>
          </w:p>
        </w:tc>
        <w:tc>
          <w:tcPr>
            <w:tcW w:w="314" w:type="pct"/>
            <w:tcBorders>
              <w:tl2br w:val="nil"/>
              <w:tr2bl w:val="nil"/>
            </w:tcBorders>
            <w:shd w:val="clear" w:color="auto" w:fill="DAE3F3" w:themeFill="accent5" w:themeFillTint="32"/>
            <w:noWrap w:val="0"/>
            <w:vAlign w:val="center"/>
          </w:tcPr>
          <w:p w14:paraId="4361630A">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318" w:type="pct"/>
            <w:tcBorders>
              <w:tl2br w:val="nil"/>
              <w:tr2bl w:val="nil"/>
            </w:tcBorders>
            <w:shd w:val="clear" w:color="auto" w:fill="DAE3F3" w:themeFill="accent5" w:themeFillTint="32"/>
            <w:noWrap w:val="0"/>
            <w:vAlign w:val="center"/>
          </w:tcPr>
          <w:p w14:paraId="30C60249">
            <w:pPr>
              <w:spacing w:line="240" w:lineRule="auto"/>
              <w:ind w:firstLine="0" w:firstLineChars="0"/>
              <w:jc w:val="center"/>
              <w:rPr>
                <w:highlight w:val="none"/>
              </w:rPr>
            </w:pPr>
            <w:r>
              <w:rPr>
                <w:rFonts w:hint="eastAsia" w:ascii="仿宋" w:hAnsi="仿宋" w:eastAsia="仿宋" w:cs="仿宋"/>
                <w:b/>
                <w:bCs/>
                <w:sz w:val="21"/>
                <w:szCs w:val="21"/>
                <w:highlight w:val="none"/>
                <w:lang w:val="en-US" w:eastAsia="zh-CN"/>
              </w:rPr>
              <w:t>累计</w:t>
            </w:r>
          </w:p>
        </w:tc>
        <w:tc>
          <w:tcPr>
            <w:tcW w:w="372" w:type="pct"/>
            <w:vMerge w:val="continue"/>
            <w:tcBorders>
              <w:tl2br w:val="nil"/>
              <w:tr2bl w:val="nil"/>
            </w:tcBorders>
            <w:shd w:val="clear" w:color="auto" w:fill="DAE3F3" w:themeFill="accent5" w:themeFillTint="32"/>
            <w:noWrap w:val="0"/>
            <w:vAlign w:val="center"/>
          </w:tcPr>
          <w:p w14:paraId="0527C13E">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3" w:type="pct"/>
            <w:vMerge w:val="continue"/>
            <w:tcBorders>
              <w:tl2br w:val="nil"/>
              <w:tr2bl w:val="nil"/>
            </w:tcBorders>
            <w:shd w:val="clear" w:color="auto" w:fill="DAE3F3" w:themeFill="accent5" w:themeFillTint="32"/>
            <w:noWrap w:val="0"/>
            <w:vAlign w:val="center"/>
          </w:tcPr>
          <w:p w14:paraId="65641A9D">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5" w:type="pct"/>
            <w:vMerge w:val="continue"/>
            <w:tcBorders>
              <w:tl2br w:val="nil"/>
              <w:tr2bl w:val="nil"/>
            </w:tcBorders>
            <w:shd w:val="clear" w:color="auto" w:fill="DAE3F3" w:themeFill="accent5" w:themeFillTint="32"/>
            <w:noWrap w:val="0"/>
            <w:vAlign w:val="center"/>
          </w:tcPr>
          <w:p w14:paraId="5D1AFA43">
            <w:pPr>
              <w:spacing w:line="240" w:lineRule="auto"/>
              <w:ind w:firstLine="0" w:firstLineChars="0"/>
              <w:jc w:val="center"/>
              <w:rPr>
                <w:rFonts w:hint="eastAsia" w:ascii="仿宋" w:hAnsi="仿宋" w:eastAsia="仿宋" w:cs="仿宋"/>
                <w:b/>
                <w:bCs/>
                <w:sz w:val="21"/>
                <w:szCs w:val="21"/>
                <w:highlight w:val="none"/>
                <w:lang w:val="en-US" w:eastAsia="zh-CN"/>
              </w:rPr>
            </w:pPr>
          </w:p>
        </w:tc>
      </w:tr>
      <w:tr w14:paraId="1F87BE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57E6CA4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413" w:type="pct"/>
            <w:tcBorders>
              <w:tl2br w:val="nil"/>
              <w:tr2bl w:val="nil"/>
            </w:tcBorders>
            <w:noWrap w:val="0"/>
            <w:vAlign w:val="center"/>
          </w:tcPr>
          <w:p w14:paraId="4B2C8B30">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7619C66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ED84AFC">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3C27422D">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579CE12C">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5A925338">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FA20D28">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8221A6A">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4839EDDB">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6CA03E37">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30D6BCE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1FB57DC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初始值</w:t>
            </w:r>
          </w:p>
        </w:tc>
      </w:tr>
      <w:tr w14:paraId="2F9983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B0B320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413" w:type="pct"/>
            <w:tcBorders>
              <w:tl2br w:val="nil"/>
              <w:tr2bl w:val="nil"/>
            </w:tcBorders>
            <w:noWrap w:val="0"/>
            <w:vAlign w:val="center"/>
          </w:tcPr>
          <w:p w14:paraId="20F899D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04E8628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0883C15">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703760B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76CFD4C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1DBF52E6">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4A67814">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A0A4D26">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21EFAF85">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11A58A75">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69023DA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E3981AB">
            <w:pPr>
              <w:spacing w:line="240" w:lineRule="auto"/>
              <w:ind w:firstLine="0" w:firstLineChars="0"/>
              <w:jc w:val="center"/>
              <w:rPr>
                <w:rFonts w:hint="eastAsia" w:ascii="仿宋" w:hAnsi="仿宋" w:eastAsia="仿宋" w:cs="仿宋"/>
                <w:sz w:val="21"/>
                <w:szCs w:val="21"/>
                <w:highlight w:val="none"/>
              </w:rPr>
            </w:pPr>
          </w:p>
        </w:tc>
      </w:tr>
      <w:tr w14:paraId="1C7F72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F246E2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413" w:type="pct"/>
            <w:tcBorders>
              <w:tl2br w:val="nil"/>
              <w:tr2bl w:val="nil"/>
            </w:tcBorders>
            <w:noWrap w:val="0"/>
            <w:vAlign w:val="center"/>
          </w:tcPr>
          <w:p w14:paraId="390F4D5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4E1BA232">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458E8D3D">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1001183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2E778F6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49D960BF">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3ED01AFA">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5464505B">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3F66D4EC">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0FAC0EB2">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49A97F0B">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44320C1">
            <w:pPr>
              <w:spacing w:line="240" w:lineRule="auto"/>
              <w:ind w:firstLine="0" w:firstLineChars="0"/>
              <w:jc w:val="center"/>
              <w:rPr>
                <w:rFonts w:hint="eastAsia" w:ascii="仿宋" w:hAnsi="仿宋" w:eastAsia="仿宋" w:cs="仿宋"/>
                <w:sz w:val="21"/>
                <w:szCs w:val="21"/>
                <w:highlight w:val="none"/>
              </w:rPr>
            </w:pPr>
          </w:p>
        </w:tc>
      </w:tr>
    </w:tbl>
    <w:p w14:paraId="4434CAA0">
      <w:pPr>
        <w:rPr>
          <w:rFonts w:hint="default"/>
          <w:highlight w:val="none"/>
          <w:lang w:val="en-US" w:eastAsia="zh-CN"/>
        </w:rPr>
      </w:pPr>
    </w:p>
    <w:p w14:paraId="7C3FC8D7">
      <w:pPr>
        <w:pStyle w:val="11"/>
        <w:jc w:val="both"/>
        <w:rPr>
          <w:highlight w:val="none"/>
        </w:rPr>
      </w:pPr>
    </w:p>
    <w:p w14:paraId="7240E4B1">
      <w:pPr>
        <w:rPr>
          <w:rFonts w:ascii="黑体" w:hAnsi="黑体" w:eastAsia="黑体" w:cs="黑体"/>
          <w:color w:val="808080" w:themeColor="background1" w:themeShade="80"/>
          <w:highlight w:val="none"/>
        </w:rPr>
      </w:pPr>
      <w:r>
        <w:rPr>
          <w:rFonts w:hint="eastAsia" w:ascii="黑体" w:hAnsi="黑体" w:eastAsia="黑体" w:cs="黑体"/>
          <w:color w:val="808080" w:themeColor="background1" w:themeShade="80"/>
          <w:highlight w:val="none"/>
        </w:rPr>
        <w:br w:type="page"/>
      </w:r>
    </w:p>
    <w:p w14:paraId="4CA4D711">
      <w:pPr>
        <w:pStyle w:val="2"/>
        <w:bidi w:val="0"/>
        <w:rPr>
          <w:highlight w:val="none"/>
        </w:rPr>
      </w:pPr>
      <w:bookmarkStart w:id="291" w:name="_Toc26404"/>
      <w:bookmarkStart w:id="292" w:name="_Toc9163"/>
      <w:bookmarkStart w:id="293" w:name="_Toc10434"/>
      <w:bookmarkStart w:id="294" w:name="_Toc10409836"/>
      <w:r>
        <w:rPr>
          <w:rFonts w:hint="eastAsia"/>
          <w:highlight w:val="none"/>
          <w:lang w:val="en-US" w:eastAsia="zh-CN"/>
        </w:rPr>
        <w:t>7</w:t>
      </w:r>
      <w:r>
        <w:rPr>
          <w:highlight w:val="none"/>
        </w:rPr>
        <w:t>施工管理及作业人员配备和分工</w:t>
      </w:r>
      <w:bookmarkEnd w:id="291"/>
      <w:bookmarkEnd w:id="292"/>
      <w:bookmarkEnd w:id="293"/>
    </w:p>
    <w:p w14:paraId="28827606">
      <w:pPr>
        <w:pStyle w:val="3"/>
        <w:numPr>
          <w:ilvl w:val="0"/>
          <w:numId w:val="0"/>
        </w:numPr>
        <w:ind w:left="420" w:leftChars="0"/>
        <w:rPr>
          <w:highlight w:val="none"/>
        </w:rPr>
      </w:pPr>
      <w:bookmarkStart w:id="295" w:name="_Toc4708"/>
      <w:bookmarkStart w:id="296" w:name="_Toc28100"/>
      <w:bookmarkStart w:id="297" w:name="_Toc10409814"/>
      <w:bookmarkStart w:id="298" w:name="_Toc24986"/>
      <w:r>
        <w:rPr>
          <w:rFonts w:hint="eastAsia"/>
          <w:highlight w:val="none"/>
          <w:lang w:val="en-US" w:eastAsia="zh-CN"/>
        </w:rPr>
        <w:t>7.1</w:t>
      </w:r>
      <w:r>
        <w:rPr>
          <w:rFonts w:hint="eastAsia"/>
          <w:highlight w:val="none"/>
        </w:rPr>
        <w:t>施工组织机构</w:t>
      </w:r>
      <w:bookmarkEnd w:id="295"/>
      <w:bookmarkEnd w:id="296"/>
      <w:bookmarkEnd w:id="297"/>
      <w:bookmarkEnd w:id="298"/>
    </w:p>
    <w:p w14:paraId="21BB1141">
      <w:pPr>
        <w:pStyle w:val="63"/>
        <w:spacing w:before="156"/>
        <w:ind w:left="0" w:leftChars="0" w:firstLine="0" w:firstLineChars="0"/>
        <w:jc w:val="both"/>
        <w:rPr>
          <w:highlight w:val="none"/>
        </w:rPr>
      </w:pPr>
      <w:r>
        <w:rPr>
          <w:highlight w:val="none"/>
        </w:rPr>
        <w:drawing>
          <wp:inline distT="0" distB="0" distL="0" distR="0">
            <wp:extent cx="5168900" cy="2413635"/>
            <wp:effectExtent l="0" t="0" r="0" b="12065"/>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图7.1-1 施工组织机构图</w:t>
      </w:r>
    </w:p>
    <w:p w14:paraId="6BB81D77">
      <w:pPr>
        <w:pStyle w:val="3"/>
        <w:numPr>
          <w:ilvl w:val="0"/>
          <w:numId w:val="0"/>
        </w:numPr>
        <w:ind w:left="420" w:leftChars="0"/>
        <w:rPr>
          <w:highlight w:val="none"/>
        </w:rPr>
      </w:pPr>
      <w:bookmarkStart w:id="299" w:name="_Toc21435"/>
      <w:bookmarkStart w:id="300" w:name="_Toc10972"/>
      <w:bookmarkStart w:id="301" w:name="_Toc10409815"/>
      <w:bookmarkStart w:id="302" w:name="_Toc521"/>
      <w:r>
        <w:rPr>
          <w:rFonts w:hint="eastAsia"/>
          <w:highlight w:val="none"/>
          <w:lang w:val="en-US" w:eastAsia="zh-CN"/>
        </w:rPr>
        <w:t>7.2</w:t>
      </w:r>
      <w:r>
        <w:rPr>
          <w:rFonts w:hint="eastAsia"/>
          <w:highlight w:val="none"/>
        </w:rPr>
        <w:t>人员配置</w:t>
      </w:r>
      <w:bookmarkEnd w:id="299"/>
      <w:bookmarkEnd w:id="300"/>
    </w:p>
    <w:bookmarkEnd w:id="301"/>
    <w:bookmarkEnd w:id="302"/>
    <w:p w14:paraId="259AC385">
      <w:pPr>
        <w:bidi w:val="0"/>
        <w:ind w:firstLine="480" w:firstLineChars="200"/>
        <w:rPr>
          <w:rFonts w:hint="default"/>
          <w:highlight w:val="none"/>
          <w:lang w:val="en-US"/>
        </w:rPr>
      </w:pPr>
      <w:r>
        <w:rPr>
          <w:rFonts w:hint="eastAsia"/>
          <w:highlight w:val="none"/>
          <w:lang w:val="en-US" w:eastAsia="zh-CN"/>
        </w:rPr>
        <w:t>1、塔吊安拆现场施工管理人员配置如下表所示。</w:t>
      </w:r>
    </w:p>
    <w:p w14:paraId="260B51B8">
      <w:pPr>
        <w:pStyle w:val="14"/>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表7.2-</w:t>
      </w:r>
      <w:r>
        <w:rPr>
          <w:rFonts w:hint="eastAsia"/>
          <w:highlight w:val="none"/>
          <w:lang w:val="en-US" w:eastAsia="zh-CN"/>
        </w:rPr>
        <w:fldChar w:fldCharType="begin"/>
      </w:r>
      <w:r>
        <w:rPr>
          <w:rFonts w:hint="eastAsia"/>
          <w:highlight w:val="none"/>
          <w:lang w:val="en-US" w:eastAsia="zh-CN"/>
        </w:rPr>
        <w:instrText xml:space="preserve"> SEQ 表5-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塔吊安拆施工管理人员配置计划表</w:t>
      </w:r>
    </w:p>
    <w:tbl>
      <w:tblPr>
        <w:tblStyle w:val="28"/>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361C80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151F9607">
            <w:pPr>
              <w:pStyle w:val="102"/>
              <w:bidi w:val="0"/>
              <w:rPr>
                <w:rFonts w:hint="eastAsia"/>
                <w:highlight w:val="none"/>
              </w:rPr>
            </w:pPr>
            <w:r>
              <w:rPr>
                <w:rFonts w:hint="eastAsia"/>
                <w:highlight w:val="none"/>
              </w:rPr>
              <w:t>序号</w:t>
            </w:r>
          </w:p>
        </w:tc>
        <w:tc>
          <w:tcPr>
            <w:tcW w:w="1365" w:type="dxa"/>
            <w:tcBorders>
              <w:tl2br w:val="nil"/>
              <w:tr2bl w:val="nil"/>
            </w:tcBorders>
            <w:shd w:val="clear" w:color="auto" w:fill="DAE3F3" w:themeFill="accent5" w:themeFillTint="32"/>
            <w:vAlign w:val="center"/>
          </w:tcPr>
          <w:p w14:paraId="768CAB0A">
            <w:pPr>
              <w:pStyle w:val="102"/>
              <w:bidi w:val="0"/>
              <w:rPr>
                <w:rFonts w:hint="eastAsia"/>
                <w:highlight w:val="none"/>
                <w:lang w:val="en-US" w:eastAsia="zh-CN"/>
              </w:rPr>
            </w:pPr>
            <w:r>
              <w:rPr>
                <w:rFonts w:hint="eastAsia"/>
                <w:highlight w:val="none"/>
                <w:lang w:val="en-US" w:eastAsia="zh-CN"/>
              </w:rPr>
              <w:t>岗位名称</w:t>
            </w:r>
          </w:p>
        </w:tc>
        <w:tc>
          <w:tcPr>
            <w:tcW w:w="2268" w:type="dxa"/>
            <w:tcBorders>
              <w:tl2br w:val="nil"/>
              <w:tr2bl w:val="nil"/>
            </w:tcBorders>
            <w:shd w:val="clear" w:color="auto" w:fill="DAE3F3" w:themeFill="accent5" w:themeFillTint="32"/>
            <w:vAlign w:val="center"/>
          </w:tcPr>
          <w:p w14:paraId="67256022">
            <w:pPr>
              <w:pStyle w:val="102"/>
              <w:bidi w:val="0"/>
              <w:rPr>
                <w:rFonts w:hint="eastAsia"/>
                <w:highlight w:val="none"/>
                <w:lang w:eastAsia="zh-CN"/>
              </w:rPr>
            </w:pPr>
            <w:r>
              <w:rPr>
                <w:rFonts w:hint="eastAsia"/>
                <w:highlight w:val="none"/>
              </w:rPr>
              <w:t>数量</w:t>
            </w:r>
          </w:p>
        </w:tc>
        <w:tc>
          <w:tcPr>
            <w:tcW w:w="3912" w:type="dxa"/>
            <w:tcBorders>
              <w:tl2br w:val="nil"/>
              <w:tr2bl w:val="nil"/>
            </w:tcBorders>
            <w:shd w:val="clear" w:color="auto" w:fill="DAE3F3" w:themeFill="accent5" w:themeFillTint="32"/>
            <w:vAlign w:val="center"/>
          </w:tcPr>
          <w:p w14:paraId="529EF4C4">
            <w:pPr>
              <w:pStyle w:val="102"/>
              <w:bidi w:val="0"/>
              <w:rPr>
                <w:rFonts w:hint="eastAsia"/>
                <w:highlight w:val="none"/>
              </w:rPr>
            </w:pPr>
            <w:r>
              <w:rPr>
                <w:rFonts w:hint="eastAsia"/>
                <w:highlight w:val="none"/>
              </w:rPr>
              <w:t>职责</w:t>
            </w:r>
          </w:p>
        </w:tc>
      </w:tr>
      <w:tr w14:paraId="28610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B5D4998">
            <w:pPr>
              <w:pStyle w:val="102"/>
              <w:bidi w:val="0"/>
              <w:rPr>
                <w:rFonts w:hint="eastAsia"/>
                <w:highlight w:val="none"/>
              </w:rPr>
            </w:pPr>
            <w:r>
              <w:rPr>
                <w:rFonts w:hint="eastAsia"/>
                <w:highlight w:val="none"/>
              </w:rPr>
              <w:t>1</w:t>
            </w:r>
          </w:p>
        </w:tc>
        <w:tc>
          <w:tcPr>
            <w:tcW w:w="1365" w:type="dxa"/>
            <w:tcBorders>
              <w:tl2br w:val="nil"/>
              <w:tr2bl w:val="nil"/>
            </w:tcBorders>
            <w:vAlign w:val="center"/>
          </w:tcPr>
          <w:p w14:paraId="684DBB7B">
            <w:pPr>
              <w:pStyle w:val="102"/>
              <w:bidi w:val="0"/>
              <w:rPr>
                <w:rFonts w:hint="default"/>
                <w:highlight w:val="none"/>
                <w:lang w:val="en-US"/>
              </w:rPr>
            </w:pPr>
            <w:r>
              <w:rPr>
                <w:rFonts w:hint="eastAsia"/>
                <w:highlight w:val="none"/>
                <w:lang w:val="en-US" w:eastAsia="zh-CN"/>
              </w:rPr>
              <w:t>项目经理</w:t>
            </w:r>
          </w:p>
        </w:tc>
        <w:tc>
          <w:tcPr>
            <w:tcW w:w="2268" w:type="dxa"/>
            <w:tcBorders>
              <w:tl2br w:val="nil"/>
              <w:tr2bl w:val="nil"/>
            </w:tcBorders>
            <w:vAlign w:val="center"/>
          </w:tcPr>
          <w:p w14:paraId="77F0C975">
            <w:pPr>
              <w:pStyle w:val="102"/>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4FDC41BE">
            <w:pPr>
              <w:pStyle w:val="102"/>
              <w:bidi w:val="0"/>
              <w:rPr>
                <w:rFonts w:hint="eastAsia"/>
                <w:highlight w:val="none"/>
              </w:rPr>
            </w:pPr>
            <w:r>
              <w:rPr>
                <w:rFonts w:hint="eastAsia"/>
                <w:highlight w:val="none"/>
              </w:rPr>
              <w:t>负责现场全面管理</w:t>
            </w:r>
          </w:p>
        </w:tc>
      </w:tr>
      <w:tr w14:paraId="21D49F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4520621">
            <w:pPr>
              <w:pStyle w:val="102"/>
              <w:bidi w:val="0"/>
              <w:rPr>
                <w:rFonts w:hint="eastAsia"/>
                <w:highlight w:val="none"/>
              </w:rPr>
            </w:pPr>
            <w:r>
              <w:rPr>
                <w:rFonts w:hint="eastAsia"/>
                <w:highlight w:val="none"/>
              </w:rPr>
              <w:t>2</w:t>
            </w:r>
          </w:p>
        </w:tc>
        <w:tc>
          <w:tcPr>
            <w:tcW w:w="1365" w:type="dxa"/>
            <w:tcBorders>
              <w:tl2br w:val="nil"/>
              <w:tr2bl w:val="nil"/>
            </w:tcBorders>
            <w:vAlign w:val="center"/>
          </w:tcPr>
          <w:p w14:paraId="41B60EE3">
            <w:pPr>
              <w:pStyle w:val="102"/>
              <w:bidi w:val="0"/>
              <w:rPr>
                <w:rFonts w:hint="eastAsia"/>
                <w:highlight w:val="none"/>
                <w:lang w:eastAsia="zh-CN"/>
              </w:rPr>
            </w:pPr>
            <w:r>
              <w:rPr>
                <w:rFonts w:hint="eastAsia"/>
                <w:highlight w:val="none"/>
                <w:lang w:val="en-US" w:eastAsia="zh-CN"/>
              </w:rPr>
              <w:t>项目总工</w:t>
            </w:r>
          </w:p>
        </w:tc>
        <w:tc>
          <w:tcPr>
            <w:tcW w:w="2268" w:type="dxa"/>
            <w:tcBorders>
              <w:tl2br w:val="nil"/>
              <w:tr2bl w:val="nil"/>
            </w:tcBorders>
            <w:vAlign w:val="center"/>
          </w:tcPr>
          <w:p w14:paraId="5AB6A9C0">
            <w:pPr>
              <w:pStyle w:val="102"/>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5AD851B8">
            <w:pPr>
              <w:pStyle w:val="102"/>
              <w:bidi w:val="0"/>
              <w:rPr>
                <w:rFonts w:hint="eastAsia"/>
                <w:highlight w:val="none"/>
              </w:rPr>
            </w:pPr>
            <w:r>
              <w:rPr>
                <w:rFonts w:hint="eastAsia"/>
                <w:highlight w:val="none"/>
              </w:rPr>
              <w:t>负责现场全面技术管理</w:t>
            </w:r>
          </w:p>
        </w:tc>
      </w:tr>
      <w:tr w14:paraId="5B8BC53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D4BDA99">
            <w:pPr>
              <w:pStyle w:val="102"/>
              <w:bidi w:val="0"/>
              <w:rPr>
                <w:rFonts w:hint="eastAsia"/>
                <w:highlight w:val="none"/>
              </w:rPr>
            </w:pPr>
            <w:r>
              <w:rPr>
                <w:rFonts w:hint="eastAsia"/>
                <w:highlight w:val="none"/>
              </w:rPr>
              <w:t>3</w:t>
            </w:r>
          </w:p>
        </w:tc>
        <w:tc>
          <w:tcPr>
            <w:tcW w:w="1365" w:type="dxa"/>
            <w:tcBorders>
              <w:tl2br w:val="nil"/>
              <w:tr2bl w:val="nil"/>
            </w:tcBorders>
            <w:vAlign w:val="center"/>
          </w:tcPr>
          <w:p w14:paraId="7E7F8FD5">
            <w:pPr>
              <w:pStyle w:val="102"/>
              <w:bidi w:val="0"/>
              <w:rPr>
                <w:rFonts w:hint="eastAsia"/>
                <w:highlight w:val="none"/>
                <w:lang w:val="en-US" w:eastAsia="zh-CN"/>
              </w:rPr>
            </w:pPr>
            <w:r>
              <w:rPr>
                <w:rFonts w:hint="eastAsia"/>
                <w:highlight w:val="none"/>
                <w:lang w:val="en-US" w:eastAsia="zh-CN"/>
              </w:rPr>
              <w:t>项目副经理</w:t>
            </w:r>
          </w:p>
        </w:tc>
        <w:tc>
          <w:tcPr>
            <w:tcW w:w="2268" w:type="dxa"/>
            <w:tcBorders>
              <w:tl2br w:val="nil"/>
              <w:tr2bl w:val="nil"/>
            </w:tcBorders>
            <w:vAlign w:val="center"/>
          </w:tcPr>
          <w:p w14:paraId="62BEA79B">
            <w:pPr>
              <w:pStyle w:val="102"/>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0609084B">
            <w:pPr>
              <w:pStyle w:val="102"/>
              <w:bidi w:val="0"/>
              <w:rPr>
                <w:rFonts w:hint="eastAsia"/>
                <w:highlight w:val="none"/>
                <w:lang w:val="en-US" w:eastAsia="zh-CN"/>
              </w:rPr>
            </w:pPr>
            <w:r>
              <w:rPr>
                <w:rFonts w:hint="eastAsia"/>
                <w:highlight w:val="none"/>
                <w:lang w:val="en-US" w:eastAsia="zh-CN"/>
              </w:rPr>
              <w:t>负责现场进度、质量、安全及资源组织</w:t>
            </w:r>
          </w:p>
        </w:tc>
      </w:tr>
      <w:tr w14:paraId="4CA8A4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4F39A6B">
            <w:pPr>
              <w:pStyle w:val="102"/>
              <w:bidi w:val="0"/>
              <w:rPr>
                <w:rFonts w:hint="eastAsia"/>
                <w:highlight w:val="none"/>
                <w:lang w:val="en-US" w:eastAsia="zh-CN"/>
              </w:rPr>
            </w:pPr>
            <w:r>
              <w:rPr>
                <w:rFonts w:hint="eastAsia"/>
                <w:highlight w:val="none"/>
              </w:rPr>
              <w:t>4</w:t>
            </w:r>
          </w:p>
        </w:tc>
        <w:tc>
          <w:tcPr>
            <w:tcW w:w="1365" w:type="dxa"/>
            <w:tcBorders>
              <w:tl2br w:val="nil"/>
              <w:tr2bl w:val="nil"/>
            </w:tcBorders>
            <w:vAlign w:val="center"/>
          </w:tcPr>
          <w:p w14:paraId="09BCCE93">
            <w:pPr>
              <w:pStyle w:val="102"/>
              <w:bidi w:val="0"/>
              <w:rPr>
                <w:rFonts w:hint="eastAsia"/>
                <w:highlight w:val="none"/>
                <w:lang w:val="en-US" w:eastAsia="zh-CN"/>
              </w:rPr>
            </w:pPr>
            <w:r>
              <w:rPr>
                <w:rFonts w:hint="eastAsia"/>
                <w:highlight w:val="none"/>
                <w:lang w:val="en-US" w:eastAsia="zh-CN"/>
              </w:rPr>
              <w:t>技术主管</w:t>
            </w:r>
          </w:p>
        </w:tc>
        <w:tc>
          <w:tcPr>
            <w:tcW w:w="2268" w:type="dxa"/>
            <w:tcBorders>
              <w:tl2br w:val="nil"/>
              <w:tr2bl w:val="nil"/>
            </w:tcBorders>
            <w:vAlign w:val="center"/>
          </w:tcPr>
          <w:p w14:paraId="5690C992">
            <w:pPr>
              <w:pStyle w:val="102"/>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7356C318">
            <w:pPr>
              <w:pStyle w:val="102"/>
              <w:bidi w:val="0"/>
              <w:rPr>
                <w:rFonts w:hint="eastAsia"/>
                <w:highlight w:val="none"/>
                <w:lang w:val="en-US" w:eastAsia="zh-CN"/>
              </w:rPr>
            </w:pPr>
            <w:r>
              <w:rPr>
                <w:rFonts w:hint="eastAsia"/>
                <w:highlight w:val="none"/>
                <w:lang w:val="en-US" w:eastAsia="zh-CN"/>
              </w:rPr>
              <w:t>协助项目总工开展现场技术管理工作</w:t>
            </w:r>
          </w:p>
        </w:tc>
      </w:tr>
      <w:tr w14:paraId="7DB54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ED408BA">
            <w:pPr>
              <w:pStyle w:val="102"/>
              <w:bidi w:val="0"/>
              <w:rPr>
                <w:rFonts w:hint="eastAsia"/>
                <w:highlight w:val="none"/>
                <w:lang w:val="en-US" w:eastAsia="zh-CN"/>
              </w:rPr>
            </w:pPr>
            <w:r>
              <w:rPr>
                <w:rFonts w:hint="eastAsia"/>
                <w:highlight w:val="none"/>
              </w:rPr>
              <w:t>5</w:t>
            </w:r>
          </w:p>
        </w:tc>
        <w:tc>
          <w:tcPr>
            <w:tcW w:w="1365" w:type="dxa"/>
            <w:tcBorders>
              <w:tl2br w:val="nil"/>
              <w:tr2bl w:val="nil"/>
            </w:tcBorders>
            <w:vAlign w:val="center"/>
          </w:tcPr>
          <w:p w14:paraId="5744812F">
            <w:pPr>
              <w:pStyle w:val="102"/>
              <w:bidi w:val="0"/>
              <w:rPr>
                <w:rFonts w:hint="eastAsia"/>
                <w:highlight w:val="none"/>
              </w:rPr>
            </w:pPr>
            <w:r>
              <w:rPr>
                <w:rFonts w:hint="eastAsia"/>
                <w:highlight w:val="none"/>
              </w:rPr>
              <w:t>技术员</w:t>
            </w:r>
          </w:p>
        </w:tc>
        <w:tc>
          <w:tcPr>
            <w:tcW w:w="2268" w:type="dxa"/>
            <w:tcBorders>
              <w:tl2br w:val="nil"/>
              <w:tr2bl w:val="nil"/>
            </w:tcBorders>
            <w:vAlign w:val="center"/>
          </w:tcPr>
          <w:p w14:paraId="034DCE41">
            <w:pPr>
              <w:pStyle w:val="102"/>
              <w:bidi w:val="0"/>
              <w:rPr>
                <w:rFonts w:hint="default"/>
                <w:highlight w:val="none"/>
                <w:lang w:val="en-US" w:eastAsia="zh-CN"/>
              </w:rPr>
            </w:pPr>
            <w:r>
              <w:rPr>
                <w:rFonts w:hint="eastAsia"/>
                <w:highlight w:val="none"/>
                <w:lang w:val="en-US" w:eastAsia="zh-CN"/>
              </w:rPr>
              <w:t>每工点至少1人</w:t>
            </w:r>
          </w:p>
        </w:tc>
        <w:tc>
          <w:tcPr>
            <w:tcW w:w="3912" w:type="dxa"/>
            <w:tcBorders>
              <w:tl2br w:val="nil"/>
              <w:tr2bl w:val="nil"/>
            </w:tcBorders>
            <w:vAlign w:val="center"/>
          </w:tcPr>
          <w:p w14:paraId="6C783031">
            <w:pPr>
              <w:pStyle w:val="102"/>
              <w:bidi w:val="0"/>
              <w:rPr>
                <w:rFonts w:hint="eastAsia"/>
                <w:highlight w:val="none"/>
              </w:rPr>
            </w:pPr>
            <w:r>
              <w:rPr>
                <w:rFonts w:hint="eastAsia"/>
                <w:highlight w:val="none"/>
              </w:rPr>
              <w:t>负责各工点现场</w:t>
            </w:r>
            <w:r>
              <w:rPr>
                <w:rFonts w:hint="eastAsia"/>
                <w:highlight w:val="none"/>
                <w:lang w:val="en-US" w:eastAsia="zh-CN"/>
              </w:rPr>
              <w:t>进度、</w:t>
            </w:r>
            <w:r>
              <w:rPr>
                <w:rFonts w:hint="eastAsia"/>
                <w:highlight w:val="none"/>
              </w:rPr>
              <w:t>技术管理</w:t>
            </w:r>
          </w:p>
        </w:tc>
      </w:tr>
      <w:tr w14:paraId="7D78C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DF7B74">
            <w:pPr>
              <w:pStyle w:val="102"/>
              <w:bidi w:val="0"/>
              <w:rPr>
                <w:rFonts w:hint="eastAsia"/>
                <w:highlight w:val="none"/>
                <w:lang w:val="en-US" w:eastAsia="zh-CN"/>
              </w:rPr>
            </w:pPr>
            <w:r>
              <w:rPr>
                <w:rFonts w:hint="eastAsia"/>
                <w:highlight w:val="none"/>
                <w:lang w:val="en-US" w:eastAsia="zh-CN"/>
              </w:rPr>
              <w:t>6</w:t>
            </w:r>
          </w:p>
        </w:tc>
        <w:tc>
          <w:tcPr>
            <w:tcW w:w="1365" w:type="dxa"/>
            <w:tcBorders>
              <w:tl2br w:val="nil"/>
              <w:tr2bl w:val="nil"/>
            </w:tcBorders>
            <w:vAlign w:val="center"/>
          </w:tcPr>
          <w:p w14:paraId="126AF122">
            <w:pPr>
              <w:pStyle w:val="102"/>
              <w:bidi w:val="0"/>
              <w:rPr>
                <w:rFonts w:hint="default"/>
                <w:highlight w:val="none"/>
                <w:lang w:val="en-US" w:eastAsia="zh-CN"/>
              </w:rPr>
            </w:pPr>
            <w:r>
              <w:rPr>
                <w:rFonts w:hint="eastAsia"/>
                <w:highlight w:val="none"/>
                <w:lang w:val="en-US" w:eastAsia="zh-CN"/>
              </w:rPr>
              <w:t>质检员</w:t>
            </w:r>
          </w:p>
        </w:tc>
        <w:tc>
          <w:tcPr>
            <w:tcW w:w="2268" w:type="dxa"/>
            <w:tcBorders>
              <w:tl2br w:val="nil"/>
              <w:tr2bl w:val="nil"/>
            </w:tcBorders>
            <w:vAlign w:val="center"/>
          </w:tcPr>
          <w:p w14:paraId="22A25A99">
            <w:pPr>
              <w:pStyle w:val="102"/>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61809738">
            <w:pPr>
              <w:pStyle w:val="102"/>
              <w:bidi w:val="0"/>
              <w:rPr>
                <w:rFonts w:hint="default"/>
                <w:highlight w:val="none"/>
                <w:lang w:val="en-US" w:eastAsia="zh-CN"/>
              </w:rPr>
            </w:pPr>
            <w:r>
              <w:rPr>
                <w:rFonts w:hint="eastAsia"/>
                <w:highlight w:val="none"/>
                <w:lang w:val="en-US" w:eastAsia="zh-CN"/>
              </w:rPr>
              <w:t>负责现场质量专检</w:t>
            </w:r>
          </w:p>
        </w:tc>
      </w:tr>
      <w:tr w14:paraId="54F93D3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194B574">
            <w:pPr>
              <w:pStyle w:val="102"/>
              <w:bidi w:val="0"/>
              <w:rPr>
                <w:rFonts w:hint="eastAsia"/>
                <w:highlight w:val="none"/>
                <w:lang w:val="en-US" w:eastAsia="zh-CN"/>
              </w:rPr>
            </w:pPr>
            <w:r>
              <w:rPr>
                <w:rFonts w:hint="eastAsia"/>
                <w:highlight w:val="none"/>
                <w:lang w:val="en-US" w:eastAsia="zh-CN"/>
              </w:rPr>
              <w:t>7</w:t>
            </w:r>
          </w:p>
        </w:tc>
        <w:tc>
          <w:tcPr>
            <w:tcW w:w="1365" w:type="dxa"/>
            <w:tcBorders>
              <w:tl2br w:val="nil"/>
              <w:tr2bl w:val="nil"/>
            </w:tcBorders>
            <w:vAlign w:val="center"/>
          </w:tcPr>
          <w:p w14:paraId="5B12EFB1">
            <w:pPr>
              <w:pStyle w:val="102"/>
              <w:bidi w:val="0"/>
              <w:rPr>
                <w:rFonts w:hint="default"/>
                <w:highlight w:val="none"/>
                <w:lang w:val="en-US" w:eastAsia="zh-CN"/>
              </w:rPr>
            </w:pPr>
            <w:r>
              <w:rPr>
                <w:rFonts w:hint="eastAsia"/>
                <w:highlight w:val="none"/>
                <w:lang w:val="en-US" w:eastAsia="zh-CN"/>
              </w:rPr>
              <w:t>测量员</w:t>
            </w:r>
          </w:p>
        </w:tc>
        <w:tc>
          <w:tcPr>
            <w:tcW w:w="2268" w:type="dxa"/>
            <w:tcBorders>
              <w:tl2br w:val="nil"/>
              <w:tr2bl w:val="nil"/>
            </w:tcBorders>
            <w:vAlign w:val="center"/>
          </w:tcPr>
          <w:p w14:paraId="0D892B6A">
            <w:pPr>
              <w:pStyle w:val="102"/>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329EB224">
            <w:pPr>
              <w:pStyle w:val="102"/>
              <w:bidi w:val="0"/>
              <w:rPr>
                <w:rFonts w:hint="eastAsia"/>
                <w:highlight w:val="none"/>
                <w:lang w:val="en-US" w:eastAsia="zh-CN"/>
              </w:rPr>
            </w:pPr>
            <w:r>
              <w:rPr>
                <w:rFonts w:hint="eastAsia"/>
                <w:highlight w:val="none"/>
                <w:lang w:val="en-US" w:eastAsia="zh-CN"/>
              </w:rPr>
              <w:t>负责现场测量复核</w:t>
            </w:r>
          </w:p>
        </w:tc>
      </w:tr>
      <w:tr w14:paraId="378B98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D7C67E6">
            <w:pPr>
              <w:pStyle w:val="102"/>
              <w:bidi w:val="0"/>
              <w:rPr>
                <w:rFonts w:hint="eastAsia"/>
                <w:highlight w:val="none"/>
                <w:lang w:val="en-US" w:eastAsia="zh-CN"/>
              </w:rPr>
            </w:pPr>
            <w:r>
              <w:rPr>
                <w:rFonts w:hint="eastAsia"/>
                <w:highlight w:val="none"/>
                <w:lang w:val="en-US" w:eastAsia="zh-CN"/>
              </w:rPr>
              <w:t>8</w:t>
            </w:r>
          </w:p>
        </w:tc>
        <w:tc>
          <w:tcPr>
            <w:tcW w:w="1365" w:type="dxa"/>
            <w:tcBorders>
              <w:tl2br w:val="nil"/>
              <w:tr2bl w:val="nil"/>
            </w:tcBorders>
            <w:vAlign w:val="center"/>
          </w:tcPr>
          <w:p w14:paraId="65453AE3">
            <w:pPr>
              <w:pStyle w:val="102"/>
              <w:bidi w:val="0"/>
              <w:rPr>
                <w:rFonts w:hint="eastAsia"/>
                <w:highlight w:val="none"/>
                <w:lang w:val="en-US" w:eastAsia="zh-CN"/>
              </w:rPr>
            </w:pPr>
            <w:r>
              <w:rPr>
                <w:rFonts w:hint="eastAsia"/>
                <w:highlight w:val="none"/>
                <w:lang w:val="en-US" w:eastAsia="zh-CN"/>
              </w:rPr>
              <w:t>试验员</w:t>
            </w:r>
          </w:p>
        </w:tc>
        <w:tc>
          <w:tcPr>
            <w:tcW w:w="2268" w:type="dxa"/>
            <w:tcBorders>
              <w:tl2br w:val="nil"/>
              <w:tr2bl w:val="nil"/>
            </w:tcBorders>
            <w:vAlign w:val="center"/>
          </w:tcPr>
          <w:p w14:paraId="4D74DBB0">
            <w:pPr>
              <w:pStyle w:val="102"/>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0655F0C3">
            <w:pPr>
              <w:pStyle w:val="102"/>
              <w:bidi w:val="0"/>
              <w:rPr>
                <w:rFonts w:hint="eastAsia"/>
                <w:highlight w:val="none"/>
                <w:lang w:val="en-US" w:eastAsia="zh-CN"/>
              </w:rPr>
            </w:pPr>
            <w:r>
              <w:rPr>
                <w:rFonts w:hint="eastAsia"/>
                <w:highlight w:val="none"/>
                <w:lang w:val="en-US" w:eastAsia="zh-CN"/>
              </w:rPr>
              <w:t>负责现场试验检测工作</w:t>
            </w:r>
          </w:p>
        </w:tc>
      </w:tr>
      <w:tr w14:paraId="2D5E7E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9DCF65">
            <w:pPr>
              <w:pStyle w:val="102"/>
              <w:bidi w:val="0"/>
              <w:rPr>
                <w:rFonts w:hint="eastAsia"/>
                <w:highlight w:val="none"/>
                <w:lang w:val="en-US" w:eastAsia="zh-CN"/>
              </w:rPr>
            </w:pPr>
            <w:r>
              <w:rPr>
                <w:rFonts w:hint="eastAsia"/>
                <w:highlight w:val="none"/>
                <w:lang w:val="en-US" w:eastAsia="zh-CN"/>
              </w:rPr>
              <w:t>9</w:t>
            </w:r>
          </w:p>
        </w:tc>
        <w:tc>
          <w:tcPr>
            <w:tcW w:w="1365" w:type="dxa"/>
            <w:tcBorders>
              <w:tl2br w:val="nil"/>
              <w:tr2bl w:val="nil"/>
            </w:tcBorders>
            <w:vAlign w:val="center"/>
          </w:tcPr>
          <w:p w14:paraId="778B77EA">
            <w:pPr>
              <w:pStyle w:val="102"/>
              <w:bidi w:val="0"/>
              <w:rPr>
                <w:rFonts w:hint="eastAsia"/>
                <w:highlight w:val="none"/>
                <w:lang w:val="en-US" w:eastAsia="zh-CN"/>
              </w:rPr>
            </w:pPr>
            <w:r>
              <w:rPr>
                <w:rFonts w:hint="eastAsia"/>
                <w:highlight w:val="none"/>
                <w:lang w:val="en-US" w:eastAsia="zh-CN"/>
              </w:rPr>
              <w:t>安全员</w:t>
            </w:r>
          </w:p>
        </w:tc>
        <w:tc>
          <w:tcPr>
            <w:tcW w:w="2268" w:type="dxa"/>
            <w:tcBorders>
              <w:tl2br w:val="nil"/>
              <w:tr2bl w:val="nil"/>
            </w:tcBorders>
            <w:vAlign w:val="center"/>
          </w:tcPr>
          <w:p w14:paraId="2E3ECA09">
            <w:pPr>
              <w:pStyle w:val="102"/>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7CA47759">
            <w:pPr>
              <w:pStyle w:val="102"/>
              <w:bidi w:val="0"/>
              <w:rPr>
                <w:rFonts w:hint="eastAsia"/>
                <w:highlight w:val="none"/>
                <w:lang w:val="en-US" w:eastAsia="zh-CN"/>
              </w:rPr>
            </w:pPr>
            <w:r>
              <w:rPr>
                <w:rFonts w:hint="eastAsia"/>
                <w:highlight w:val="none"/>
                <w:lang w:val="en-US" w:eastAsia="zh-CN"/>
              </w:rPr>
              <w:t>负责现场安全管理</w:t>
            </w:r>
          </w:p>
        </w:tc>
      </w:tr>
      <w:tr w14:paraId="663826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5FF774">
            <w:pPr>
              <w:pStyle w:val="102"/>
              <w:bidi w:val="0"/>
              <w:rPr>
                <w:rFonts w:hint="default"/>
                <w:highlight w:val="none"/>
                <w:lang w:val="en-US" w:eastAsia="zh-CN"/>
              </w:rPr>
            </w:pPr>
            <w:r>
              <w:rPr>
                <w:rFonts w:hint="eastAsia"/>
                <w:highlight w:val="none"/>
                <w:lang w:val="en-US" w:eastAsia="zh-CN"/>
              </w:rPr>
              <w:t>10</w:t>
            </w:r>
          </w:p>
        </w:tc>
        <w:tc>
          <w:tcPr>
            <w:tcW w:w="1365" w:type="dxa"/>
            <w:tcBorders>
              <w:tl2br w:val="nil"/>
              <w:tr2bl w:val="nil"/>
            </w:tcBorders>
            <w:vAlign w:val="center"/>
          </w:tcPr>
          <w:p w14:paraId="650BD53B">
            <w:pPr>
              <w:pStyle w:val="102"/>
              <w:bidi w:val="0"/>
              <w:rPr>
                <w:rFonts w:hint="eastAsia"/>
                <w:highlight w:val="none"/>
                <w:lang w:val="en-US" w:eastAsia="zh-CN"/>
              </w:rPr>
            </w:pPr>
            <w:r>
              <w:rPr>
                <w:rFonts w:hint="eastAsia"/>
                <w:highlight w:val="none"/>
                <w:lang w:val="en-US" w:eastAsia="zh-CN"/>
              </w:rPr>
              <w:t>分包单位现场负责人</w:t>
            </w:r>
          </w:p>
        </w:tc>
        <w:tc>
          <w:tcPr>
            <w:tcW w:w="2268" w:type="dxa"/>
            <w:tcBorders>
              <w:tl2br w:val="nil"/>
              <w:tr2bl w:val="nil"/>
            </w:tcBorders>
            <w:vAlign w:val="center"/>
          </w:tcPr>
          <w:p w14:paraId="589D8F53">
            <w:pPr>
              <w:pStyle w:val="102"/>
              <w:bidi w:val="0"/>
              <w:rPr>
                <w:rFonts w:hint="eastAsia"/>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2B067AA4">
            <w:pPr>
              <w:pStyle w:val="102"/>
              <w:bidi w:val="0"/>
              <w:rPr>
                <w:rFonts w:hint="eastAsia"/>
                <w:highlight w:val="none"/>
                <w:lang w:val="en-US" w:eastAsia="zh-CN"/>
              </w:rPr>
            </w:pPr>
            <w:r>
              <w:rPr>
                <w:rFonts w:hint="eastAsia"/>
                <w:highlight w:val="none"/>
                <w:lang w:val="en-US" w:eastAsia="zh-CN"/>
              </w:rPr>
              <w:t>负责现场施工调配管理</w:t>
            </w:r>
          </w:p>
        </w:tc>
      </w:tr>
    </w:tbl>
    <w:p w14:paraId="3C2E5F35">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highlight w:val="none"/>
        </w:rPr>
      </w:pPr>
      <w:r>
        <w:rPr>
          <w:rFonts w:hint="eastAsia" w:ascii="宋体" w:hAnsi="宋体" w:cs="宋体"/>
          <w:b/>
          <w:bCs/>
          <w:kern w:val="2"/>
          <w:sz w:val="24"/>
          <w:szCs w:val="24"/>
          <w:highlight w:val="none"/>
          <w:lang w:val="en-US" w:eastAsia="zh-CN" w:bidi="ar"/>
        </w:rPr>
        <w:t>2</w:t>
      </w:r>
      <w:r>
        <w:rPr>
          <w:rFonts w:hint="eastAsia"/>
          <w:highlight w:val="none"/>
          <w:lang w:val="en-US" w:eastAsia="zh-CN"/>
        </w:rPr>
        <w:t>、</w:t>
      </w:r>
      <w:r>
        <w:rPr>
          <w:rFonts w:hint="eastAsia" w:ascii="宋体" w:hAnsi="宋体" w:cs="宋体"/>
          <w:b/>
          <w:bCs/>
          <w:kern w:val="2"/>
          <w:sz w:val="24"/>
          <w:szCs w:val="24"/>
          <w:highlight w:val="none"/>
          <w:lang w:val="en-US" w:eastAsia="zh-CN" w:bidi="ar"/>
        </w:rPr>
        <w:t>塔吊安拆</w:t>
      </w:r>
      <w:r>
        <w:rPr>
          <w:rFonts w:hint="eastAsia" w:ascii="宋体" w:hAnsi="宋体" w:eastAsia="宋体" w:cs="宋体"/>
          <w:b/>
          <w:bCs/>
          <w:kern w:val="2"/>
          <w:sz w:val="24"/>
          <w:szCs w:val="24"/>
          <w:highlight w:val="none"/>
          <w:lang w:val="en-US" w:eastAsia="zh-CN" w:bidi="ar"/>
        </w:rPr>
        <w:t>施工专职安全生产管理人员配置</w:t>
      </w:r>
    </w:p>
    <w:p w14:paraId="145DD02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）安全总监</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名。建立健全安全生产保障提体系，组织成立安全生产组织机构，保证安全生产管理体系的有效运转，监督现场各岗位人员安全主体责任的落实。</w:t>
      </w:r>
    </w:p>
    <w:p w14:paraId="36002F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）专职安全员</w:t>
      </w:r>
      <w:r>
        <w:rPr>
          <w:rFonts w:hint="eastAsia"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名。负责现场日常各项安全检查工作，排查各项安全隐患，监督现场技术员及班组落实整改要求，有权制止各种不安全行为。</w:t>
      </w:r>
    </w:p>
    <w:p w14:paraId="080C3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）此外，</w:t>
      </w:r>
      <w:r>
        <w:rPr>
          <w:rFonts w:hint="eastAsia" w:ascii="宋体" w:hAnsi="宋体" w:cs="宋体"/>
          <w:kern w:val="2"/>
          <w:sz w:val="24"/>
          <w:szCs w:val="24"/>
          <w:highlight w:val="none"/>
          <w:lang w:val="en-US" w:eastAsia="zh-CN" w:bidi="ar"/>
        </w:rPr>
        <w:t>塔吊安拆专业承包单位专职安全员1名，</w:t>
      </w:r>
      <w:r>
        <w:rPr>
          <w:rFonts w:hint="eastAsia" w:ascii="宋体" w:hAnsi="宋体" w:eastAsia="宋体" w:cs="宋体"/>
          <w:kern w:val="2"/>
          <w:sz w:val="24"/>
          <w:szCs w:val="24"/>
          <w:highlight w:val="none"/>
          <w:lang w:val="en-US" w:eastAsia="zh-CN" w:bidi="ar"/>
        </w:rPr>
        <w:t>负责现场日常各项安全检查工作，排查各项安全隐患。</w:t>
      </w:r>
    </w:p>
    <w:p w14:paraId="6DCDD61F">
      <w:pPr>
        <w:bidi w:val="0"/>
        <w:rPr>
          <w:highlight w:val="none"/>
        </w:rPr>
      </w:pPr>
      <w:r>
        <w:rPr>
          <w:rFonts w:hint="eastAsia" w:ascii="宋体" w:hAnsi="宋体" w:cs="宋体"/>
          <w:b/>
          <w:bCs/>
          <w:kern w:val="2"/>
          <w:sz w:val="24"/>
          <w:szCs w:val="24"/>
          <w:highlight w:val="none"/>
          <w:lang w:val="en-US" w:eastAsia="zh-CN" w:bidi="ar"/>
        </w:rPr>
        <w:t>3</w:t>
      </w:r>
      <w:r>
        <w:rPr>
          <w:rFonts w:hint="eastAsia"/>
          <w:highlight w:val="none"/>
          <w:lang w:val="en-US" w:eastAsia="zh-CN"/>
        </w:rPr>
        <w:t>、</w:t>
      </w:r>
      <w:bookmarkStart w:id="303" w:name="_Toc31491"/>
      <w:bookmarkStart w:id="304" w:name="_Toc12625"/>
      <w:bookmarkStart w:id="305" w:name="_Toc29362"/>
      <w:r>
        <w:rPr>
          <w:rFonts w:hint="eastAsia" w:ascii="宋体" w:hAnsi="宋体" w:cs="宋体"/>
          <w:b w:val="0"/>
          <w:bCs w:val="0"/>
          <w:kern w:val="2"/>
          <w:sz w:val="24"/>
          <w:szCs w:val="24"/>
          <w:highlight w:val="none"/>
          <w:lang w:val="en-US" w:eastAsia="zh-CN" w:bidi="ar"/>
        </w:rPr>
        <w:t>塔吊安拆</w:t>
      </w:r>
      <w:r>
        <w:rPr>
          <w:rFonts w:hint="eastAsia" w:ascii="宋体" w:hAnsi="宋体" w:eastAsia="宋体" w:cs="宋体"/>
          <w:b w:val="0"/>
          <w:bCs w:val="0"/>
          <w:kern w:val="2"/>
          <w:sz w:val="24"/>
          <w:szCs w:val="24"/>
          <w:highlight w:val="none"/>
          <w:lang w:val="en-US" w:eastAsia="zh-CN" w:bidi="ar"/>
        </w:rPr>
        <w:t>施工</w:t>
      </w:r>
      <w:r>
        <w:rPr>
          <w:rFonts w:hint="eastAsia"/>
          <w:b w:val="0"/>
          <w:bCs w:val="0"/>
          <w:highlight w:val="none"/>
          <w:lang w:val="en-US" w:eastAsia="zh-CN"/>
        </w:rPr>
        <w:t>特种作业人员</w:t>
      </w:r>
      <w:bookmarkEnd w:id="303"/>
      <w:bookmarkEnd w:id="304"/>
      <w:bookmarkEnd w:id="305"/>
      <w:r>
        <w:rPr>
          <w:rFonts w:hint="eastAsia" w:ascii="宋体" w:hAnsi="宋体" w:eastAsia="宋体" w:cs="宋体"/>
          <w:b w:val="0"/>
          <w:bCs w:val="0"/>
          <w:kern w:val="2"/>
          <w:sz w:val="24"/>
          <w:szCs w:val="24"/>
          <w:highlight w:val="none"/>
          <w:lang w:val="en-US" w:eastAsia="zh-CN" w:bidi="ar"/>
        </w:rPr>
        <w:t>配置</w:t>
      </w:r>
    </w:p>
    <w:p w14:paraId="78F83F76">
      <w:pPr>
        <w:pStyle w:val="14"/>
        <w:bidi w:val="0"/>
        <w:rPr>
          <w:rFonts w:hint="eastAsia"/>
          <w:highlight w:val="none"/>
          <w:lang w:val="en-US" w:eastAsia="zh-CN"/>
        </w:rPr>
      </w:pPr>
      <w:r>
        <w:rPr>
          <w:rFonts w:hint="eastAsia"/>
          <w:highlight w:val="none"/>
          <w:lang w:val="en-US" w:eastAsia="zh-CN"/>
        </w:rPr>
        <w:t>表7.2-2每班组特种作业人员配置计划表</w:t>
      </w:r>
    </w:p>
    <w:tbl>
      <w:tblPr>
        <w:tblStyle w:val="28"/>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7902F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4E095D8E">
            <w:pPr>
              <w:pStyle w:val="102"/>
              <w:bidi w:val="0"/>
              <w:rPr>
                <w:rFonts w:hint="eastAsia"/>
                <w:highlight w:val="none"/>
              </w:rPr>
            </w:pPr>
            <w:r>
              <w:rPr>
                <w:rFonts w:hint="eastAsia"/>
                <w:highlight w:val="none"/>
              </w:rPr>
              <w:t>序号</w:t>
            </w:r>
          </w:p>
        </w:tc>
        <w:tc>
          <w:tcPr>
            <w:tcW w:w="2115" w:type="dxa"/>
            <w:tcBorders>
              <w:tl2br w:val="nil"/>
              <w:tr2bl w:val="nil"/>
            </w:tcBorders>
            <w:shd w:val="clear" w:color="auto" w:fill="DAE3F3" w:themeFill="accent5" w:themeFillTint="32"/>
            <w:vAlign w:val="center"/>
          </w:tcPr>
          <w:p w14:paraId="7FDB7854">
            <w:pPr>
              <w:pStyle w:val="102"/>
              <w:bidi w:val="0"/>
              <w:rPr>
                <w:rFonts w:hint="default"/>
                <w:highlight w:val="none"/>
                <w:lang w:val="en-US" w:eastAsia="zh-CN"/>
              </w:rPr>
            </w:pPr>
            <w:r>
              <w:rPr>
                <w:rFonts w:hint="eastAsia"/>
                <w:highlight w:val="none"/>
                <w:lang w:val="en-US" w:eastAsia="zh-CN"/>
              </w:rPr>
              <w:t>特种作业工名称</w:t>
            </w:r>
          </w:p>
        </w:tc>
        <w:tc>
          <w:tcPr>
            <w:tcW w:w="1221" w:type="dxa"/>
            <w:tcBorders>
              <w:tl2br w:val="nil"/>
              <w:tr2bl w:val="nil"/>
            </w:tcBorders>
            <w:shd w:val="clear" w:color="auto" w:fill="DAE3F3" w:themeFill="accent5" w:themeFillTint="32"/>
            <w:vAlign w:val="center"/>
          </w:tcPr>
          <w:p w14:paraId="1F4A05D6">
            <w:pPr>
              <w:pStyle w:val="102"/>
              <w:bidi w:val="0"/>
              <w:rPr>
                <w:rFonts w:hint="eastAsia"/>
                <w:highlight w:val="none"/>
                <w:lang w:eastAsia="zh-CN"/>
              </w:rPr>
            </w:pPr>
            <w:r>
              <w:rPr>
                <w:rFonts w:hint="eastAsia"/>
                <w:highlight w:val="none"/>
              </w:rPr>
              <w:t>数量</w:t>
            </w:r>
            <w:r>
              <w:rPr>
                <w:rFonts w:hint="eastAsia"/>
                <w:highlight w:val="none"/>
                <w:lang w:eastAsia="zh-CN"/>
              </w:rPr>
              <w:t>（</w:t>
            </w:r>
            <w:r>
              <w:rPr>
                <w:rFonts w:hint="eastAsia"/>
                <w:highlight w:val="none"/>
              </w:rPr>
              <w:t>人</w:t>
            </w:r>
            <w:r>
              <w:rPr>
                <w:rFonts w:hint="eastAsia"/>
                <w:highlight w:val="none"/>
                <w:lang w:eastAsia="zh-CN"/>
              </w:rPr>
              <w:t>）</w:t>
            </w:r>
          </w:p>
        </w:tc>
        <w:tc>
          <w:tcPr>
            <w:tcW w:w="3864" w:type="dxa"/>
            <w:tcBorders>
              <w:tl2br w:val="nil"/>
              <w:tr2bl w:val="nil"/>
            </w:tcBorders>
            <w:shd w:val="clear" w:color="auto" w:fill="DAE3F3" w:themeFill="accent5" w:themeFillTint="32"/>
            <w:vAlign w:val="center"/>
          </w:tcPr>
          <w:p w14:paraId="25B16DCA">
            <w:pPr>
              <w:pStyle w:val="102"/>
              <w:bidi w:val="0"/>
              <w:rPr>
                <w:rFonts w:hint="eastAsia"/>
                <w:highlight w:val="none"/>
              </w:rPr>
            </w:pPr>
            <w:r>
              <w:rPr>
                <w:rFonts w:hint="eastAsia"/>
                <w:highlight w:val="none"/>
              </w:rPr>
              <w:t>职责</w:t>
            </w:r>
          </w:p>
        </w:tc>
      </w:tr>
      <w:tr w14:paraId="6631F2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77FCE8C2">
            <w:pPr>
              <w:pStyle w:val="102"/>
              <w:bidi w:val="0"/>
              <w:rPr>
                <w:rFonts w:hint="eastAsia"/>
                <w:highlight w:val="none"/>
              </w:rPr>
            </w:pPr>
            <w:r>
              <w:rPr>
                <w:rFonts w:hint="eastAsia"/>
                <w:highlight w:val="none"/>
              </w:rPr>
              <w:t>1</w:t>
            </w:r>
          </w:p>
        </w:tc>
        <w:tc>
          <w:tcPr>
            <w:tcW w:w="2115" w:type="dxa"/>
            <w:tcBorders>
              <w:tl2br w:val="nil"/>
              <w:tr2bl w:val="nil"/>
            </w:tcBorders>
            <w:vAlign w:val="center"/>
          </w:tcPr>
          <w:p w14:paraId="357268D3">
            <w:pPr>
              <w:pStyle w:val="102"/>
              <w:bidi w:val="0"/>
              <w:rPr>
                <w:rFonts w:hint="eastAsia"/>
                <w:highlight w:val="none"/>
                <w:lang w:val="en-US" w:eastAsia="zh-CN"/>
              </w:rPr>
            </w:pPr>
            <w:r>
              <w:rPr>
                <w:rFonts w:hint="eastAsia"/>
                <w:highlight w:val="none"/>
                <w:lang w:val="en-US" w:eastAsia="zh-CN"/>
              </w:rPr>
              <w:t>电工</w:t>
            </w:r>
          </w:p>
        </w:tc>
        <w:tc>
          <w:tcPr>
            <w:tcW w:w="1221" w:type="dxa"/>
            <w:tcBorders>
              <w:tl2br w:val="nil"/>
              <w:tr2bl w:val="nil"/>
            </w:tcBorders>
            <w:vAlign w:val="center"/>
          </w:tcPr>
          <w:p w14:paraId="142BFEE1">
            <w:pPr>
              <w:pStyle w:val="102"/>
              <w:bidi w:val="0"/>
              <w:rPr>
                <w:rFonts w:hint="eastAsia"/>
                <w:highlight w:val="none"/>
              </w:rPr>
            </w:pPr>
            <w:r>
              <w:rPr>
                <w:rFonts w:hint="eastAsia"/>
                <w:highlight w:val="none"/>
              </w:rPr>
              <w:t>1</w:t>
            </w:r>
          </w:p>
        </w:tc>
        <w:tc>
          <w:tcPr>
            <w:tcW w:w="3864" w:type="dxa"/>
            <w:tcBorders>
              <w:tl2br w:val="nil"/>
              <w:tr2bl w:val="nil"/>
            </w:tcBorders>
            <w:vAlign w:val="center"/>
          </w:tcPr>
          <w:p w14:paraId="39660865">
            <w:pPr>
              <w:pStyle w:val="102"/>
              <w:bidi w:val="0"/>
              <w:rPr>
                <w:rFonts w:hint="default"/>
                <w:highlight w:val="none"/>
                <w:lang w:val="en-US" w:eastAsia="zh-CN"/>
              </w:rPr>
            </w:pPr>
            <w:r>
              <w:rPr>
                <w:rFonts w:hint="eastAsia"/>
                <w:highlight w:val="none"/>
              </w:rPr>
              <w:t>负责现场</w:t>
            </w:r>
            <w:r>
              <w:rPr>
                <w:rFonts w:hint="eastAsia"/>
                <w:highlight w:val="none"/>
                <w:lang w:val="en-US" w:eastAsia="zh-CN"/>
              </w:rPr>
              <w:t>临时用电安装、检查、维修</w:t>
            </w:r>
          </w:p>
        </w:tc>
      </w:tr>
      <w:tr w14:paraId="44E3B0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38B50B0B">
            <w:pPr>
              <w:pStyle w:val="102"/>
              <w:bidi w:val="0"/>
              <w:rPr>
                <w:rFonts w:hint="eastAsia"/>
                <w:highlight w:val="none"/>
              </w:rPr>
            </w:pPr>
            <w:r>
              <w:rPr>
                <w:rFonts w:hint="eastAsia"/>
                <w:highlight w:val="none"/>
              </w:rPr>
              <w:t>2</w:t>
            </w:r>
          </w:p>
        </w:tc>
        <w:tc>
          <w:tcPr>
            <w:tcW w:w="2115" w:type="dxa"/>
            <w:tcBorders>
              <w:tl2br w:val="nil"/>
              <w:tr2bl w:val="nil"/>
            </w:tcBorders>
            <w:vAlign w:val="center"/>
          </w:tcPr>
          <w:p w14:paraId="13380E7E">
            <w:pPr>
              <w:pStyle w:val="102"/>
              <w:bidi w:val="0"/>
              <w:rPr>
                <w:rFonts w:hint="eastAsia"/>
                <w:highlight w:val="none"/>
                <w:lang w:val="en-US" w:eastAsia="zh-CN"/>
              </w:rPr>
            </w:pPr>
            <w:r>
              <w:rPr>
                <w:rFonts w:hint="eastAsia"/>
                <w:highlight w:val="none"/>
                <w:lang w:val="en-US" w:eastAsia="zh-CN"/>
              </w:rPr>
              <w:t>电焊工</w:t>
            </w:r>
          </w:p>
        </w:tc>
        <w:tc>
          <w:tcPr>
            <w:tcW w:w="1221" w:type="dxa"/>
            <w:tcBorders>
              <w:tl2br w:val="nil"/>
              <w:tr2bl w:val="nil"/>
            </w:tcBorders>
            <w:vAlign w:val="center"/>
          </w:tcPr>
          <w:p w14:paraId="5F181196">
            <w:pPr>
              <w:pStyle w:val="102"/>
              <w:bidi w:val="0"/>
              <w:rPr>
                <w:rFonts w:hint="eastAsia"/>
                <w:highlight w:val="none"/>
                <w:lang w:eastAsia="zh-CN"/>
              </w:rPr>
            </w:pPr>
            <w:r>
              <w:rPr>
                <w:rFonts w:hint="eastAsia"/>
                <w:highlight w:val="none"/>
                <w:lang w:val="en-US" w:eastAsia="zh-CN"/>
              </w:rPr>
              <w:t>2</w:t>
            </w:r>
          </w:p>
        </w:tc>
        <w:tc>
          <w:tcPr>
            <w:tcW w:w="3864" w:type="dxa"/>
            <w:tcBorders>
              <w:tl2br w:val="nil"/>
              <w:tr2bl w:val="nil"/>
            </w:tcBorders>
            <w:vAlign w:val="center"/>
          </w:tcPr>
          <w:p w14:paraId="41F8DCA6">
            <w:pPr>
              <w:pStyle w:val="102"/>
              <w:bidi w:val="0"/>
              <w:rPr>
                <w:rFonts w:hint="default"/>
                <w:highlight w:val="none"/>
                <w:lang w:val="en-US" w:eastAsia="zh-CN"/>
              </w:rPr>
            </w:pPr>
            <w:r>
              <w:rPr>
                <w:rFonts w:hint="eastAsia"/>
                <w:highlight w:val="none"/>
                <w:lang w:val="en-US" w:eastAsia="zh-CN"/>
              </w:rPr>
              <w:t>现场专门焊接作业</w:t>
            </w:r>
          </w:p>
        </w:tc>
      </w:tr>
      <w:tr w14:paraId="3DDB5B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BE50826">
            <w:pPr>
              <w:pStyle w:val="102"/>
              <w:bidi w:val="0"/>
              <w:rPr>
                <w:rFonts w:hint="eastAsia"/>
                <w:highlight w:val="none"/>
                <w:lang w:val="en-US" w:eastAsia="zh-CN"/>
              </w:rPr>
            </w:pPr>
            <w:r>
              <w:rPr>
                <w:rFonts w:hint="eastAsia"/>
                <w:highlight w:val="none"/>
              </w:rPr>
              <w:t>3</w:t>
            </w:r>
          </w:p>
        </w:tc>
        <w:tc>
          <w:tcPr>
            <w:tcW w:w="2115" w:type="dxa"/>
            <w:tcBorders>
              <w:tl2br w:val="nil"/>
              <w:tr2bl w:val="nil"/>
            </w:tcBorders>
            <w:vAlign w:val="center"/>
          </w:tcPr>
          <w:p w14:paraId="2091EB26">
            <w:pPr>
              <w:pStyle w:val="102"/>
              <w:bidi w:val="0"/>
              <w:rPr>
                <w:rFonts w:hint="eastAsia"/>
                <w:highlight w:val="none"/>
                <w:lang w:val="en-US" w:eastAsia="zh-CN"/>
              </w:rPr>
            </w:pPr>
            <w:r>
              <w:rPr>
                <w:rFonts w:hint="eastAsia"/>
                <w:highlight w:val="none"/>
                <w:lang w:val="en-US" w:eastAsia="zh-CN"/>
              </w:rPr>
              <w:t>安拆维保人员</w:t>
            </w:r>
          </w:p>
        </w:tc>
        <w:tc>
          <w:tcPr>
            <w:tcW w:w="1221" w:type="dxa"/>
            <w:tcBorders>
              <w:tl2br w:val="nil"/>
              <w:tr2bl w:val="nil"/>
            </w:tcBorders>
            <w:vAlign w:val="center"/>
          </w:tcPr>
          <w:p w14:paraId="6190185A">
            <w:pPr>
              <w:pStyle w:val="102"/>
              <w:bidi w:val="0"/>
              <w:rPr>
                <w:rFonts w:hint="eastAsia"/>
                <w:highlight w:val="none"/>
                <w:lang w:val="en-US" w:eastAsia="zh-CN"/>
              </w:rPr>
            </w:pPr>
            <w:r>
              <w:rPr>
                <w:rFonts w:hint="eastAsia"/>
                <w:highlight w:val="none"/>
                <w:lang w:val="en-US" w:eastAsia="zh-CN"/>
              </w:rPr>
              <w:t>6</w:t>
            </w:r>
          </w:p>
        </w:tc>
        <w:tc>
          <w:tcPr>
            <w:tcW w:w="3864" w:type="dxa"/>
            <w:tcBorders>
              <w:tl2br w:val="nil"/>
              <w:tr2bl w:val="nil"/>
            </w:tcBorders>
            <w:vAlign w:val="center"/>
          </w:tcPr>
          <w:p w14:paraId="1D10A0C7">
            <w:pPr>
              <w:pStyle w:val="102"/>
              <w:bidi w:val="0"/>
              <w:rPr>
                <w:rFonts w:hint="eastAsia"/>
                <w:highlight w:val="none"/>
                <w:lang w:val="en-US" w:eastAsia="zh-CN"/>
              </w:rPr>
            </w:pPr>
            <w:r>
              <w:rPr>
                <w:rFonts w:hint="eastAsia"/>
                <w:highlight w:val="none"/>
                <w:lang w:val="en-US" w:eastAsia="zh-CN"/>
              </w:rPr>
              <w:t>按规章安拆维保起重机械</w:t>
            </w:r>
          </w:p>
        </w:tc>
      </w:tr>
      <w:tr w14:paraId="14EB08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676B1">
            <w:pPr>
              <w:pStyle w:val="102"/>
              <w:bidi w:val="0"/>
              <w:rPr>
                <w:rFonts w:hint="eastAsia"/>
                <w:highlight w:val="none"/>
                <w:lang w:val="en-US" w:eastAsia="zh-CN"/>
              </w:rPr>
            </w:pPr>
            <w:r>
              <w:rPr>
                <w:rFonts w:hint="eastAsia"/>
                <w:highlight w:val="none"/>
              </w:rPr>
              <w:t>4</w:t>
            </w:r>
          </w:p>
        </w:tc>
        <w:tc>
          <w:tcPr>
            <w:tcW w:w="2115" w:type="dxa"/>
            <w:tcBorders>
              <w:tl2br w:val="nil"/>
              <w:tr2bl w:val="nil"/>
            </w:tcBorders>
            <w:vAlign w:val="center"/>
          </w:tcPr>
          <w:p w14:paraId="677FC220">
            <w:pPr>
              <w:pStyle w:val="102"/>
              <w:bidi w:val="0"/>
              <w:rPr>
                <w:rFonts w:hint="default"/>
                <w:highlight w:val="none"/>
                <w:lang w:val="en-US" w:eastAsia="zh-CN"/>
              </w:rPr>
            </w:pPr>
            <w:r>
              <w:rPr>
                <w:rFonts w:hint="eastAsia"/>
                <w:highlight w:val="none"/>
                <w:lang w:val="en-US" w:eastAsia="zh-CN"/>
              </w:rPr>
              <w:t>起重机械司机</w:t>
            </w:r>
          </w:p>
        </w:tc>
        <w:tc>
          <w:tcPr>
            <w:tcW w:w="1221" w:type="dxa"/>
            <w:tcBorders>
              <w:tl2br w:val="nil"/>
              <w:tr2bl w:val="nil"/>
            </w:tcBorders>
            <w:vAlign w:val="center"/>
          </w:tcPr>
          <w:p w14:paraId="66AE5981">
            <w:pPr>
              <w:pStyle w:val="102"/>
              <w:bidi w:val="0"/>
              <w:rPr>
                <w:rFonts w:hint="default"/>
                <w:highlight w:val="none"/>
                <w:lang w:val="en-US" w:eastAsia="zh-CN"/>
              </w:rPr>
            </w:pPr>
            <w:r>
              <w:rPr>
                <w:rFonts w:hint="eastAsia"/>
                <w:highlight w:val="none"/>
                <w:lang w:val="en-US" w:eastAsia="zh-CN"/>
              </w:rPr>
              <w:t>2</w:t>
            </w:r>
          </w:p>
        </w:tc>
        <w:tc>
          <w:tcPr>
            <w:tcW w:w="3864" w:type="dxa"/>
            <w:tcBorders>
              <w:tl2br w:val="nil"/>
              <w:tr2bl w:val="nil"/>
            </w:tcBorders>
            <w:vAlign w:val="center"/>
          </w:tcPr>
          <w:p w14:paraId="376A555D">
            <w:pPr>
              <w:pStyle w:val="102"/>
              <w:bidi w:val="0"/>
              <w:rPr>
                <w:rFonts w:hint="default"/>
                <w:highlight w:val="none"/>
                <w:lang w:val="en-US" w:eastAsia="zh-CN"/>
              </w:rPr>
            </w:pPr>
            <w:r>
              <w:rPr>
                <w:rFonts w:hint="eastAsia"/>
                <w:highlight w:val="none"/>
                <w:lang w:val="en-US" w:eastAsia="zh-CN"/>
              </w:rPr>
              <w:t>按规章、规程要求进行起重吊装作业，检查、维护起重机械（租赁）</w:t>
            </w:r>
          </w:p>
        </w:tc>
      </w:tr>
      <w:tr w14:paraId="042CF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2FC4C9FF">
            <w:pPr>
              <w:pStyle w:val="102"/>
              <w:bidi w:val="0"/>
              <w:rPr>
                <w:rFonts w:hint="default"/>
                <w:highlight w:val="none"/>
                <w:lang w:val="en-US" w:eastAsia="zh-CN"/>
              </w:rPr>
            </w:pPr>
            <w:r>
              <w:rPr>
                <w:rFonts w:hint="eastAsia"/>
                <w:highlight w:val="none"/>
                <w:lang w:val="en-US" w:eastAsia="zh-CN"/>
              </w:rPr>
              <w:t>5</w:t>
            </w:r>
          </w:p>
        </w:tc>
        <w:tc>
          <w:tcPr>
            <w:tcW w:w="2115" w:type="dxa"/>
            <w:tcBorders>
              <w:tl2br w:val="nil"/>
              <w:tr2bl w:val="nil"/>
            </w:tcBorders>
            <w:vAlign w:val="center"/>
          </w:tcPr>
          <w:p w14:paraId="0171A2C7">
            <w:pPr>
              <w:pStyle w:val="102"/>
              <w:bidi w:val="0"/>
              <w:rPr>
                <w:rFonts w:hint="default"/>
                <w:highlight w:val="none"/>
                <w:lang w:val="en-US" w:eastAsia="zh-CN"/>
              </w:rPr>
            </w:pPr>
            <w:r>
              <w:rPr>
                <w:rFonts w:hint="eastAsia"/>
                <w:highlight w:val="none"/>
                <w:lang w:val="en-US" w:eastAsia="zh-CN"/>
              </w:rPr>
              <w:t>司索工</w:t>
            </w:r>
          </w:p>
        </w:tc>
        <w:tc>
          <w:tcPr>
            <w:tcW w:w="1221" w:type="dxa"/>
            <w:tcBorders>
              <w:tl2br w:val="nil"/>
              <w:tr2bl w:val="nil"/>
            </w:tcBorders>
            <w:vAlign w:val="center"/>
          </w:tcPr>
          <w:p w14:paraId="6BB865F0">
            <w:pPr>
              <w:pStyle w:val="102"/>
              <w:bidi w:val="0"/>
              <w:rPr>
                <w:rFonts w:hint="default"/>
                <w:highlight w:val="none"/>
                <w:lang w:val="en-US" w:eastAsia="zh-CN"/>
              </w:rPr>
            </w:pPr>
            <w:r>
              <w:rPr>
                <w:rFonts w:hint="eastAsia"/>
                <w:highlight w:val="none"/>
                <w:lang w:val="en-US" w:eastAsia="zh-CN"/>
              </w:rPr>
              <w:t>2</w:t>
            </w:r>
          </w:p>
        </w:tc>
        <w:tc>
          <w:tcPr>
            <w:tcW w:w="3864" w:type="dxa"/>
            <w:tcBorders>
              <w:tl2br w:val="nil"/>
              <w:tr2bl w:val="nil"/>
            </w:tcBorders>
            <w:vAlign w:val="center"/>
          </w:tcPr>
          <w:p w14:paraId="7B83973B">
            <w:pPr>
              <w:pStyle w:val="102"/>
              <w:bidi w:val="0"/>
              <w:rPr>
                <w:rFonts w:hint="default"/>
                <w:highlight w:val="none"/>
                <w:lang w:val="en-US" w:eastAsia="zh-CN"/>
              </w:rPr>
            </w:pPr>
            <w:r>
              <w:rPr>
                <w:rFonts w:hint="eastAsia"/>
                <w:highlight w:val="none"/>
                <w:lang w:val="en-US" w:eastAsia="zh-CN"/>
              </w:rPr>
              <w:t>规范指挥起重吊装作业（租赁）</w:t>
            </w:r>
          </w:p>
        </w:tc>
      </w:tr>
      <w:tr w14:paraId="71C29C5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2B05A">
            <w:pPr>
              <w:pStyle w:val="102"/>
              <w:bidi w:val="0"/>
              <w:rPr>
                <w:rFonts w:hint="default"/>
                <w:highlight w:val="none"/>
                <w:lang w:val="en-US" w:eastAsia="zh-CN"/>
              </w:rPr>
            </w:pPr>
            <w:r>
              <w:rPr>
                <w:rFonts w:hint="eastAsia"/>
                <w:highlight w:val="none"/>
                <w:lang w:val="en-US" w:eastAsia="zh-CN"/>
              </w:rPr>
              <w:t>6</w:t>
            </w:r>
          </w:p>
        </w:tc>
        <w:tc>
          <w:tcPr>
            <w:tcW w:w="2115" w:type="dxa"/>
            <w:tcBorders>
              <w:tl2br w:val="nil"/>
              <w:tr2bl w:val="nil"/>
            </w:tcBorders>
            <w:vAlign w:val="center"/>
          </w:tcPr>
          <w:p w14:paraId="2FBC2CD8">
            <w:pPr>
              <w:pStyle w:val="102"/>
              <w:bidi w:val="0"/>
              <w:rPr>
                <w:rFonts w:hint="default"/>
                <w:highlight w:val="none"/>
                <w:lang w:val="en-US" w:eastAsia="zh-CN"/>
              </w:rPr>
            </w:pPr>
            <w:r>
              <w:rPr>
                <w:rFonts w:hint="eastAsia"/>
                <w:highlight w:val="none"/>
                <w:lang w:val="en-US" w:eastAsia="zh-CN"/>
              </w:rPr>
              <w:t>合计</w:t>
            </w:r>
          </w:p>
        </w:tc>
        <w:tc>
          <w:tcPr>
            <w:tcW w:w="1221" w:type="dxa"/>
            <w:tcBorders>
              <w:tl2br w:val="nil"/>
              <w:tr2bl w:val="nil"/>
            </w:tcBorders>
            <w:vAlign w:val="center"/>
          </w:tcPr>
          <w:p w14:paraId="580D63A1">
            <w:pPr>
              <w:pStyle w:val="102"/>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sum(C2:C6) \* MERGEFORMAT </w:instrText>
            </w:r>
            <w:r>
              <w:rPr>
                <w:rFonts w:hint="eastAsia"/>
                <w:highlight w:val="none"/>
                <w:lang w:val="en-US" w:eastAsia="zh-CN"/>
              </w:rPr>
              <w:fldChar w:fldCharType="separate"/>
            </w:r>
            <w:r>
              <w:rPr>
                <w:rFonts w:hint="eastAsia"/>
                <w:highlight w:val="none"/>
                <w:lang w:val="en-US" w:eastAsia="zh-CN"/>
              </w:rPr>
              <w:t>13</w:t>
            </w:r>
            <w:r>
              <w:rPr>
                <w:rFonts w:hint="eastAsia"/>
                <w:highlight w:val="none"/>
                <w:lang w:val="en-US" w:eastAsia="zh-CN"/>
              </w:rPr>
              <w:fldChar w:fldCharType="end"/>
            </w:r>
          </w:p>
        </w:tc>
        <w:tc>
          <w:tcPr>
            <w:tcW w:w="3864" w:type="dxa"/>
            <w:tcBorders>
              <w:tl2br w:val="nil"/>
              <w:tr2bl w:val="nil"/>
            </w:tcBorders>
            <w:vAlign w:val="center"/>
          </w:tcPr>
          <w:p w14:paraId="5341ADB4">
            <w:pPr>
              <w:pStyle w:val="102"/>
              <w:bidi w:val="0"/>
              <w:rPr>
                <w:rFonts w:hint="default"/>
                <w:highlight w:val="none"/>
                <w:lang w:val="en-US" w:eastAsia="zh-CN"/>
              </w:rPr>
            </w:pPr>
          </w:p>
        </w:tc>
      </w:tr>
    </w:tbl>
    <w:p w14:paraId="74A5D7DA">
      <w:pPr>
        <w:bidi w:val="0"/>
        <w:ind w:firstLine="480" w:firstLineChars="200"/>
        <w:rPr>
          <w:rFonts w:hint="eastAsia"/>
          <w:highlight w:val="none"/>
          <w:lang w:val="en-US" w:eastAsia="zh-CN"/>
        </w:rPr>
      </w:pPr>
      <w:r>
        <w:rPr>
          <w:rFonts w:hint="eastAsia"/>
          <w:highlight w:val="none"/>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61FDDBA3">
      <w:pPr>
        <w:bidi w:val="0"/>
        <w:rPr>
          <w:rFonts w:hint="eastAsia"/>
          <w:highlight w:val="none"/>
          <w:lang w:val="en-US" w:eastAsia="zh-CN"/>
        </w:rPr>
      </w:pPr>
      <w:r>
        <w:rPr>
          <w:rFonts w:hint="eastAsia"/>
          <w:highlight w:val="none"/>
          <w:lang w:val="en-US" w:eastAsia="zh-CN"/>
        </w:rPr>
        <w:t>4、</w:t>
      </w:r>
      <w:bookmarkStart w:id="306" w:name="_Toc26620"/>
      <w:bookmarkStart w:id="307" w:name="_Toc6570"/>
      <w:r>
        <w:rPr>
          <w:rFonts w:hint="default"/>
          <w:highlight w:val="none"/>
          <w:lang w:val="en-US" w:eastAsia="zh-CN"/>
        </w:rPr>
        <w:t>安拆专业分包单位管理人员及安拆人员名单</w:t>
      </w:r>
      <w:bookmarkEnd w:id="306"/>
      <w:bookmarkEnd w:id="307"/>
    </w:p>
    <w:p w14:paraId="51EFBE97">
      <w:pPr>
        <w:rPr>
          <w:rFonts w:hint="eastAsia"/>
          <w:highlight w:val="none"/>
          <w:lang w:val="en-US" w:eastAsia="zh-CN"/>
        </w:rPr>
      </w:pPr>
      <w:r>
        <w:rPr>
          <w:rFonts w:hint="eastAsia"/>
          <w:highlight w:val="none"/>
          <w:lang w:val="en-US" w:eastAsia="zh-CN"/>
        </w:rPr>
        <w:t>表7.2-3安拆专业分包单位管理人员及安拆人员名单汇总表</w:t>
      </w:r>
      <w:bookmarkStart w:id="308" w:name="_Toc2662"/>
    </w:p>
    <w:tbl>
      <w:tblPr>
        <w:tblStyle w:val="28"/>
        <w:tblW w:w="5000"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117"/>
        <w:gridCol w:w="1632"/>
        <w:gridCol w:w="2106"/>
        <w:gridCol w:w="2107"/>
        <w:gridCol w:w="1560"/>
      </w:tblGrid>
      <w:tr w14:paraId="793A27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5"/>
            <w:tcBorders>
              <w:tl2br w:val="nil"/>
              <w:tr2bl w:val="nil"/>
            </w:tcBorders>
            <w:shd w:val="clear" w:color="auto" w:fill="DAE3F3"/>
            <w:vAlign w:val="center"/>
          </w:tcPr>
          <w:p w14:paraId="22EB20E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拟投入安全管理人员及技术人员名单</w:t>
            </w:r>
          </w:p>
        </w:tc>
      </w:tr>
      <w:tr w14:paraId="02CDA3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56" w:type="pct"/>
            <w:tcBorders>
              <w:tl2br w:val="nil"/>
              <w:tr2bl w:val="nil"/>
            </w:tcBorders>
            <w:shd w:val="clear" w:color="auto" w:fill="DAE3F3"/>
            <w:vAlign w:val="center"/>
          </w:tcPr>
          <w:p w14:paraId="1F4257F9">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姓名</w:t>
            </w:r>
          </w:p>
        </w:tc>
        <w:tc>
          <w:tcPr>
            <w:tcW w:w="958" w:type="pct"/>
            <w:tcBorders>
              <w:tl2br w:val="nil"/>
              <w:tr2bl w:val="nil"/>
            </w:tcBorders>
            <w:shd w:val="clear" w:color="auto" w:fill="DAE3F3"/>
            <w:vAlign w:val="center"/>
          </w:tcPr>
          <w:p w14:paraId="7E39B86C">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职务/工种</w:t>
            </w:r>
          </w:p>
        </w:tc>
        <w:tc>
          <w:tcPr>
            <w:tcW w:w="1235" w:type="pct"/>
            <w:tcBorders>
              <w:tl2br w:val="nil"/>
              <w:tr2bl w:val="nil"/>
            </w:tcBorders>
            <w:shd w:val="clear" w:color="auto" w:fill="DAE3F3"/>
            <w:vAlign w:val="center"/>
          </w:tcPr>
          <w:p w14:paraId="5BF0883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身份证号码</w:t>
            </w:r>
          </w:p>
        </w:tc>
        <w:tc>
          <w:tcPr>
            <w:tcW w:w="1236" w:type="pct"/>
            <w:tcBorders>
              <w:tl2br w:val="nil"/>
              <w:tr2bl w:val="nil"/>
            </w:tcBorders>
            <w:shd w:val="clear" w:color="auto" w:fill="DAE3F3"/>
            <w:vAlign w:val="center"/>
          </w:tcPr>
          <w:p w14:paraId="69675A3D">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作业证号</w:t>
            </w:r>
          </w:p>
        </w:tc>
        <w:tc>
          <w:tcPr>
            <w:tcW w:w="912" w:type="pct"/>
            <w:tcBorders>
              <w:tl2br w:val="nil"/>
              <w:tr2bl w:val="nil"/>
            </w:tcBorders>
            <w:shd w:val="clear" w:color="auto" w:fill="DAE3F3"/>
            <w:vAlign w:val="center"/>
          </w:tcPr>
          <w:p w14:paraId="7F584855">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工作内容</w:t>
            </w:r>
          </w:p>
        </w:tc>
      </w:tr>
      <w:tr w14:paraId="01A028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07826AB1">
            <w:pPr>
              <w:tabs>
                <w:tab w:val="left" w:pos="596"/>
              </w:tabs>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吕仕昌</w:t>
            </w:r>
          </w:p>
        </w:tc>
        <w:tc>
          <w:tcPr>
            <w:tcW w:w="958" w:type="pct"/>
            <w:tcBorders>
              <w:tl2br w:val="nil"/>
              <w:tr2bl w:val="nil"/>
            </w:tcBorders>
            <w:shd w:val="clear" w:color="auto" w:fill="auto"/>
            <w:vAlign w:val="center"/>
          </w:tcPr>
          <w:p w14:paraId="09C7B0E0">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项目负责人</w:t>
            </w:r>
          </w:p>
        </w:tc>
        <w:tc>
          <w:tcPr>
            <w:tcW w:w="1235" w:type="pct"/>
            <w:tcBorders>
              <w:tl2br w:val="nil"/>
              <w:tr2bl w:val="nil"/>
            </w:tcBorders>
            <w:shd w:val="clear" w:color="auto" w:fill="auto"/>
            <w:vAlign w:val="center"/>
          </w:tcPr>
          <w:p w14:paraId="3A205C2E">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500381198606081511</w:t>
            </w:r>
          </w:p>
        </w:tc>
        <w:tc>
          <w:tcPr>
            <w:tcW w:w="1236" w:type="pct"/>
            <w:tcBorders>
              <w:tl2br w:val="nil"/>
              <w:tr2bl w:val="nil"/>
            </w:tcBorders>
            <w:shd w:val="clear" w:color="auto" w:fill="auto"/>
            <w:vAlign w:val="center"/>
          </w:tcPr>
          <w:p w14:paraId="7329BDBA">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500381198606081511</w:t>
            </w:r>
          </w:p>
        </w:tc>
        <w:tc>
          <w:tcPr>
            <w:tcW w:w="912" w:type="pct"/>
            <w:tcBorders>
              <w:tl2br w:val="nil"/>
              <w:tr2bl w:val="nil"/>
            </w:tcBorders>
            <w:shd w:val="clear" w:color="auto" w:fill="auto"/>
            <w:vAlign w:val="center"/>
          </w:tcPr>
          <w:p w14:paraId="028076AA">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主持现场工作</w:t>
            </w:r>
          </w:p>
        </w:tc>
      </w:tr>
      <w:tr w14:paraId="4783C2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1266EF0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温涛</w:t>
            </w:r>
          </w:p>
        </w:tc>
        <w:tc>
          <w:tcPr>
            <w:tcW w:w="958" w:type="pct"/>
            <w:tcBorders>
              <w:tl2br w:val="nil"/>
              <w:tr2bl w:val="nil"/>
            </w:tcBorders>
            <w:shd w:val="clear" w:color="auto" w:fill="auto"/>
            <w:vAlign w:val="center"/>
          </w:tcPr>
          <w:p w14:paraId="064071C2">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技术负责人</w:t>
            </w:r>
          </w:p>
        </w:tc>
        <w:tc>
          <w:tcPr>
            <w:tcW w:w="1235" w:type="pct"/>
            <w:tcBorders>
              <w:tl2br w:val="nil"/>
              <w:tr2bl w:val="nil"/>
            </w:tcBorders>
            <w:shd w:val="clear" w:color="auto" w:fill="auto"/>
            <w:vAlign w:val="center"/>
          </w:tcPr>
          <w:p w14:paraId="552C69F6">
            <w:pPr>
              <w:spacing w:line="240" w:lineRule="auto"/>
              <w:ind w:firstLine="0" w:firstLineChars="0"/>
              <w:jc w:val="center"/>
              <w:rPr>
                <w:rFonts w:hint="default"/>
                <w:highlight w:val="none"/>
                <w:lang w:val="en-US" w:eastAsia="zh-CN"/>
              </w:rPr>
            </w:pPr>
            <w:r>
              <w:rPr>
                <w:rFonts w:hint="eastAsia" w:ascii="仿宋" w:hAnsi="仿宋" w:eastAsia="仿宋" w:cs="仿宋"/>
                <w:sz w:val="21"/>
                <w:szCs w:val="21"/>
                <w:highlight w:val="none"/>
                <w:lang w:val="en-US" w:eastAsia="zh-CN"/>
              </w:rPr>
              <w:t>412801198705060316</w:t>
            </w:r>
          </w:p>
        </w:tc>
        <w:tc>
          <w:tcPr>
            <w:tcW w:w="1236" w:type="pct"/>
            <w:tcBorders>
              <w:tl2br w:val="nil"/>
              <w:tr2bl w:val="nil"/>
            </w:tcBorders>
            <w:shd w:val="clear" w:color="auto" w:fill="auto"/>
            <w:vAlign w:val="center"/>
          </w:tcPr>
          <w:p w14:paraId="51E2EA57">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鲁200100033201097</w:t>
            </w:r>
          </w:p>
        </w:tc>
        <w:tc>
          <w:tcPr>
            <w:tcW w:w="912" w:type="pct"/>
            <w:tcBorders>
              <w:tl2br w:val="nil"/>
              <w:tr2bl w:val="nil"/>
            </w:tcBorders>
            <w:shd w:val="clear" w:color="auto" w:fill="auto"/>
            <w:vAlign w:val="center"/>
          </w:tcPr>
          <w:p w14:paraId="60C4904F">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公司技术负责人</w:t>
            </w:r>
          </w:p>
        </w:tc>
      </w:tr>
      <w:tr w14:paraId="125AE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61F187E9">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刘云祥</w:t>
            </w:r>
          </w:p>
        </w:tc>
        <w:tc>
          <w:tcPr>
            <w:tcW w:w="958" w:type="pct"/>
            <w:tcBorders>
              <w:tl2br w:val="nil"/>
              <w:tr2bl w:val="nil"/>
            </w:tcBorders>
            <w:shd w:val="clear" w:color="auto" w:fill="auto"/>
            <w:vAlign w:val="center"/>
          </w:tcPr>
          <w:p w14:paraId="7343CD64">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专职安全管理人员</w:t>
            </w:r>
          </w:p>
        </w:tc>
        <w:tc>
          <w:tcPr>
            <w:tcW w:w="1235" w:type="pct"/>
            <w:tcBorders>
              <w:tl2br w:val="nil"/>
              <w:tr2bl w:val="nil"/>
            </w:tcBorders>
            <w:shd w:val="clear" w:color="auto" w:fill="auto"/>
            <w:vAlign w:val="center"/>
          </w:tcPr>
          <w:p w14:paraId="1F1A6748">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500381198105126218</w:t>
            </w:r>
          </w:p>
        </w:tc>
        <w:tc>
          <w:tcPr>
            <w:tcW w:w="1236" w:type="pct"/>
            <w:tcBorders>
              <w:tl2br w:val="nil"/>
              <w:tr2bl w:val="nil"/>
            </w:tcBorders>
            <w:shd w:val="clear" w:color="auto" w:fill="auto"/>
            <w:vAlign w:val="center"/>
          </w:tcPr>
          <w:p w14:paraId="65E9C7A0">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渝建安C（2012）0003491</w:t>
            </w:r>
          </w:p>
        </w:tc>
        <w:tc>
          <w:tcPr>
            <w:tcW w:w="912" w:type="pct"/>
            <w:tcBorders>
              <w:tl2br w:val="nil"/>
              <w:tr2bl w:val="nil"/>
            </w:tcBorders>
            <w:shd w:val="clear" w:color="auto" w:fill="auto"/>
            <w:vAlign w:val="center"/>
          </w:tcPr>
          <w:p w14:paraId="65E79861">
            <w:pPr>
              <w:spacing w:line="24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负责现场安拆指导及安全管理</w:t>
            </w:r>
          </w:p>
        </w:tc>
      </w:tr>
      <w:tr w14:paraId="2E2EC0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DAE3F3"/>
            <w:vAlign w:val="center"/>
          </w:tcPr>
          <w:p w14:paraId="0123C2C0">
            <w:pPr>
              <w:spacing w:line="240" w:lineRule="auto"/>
              <w:ind w:firstLine="0" w:firstLineChars="0"/>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安拆施工特种设备作业人员</w:t>
            </w:r>
          </w:p>
        </w:tc>
      </w:tr>
      <w:tr w14:paraId="30FFBB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72C1573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孔令波</w:t>
            </w:r>
          </w:p>
        </w:tc>
        <w:tc>
          <w:tcPr>
            <w:tcW w:w="958" w:type="pct"/>
            <w:tcBorders>
              <w:tl2br w:val="nil"/>
              <w:tr2bl w:val="nil"/>
            </w:tcBorders>
            <w:shd w:val="clear" w:color="auto" w:fill="auto"/>
            <w:vAlign w:val="center"/>
          </w:tcPr>
          <w:p w14:paraId="2F2B209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1235" w:type="pct"/>
            <w:tcBorders>
              <w:tl2br w:val="nil"/>
              <w:tr2bl w:val="nil"/>
            </w:tcBorders>
            <w:shd w:val="clear" w:color="auto" w:fill="auto"/>
            <w:vAlign w:val="center"/>
          </w:tcPr>
          <w:p w14:paraId="00BB5093">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500383198410214135</w:t>
            </w:r>
          </w:p>
        </w:tc>
        <w:tc>
          <w:tcPr>
            <w:tcW w:w="1236" w:type="pct"/>
            <w:tcBorders>
              <w:tl2br w:val="nil"/>
              <w:tr2bl w:val="nil"/>
            </w:tcBorders>
            <w:shd w:val="clear" w:color="auto" w:fill="auto"/>
            <w:vAlign w:val="center"/>
          </w:tcPr>
          <w:p w14:paraId="42861C4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黔N052022000646</w:t>
            </w:r>
          </w:p>
        </w:tc>
        <w:tc>
          <w:tcPr>
            <w:tcW w:w="912" w:type="pct"/>
            <w:tcBorders>
              <w:tl2br w:val="nil"/>
              <w:tr2bl w:val="nil"/>
            </w:tcBorders>
            <w:shd w:val="clear" w:color="auto" w:fill="auto"/>
            <w:vAlign w:val="center"/>
          </w:tcPr>
          <w:p w14:paraId="16F1DFB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3969B6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0CC62D3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孔令德 </w:t>
            </w:r>
          </w:p>
        </w:tc>
        <w:tc>
          <w:tcPr>
            <w:tcW w:w="958" w:type="pct"/>
            <w:tcBorders>
              <w:tl2br w:val="nil"/>
              <w:tr2bl w:val="nil"/>
            </w:tcBorders>
            <w:shd w:val="clear" w:color="auto" w:fill="auto"/>
            <w:vAlign w:val="center"/>
          </w:tcPr>
          <w:p w14:paraId="7D1591D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1235" w:type="pct"/>
            <w:tcBorders>
              <w:tl2br w:val="nil"/>
              <w:tr2bl w:val="nil"/>
            </w:tcBorders>
            <w:shd w:val="clear" w:color="auto" w:fill="auto"/>
            <w:vAlign w:val="center"/>
          </w:tcPr>
          <w:p w14:paraId="654483E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500383198609204137</w:t>
            </w:r>
          </w:p>
        </w:tc>
        <w:tc>
          <w:tcPr>
            <w:tcW w:w="1236" w:type="pct"/>
            <w:tcBorders>
              <w:tl2br w:val="nil"/>
              <w:tr2bl w:val="nil"/>
            </w:tcBorders>
            <w:shd w:val="clear" w:color="auto" w:fill="auto"/>
            <w:vAlign w:val="center"/>
          </w:tcPr>
          <w:p w14:paraId="2B45CC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黔N052022000647</w:t>
            </w:r>
          </w:p>
        </w:tc>
        <w:tc>
          <w:tcPr>
            <w:tcW w:w="912" w:type="pct"/>
            <w:tcBorders>
              <w:tl2br w:val="nil"/>
              <w:tr2bl w:val="nil"/>
            </w:tcBorders>
            <w:shd w:val="clear" w:color="auto" w:fill="auto"/>
            <w:vAlign w:val="center"/>
          </w:tcPr>
          <w:p w14:paraId="7E8D8B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58AC3B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3DAB013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冯昌苹</w:t>
            </w:r>
          </w:p>
        </w:tc>
        <w:tc>
          <w:tcPr>
            <w:tcW w:w="958" w:type="pct"/>
            <w:tcBorders>
              <w:tl2br w:val="nil"/>
              <w:tr2bl w:val="nil"/>
            </w:tcBorders>
            <w:shd w:val="clear" w:color="auto" w:fill="auto"/>
            <w:vAlign w:val="center"/>
          </w:tcPr>
          <w:p w14:paraId="4675A80A">
            <w:pPr>
              <w:spacing w:line="240" w:lineRule="auto"/>
              <w:ind w:left="0" w:leftChars="0" w:firstLine="0"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1235" w:type="pct"/>
            <w:tcBorders>
              <w:tl2br w:val="nil"/>
              <w:tr2bl w:val="nil"/>
            </w:tcBorders>
            <w:shd w:val="clear" w:color="auto" w:fill="auto"/>
            <w:vAlign w:val="center"/>
          </w:tcPr>
          <w:p w14:paraId="6DC906F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50010219870521175X</w:t>
            </w:r>
          </w:p>
        </w:tc>
        <w:tc>
          <w:tcPr>
            <w:tcW w:w="1236" w:type="pct"/>
            <w:tcBorders>
              <w:tl2br w:val="nil"/>
              <w:tr2bl w:val="nil"/>
            </w:tcBorders>
            <w:shd w:val="clear" w:color="auto" w:fill="auto"/>
            <w:vAlign w:val="center"/>
          </w:tcPr>
          <w:p w14:paraId="7F8D227B">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渝A082013001929</w:t>
            </w:r>
          </w:p>
        </w:tc>
        <w:tc>
          <w:tcPr>
            <w:tcW w:w="912" w:type="pct"/>
            <w:tcBorders>
              <w:tl2br w:val="nil"/>
              <w:tr2bl w:val="nil"/>
            </w:tcBorders>
            <w:shd w:val="clear" w:color="auto" w:fill="auto"/>
            <w:vAlign w:val="center"/>
          </w:tcPr>
          <w:p w14:paraId="7B7588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430120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394C148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戴富东</w:t>
            </w:r>
          </w:p>
        </w:tc>
        <w:tc>
          <w:tcPr>
            <w:tcW w:w="958" w:type="pct"/>
            <w:tcBorders>
              <w:tl2br w:val="nil"/>
              <w:tr2bl w:val="nil"/>
            </w:tcBorders>
            <w:shd w:val="clear" w:color="auto" w:fill="auto"/>
            <w:vAlign w:val="center"/>
          </w:tcPr>
          <w:p w14:paraId="178F32E6">
            <w:pPr>
              <w:spacing w:line="240" w:lineRule="auto"/>
              <w:ind w:left="0" w:leftChars="0" w:firstLine="0"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1235" w:type="pct"/>
            <w:tcBorders>
              <w:tl2br w:val="nil"/>
              <w:tr2bl w:val="nil"/>
            </w:tcBorders>
            <w:shd w:val="clear" w:color="auto" w:fill="auto"/>
            <w:vAlign w:val="center"/>
          </w:tcPr>
          <w:p w14:paraId="65033807">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512301198207257219</w:t>
            </w:r>
          </w:p>
        </w:tc>
        <w:tc>
          <w:tcPr>
            <w:tcW w:w="1236" w:type="pct"/>
            <w:tcBorders>
              <w:tl2br w:val="nil"/>
              <w:tr2bl w:val="nil"/>
            </w:tcBorders>
            <w:shd w:val="clear" w:color="auto" w:fill="auto"/>
            <w:vAlign w:val="center"/>
          </w:tcPr>
          <w:p w14:paraId="55651E2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渝A082013000460</w:t>
            </w:r>
          </w:p>
        </w:tc>
        <w:tc>
          <w:tcPr>
            <w:tcW w:w="912" w:type="pct"/>
            <w:tcBorders>
              <w:tl2br w:val="nil"/>
              <w:tr2bl w:val="nil"/>
            </w:tcBorders>
            <w:shd w:val="clear" w:color="auto" w:fill="auto"/>
            <w:vAlign w:val="center"/>
          </w:tcPr>
          <w:p w14:paraId="2AD5400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0751C9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6" w:type="pct"/>
            <w:tcBorders>
              <w:tl2br w:val="nil"/>
              <w:tr2bl w:val="nil"/>
            </w:tcBorders>
            <w:shd w:val="clear" w:color="auto" w:fill="auto"/>
            <w:vAlign w:val="center"/>
          </w:tcPr>
          <w:p w14:paraId="25F0082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张腾万</w:t>
            </w:r>
          </w:p>
        </w:tc>
        <w:tc>
          <w:tcPr>
            <w:tcW w:w="958" w:type="pct"/>
            <w:tcBorders>
              <w:tl2br w:val="nil"/>
              <w:tr2bl w:val="nil"/>
            </w:tcBorders>
            <w:shd w:val="clear" w:color="auto" w:fill="auto"/>
            <w:vAlign w:val="center"/>
          </w:tcPr>
          <w:p w14:paraId="0B78BCE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1235" w:type="pct"/>
            <w:tcBorders>
              <w:tl2br w:val="nil"/>
              <w:tr2bl w:val="nil"/>
            </w:tcBorders>
            <w:shd w:val="clear" w:color="auto" w:fill="auto"/>
            <w:vAlign w:val="center"/>
          </w:tcPr>
          <w:p w14:paraId="35FF231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511324199311134276</w:t>
            </w:r>
          </w:p>
        </w:tc>
        <w:tc>
          <w:tcPr>
            <w:tcW w:w="1236" w:type="pct"/>
            <w:tcBorders>
              <w:tl2br w:val="nil"/>
              <w:tr2bl w:val="nil"/>
            </w:tcBorders>
            <w:shd w:val="clear" w:color="auto" w:fill="auto"/>
            <w:vAlign w:val="center"/>
          </w:tcPr>
          <w:p w14:paraId="50AD7D9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川R012016000132</w:t>
            </w:r>
          </w:p>
        </w:tc>
        <w:tc>
          <w:tcPr>
            <w:tcW w:w="912" w:type="pct"/>
            <w:tcBorders>
              <w:tl2br w:val="nil"/>
              <w:tr2bl w:val="nil"/>
            </w:tcBorders>
            <w:shd w:val="clear" w:color="auto" w:fill="auto"/>
            <w:vAlign w:val="center"/>
          </w:tcPr>
          <w:p w14:paraId="4B7E6A48">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4EAC002B">
      <w:pPr>
        <w:rPr>
          <w:highlight w:val="none"/>
        </w:rPr>
      </w:pPr>
      <w:r>
        <w:rPr>
          <w:rFonts w:hint="eastAsia"/>
          <w:highlight w:val="none"/>
          <w:lang w:val="en-US" w:eastAsia="zh-CN"/>
        </w:rPr>
        <w:br w:type="page"/>
      </w:r>
    </w:p>
    <w:p w14:paraId="77E8928B">
      <w:pPr>
        <w:pStyle w:val="2"/>
        <w:bidi w:val="0"/>
        <w:rPr>
          <w:highlight w:val="none"/>
        </w:rPr>
      </w:pPr>
      <w:bookmarkStart w:id="309" w:name="_Toc10128"/>
      <w:r>
        <w:rPr>
          <w:rFonts w:hint="eastAsia"/>
          <w:highlight w:val="none"/>
          <w:lang w:val="en-US" w:eastAsia="zh-CN"/>
        </w:rPr>
        <w:t>8验收要求</w:t>
      </w:r>
      <w:bookmarkEnd w:id="308"/>
      <w:bookmarkEnd w:id="309"/>
    </w:p>
    <w:p w14:paraId="4977938E">
      <w:pPr>
        <w:pStyle w:val="3"/>
        <w:numPr>
          <w:ilvl w:val="0"/>
          <w:numId w:val="0"/>
        </w:numPr>
        <w:outlineLvl w:val="1"/>
        <w:rPr>
          <w:rFonts w:hint="eastAsia"/>
          <w:highlight w:val="none"/>
          <w:lang w:val="en-US" w:eastAsia="zh-CN"/>
        </w:rPr>
      </w:pPr>
      <w:bookmarkStart w:id="310" w:name="_Toc31446"/>
      <w:bookmarkEnd w:id="310"/>
      <w:bookmarkStart w:id="311" w:name="_Toc42642040"/>
      <w:bookmarkEnd w:id="311"/>
      <w:bookmarkStart w:id="312" w:name="_Toc42641787"/>
      <w:bookmarkEnd w:id="312"/>
      <w:bookmarkStart w:id="313" w:name="_Toc4699"/>
      <w:bookmarkEnd w:id="313"/>
      <w:bookmarkStart w:id="314" w:name="_Toc42642327"/>
      <w:bookmarkEnd w:id="314"/>
      <w:bookmarkStart w:id="315" w:name="_Toc42641097"/>
      <w:bookmarkEnd w:id="315"/>
      <w:bookmarkStart w:id="316" w:name="_Toc16436"/>
      <w:bookmarkEnd w:id="316"/>
      <w:bookmarkStart w:id="317" w:name="_Toc5971"/>
      <w:bookmarkEnd w:id="317"/>
      <w:bookmarkStart w:id="318" w:name="_Toc42641868"/>
      <w:bookmarkEnd w:id="318"/>
      <w:bookmarkStart w:id="319" w:name="_Toc19045"/>
      <w:bookmarkStart w:id="320" w:name="_Toc19598"/>
      <w:bookmarkStart w:id="321" w:name="_Toc3752"/>
      <w:bookmarkStart w:id="322" w:name="_Toc10409829"/>
      <w:bookmarkStart w:id="323" w:name="_Toc1659"/>
      <w:bookmarkStart w:id="324" w:name="_Toc27701"/>
      <w:bookmarkStart w:id="325" w:name="_Toc13670"/>
      <w:bookmarkStart w:id="326" w:name="_Toc42642337"/>
      <w:bookmarkStart w:id="327" w:name="_Toc533345518"/>
      <w:r>
        <w:rPr>
          <w:rFonts w:hint="eastAsia"/>
          <w:highlight w:val="none"/>
          <w:lang w:val="en-US" w:eastAsia="zh-CN"/>
        </w:rPr>
        <w:t>8.1 验收标准</w:t>
      </w:r>
      <w:bookmarkEnd w:id="319"/>
      <w:bookmarkEnd w:id="320"/>
    </w:p>
    <w:p w14:paraId="577D33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《特种设备安全监察条例》（国务院令第549号）</w:t>
      </w:r>
    </w:p>
    <w:p w14:paraId="1D57DD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《起重机械安全监察规定》（质监总局令第92号）</w:t>
      </w:r>
    </w:p>
    <w:p w14:paraId="3903CA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《特种设备作业人员监督管理办法》（质监总局令第140号）</w:t>
      </w:r>
    </w:p>
    <w:p w14:paraId="449604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《塔式起重机安全规程》（GB 5144-2012）</w:t>
      </w:r>
    </w:p>
    <w:p w14:paraId="38053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《起重设备安装工程施工及验收规范》（GB 50278-2010）</w:t>
      </w:r>
    </w:p>
    <w:p w14:paraId="113ECA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 安全使用 第3部分：塔式起重机》（GB/T 23723.3-2010）</w:t>
      </w:r>
    </w:p>
    <w:p w14:paraId="1EDF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《塔式起重机》（GB/T 5031-2008）</w:t>
      </w:r>
    </w:p>
    <w:p w14:paraId="296FE9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《塔式起重机安装与拆卸规则》（GB/T 26471-2011）</w:t>
      </w:r>
    </w:p>
    <w:p w14:paraId="6F613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rPr>
      </w:pPr>
      <w:r>
        <w:rPr>
          <w:rFonts w:hint="eastAsia"/>
          <w:highlight w:val="none"/>
        </w:rPr>
        <w:t>《危险性较大的分部分项工程安全管理规定》住房城乡建设部令第37号</w:t>
      </w:r>
    </w:p>
    <w:p w14:paraId="72A2E334">
      <w:pPr>
        <w:pStyle w:val="4"/>
        <w:bidi w:val="0"/>
        <w:rPr>
          <w:rFonts w:hint="eastAsia"/>
          <w:highlight w:val="none"/>
          <w:lang w:val="en-US" w:eastAsia="zh-CN"/>
        </w:rPr>
      </w:pPr>
      <w:r>
        <w:rPr>
          <w:rFonts w:hint="eastAsia"/>
          <w:highlight w:val="none"/>
          <w:lang w:val="en-US" w:eastAsia="zh-CN"/>
        </w:rPr>
        <w:t>8.1.1 塔</w:t>
      </w:r>
      <w:r>
        <w:rPr>
          <w:rFonts w:hint="eastAsia"/>
          <w:highlight w:val="none"/>
        </w:rPr>
        <w:t>式起重机结构</w:t>
      </w:r>
      <w:r>
        <w:rPr>
          <w:rFonts w:hint="eastAsia"/>
          <w:highlight w:val="none"/>
          <w:lang w:eastAsia="zh-CN"/>
        </w:rPr>
        <w:t>安全</w:t>
      </w:r>
      <w:bookmarkEnd w:id="321"/>
      <w:bookmarkEnd w:id="322"/>
      <w:bookmarkEnd w:id="323"/>
    </w:p>
    <w:p w14:paraId="584E8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塔吊垂直度允许偏差范围</w:t>
      </w:r>
    </w:p>
    <w:p w14:paraId="4C94A3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JGJ196-2010《建筑施工塔式起重机安装、使用、拆卸安全技术规程》第 30 页对塔吊垂直度要求规定如下：独立状态或</w:t>
      </w:r>
      <w:r>
        <w:rPr>
          <w:rFonts w:hint="eastAsia" w:ascii="宋体" w:hAnsi="宋体" w:eastAsia="宋体"/>
          <w:highlight w:val="none"/>
          <w:lang w:eastAsia="zh-CN"/>
        </w:rPr>
        <w:t>附墙</w:t>
      </w:r>
      <w:r>
        <w:rPr>
          <w:rFonts w:hint="eastAsia" w:ascii="宋体" w:hAnsi="宋体" w:eastAsia="宋体"/>
          <w:highlight w:val="none"/>
        </w:rPr>
        <w:t>状态下最高</w:t>
      </w:r>
      <w:r>
        <w:rPr>
          <w:rFonts w:hint="eastAsia" w:ascii="宋体" w:hAnsi="宋体" w:eastAsia="宋体"/>
          <w:highlight w:val="none"/>
          <w:lang w:eastAsia="zh-CN"/>
        </w:rPr>
        <w:t>附墙</w:t>
      </w:r>
      <w:r>
        <w:rPr>
          <w:rFonts w:hint="eastAsia" w:ascii="宋体" w:hAnsi="宋体" w:eastAsia="宋体"/>
          <w:highlight w:val="none"/>
        </w:rPr>
        <w:t>点以上塔身轴线对支承面垂直度不得大于4/1000，最高</w:t>
      </w:r>
      <w:r>
        <w:rPr>
          <w:rFonts w:hint="eastAsia" w:ascii="宋体" w:hAnsi="宋体" w:eastAsia="宋体"/>
          <w:highlight w:val="none"/>
          <w:lang w:eastAsia="zh-CN"/>
        </w:rPr>
        <w:t>附墙</w:t>
      </w:r>
      <w:r>
        <w:rPr>
          <w:rFonts w:hint="eastAsia" w:ascii="宋体" w:hAnsi="宋体" w:eastAsia="宋体"/>
          <w:highlight w:val="none"/>
        </w:rPr>
        <w:t>点下塔身轴线对支承面垂直度不得大于相应高度的2/1000。</w:t>
      </w:r>
    </w:p>
    <w:p w14:paraId="3F26F5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塔吊垂直度计算</w:t>
      </w:r>
    </w:p>
    <w:p w14:paraId="7A6D91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塔吊垂直度&lt;4/1000，安装</w:t>
      </w:r>
      <w:r>
        <w:rPr>
          <w:rFonts w:hint="eastAsia" w:ascii="宋体" w:hAnsi="宋体" w:eastAsia="宋体"/>
          <w:highlight w:val="none"/>
          <w:lang w:eastAsia="zh-CN"/>
        </w:rPr>
        <w:t>附墙</w:t>
      </w:r>
      <w:r>
        <w:rPr>
          <w:rFonts w:hint="eastAsia" w:ascii="宋体" w:hAnsi="宋体" w:eastAsia="宋体"/>
          <w:highlight w:val="none"/>
        </w:rPr>
        <w:t>装置后，</w:t>
      </w:r>
      <w:r>
        <w:rPr>
          <w:rFonts w:hint="eastAsia" w:ascii="宋体" w:hAnsi="宋体" w:eastAsia="宋体"/>
          <w:highlight w:val="none"/>
          <w:lang w:eastAsia="zh-CN"/>
        </w:rPr>
        <w:t>附墙</w:t>
      </w:r>
      <w:r>
        <w:rPr>
          <w:rFonts w:hint="eastAsia" w:ascii="宋体" w:hAnsi="宋体" w:eastAsia="宋体"/>
          <w:highlight w:val="none"/>
        </w:rPr>
        <w:t>以下&lt;2/1000，</w:t>
      </w:r>
      <w:r>
        <w:rPr>
          <w:rFonts w:hint="eastAsia" w:ascii="宋体" w:hAnsi="宋体" w:eastAsia="宋体"/>
          <w:highlight w:val="none"/>
          <w:lang w:eastAsia="zh-CN"/>
        </w:rPr>
        <w:t>附墙</w:t>
      </w:r>
      <w:r>
        <w:rPr>
          <w:rFonts w:hint="eastAsia" w:ascii="宋体" w:hAnsi="宋体" w:eastAsia="宋体"/>
          <w:highlight w:val="none"/>
        </w:rPr>
        <w:t>以上&lt;4/1000。</w:t>
      </w:r>
    </w:p>
    <w:p w14:paraId="1C792B2C">
      <w:pPr>
        <w:pStyle w:val="4"/>
        <w:bidi w:val="0"/>
        <w:rPr>
          <w:rFonts w:hint="eastAsia"/>
          <w:highlight w:val="none"/>
        </w:rPr>
      </w:pPr>
      <w:bookmarkStart w:id="328" w:name="_Toc18388"/>
      <w:bookmarkStart w:id="329" w:name="_Toc3430"/>
      <w:bookmarkStart w:id="330" w:name="_Toc10409830"/>
      <w:r>
        <w:rPr>
          <w:rFonts w:hint="eastAsia"/>
          <w:highlight w:val="none"/>
          <w:lang w:val="en-US" w:eastAsia="zh-CN"/>
        </w:rPr>
        <w:t xml:space="preserve">8.1.2 </w:t>
      </w:r>
      <w:r>
        <w:rPr>
          <w:rFonts w:hint="eastAsia"/>
          <w:highlight w:val="none"/>
        </w:rPr>
        <w:t>电气要求</w:t>
      </w:r>
      <w:bookmarkEnd w:id="328"/>
      <w:bookmarkEnd w:id="329"/>
      <w:bookmarkEnd w:id="330"/>
    </w:p>
    <w:p w14:paraId="4FC937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电气部分</w:t>
      </w:r>
    </w:p>
    <w:p w14:paraId="506DC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77332B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供电</w:t>
      </w:r>
    </w:p>
    <w:p w14:paraId="235AA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起重机供电电源为三相交流电源,电压380V±10%,频率50HZ。</w:t>
      </w:r>
    </w:p>
    <w:p w14:paraId="19C60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）电气保护</w:t>
      </w:r>
    </w:p>
    <w:p w14:paraId="3F4F48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短路及过载保护:</w:t>
      </w:r>
    </w:p>
    <w:p w14:paraId="378081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起重机总受电屏、控制屏进出电源设置断路器、控制回路设置小容量断路器，使各机构在短路，过载等事故状态下，迅速与电源脱离,以达到保护设备及人机安全的目的。</w:t>
      </w:r>
    </w:p>
    <w:p w14:paraId="012836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失压保护:</w:t>
      </w:r>
    </w:p>
    <w:p w14:paraId="36EDF0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在总受电屏及机构控制屏中，用线路接触器作为失压保护装置，当供电电源中断时,能够自动断开电源。</w:t>
      </w:r>
    </w:p>
    <w:p w14:paraId="4178B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零位保护:</w:t>
      </w:r>
    </w:p>
    <w:p w14:paraId="6BAD08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司机室的联动台凸轮控制器手柄上设有零位连锁，达到零位的目的。即当起重机开始运转前和失压恢复供电时，必须将控制器的手柄置于零位，各机构的电动机才能启动工作。</w:t>
      </w:r>
    </w:p>
    <w:p w14:paraId="4628A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紧急断电保护:</w:t>
      </w:r>
    </w:p>
    <w:p w14:paraId="6E63A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司机室内设有紧急断电按钮，当起重机发生紧急情况时，随时方便地切</w:t>
      </w:r>
    </w:p>
    <w:p w14:paraId="7217D9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断控制回路电源，从而使主回路断电，确保起重机的安全运行。</w:t>
      </w:r>
    </w:p>
    <w:p w14:paraId="0845A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上升高度</w:t>
      </w:r>
      <w:r>
        <w:rPr>
          <w:rFonts w:hint="eastAsia" w:ascii="宋体" w:hAnsi="宋体" w:eastAsia="宋体"/>
          <w:highlight w:val="none"/>
          <w:lang w:val="en-US" w:eastAsia="zh-CN"/>
        </w:rPr>
        <w:t>及下降深度</w:t>
      </w:r>
      <w:r>
        <w:rPr>
          <w:rFonts w:hint="eastAsia" w:ascii="宋体" w:hAnsi="宋体" w:eastAsia="宋体"/>
          <w:highlight w:val="none"/>
        </w:rPr>
        <w:t>限位</w:t>
      </w:r>
      <w:r>
        <w:rPr>
          <w:rFonts w:hint="eastAsia" w:ascii="宋体" w:hAnsi="宋体" w:eastAsia="宋体"/>
          <w:highlight w:val="none"/>
          <w:lang w:val="en-US" w:eastAsia="zh-CN"/>
        </w:rPr>
        <w:t>保护</w:t>
      </w:r>
      <w:r>
        <w:rPr>
          <w:rFonts w:hint="eastAsia" w:ascii="宋体" w:hAnsi="宋体" w:eastAsia="宋体"/>
          <w:highlight w:val="none"/>
        </w:rPr>
        <w:t>:</w:t>
      </w:r>
    </w:p>
    <w:p w14:paraId="1B1233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起升启动加软启动，起升机构设有双限位开关，可保证吊钩上升到极限位置时切断电源，从而达到减速和停车的目的，确保起重机的安全运行。</w:t>
      </w:r>
    </w:p>
    <w:p w14:paraId="6E5DC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lang w:val="en-US" w:eastAsia="zh-CN"/>
        </w:rPr>
        <w:t>运行形成限位保护</w:t>
      </w:r>
    </w:p>
    <w:p w14:paraId="30F3A8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起重臂</w:t>
      </w:r>
      <w:r>
        <w:rPr>
          <w:rFonts w:hint="eastAsia" w:ascii="宋体" w:hAnsi="宋体" w:eastAsia="宋体"/>
          <w:highlight w:val="none"/>
        </w:rPr>
        <w:t>设有</w:t>
      </w:r>
      <w:r>
        <w:rPr>
          <w:rFonts w:hint="eastAsia" w:ascii="宋体" w:hAnsi="宋体" w:eastAsia="宋体"/>
          <w:highlight w:val="none"/>
          <w:lang w:val="en-US" w:eastAsia="zh-CN"/>
        </w:rPr>
        <w:t>小车形成限位器</w:t>
      </w:r>
      <w:r>
        <w:rPr>
          <w:rFonts w:hint="eastAsia" w:ascii="宋体" w:hAnsi="宋体" w:eastAsia="宋体"/>
          <w:highlight w:val="none"/>
        </w:rPr>
        <w:t>，可保证</w:t>
      </w:r>
      <w:r>
        <w:rPr>
          <w:rFonts w:hint="eastAsia" w:ascii="宋体" w:hAnsi="宋体" w:eastAsia="宋体"/>
          <w:highlight w:val="none"/>
          <w:lang w:val="en-US" w:eastAsia="zh-CN"/>
        </w:rPr>
        <w:t>小车行走到</w:t>
      </w:r>
      <w:r>
        <w:rPr>
          <w:rFonts w:hint="eastAsia" w:ascii="宋体" w:hAnsi="宋体" w:eastAsia="宋体"/>
          <w:highlight w:val="none"/>
        </w:rPr>
        <w:t>到极限位置时切断电源，使主回路断电，从而达到减速和停车的目的，确保起重机的安全运行。</w:t>
      </w:r>
    </w:p>
    <w:p w14:paraId="136A4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lang w:val="en-US" w:eastAsia="zh-CN"/>
        </w:rPr>
        <w:t>起重力矩限制保护</w:t>
      </w:r>
    </w:p>
    <w:p w14:paraId="391EA5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起升机构配置起重力矩限制器，具有报警功能，当载荷达到额定起重</w:t>
      </w:r>
      <w:r>
        <w:rPr>
          <w:rFonts w:hint="eastAsia" w:ascii="宋体" w:hAnsi="宋体" w:eastAsia="宋体"/>
          <w:highlight w:val="none"/>
          <w:lang w:val="en-US" w:eastAsia="zh-CN"/>
        </w:rPr>
        <w:t>力矩</w:t>
      </w:r>
      <w:r>
        <w:rPr>
          <w:rFonts w:hint="eastAsia" w:ascii="宋体" w:hAnsi="宋体" w:eastAsia="宋体"/>
          <w:highlight w:val="none"/>
        </w:rPr>
        <w:t>的90％时，能发出提示性报警信号，当起重量超过额定起重</w:t>
      </w:r>
      <w:r>
        <w:rPr>
          <w:rFonts w:hint="eastAsia" w:ascii="宋体" w:hAnsi="宋体" w:eastAsia="宋体"/>
          <w:highlight w:val="none"/>
          <w:lang w:val="en-US" w:eastAsia="zh-CN"/>
        </w:rPr>
        <w:t>力矩</w:t>
      </w:r>
      <w:r>
        <w:rPr>
          <w:rFonts w:hint="eastAsia" w:ascii="宋体" w:hAnsi="宋体" w:eastAsia="宋体"/>
          <w:highlight w:val="none"/>
        </w:rPr>
        <w:t>时，能自动切断起升动力源，并发出禁止性报警信号。</w:t>
      </w:r>
    </w:p>
    <w:p w14:paraId="46827F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8</w:t>
      </w:r>
      <w:r>
        <w:rPr>
          <w:rFonts w:hint="eastAsia" w:ascii="宋体" w:hAnsi="宋体" w:eastAsia="宋体"/>
          <w:highlight w:val="none"/>
          <w:lang w:eastAsia="zh-CN"/>
        </w:rPr>
        <w:t>）</w:t>
      </w:r>
      <w:r>
        <w:rPr>
          <w:rFonts w:hint="eastAsia" w:ascii="宋体" w:hAnsi="宋体" w:eastAsia="宋体"/>
          <w:highlight w:val="none"/>
          <w:lang w:val="en-US" w:eastAsia="zh-CN"/>
        </w:rPr>
        <w:t>回转限位保护</w:t>
      </w:r>
    </w:p>
    <w:p w14:paraId="2134CB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回转齿轮处设有回转限位保护器，当回转机构旋转到极限角度时</w:t>
      </w:r>
      <w:r>
        <w:rPr>
          <w:rFonts w:hint="eastAsia" w:ascii="宋体" w:hAnsi="宋体" w:eastAsia="宋体"/>
          <w:highlight w:val="none"/>
        </w:rPr>
        <w:t>切断电源，使主回路断电，从而达到减速和停车的目的，确保起重机的安全运行。</w:t>
      </w:r>
    </w:p>
    <w:p w14:paraId="125079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9</w:t>
      </w:r>
      <w:r>
        <w:rPr>
          <w:rFonts w:hint="eastAsia" w:ascii="宋体" w:hAnsi="宋体" w:eastAsia="宋体"/>
          <w:highlight w:val="none"/>
          <w:lang w:eastAsia="zh-CN"/>
        </w:rPr>
        <w:t>）</w:t>
      </w:r>
      <w:r>
        <w:rPr>
          <w:rFonts w:hint="eastAsia" w:ascii="宋体" w:hAnsi="宋体" w:eastAsia="宋体"/>
          <w:highlight w:val="none"/>
        </w:rPr>
        <w:t>门开关保护:</w:t>
      </w:r>
    </w:p>
    <w:p w14:paraId="40031F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进入起重机的门和桥架斜梯门上均设有安全开关。当其中任意一个安全开关断开时，总接触器即自动断开，可避免误入大车走台造成事故。大车上车门设联系按钮。</w:t>
      </w:r>
    </w:p>
    <w:p w14:paraId="652937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10</w:t>
      </w:r>
      <w:r>
        <w:rPr>
          <w:rFonts w:hint="eastAsia" w:ascii="宋体" w:hAnsi="宋体" w:eastAsia="宋体"/>
          <w:highlight w:val="none"/>
          <w:lang w:eastAsia="zh-CN"/>
        </w:rPr>
        <w:t>）</w:t>
      </w:r>
      <w:r>
        <w:rPr>
          <w:rFonts w:hint="eastAsia" w:ascii="宋体" w:hAnsi="宋体" w:eastAsia="宋体"/>
          <w:highlight w:val="none"/>
        </w:rPr>
        <w:t>控制柜,端子箱防护等级IP55，端子箱采用下部或侧部进线上部做防雨，</w:t>
      </w:r>
    </w:p>
    <w:p w14:paraId="534867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槽盖加防脱落装置。</w:t>
      </w:r>
    </w:p>
    <w:p w14:paraId="75B9CC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）操纵方式:</w:t>
      </w:r>
    </w:p>
    <w:p w14:paraId="2D862B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司机室设有总电源和控制电源开关状态信号指示灯。</w:t>
      </w:r>
    </w:p>
    <w:p w14:paraId="5B868E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司机室设置交流220V电源插座及三相380V电源，备接其它电气设备。</w:t>
      </w:r>
    </w:p>
    <w:p w14:paraId="34B919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司机室设有36V插座，以便于检修作业。</w:t>
      </w:r>
    </w:p>
    <w:p w14:paraId="71FDD0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司机室用交流220V/40W荧光灯具照明，以满足照度不低于200LX的要求。</w:t>
      </w:r>
    </w:p>
    <w:p w14:paraId="2565DC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4</w:t>
      </w:r>
      <w:r>
        <w:rPr>
          <w:rFonts w:hint="eastAsia" w:ascii="宋体" w:hAnsi="宋体" w:eastAsia="宋体"/>
          <w:highlight w:val="none"/>
          <w:lang w:eastAsia="zh-CN"/>
        </w:rPr>
        <w:t>）照明信号:</w:t>
      </w:r>
    </w:p>
    <w:p w14:paraId="5462CB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照明及信号部分设有专用的隔离变压器。原边进线电压为交流380V，副</w:t>
      </w:r>
    </w:p>
    <w:p w14:paraId="5B1229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边出线电压为交流220V，交流36V。交流220V为起重机照明电源；交流36V为起重机安全信号和检修电源。照明变压器从主接触器上端引线，以保证主接触器断电时，照明回路不断电。</w:t>
      </w:r>
    </w:p>
    <w:p w14:paraId="7E3729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设有报警装置,开车时起提示作用，在司机室通过脚踏开关控制。</w:t>
      </w:r>
    </w:p>
    <w:p w14:paraId="6308422E">
      <w:pPr>
        <w:pStyle w:val="4"/>
        <w:bidi w:val="0"/>
        <w:rPr>
          <w:rFonts w:hint="eastAsia"/>
          <w:highlight w:val="none"/>
          <w:lang w:val="en-US" w:eastAsia="zh-CN"/>
        </w:rPr>
      </w:pPr>
      <w:bookmarkStart w:id="331" w:name="_Toc10409831"/>
      <w:bookmarkStart w:id="332" w:name="_Toc18301"/>
      <w:bookmarkStart w:id="333" w:name="_Toc14483"/>
      <w:r>
        <w:rPr>
          <w:rFonts w:hint="eastAsia"/>
          <w:highlight w:val="none"/>
          <w:lang w:val="en-US" w:eastAsia="zh-CN"/>
        </w:rPr>
        <w:t>8.1.3 焊接要求</w:t>
      </w:r>
      <w:bookmarkEnd w:id="331"/>
      <w:bookmarkEnd w:id="332"/>
      <w:bookmarkEnd w:id="333"/>
    </w:p>
    <w:p w14:paraId="51DE11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焊缝外部检查不得有目测可见的裂纹、气孔、固体夹杂、未熔合、未焊透等明显缺陷。</w:t>
      </w:r>
    </w:p>
    <w:p w14:paraId="5CF4DB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69033E5D">
      <w:pPr>
        <w:pStyle w:val="4"/>
        <w:bidi w:val="0"/>
        <w:rPr>
          <w:rFonts w:hint="eastAsia"/>
          <w:highlight w:val="none"/>
          <w:lang w:val="en-US" w:eastAsia="zh-CN"/>
        </w:rPr>
      </w:pPr>
      <w:bookmarkStart w:id="334" w:name="_Toc2556"/>
      <w:bookmarkStart w:id="335" w:name="_Toc10409832"/>
      <w:bookmarkStart w:id="336" w:name="_Toc2591"/>
      <w:r>
        <w:rPr>
          <w:rFonts w:hint="eastAsia"/>
          <w:highlight w:val="none"/>
          <w:lang w:val="en-US" w:eastAsia="zh-CN"/>
        </w:rPr>
        <w:t>8.1.4 螺栓连接要求</w:t>
      </w:r>
      <w:bookmarkEnd w:id="334"/>
      <w:bookmarkEnd w:id="335"/>
      <w:bookmarkEnd w:id="336"/>
    </w:p>
    <w:p w14:paraId="3C77A7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钢结构采用高强度螺栓完成构件的连接时，其连接接头应符合JGJ82的规定。</w:t>
      </w:r>
    </w:p>
    <w:p w14:paraId="32DB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大六角头高强度螺栓接头所用螺栓、螺母、垫圈及其技术要求应分别符合GB/T1228-2006、GB/T1229-2006、GB/T1230-2006、GB/T1231-2006的规定。</w:t>
      </w:r>
    </w:p>
    <w:p w14:paraId="4BB87C60">
      <w:pPr>
        <w:pStyle w:val="4"/>
        <w:bidi w:val="0"/>
        <w:rPr>
          <w:rFonts w:hint="eastAsia"/>
          <w:highlight w:val="none"/>
          <w:lang w:val="en-US" w:eastAsia="zh-CN"/>
        </w:rPr>
      </w:pPr>
      <w:bookmarkStart w:id="337" w:name="_Toc10409833"/>
      <w:bookmarkStart w:id="338" w:name="_Toc384"/>
      <w:bookmarkStart w:id="339" w:name="_Toc5943"/>
      <w:r>
        <w:rPr>
          <w:rFonts w:hint="eastAsia"/>
          <w:highlight w:val="none"/>
          <w:lang w:val="en-US" w:eastAsia="zh-CN"/>
        </w:rPr>
        <w:t>8.1.5 防雷接地要求</w:t>
      </w:r>
      <w:bookmarkEnd w:id="337"/>
      <w:bookmarkEnd w:id="338"/>
      <w:bookmarkEnd w:id="339"/>
    </w:p>
    <w:p w14:paraId="327C73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）起重机的接地：</w:t>
      </w:r>
    </w:p>
    <w:p w14:paraId="45EBAD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起重机的金属结构及所有电气设备的金属外壳，电缆金属外皮和变压器</w:t>
      </w:r>
    </w:p>
    <w:p w14:paraId="6D4AFF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的低压侧均有可靠的接地。</w:t>
      </w:r>
    </w:p>
    <w:p w14:paraId="1BC586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接地线连接用不小于150mm2扁钢或10 mm2的铜线，用焊接法连接。</w:t>
      </w:r>
    </w:p>
    <w:p w14:paraId="705F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）接地方式</w:t>
      </w:r>
    </w:p>
    <w:p w14:paraId="1A598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采用长2.3米截面积为150mm2的钢管埋入地下2.5米处，再用50×5mm2镀锌扁钢充分焊接引出地表作接地母线，最后采用10mm2多股铜导线连接</w:t>
      </w:r>
      <w:r>
        <w:rPr>
          <w:rFonts w:hint="eastAsia" w:ascii="宋体" w:hAnsi="宋体" w:eastAsia="宋体"/>
          <w:highlight w:val="none"/>
          <w:lang w:val="en-US" w:eastAsia="zh-CN"/>
        </w:rPr>
        <w:t>加强标准节底部</w:t>
      </w:r>
      <w:r>
        <w:rPr>
          <w:rFonts w:hint="eastAsia" w:ascii="宋体" w:hAnsi="宋体" w:eastAsia="宋体"/>
          <w:highlight w:val="none"/>
        </w:rPr>
        <w:t>与接地母线。</w:t>
      </w:r>
    </w:p>
    <w:p w14:paraId="3BA4BE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）防雷接地具体内容：</w:t>
      </w:r>
    </w:p>
    <w:p w14:paraId="61C2E0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防雷接地装置由接闪器、引下线、接地装置组成。</w:t>
      </w:r>
    </w:p>
    <w:p w14:paraId="01BA6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建筑物内的设备、管道构架等主要金属物和防侧击雷的门窗、栏杆以及</w:t>
      </w:r>
    </w:p>
    <w:p w14:paraId="0A6F1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屋面的金属物体必须接地焊接。</w:t>
      </w:r>
    </w:p>
    <w:p w14:paraId="43F60E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防雷接地体应采取焊接方法：</w:t>
      </w:r>
    </w:p>
    <w:p w14:paraId="4BD8F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使用金属管作接地体时应在其串接部位焊接角形金属跨接线；</w:t>
      </w:r>
    </w:p>
    <w:p w14:paraId="4B2724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钢筋与钢筋交叉要用一条短圆钢进行跨接焊接，焊接长度不小于圆钢直</w:t>
      </w:r>
    </w:p>
    <w:p w14:paraId="63FD43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径的6倍，圆钢同扁钢的焊接必须进行三面焊接；</w:t>
      </w:r>
    </w:p>
    <w:p w14:paraId="48FB12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rPr>
        <w:t>焊接处焊缝应饱满，要有足够的机械强度，不得有灰渣，咬肉裂纹虚焊</w:t>
      </w:r>
    </w:p>
    <w:p w14:paraId="31AFFD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气孔等缺陷，焊接处的药皮应敲净。 接地体采取搭焊接时。其搭接长度必须符合以下要求：①扁钢为其宽的2倍以上；（三个棱边焊接）②圆钢为其直径的6倍以上；（双面焊接）③圆钢和扁钢连接，其长度为圆钢直径的6倍。（三面焊接）。</w:t>
      </w:r>
    </w:p>
    <w:p w14:paraId="626E6C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rPr>
        <w:t>人工接地体应采用圆钢、扁钢、角钢、钢管等金属材料，必须符合以下</w:t>
      </w:r>
    </w:p>
    <w:p w14:paraId="0EDB80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要求：①圆钢直径不小于10mm；②扁钢截面不小于100平方毫米，厚度不小于4毫米；③角钢厚度不小于4毫米；④钢管壁厚不小于3.5毫米。</w:t>
      </w:r>
    </w:p>
    <w:p w14:paraId="3EDD91C0">
      <w:pPr>
        <w:pStyle w:val="3"/>
        <w:bidi w:val="0"/>
        <w:rPr>
          <w:rFonts w:hint="default"/>
          <w:highlight w:val="none"/>
          <w:lang w:val="en-US" w:eastAsia="zh-CN"/>
        </w:rPr>
      </w:pPr>
      <w:bookmarkStart w:id="340" w:name="_Toc1011"/>
      <w:bookmarkStart w:id="341" w:name="_Toc10753"/>
      <w:r>
        <w:rPr>
          <w:rFonts w:hint="eastAsia"/>
          <w:highlight w:val="none"/>
          <w:lang w:val="en-US" w:eastAsia="zh-CN"/>
        </w:rPr>
        <w:t xml:space="preserve">8.2 </w:t>
      </w:r>
      <w:bookmarkEnd w:id="324"/>
      <w:bookmarkEnd w:id="325"/>
      <w:bookmarkEnd w:id="326"/>
      <w:bookmarkEnd w:id="327"/>
      <w:r>
        <w:rPr>
          <w:rFonts w:hint="eastAsia"/>
          <w:highlight w:val="none"/>
          <w:lang w:val="en-US" w:eastAsia="zh-CN"/>
        </w:rPr>
        <w:t>验收程序和验收人员</w:t>
      </w:r>
      <w:bookmarkEnd w:id="340"/>
      <w:bookmarkEnd w:id="341"/>
    </w:p>
    <w:p w14:paraId="37F5B003">
      <w:pPr>
        <w:pStyle w:val="4"/>
        <w:tabs>
          <w:tab w:val="left" w:pos="0"/>
          <w:tab w:val="left" w:pos="630"/>
        </w:tabs>
        <w:bidi w:val="0"/>
        <w:rPr>
          <w:rFonts w:hint="eastAsia"/>
          <w:highlight w:val="none"/>
          <w:lang w:val="en-US" w:eastAsia="zh-CN"/>
        </w:rPr>
      </w:pPr>
      <w:bookmarkStart w:id="342" w:name="_Toc1331"/>
      <w:bookmarkStart w:id="343" w:name="_Toc7558"/>
      <w:r>
        <w:rPr>
          <w:rFonts w:hint="eastAsia"/>
          <w:highlight w:val="none"/>
          <w:lang w:val="en-US" w:eastAsia="zh-CN"/>
        </w:rPr>
        <w:t>8.2.1材料、机械设备进场验收</w:t>
      </w:r>
      <w:bookmarkEnd w:id="342"/>
      <w:bookmarkEnd w:id="343"/>
    </w:p>
    <w:p w14:paraId="39A93149">
      <w:pPr>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材料进场后，由</w:t>
      </w:r>
      <w:r>
        <w:rPr>
          <w:rFonts w:hint="eastAsia"/>
          <w:highlight w:val="none"/>
          <w:lang w:val="en-US" w:eastAsia="zh-CN"/>
        </w:rPr>
        <w:t>项目经理部试验室</w:t>
      </w:r>
      <w:r>
        <w:rPr>
          <w:rFonts w:hint="default"/>
          <w:highlight w:val="none"/>
          <w:lang w:val="en-US" w:eastAsia="zh-CN"/>
        </w:rPr>
        <w:t>通知</w:t>
      </w:r>
      <w:r>
        <w:rPr>
          <w:rFonts w:hint="eastAsia"/>
          <w:highlight w:val="none"/>
          <w:lang w:val="en-US" w:eastAsia="zh-CN"/>
        </w:rPr>
        <w:t>总监办</w:t>
      </w:r>
      <w:r>
        <w:rPr>
          <w:rFonts w:hint="default"/>
          <w:highlight w:val="none"/>
          <w:lang w:val="en-US" w:eastAsia="zh-CN"/>
        </w:rPr>
        <w:t>现场见证取样，联合送检至有资质的检测单位，检测合格后方可使用。</w:t>
      </w:r>
    </w:p>
    <w:p w14:paraId="7279CE9B">
      <w:pPr>
        <w:ind w:firstLine="480" w:firstLineChars="200"/>
        <w:rPr>
          <w:rFonts w:hint="eastAsia"/>
          <w:highlight w:val="none"/>
          <w:lang w:val="en-US" w:eastAsia="zh-CN"/>
        </w:rPr>
      </w:pPr>
      <w:r>
        <w:rPr>
          <w:rFonts w:hint="eastAsia"/>
          <w:highlight w:val="none"/>
          <w:lang w:val="en-US" w:eastAsia="zh-CN"/>
        </w:rPr>
        <w:t>（2）机械设备进场后，由项目经理部物设部通知总监办进行现场验收，根据施工合同及方案要求，结合以往施工经验与现场实际情况，对设备型号、产品合格证、新旧程度、出厂合格证等进行查验，验收合格后方可使用。</w:t>
      </w:r>
    </w:p>
    <w:p w14:paraId="19FA3CA9">
      <w:pPr>
        <w:pStyle w:val="4"/>
        <w:tabs>
          <w:tab w:val="left" w:pos="0"/>
          <w:tab w:val="left" w:pos="630"/>
        </w:tabs>
        <w:bidi w:val="0"/>
        <w:rPr>
          <w:rFonts w:hint="eastAsia"/>
          <w:highlight w:val="none"/>
          <w:lang w:val="en-US" w:eastAsia="zh-CN"/>
        </w:rPr>
      </w:pPr>
      <w:bookmarkStart w:id="344" w:name="_Toc13463"/>
      <w:bookmarkStart w:id="345" w:name="_Toc27574"/>
      <w:r>
        <w:rPr>
          <w:rFonts w:hint="eastAsia"/>
          <w:highlight w:val="none"/>
          <w:lang w:val="en-US" w:eastAsia="zh-CN"/>
        </w:rPr>
        <w:t>8.2.2施工过程验收程序</w:t>
      </w:r>
      <w:bookmarkEnd w:id="344"/>
      <w:bookmarkEnd w:id="345"/>
    </w:p>
    <w:p w14:paraId="1458D760">
      <w:pPr>
        <w:ind w:left="0" w:leftChars="0" w:firstLine="0" w:firstLineChars="0"/>
        <w:jc w:val="center"/>
        <w:rPr>
          <w:highlight w:val="none"/>
        </w:rPr>
      </w:pPr>
      <w:r>
        <w:rPr>
          <w:highlight w:val="none"/>
        </w:rPr>
        <w:drawing>
          <wp:inline distT="0" distB="0" distL="114300" distR="114300">
            <wp:extent cx="3460115" cy="2945765"/>
            <wp:effectExtent l="0" t="0" r="6985"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72"/>
                    <a:stretch>
                      <a:fillRect/>
                    </a:stretch>
                  </pic:blipFill>
                  <pic:spPr>
                    <a:xfrm>
                      <a:off x="0" y="0"/>
                      <a:ext cx="3460115" cy="2945765"/>
                    </a:xfrm>
                    <a:prstGeom prst="rect">
                      <a:avLst/>
                    </a:prstGeom>
                    <a:noFill/>
                    <a:ln>
                      <a:noFill/>
                    </a:ln>
                  </pic:spPr>
                </pic:pic>
              </a:graphicData>
            </a:graphic>
          </wp:inline>
        </w:drawing>
      </w:r>
    </w:p>
    <w:p w14:paraId="58F3B5E8">
      <w:pPr>
        <w:pStyle w:val="14"/>
        <w:bidi w:val="0"/>
        <w:rPr>
          <w:rFonts w:hint="default"/>
          <w:highlight w:val="none"/>
          <w:lang w:val="en-US" w:eastAsia="zh-CN"/>
        </w:rPr>
      </w:pPr>
      <w:r>
        <w:rPr>
          <w:rFonts w:hint="eastAsia"/>
          <w:highlight w:val="none"/>
          <w:lang w:val="en-US" w:eastAsia="zh-CN"/>
        </w:rPr>
        <w:t>图8.2.2-</w:t>
      </w:r>
      <w:r>
        <w:rPr>
          <w:rFonts w:hint="eastAsia"/>
          <w:highlight w:val="none"/>
          <w:lang w:val="en-US" w:eastAsia="zh-CN"/>
        </w:rPr>
        <w:fldChar w:fldCharType="begin"/>
      </w:r>
      <w:r>
        <w:rPr>
          <w:rFonts w:hint="eastAsia"/>
          <w:highlight w:val="none"/>
          <w:lang w:val="en-US" w:eastAsia="zh-CN"/>
        </w:rPr>
        <w:instrText xml:space="preserve"> SEQ 图10-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施工过程验收程序</w:t>
      </w:r>
    </w:p>
    <w:p w14:paraId="42BEA5BC">
      <w:pPr>
        <w:pStyle w:val="4"/>
        <w:tabs>
          <w:tab w:val="left" w:pos="0"/>
          <w:tab w:val="left" w:pos="630"/>
        </w:tabs>
        <w:bidi w:val="0"/>
        <w:rPr>
          <w:rFonts w:hint="default"/>
          <w:highlight w:val="none"/>
          <w:lang w:val="en-US" w:eastAsia="zh-CN"/>
        </w:rPr>
      </w:pPr>
      <w:bookmarkStart w:id="346" w:name="_Toc8373"/>
      <w:bookmarkStart w:id="347" w:name="_Toc20006"/>
      <w:r>
        <w:rPr>
          <w:rFonts w:hint="eastAsia"/>
          <w:highlight w:val="none"/>
          <w:lang w:val="en-US" w:eastAsia="zh-CN"/>
        </w:rPr>
        <w:t>8.2.3</w:t>
      </w:r>
      <w:r>
        <w:rPr>
          <w:rFonts w:hint="default"/>
          <w:highlight w:val="none"/>
          <w:lang w:val="en-US" w:eastAsia="zh-CN"/>
        </w:rPr>
        <w:t>作业中起吊、运行、安装的设备与被吊物前期验收</w:t>
      </w:r>
      <w:bookmarkEnd w:id="346"/>
      <w:bookmarkEnd w:id="347"/>
    </w:p>
    <w:p w14:paraId="1DFEE12C">
      <w:pPr>
        <w:pStyle w:val="38"/>
        <w:bidi w:val="0"/>
        <w:rPr>
          <w:rFonts w:hint="default"/>
          <w:highlight w:val="none"/>
          <w:lang w:val="en-US" w:eastAsia="zh-CN"/>
        </w:rPr>
      </w:pPr>
      <w:r>
        <w:rPr>
          <w:highlight w:val="none"/>
        </w:rPr>
        <w:t>表</w:t>
      </w:r>
      <w:r>
        <w:rPr>
          <w:rFonts w:hint="eastAsia"/>
          <w:highlight w:val="none"/>
          <w:lang w:val="en-US" w:eastAsia="zh-CN"/>
        </w:rPr>
        <w:t>8.2.3-1</w:t>
      </w:r>
      <w:r>
        <w:rPr>
          <w:rFonts w:hint="eastAsia"/>
          <w:highlight w:val="none"/>
        </w:rPr>
        <w:t>作业中起吊、运行、安装的设备与被吊物前期验收</w:t>
      </w:r>
    </w:p>
    <w:tbl>
      <w:tblPr>
        <w:tblStyle w:val="28"/>
        <w:tblW w:w="506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79"/>
        <w:gridCol w:w="1792"/>
        <w:gridCol w:w="6165"/>
      </w:tblGrid>
      <w:tr w14:paraId="2FBA4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93" w:type="pct"/>
            <w:tcBorders>
              <w:tl2br w:val="nil"/>
              <w:tr2bl w:val="nil"/>
            </w:tcBorders>
            <w:shd w:val="clear" w:color="auto" w:fill="DAE3F3" w:themeFill="accent5" w:themeFillTint="32"/>
            <w:noWrap w:val="0"/>
            <w:vAlign w:val="center"/>
          </w:tcPr>
          <w:p w14:paraId="6419488B">
            <w:pPr>
              <w:pStyle w:val="104"/>
              <w:bidi w:val="0"/>
              <w:spacing w:line="240" w:lineRule="auto"/>
              <w:jc w:val="center"/>
              <w:rPr>
                <w:rFonts w:hint="eastAsia"/>
                <w:highlight w:val="none"/>
                <w:lang w:val="en-US" w:eastAsia="zh-CN"/>
              </w:rPr>
            </w:pPr>
            <w:r>
              <w:rPr>
                <w:rFonts w:hint="eastAsia"/>
                <w:highlight w:val="none"/>
                <w:lang w:val="en-US" w:eastAsia="zh-CN"/>
              </w:rPr>
              <w:t>序号</w:t>
            </w:r>
          </w:p>
        </w:tc>
        <w:tc>
          <w:tcPr>
            <w:tcW w:w="1037" w:type="pct"/>
            <w:tcBorders>
              <w:tl2br w:val="nil"/>
              <w:tr2bl w:val="nil"/>
            </w:tcBorders>
            <w:shd w:val="clear" w:color="auto" w:fill="DAE3F3" w:themeFill="accent5" w:themeFillTint="32"/>
            <w:noWrap w:val="0"/>
            <w:vAlign w:val="center"/>
          </w:tcPr>
          <w:p w14:paraId="3FC48D53">
            <w:pPr>
              <w:pStyle w:val="104"/>
              <w:bidi w:val="0"/>
              <w:spacing w:line="240" w:lineRule="auto"/>
              <w:jc w:val="center"/>
              <w:rPr>
                <w:rFonts w:hint="eastAsia"/>
                <w:highlight w:val="none"/>
                <w:lang w:val="en-US" w:eastAsia="zh-CN"/>
              </w:rPr>
            </w:pPr>
            <w:r>
              <w:rPr>
                <w:rFonts w:hint="eastAsia"/>
                <w:highlight w:val="none"/>
                <w:lang w:val="en-US" w:eastAsia="zh-CN"/>
              </w:rPr>
              <w:t>验收项目</w:t>
            </w:r>
          </w:p>
        </w:tc>
        <w:tc>
          <w:tcPr>
            <w:tcW w:w="3568" w:type="pct"/>
            <w:tcBorders>
              <w:tl2br w:val="nil"/>
              <w:tr2bl w:val="nil"/>
            </w:tcBorders>
            <w:shd w:val="clear" w:color="auto" w:fill="DAE3F3" w:themeFill="accent5" w:themeFillTint="32"/>
            <w:noWrap w:val="0"/>
            <w:vAlign w:val="center"/>
          </w:tcPr>
          <w:p w14:paraId="3E60FC26">
            <w:pPr>
              <w:pStyle w:val="104"/>
              <w:bidi w:val="0"/>
              <w:spacing w:line="240" w:lineRule="auto"/>
              <w:jc w:val="center"/>
              <w:rPr>
                <w:rFonts w:hint="eastAsia"/>
                <w:highlight w:val="none"/>
                <w:lang w:val="en-US" w:eastAsia="zh-CN"/>
              </w:rPr>
            </w:pPr>
            <w:r>
              <w:rPr>
                <w:rFonts w:hint="eastAsia"/>
                <w:highlight w:val="none"/>
                <w:lang w:val="en-US" w:eastAsia="zh-CN"/>
              </w:rPr>
              <w:t>技   术   要   求</w:t>
            </w:r>
          </w:p>
        </w:tc>
      </w:tr>
      <w:tr w14:paraId="5C7C8A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8E3329A">
            <w:pPr>
              <w:pStyle w:val="104"/>
              <w:bidi w:val="0"/>
              <w:spacing w:line="240" w:lineRule="auto"/>
              <w:jc w:val="center"/>
              <w:rPr>
                <w:rFonts w:hint="eastAsia"/>
                <w:highlight w:val="none"/>
                <w:lang w:val="en-US" w:eastAsia="zh-CN"/>
              </w:rPr>
            </w:pPr>
            <w:r>
              <w:rPr>
                <w:rFonts w:hint="eastAsia"/>
                <w:highlight w:val="none"/>
                <w:lang w:val="en-US" w:eastAsia="zh-CN"/>
              </w:rPr>
              <w:t>1</w:t>
            </w:r>
          </w:p>
        </w:tc>
        <w:tc>
          <w:tcPr>
            <w:tcW w:w="1037" w:type="pct"/>
            <w:tcBorders>
              <w:tl2br w:val="nil"/>
              <w:tr2bl w:val="nil"/>
            </w:tcBorders>
            <w:noWrap w:val="0"/>
            <w:vAlign w:val="center"/>
          </w:tcPr>
          <w:p w14:paraId="2408EEFC">
            <w:pPr>
              <w:pStyle w:val="104"/>
              <w:bidi w:val="0"/>
              <w:spacing w:line="240" w:lineRule="auto"/>
              <w:jc w:val="center"/>
              <w:rPr>
                <w:rFonts w:hint="default"/>
                <w:highlight w:val="none"/>
                <w:lang w:val="en-US" w:eastAsia="zh-CN"/>
              </w:rPr>
            </w:pPr>
            <w:r>
              <w:rPr>
                <w:rFonts w:hint="eastAsia"/>
                <w:highlight w:val="none"/>
                <w:lang w:val="en-US" w:eastAsia="zh-CN"/>
              </w:rPr>
              <w:t>基础验收</w:t>
            </w:r>
          </w:p>
        </w:tc>
        <w:tc>
          <w:tcPr>
            <w:tcW w:w="3568" w:type="pct"/>
            <w:tcBorders>
              <w:tl2br w:val="nil"/>
              <w:tr2bl w:val="nil"/>
            </w:tcBorders>
            <w:noWrap w:val="0"/>
            <w:vAlign w:val="center"/>
          </w:tcPr>
          <w:p w14:paraId="123A6EF3">
            <w:pPr>
              <w:pStyle w:val="104"/>
              <w:bidi w:val="0"/>
              <w:spacing w:line="240" w:lineRule="auto"/>
              <w:jc w:val="center"/>
              <w:rPr>
                <w:rFonts w:hint="default"/>
                <w:highlight w:val="none"/>
                <w:lang w:val="en-US" w:eastAsia="zh-CN"/>
              </w:rPr>
            </w:pPr>
            <w:r>
              <w:rPr>
                <w:rFonts w:hint="eastAsia"/>
                <w:highlight w:val="none"/>
                <w:lang w:val="en-US" w:eastAsia="zh-CN"/>
              </w:rPr>
              <w:t>基础验收根据基础验收表执行</w:t>
            </w:r>
          </w:p>
        </w:tc>
      </w:tr>
      <w:tr w14:paraId="199AD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800209C">
            <w:pPr>
              <w:pStyle w:val="104"/>
              <w:bidi w:val="0"/>
              <w:spacing w:line="240" w:lineRule="auto"/>
              <w:jc w:val="center"/>
              <w:rPr>
                <w:rFonts w:hint="eastAsia"/>
                <w:highlight w:val="none"/>
                <w:lang w:val="en-US" w:eastAsia="zh-CN"/>
              </w:rPr>
            </w:pPr>
            <w:r>
              <w:rPr>
                <w:rFonts w:hint="eastAsia"/>
                <w:highlight w:val="none"/>
                <w:lang w:val="en-US" w:eastAsia="zh-CN"/>
              </w:rPr>
              <w:t>2</w:t>
            </w:r>
          </w:p>
        </w:tc>
        <w:tc>
          <w:tcPr>
            <w:tcW w:w="1037" w:type="pct"/>
            <w:tcBorders>
              <w:tl2br w:val="nil"/>
              <w:tr2bl w:val="nil"/>
            </w:tcBorders>
            <w:noWrap w:val="0"/>
            <w:vAlign w:val="center"/>
          </w:tcPr>
          <w:p w14:paraId="4955E367">
            <w:pPr>
              <w:pStyle w:val="104"/>
              <w:bidi w:val="0"/>
              <w:spacing w:line="240" w:lineRule="auto"/>
              <w:jc w:val="center"/>
              <w:rPr>
                <w:rFonts w:hint="eastAsia"/>
                <w:highlight w:val="none"/>
                <w:lang w:val="en-US" w:eastAsia="zh-CN"/>
              </w:rPr>
            </w:pPr>
            <w:r>
              <w:rPr>
                <w:rFonts w:hint="eastAsia"/>
                <w:highlight w:val="none"/>
                <w:lang w:val="en-US" w:eastAsia="zh-CN"/>
              </w:rPr>
              <w:t>起重机械</w:t>
            </w:r>
          </w:p>
        </w:tc>
        <w:tc>
          <w:tcPr>
            <w:tcW w:w="3568" w:type="pct"/>
            <w:tcBorders>
              <w:tl2br w:val="nil"/>
              <w:tr2bl w:val="nil"/>
            </w:tcBorders>
            <w:noWrap w:val="0"/>
            <w:vAlign w:val="center"/>
          </w:tcPr>
          <w:p w14:paraId="216FCB5B">
            <w:pPr>
              <w:pStyle w:val="104"/>
              <w:bidi w:val="0"/>
              <w:spacing w:line="240" w:lineRule="auto"/>
              <w:jc w:val="center"/>
              <w:rPr>
                <w:rFonts w:hint="eastAsia"/>
                <w:highlight w:val="none"/>
                <w:lang w:val="en-US" w:eastAsia="zh-CN"/>
              </w:rPr>
            </w:pPr>
            <w:r>
              <w:rPr>
                <w:rFonts w:hint="eastAsia"/>
                <w:highlight w:val="none"/>
                <w:lang w:val="en-US" w:eastAsia="zh-CN"/>
              </w:rPr>
              <w:t>起重机有可靠有效的超高限位器和力矩限制器，吊钩有保险装置，起重机和起重扒杆作业前应进行试吊。</w:t>
            </w:r>
          </w:p>
        </w:tc>
      </w:tr>
      <w:tr w14:paraId="6FF583F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3F12080">
            <w:pPr>
              <w:pStyle w:val="104"/>
              <w:bidi w:val="0"/>
              <w:spacing w:line="240" w:lineRule="auto"/>
              <w:jc w:val="center"/>
              <w:rPr>
                <w:rFonts w:hint="eastAsia"/>
                <w:highlight w:val="none"/>
                <w:lang w:val="en-US" w:eastAsia="zh-CN"/>
              </w:rPr>
            </w:pPr>
            <w:r>
              <w:rPr>
                <w:rFonts w:hint="eastAsia"/>
                <w:highlight w:val="none"/>
                <w:lang w:val="en-US" w:eastAsia="zh-CN"/>
              </w:rPr>
              <w:t>3</w:t>
            </w:r>
          </w:p>
        </w:tc>
        <w:tc>
          <w:tcPr>
            <w:tcW w:w="1037" w:type="pct"/>
            <w:tcBorders>
              <w:tl2br w:val="nil"/>
              <w:tr2bl w:val="nil"/>
            </w:tcBorders>
            <w:noWrap w:val="0"/>
            <w:vAlign w:val="center"/>
          </w:tcPr>
          <w:p w14:paraId="00A201D3">
            <w:pPr>
              <w:pStyle w:val="104"/>
              <w:bidi w:val="0"/>
              <w:spacing w:line="240" w:lineRule="auto"/>
              <w:jc w:val="center"/>
              <w:rPr>
                <w:rFonts w:hint="eastAsia"/>
                <w:highlight w:val="none"/>
                <w:lang w:val="en-US" w:eastAsia="zh-CN"/>
              </w:rPr>
            </w:pPr>
            <w:r>
              <w:rPr>
                <w:rFonts w:hint="eastAsia"/>
                <w:highlight w:val="none"/>
                <w:lang w:val="en-US" w:eastAsia="zh-CN"/>
              </w:rPr>
              <w:t>钢丝器与地锚</w:t>
            </w:r>
          </w:p>
        </w:tc>
        <w:tc>
          <w:tcPr>
            <w:tcW w:w="3568" w:type="pct"/>
            <w:tcBorders>
              <w:tl2br w:val="nil"/>
              <w:tr2bl w:val="nil"/>
            </w:tcBorders>
            <w:noWrap w:val="0"/>
            <w:vAlign w:val="center"/>
          </w:tcPr>
          <w:p w14:paraId="2D8CEB9A">
            <w:pPr>
              <w:pStyle w:val="104"/>
              <w:bidi w:val="0"/>
              <w:spacing w:line="240" w:lineRule="auto"/>
              <w:jc w:val="center"/>
              <w:rPr>
                <w:rFonts w:hint="eastAsia"/>
                <w:highlight w:val="none"/>
                <w:lang w:val="en-US" w:eastAsia="zh-CN"/>
              </w:rPr>
            </w:pPr>
            <w:r>
              <w:rPr>
                <w:rFonts w:hint="eastAsia"/>
                <w:highlight w:val="none"/>
                <w:lang w:val="en-US" w:eastAsia="zh-CN"/>
              </w:rPr>
              <w:t>钢丝绳必须符合有关要求，磨损、断线不得超标。缆风绳安全系数必须大于3.5，滑轮、地锚的设置符合方案要求。</w:t>
            </w:r>
          </w:p>
        </w:tc>
      </w:tr>
      <w:tr w14:paraId="5BAA25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98934B9">
            <w:pPr>
              <w:pStyle w:val="104"/>
              <w:bidi w:val="0"/>
              <w:spacing w:line="240" w:lineRule="auto"/>
              <w:jc w:val="center"/>
              <w:rPr>
                <w:rFonts w:hint="eastAsia"/>
                <w:highlight w:val="none"/>
                <w:lang w:val="en-US" w:eastAsia="zh-CN"/>
              </w:rPr>
            </w:pPr>
            <w:r>
              <w:rPr>
                <w:rFonts w:hint="eastAsia"/>
                <w:highlight w:val="none"/>
                <w:lang w:val="en-US" w:eastAsia="zh-CN"/>
              </w:rPr>
              <w:t>4</w:t>
            </w:r>
          </w:p>
        </w:tc>
        <w:tc>
          <w:tcPr>
            <w:tcW w:w="1037" w:type="pct"/>
            <w:tcBorders>
              <w:tl2br w:val="nil"/>
              <w:tr2bl w:val="nil"/>
            </w:tcBorders>
            <w:noWrap w:val="0"/>
            <w:vAlign w:val="center"/>
          </w:tcPr>
          <w:p w14:paraId="1F57FF8A">
            <w:pPr>
              <w:pStyle w:val="104"/>
              <w:bidi w:val="0"/>
              <w:spacing w:line="240" w:lineRule="auto"/>
              <w:jc w:val="center"/>
              <w:rPr>
                <w:rFonts w:hint="eastAsia"/>
                <w:highlight w:val="none"/>
                <w:lang w:val="en-US" w:eastAsia="zh-CN"/>
              </w:rPr>
            </w:pPr>
            <w:r>
              <w:rPr>
                <w:rFonts w:hint="eastAsia"/>
                <w:highlight w:val="none"/>
                <w:lang w:val="en-US" w:eastAsia="zh-CN"/>
              </w:rPr>
              <w:t>吊   装</w:t>
            </w:r>
          </w:p>
        </w:tc>
        <w:tc>
          <w:tcPr>
            <w:tcW w:w="3568" w:type="pct"/>
            <w:tcBorders>
              <w:tl2br w:val="nil"/>
              <w:tr2bl w:val="nil"/>
            </w:tcBorders>
            <w:noWrap w:val="0"/>
            <w:vAlign w:val="center"/>
          </w:tcPr>
          <w:p w14:paraId="34E46870">
            <w:pPr>
              <w:pStyle w:val="104"/>
              <w:bidi w:val="0"/>
              <w:spacing w:line="240" w:lineRule="auto"/>
              <w:jc w:val="center"/>
              <w:rPr>
                <w:rFonts w:hint="eastAsia"/>
                <w:highlight w:val="none"/>
                <w:lang w:val="en-US" w:eastAsia="zh-CN"/>
              </w:rPr>
            </w:pPr>
            <w:r>
              <w:rPr>
                <w:rFonts w:hint="eastAsia"/>
                <w:highlight w:val="none"/>
                <w:lang w:val="en-US" w:eastAsia="zh-CN"/>
              </w:rPr>
              <w:t>起重吊点符合设计规定，所用的索具、钢丝绳规格、型号、绳径倍数须符合规范要求。</w:t>
            </w:r>
          </w:p>
        </w:tc>
      </w:tr>
      <w:tr w14:paraId="61646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36AE53D4">
            <w:pPr>
              <w:pStyle w:val="104"/>
              <w:bidi w:val="0"/>
              <w:spacing w:line="240" w:lineRule="auto"/>
              <w:jc w:val="center"/>
              <w:rPr>
                <w:rFonts w:hint="eastAsia"/>
                <w:highlight w:val="none"/>
                <w:lang w:val="en-US" w:eastAsia="zh-CN"/>
              </w:rPr>
            </w:pPr>
            <w:r>
              <w:rPr>
                <w:rFonts w:hint="eastAsia"/>
                <w:highlight w:val="none"/>
                <w:lang w:val="en-US" w:eastAsia="zh-CN"/>
              </w:rPr>
              <w:t>5</w:t>
            </w:r>
          </w:p>
        </w:tc>
        <w:tc>
          <w:tcPr>
            <w:tcW w:w="1037" w:type="pct"/>
            <w:tcBorders>
              <w:tl2br w:val="nil"/>
              <w:tr2bl w:val="nil"/>
            </w:tcBorders>
            <w:noWrap w:val="0"/>
            <w:vAlign w:val="center"/>
          </w:tcPr>
          <w:p w14:paraId="46015AF0">
            <w:pPr>
              <w:pStyle w:val="104"/>
              <w:bidi w:val="0"/>
              <w:spacing w:line="240" w:lineRule="auto"/>
              <w:jc w:val="center"/>
              <w:rPr>
                <w:rFonts w:hint="eastAsia"/>
                <w:highlight w:val="none"/>
                <w:lang w:val="en-US" w:eastAsia="zh-CN"/>
              </w:rPr>
            </w:pPr>
            <w:r>
              <w:rPr>
                <w:rFonts w:hint="eastAsia"/>
                <w:highlight w:val="none"/>
                <w:lang w:val="en-US" w:eastAsia="zh-CN"/>
              </w:rPr>
              <w:t>吊装指挥</w:t>
            </w:r>
          </w:p>
        </w:tc>
        <w:tc>
          <w:tcPr>
            <w:tcW w:w="3568" w:type="pct"/>
            <w:tcBorders>
              <w:tl2br w:val="nil"/>
              <w:tr2bl w:val="nil"/>
            </w:tcBorders>
            <w:noWrap w:val="0"/>
            <w:vAlign w:val="center"/>
          </w:tcPr>
          <w:p w14:paraId="330D1F05">
            <w:pPr>
              <w:pStyle w:val="104"/>
              <w:bidi w:val="0"/>
              <w:spacing w:line="240" w:lineRule="auto"/>
              <w:jc w:val="center"/>
              <w:rPr>
                <w:rFonts w:hint="eastAsia"/>
                <w:highlight w:val="none"/>
                <w:lang w:val="en-US" w:eastAsia="zh-CN"/>
              </w:rPr>
            </w:pPr>
            <w:r>
              <w:rPr>
                <w:rFonts w:hint="eastAsia"/>
                <w:highlight w:val="none"/>
                <w:lang w:val="en-US" w:eastAsia="zh-CN"/>
              </w:rPr>
              <w:t>高处作业应有可靠的信号传递。</w:t>
            </w:r>
          </w:p>
        </w:tc>
      </w:tr>
      <w:tr w14:paraId="420D76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DBCAC87">
            <w:pPr>
              <w:pStyle w:val="104"/>
              <w:bidi w:val="0"/>
              <w:spacing w:line="240" w:lineRule="auto"/>
              <w:jc w:val="center"/>
              <w:rPr>
                <w:rFonts w:hint="eastAsia"/>
                <w:highlight w:val="none"/>
                <w:lang w:val="en-US" w:eastAsia="zh-CN"/>
              </w:rPr>
            </w:pPr>
            <w:r>
              <w:rPr>
                <w:rFonts w:hint="eastAsia"/>
                <w:highlight w:val="none"/>
                <w:lang w:val="en-US" w:eastAsia="zh-CN"/>
              </w:rPr>
              <w:t>6</w:t>
            </w:r>
          </w:p>
        </w:tc>
        <w:tc>
          <w:tcPr>
            <w:tcW w:w="1037" w:type="pct"/>
            <w:tcBorders>
              <w:tl2br w:val="nil"/>
              <w:tr2bl w:val="nil"/>
            </w:tcBorders>
            <w:noWrap w:val="0"/>
            <w:vAlign w:val="center"/>
          </w:tcPr>
          <w:p w14:paraId="1866F552">
            <w:pPr>
              <w:pStyle w:val="104"/>
              <w:bidi w:val="0"/>
              <w:spacing w:line="240" w:lineRule="auto"/>
              <w:jc w:val="center"/>
              <w:rPr>
                <w:rFonts w:hint="eastAsia"/>
                <w:highlight w:val="none"/>
                <w:lang w:val="en-US" w:eastAsia="zh-CN"/>
              </w:rPr>
            </w:pPr>
            <w:r>
              <w:rPr>
                <w:rFonts w:hint="eastAsia"/>
                <w:highlight w:val="none"/>
                <w:lang w:val="en-US" w:eastAsia="zh-CN"/>
              </w:rPr>
              <w:t>地耐力</w:t>
            </w:r>
          </w:p>
        </w:tc>
        <w:tc>
          <w:tcPr>
            <w:tcW w:w="3568" w:type="pct"/>
            <w:tcBorders>
              <w:tl2br w:val="nil"/>
              <w:tr2bl w:val="nil"/>
            </w:tcBorders>
            <w:noWrap w:val="0"/>
            <w:vAlign w:val="center"/>
          </w:tcPr>
          <w:p w14:paraId="5266EE26">
            <w:pPr>
              <w:pStyle w:val="104"/>
              <w:bidi w:val="0"/>
              <w:spacing w:line="240" w:lineRule="auto"/>
              <w:jc w:val="center"/>
              <w:rPr>
                <w:rFonts w:hint="eastAsia"/>
                <w:highlight w:val="none"/>
                <w:lang w:val="en-US" w:eastAsia="zh-CN"/>
              </w:rPr>
            </w:pPr>
            <w:r>
              <w:rPr>
                <w:rFonts w:hint="eastAsia"/>
                <w:highlight w:val="none"/>
                <w:lang w:val="en-US" w:eastAsia="zh-CN"/>
              </w:rPr>
              <w:t>起重机作业路面的地耐力必须符合说明书要求，如达不到要求应采取相应的铺垫加强措施。</w:t>
            </w:r>
          </w:p>
        </w:tc>
      </w:tr>
      <w:tr w14:paraId="1539979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6866AF58">
            <w:pPr>
              <w:pStyle w:val="104"/>
              <w:bidi w:val="0"/>
              <w:spacing w:line="240" w:lineRule="auto"/>
              <w:jc w:val="center"/>
              <w:rPr>
                <w:rFonts w:hint="eastAsia"/>
                <w:highlight w:val="none"/>
                <w:lang w:val="en-US" w:eastAsia="zh-CN"/>
              </w:rPr>
            </w:pPr>
            <w:r>
              <w:rPr>
                <w:rFonts w:hint="eastAsia"/>
                <w:highlight w:val="none"/>
                <w:lang w:val="en-US" w:eastAsia="zh-CN"/>
              </w:rPr>
              <w:t>7</w:t>
            </w:r>
          </w:p>
        </w:tc>
        <w:tc>
          <w:tcPr>
            <w:tcW w:w="1037" w:type="pct"/>
            <w:tcBorders>
              <w:tl2br w:val="nil"/>
              <w:tr2bl w:val="nil"/>
            </w:tcBorders>
            <w:noWrap w:val="0"/>
            <w:vAlign w:val="center"/>
          </w:tcPr>
          <w:p w14:paraId="63D8F144">
            <w:pPr>
              <w:pStyle w:val="104"/>
              <w:bidi w:val="0"/>
              <w:spacing w:line="240" w:lineRule="auto"/>
              <w:jc w:val="center"/>
              <w:rPr>
                <w:rFonts w:hint="eastAsia"/>
                <w:highlight w:val="none"/>
                <w:lang w:val="en-US" w:eastAsia="zh-CN"/>
              </w:rPr>
            </w:pPr>
            <w:r>
              <w:rPr>
                <w:rFonts w:hint="eastAsia"/>
                <w:highlight w:val="none"/>
                <w:lang w:val="en-US" w:eastAsia="zh-CN"/>
              </w:rPr>
              <w:t>起重作业</w:t>
            </w:r>
          </w:p>
        </w:tc>
        <w:tc>
          <w:tcPr>
            <w:tcW w:w="3568" w:type="pct"/>
            <w:tcBorders>
              <w:tl2br w:val="nil"/>
              <w:tr2bl w:val="nil"/>
            </w:tcBorders>
            <w:noWrap w:val="0"/>
            <w:vAlign w:val="center"/>
          </w:tcPr>
          <w:p w14:paraId="53A2EB7E">
            <w:pPr>
              <w:pStyle w:val="104"/>
              <w:bidi w:val="0"/>
              <w:spacing w:line="240" w:lineRule="auto"/>
              <w:jc w:val="center"/>
              <w:rPr>
                <w:rFonts w:hint="eastAsia"/>
                <w:highlight w:val="none"/>
                <w:lang w:val="en-US" w:eastAsia="zh-CN"/>
              </w:rPr>
            </w:pPr>
            <w:r>
              <w:rPr>
                <w:rFonts w:hint="eastAsia"/>
                <w:highlight w:val="none"/>
                <w:lang w:val="en-US" w:eastAsia="zh-CN"/>
              </w:rPr>
              <w:t>被吊物件应明确重量，不得不明吊重或超载作业。</w:t>
            </w:r>
          </w:p>
        </w:tc>
      </w:tr>
      <w:tr w14:paraId="1F0361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7F13E7E">
            <w:pPr>
              <w:pStyle w:val="104"/>
              <w:bidi w:val="0"/>
              <w:spacing w:line="240" w:lineRule="auto"/>
              <w:jc w:val="center"/>
              <w:rPr>
                <w:rFonts w:hint="eastAsia"/>
                <w:highlight w:val="none"/>
                <w:lang w:val="en-US" w:eastAsia="zh-CN"/>
              </w:rPr>
            </w:pPr>
            <w:r>
              <w:rPr>
                <w:rFonts w:hint="eastAsia"/>
                <w:highlight w:val="none"/>
                <w:lang w:val="en-US" w:eastAsia="zh-CN"/>
              </w:rPr>
              <w:t>8</w:t>
            </w:r>
          </w:p>
        </w:tc>
        <w:tc>
          <w:tcPr>
            <w:tcW w:w="1037" w:type="pct"/>
            <w:tcBorders>
              <w:tl2br w:val="nil"/>
              <w:tr2bl w:val="nil"/>
            </w:tcBorders>
            <w:noWrap w:val="0"/>
            <w:vAlign w:val="center"/>
          </w:tcPr>
          <w:p w14:paraId="75F8C9ED">
            <w:pPr>
              <w:pStyle w:val="104"/>
              <w:bidi w:val="0"/>
              <w:spacing w:line="240" w:lineRule="auto"/>
              <w:jc w:val="center"/>
              <w:rPr>
                <w:rFonts w:hint="eastAsia"/>
                <w:highlight w:val="none"/>
                <w:lang w:val="en-US" w:eastAsia="zh-CN"/>
              </w:rPr>
            </w:pPr>
            <w:r>
              <w:rPr>
                <w:rFonts w:hint="eastAsia"/>
                <w:highlight w:val="none"/>
                <w:lang w:val="en-US" w:eastAsia="zh-CN"/>
              </w:rPr>
              <w:t>高处作业</w:t>
            </w:r>
          </w:p>
        </w:tc>
        <w:tc>
          <w:tcPr>
            <w:tcW w:w="3568" w:type="pct"/>
            <w:tcBorders>
              <w:tl2br w:val="nil"/>
              <w:tr2bl w:val="nil"/>
            </w:tcBorders>
            <w:noWrap w:val="0"/>
            <w:vAlign w:val="center"/>
          </w:tcPr>
          <w:p w14:paraId="74372FB4">
            <w:pPr>
              <w:pStyle w:val="104"/>
              <w:bidi w:val="0"/>
              <w:spacing w:line="240" w:lineRule="auto"/>
              <w:jc w:val="center"/>
              <w:rPr>
                <w:rFonts w:hint="eastAsia"/>
                <w:highlight w:val="none"/>
                <w:lang w:val="en-US" w:eastAsia="zh-CN"/>
              </w:rPr>
            </w:pPr>
            <w:r>
              <w:rPr>
                <w:rFonts w:hint="eastAsia"/>
                <w:highlight w:val="none"/>
                <w:lang w:val="en-US" w:eastAsia="zh-CN"/>
              </w:rPr>
              <w:t>吊装作业必须设置防坠落措施，作业人员应系安全事实工悬挂牢固、可靠，人员上下应设置人员专用爬梯、斜道。</w:t>
            </w:r>
          </w:p>
        </w:tc>
      </w:tr>
      <w:tr w14:paraId="41105C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58698020">
            <w:pPr>
              <w:pStyle w:val="104"/>
              <w:bidi w:val="0"/>
              <w:spacing w:line="240" w:lineRule="auto"/>
              <w:jc w:val="center"/>
              <w:rPr>
                <w:rFonts w:hint="eastAsia"/>
                <w:highlight w:val="none"/>
                <w:lang w:val="en-US" w:eastAsia="zh-CN"/>
              </w:rPr>
            </w:pPr>
            <w:r>
              <w:rPr>
                <w:rFonts w:hint="eastAsia"/>
                <w:highlight w:val="none"/>
                <w:lang w:val="en-US" w:eastAsia="zh-CN"/>
              </w:rPr>
              <w:t>9</w:t>
            </w:r>
          </w:p>
        </w:tc>
        <w:tc>
          <w:tcPr>
            <w:tcW w:w="1037" w:type="pct"/>
            <w:tcBorders>
              <w:tl2br w:val="nil"/>
              <w:tr2bl w:val="nil"/>
            </w:tcBorders>
            <w:noWrap w:val="0"/>
            <w:vAlign w:val="center"/>
          </w:tcPr>
          <w:p w14:paraId="19B0F54D">
            <w:pPr>
              <w:pStyle w:val="104"/>
              <w:bidi w:val="0"/>
              <w:spacing w:line="240" w:lineRule="auto"/>
              <w:jc w:val="center"/>
              <w:rPr>
                <w:rFonts w:hint="eastAsia"/>
                <w:highlight w:val="none"/>
                <w:lang w:val="en-US" w:eastAsia="zh-CN"/>
              </w:rPr>
            </w:pPr>
            <w:r>
              <w:rPr>
                <w:rFonts w:hint="eastAsia"/>
                <w:highlight w:val="none"/>
                <w:lang w:val="en-US" w:eastAsia="zh-CN"/>
              </w:rPr>
              <w:t>作业平台</w:t>
            </w:r>
          </w:p>
        </w:tc>
        <w:tc>
          <w:tcPr>
            <w:tcW w:w="3568" w:type="pct"/>
            <w:tcBorders>
              <w:tl2br w:val="nil"/>
              <w:tr2bl w:val="nil"/>
            </w:tcBorders>
            <w:noWrap w:val="0"/>
            <w:vAlign w:val="center"/>
          </w:tcPr>
          <w:p w14:paraId="05D488D4">
            <w:pPr>
              <w:pStyle w:val="104"/>
              <w:bidi w:val="0"/>
              <w:spacing w:line="240" w:lineRule="auto"/>
              <w:jc w:val="center"/>
              <w:rPr>
                <w:rFonts w:hint="eastAsia"/>
                <w:highlight w:val="none"/>
                <w:lang w:val="en-US" w:eastAsia="zh-CN"/>
              </w:rPr>
            </w:pPr>
            <w:r>
              <w:rPr>
                <w:rFonts w:hint="eastAsia"/>
                <w:highlight w:val="none"/>
                <w:lang w:val="en-US" w:eastAsia="zh-CN"/>
              </w:rPr>
              <w:t>起重吊装作业人员须有可行的立足点，作业平台应坚实，牢固、单独支撑，底板应用4厘米厚以上木板或防滑钢板铺设，临边防护应符合要求。</w:t>
            </w:r>
          </w:p>
        </w:tc>
      </w:tr>
      <w:tr w14:paraId="2EA928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3BE6513">
            <w:pPr>
              <w:pStyle w:val="104"/>
              <w:bidi w:val="0"/>
              <w:spacing w:line="240" w:lineRule="auto"/>
              <w:jc w:val="center"/>
              <w:rPr>
                <w:rFonts w:hint="eastAsia"/>
                <w:highlight w:val="none"/>
                <w:lang w:val="en-US" w:eastAsia="zh-CN"/>
              </w:rPr>
            </w:pPr>
            <w:r>
              <w:rPr>
                <w:rFonts w:hint="eastAsia"/>
                <w:highlight w:val="none"/>
                <w:lang w:val="en-US" w:eastAsia="zh-CN"/>
              </w:rPr>
              <w:t>10</w:t>
            </w:r>
          </w:p>
        </w:tc>
        <w:tc>
          <w:tcPr>
            <w:tcW w:w="1037" w:type="pct"/>
            <w:tcBorders>
              <w:tl2br w:val="nil"/>
              <w:tr2bl w:val="nil"/>
            </w:tcBorders>
            <w:noWrap w:val="0"/>
            <w:vAlign w:val="center"/>
          </w:tcPr>
          <w:p w14:paraId="2A5D0418">
            <w:pPr>
              <w:pStyle w:val="104"/>
              <w:bidi w:val="0"/>
              <w:spacing w:line="240" w:lineRule="auto"/>
              <w:jc w:val="center"/>
              <w:rPr>
                <w:rFonts w:hint="eastAsia"/>
                <w:highlight w:val="none"/>
                <w:lang w:val="en-US" w:eastAsia="zh-CN"/>
              </w:rPr>
            </w:pPr>
            <w:r>
              <w:rPr>
                <w:rFonts w:hint="eastAsia"/>
                <w:highlight w:val="none"/>
                <w:lang w:val="en-US" w:eastAsia="zh-CN"/>
              </w:rPr>
              <w:t>构件堆放</w:t>
            </w:r>
          </w:p>
        </w:tc>
        <w:tc>
          <w:tcPr>
            <w:tcW w:w="3568" w:type="pct"/>
            <w:tcBorders>
              <w:tl2br w:val="nil"/>
              <w:tr2bl w:val="nil"/>
            </w:tcBorders>
            <w:noWrap w:val="0"/>
            <w:vAlign w:val="center"/>
          </w:tcPr>
          <w:p w14:paraId="3F5E5F71">
            <w:pPr>
              <w:pStyle w:val="104"/>
              <w:bidi w:val="0"/>
              <w:spacing w:line="240" w:lineRule="auto"/>
              <w:jc w:val="center"/>
              <w:rPr>
                <w:rFonts w:hint="eastAsia"/>
                <w:highlight w:val="none"/>
                <w:lang w:val="en-US" w:eastAsia="zh-CN"/>
              </w:rPr>
            </w:pPr>
            <w:r>
              <w:rPr>
                <w:rFonts w:hint="eastAsia"/>
                <w:highlight w:val="none"/>
                <w:lang w:val="en-US" w:eastAsia="zh-CN"/>
              </w:rPr>
              <w:t>构件堆放应整齐，楼板堆放不得超过1.6米，其它构件堆放不得超过有关规定，大型构件堆放应有稳固措施。</w:t>
            </w:r>
          </w:p>
        </w:tc>
      </w:tr>
      <w:tr w14:paraId="0032E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EA13F65">
            <w:pPr>
              <w:pStyle w:val="104"/>
              <w:bidi w:val="0"/>
              <w:spacing w:line="240" w:lineRule="auto"/>
              <w:jc w:val="center"/>
              <w:rPr>
                <w:rFonts w:hint="eastAsia"/>
                <w:highlight w:val="none"/>
                <w:lang w:val="en-US" w:eastAsia="zh-CN"/>
              </w:rPr>
            </w:pPr>
            <w:r>
              <w:rPr>
                <w:rFonts w:hint="eastAsia"/>
                <w:highlight w:val="none"/>
                <w:lang w:val="en-US" w:eastAsia="zh-CN"/>
              </w:rPr>
              <w:t>11</w:t>
            </w:r>
          </w:p>
        </w:tc>
        <w:tc>
          <w:tcPr>
            <w:tcW w:w="1037" w:type="pct"/>
            <w:tcBorders>
              <w:tl2br w:val="nil"/>
              <w:tr2bl w:val="nil"/>
            </w:tcBorders>
            <w:noWrap w:val="0"/>
            <w:vAlign w:val="center"/>
          </w:tcPr>
          <w:p w14:paraId="08587E13">
            <w:pPr>
              <w:pStyle w:val="104"/>
              <w:bidi w:val="0"/>
              <w:spacing w:line="240" w:lineRule="auto"/>
              <w:jc w:val="center"/>
              <w:rPr>
                <w:rFonts w:hint="eastAsia"/>
                <w:highlight w:val="none"/>
                <w:lang w:val="en-US" w:eastAsia="zh-CN"/>
              </w:rPr>
            </w:pPr>
            <w:r>
              <w:rPr>
                <w:rFonts w:hint="eastAsia"/>
                <w:highlight w:val="none"/>
                <w:lang w:val="en-US" w:eastAsia="zh-CN"/>
              </w:rPr>
              <w:t>警   戒</w:t>
            </w:r>
          </w:p>
        </w:tc>
        <w:tc>
          <w:tcPr>
            <w:tcW w:w="3568" w:type="pct"/>
            <w:tcBorders>
              <w:tl2br w:val="nil"/>
              <w:tr2bl w:val="nil"/>
            </w:tcBorders>
            <w:noWrap w:val="0"/>
            <w:vAlign w:val="center"/>
          </w:tcPr>
          <w:p w14:paraId="4443EFF5">
            <w:pPr>
              <w:pStyle w:val="104"/>
              <w:bidi w:val="0"/>
              <w:spacing w:line="240" w:lineRule="auto"/>
              <w:jc w:val="center"/>
              <w:rPr>
                <w:rFonts w:hint="eastAsia"/>
                <w:highlight w:val="none"/>
                <w:lang w:val="en-US" w:eastAsia="zh-CN"/>
              </w:rPr>
            </w:pPr>
            <w:r>
              <w:rPr>
                <w:rFonts w:hint="eastAsia"/>
                <w:highlight w:val="none"/>
                <w:lang w:val="en-US" w:eastAsia="zh-CN"/>
              </w:rPr>
              <w:t>吊装作业场所。</w:t>
            </w:r>
          </w:p>
        </w:tc>
      </w:tr>
    </w:tbl>
    <w:p w14:paraId="298F35C4">
      <w:pPr>
        <w:pStyle w:val="4"/>
        <w:tabs>
          <w:tab w:val="left" w:pos="0"/>
          <w:tab w:val="left" w:pos="630"/>
        </w:tabs>
        <w:bidi w:val="0"/>
        <w:rPr>
          <w:rFonts w:hint="eastAsia"/>
          <w:highlight w:val="none"/>
          <w:lang w:val="en-US" w:eastAsia="zh-CN"/>
        </w:rPr>
      </w:pPr>
      <w:bookmarkStart w:id="348" w:name="_Toc11656"/>
      <w:bookmarkStart w:id="349" w:name="_Toc10160"/>
      <w:r>
        <w:rPr>
          <w:rFonts w:hint="eastAsia"/>
          <w:highlight w:val="none"/>
          <w:lang w:val="en-US" w:eastAsia="zh-CN"/>
        </w:rPr>
        <w:t>8.2.4塔机安装完毕验收</w:t>
      </w:r>
      <w:bookmarkEnd w:id="348"/>
      <w:bookmarkEnd w:id="349"/>
    </w:p>
    <w:p w14:paraId="6D4DA1BF">
      <w:pPr>
        <w:ind w:firstLine="480" w:firstLineChars="200"/>
        <w:rPr>
          <w:rFonts w:hint="eastAsia"/>
          <w:highlight w:val="none"/>
          <w:lang w:val="en-US" w:eastAsia="zh-CN"/>
        </w:rPr>
      </w:pPr>
      <w:r>
        <w:rPr>
          <w:rFonts w:hint="eastAsia"/>
          <w:highlight w:val="none"/>
          <w:lang w:val="en-US" w:eastAsia="zh-CN"/>
        </w:rPr>
        <w:t>塔机安装完成后应先由安装单位自检，自检合格后，报请有资质的检测单位检测，检测合格后再由使用单位组织租赁单位、安装单位和监理单位共同对塔机进行最后验收。</w:t>
      </w:r>
    </w:p>
    <w:p w14:paraId="3D5799B9">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1、安装单位自检。塔吊安装完成之后，安装单位应及时组织单位技术人员、安全人员、安装人员对塔吊进行验收。</w:t>
      </w:r>
    </w:p>
    <w:p w14:paraId="72331B23">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2、委托第三方检验机构进行检验。检测单位检测完成之后，出具的检测报告是整机合格，可能存在部分一般项目不合格；设备供应方应对不合格项目进行整改，并出具整改报告。</w:t>
      </w:r>
    </w:p>
    <w:p w14:paraId="246510D4">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3、资料审核。</w:t>
      </w:r>
      <w:r>
        <w:rPr>
          <w:rFonts w:hint="eastAsia" w:ascii="宋体" w:hAnsi="宋体" w:eastAsia="宋体"/>
          <w:highlight w:val="none"/>
          <w:lang w:val="en-US" w:eastAsia="zh-CN"/>
        </w:rPr>
        <w:t>项目部</w:t>
      </w:r>
      <w:r>
        <w:rPr>
          <w:rFonts w:hint="default" w:ascii="宋体" w:hAnsi="宋体" w:eastAsia="宋体"/>
          <w:highlight w:val="none"/>
          <w:lang w:val="en-US" w:eastAsia="zh-CN"/>
        </w:rPr>
        <w:t>对塔吊安装相关资料原件进行审核，审核通过后，留存加盖单位公章的复印件，并报监理单位审核。监理单位审核完成后，</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p>
    <w:p w14:paraId="3850B958">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组织设备供应方、安装单位、使用单位、监理单位对塔吊安装进行联合验收。</w:t>
      </w:r>
    </w:p>
    <w:p w14:paraId="17457514">
      <w:pPr>
        <w:pStyle w:val="4"/>
        <w:bidi w:val="0"/>
        <w:rPr>
          <w:rFonts w:hint="eastAsia"/>
          <w:highlight w:val="none"/>
          <w:lang w:val="en-US" w:eastAsia="zh-CN"/>
        </w:rPr>
      </w:pPr>
      <w:r>
        <w:rPr>
          <w:rFonts w:hint="eastAsia"/>
          <w:highlight w:val="none"/>
          <w:lang w:val="en-US" w:eastAsia="zh-CN"/>
        </w:rPr>
        <w:t>8.2.5验收人员</w:t>
      </w:r>
    </w:p>
    <w:p w14:paraId="3663CB50">
      <w:pPr>
        <w:ind w:firstLine="480" w:firstLineChars="200"/>
        <w:rPr>
          <w:rFonts w:hint="default"/>
          <w:highlight w:val="none"/>
          <w:lang w:val="en-US" w:eastAsia="zh-CN"/>
        </w:rPr>
      </w:pPr>
      <w:r>
        <w:rPr>
          <w:rFonts w:hint="eastAsia"/>
          <w:highlight w:val="none"/>
          <w:lang w:val="en-US" w:eastAsia="zh-CN"/>
        </w:rPr>
        <w:t>检验部位（</w:t>
      </w:r>
      <w:r>
        <w:rPr>
          <w:rFonts w:hint="default"/>
          <w:highlight w:val="none"/>
          <w:lang w:val="en-US" w:eastAsia="zh-CN"/>
        </w:rPr>
        <w:t>检验批</w:t>
      </w:r>
      <w:r>
        <w:rPr>
          <w:rFonts w:hint="eastAsia"/>
          <w:highlight w:val="none"/>
          <w:lang w:val="en-US" w:eastAsia="zh-CN"/>
        </w:rPr>
        <w:t>）</w:t>
      </w:r>
      <w:r>
        <w:rPr>
          <w:rFonts w:hint="default"/>
          <w:highlight w:val="none"/>
          <w:lang w:val="en-US" w:eastAsia="zh-CN"/>
        </w:rPr>
        <w:t>由施工单位自检合格后，报监理单位（建设单位项目技术负责人</w:t>
      </w:r>
      <w:r>
        <w:rPr>
          <w:rFonts w:hint="eastAsia"/>
          <w:highlight w:val="none"/>
          <w:lang w:val="en-US" w:eastAsia="zh-CN"/>
        </w:rPr>
        <w:t>）</w:t>
      </w:r>
      <w:r>
        <w:rPr>
          <w:rFonts w:hint="default"/>
          <w:highlight w:val="none"/>
          <w:lang w:val="en-US" w:eastAsia="zh-CN"/>
        </w:rPr>
        <w:t>，由监理工程师组织施工单位专职质量检查员等进行验收。监理单位应对全部主控项目进行检查，对一般项目的检查内容和数量可根据具体情况确定。</w:t>
      </w:r>
    </w:p>
    <w:p w14:paraId="196D4F7C">
      <w:pPr>
        <w:ind w:firstLine="480" w:firstLineChars="200"/>
        <w:rPr>
          <w:rFonts w:hint="default"/>
          <w:highlight w:val="none"/>
          <w:lang w:val="en-US" w:eastAsia="zh-CN"/>
        </w:rPr>
      </w:pPr>
      <w:r>
        <w:rPr>
          <w:rFonts w:hint="default"/>
          <w:highlight w:val="none"/>
          <w:lang w:val="en-US" w:eastAsia="zh-CN"/>
        </w:rPr>
        <w:t>分项工程由监理工程师（建设单位项目技术负责人）组织施工单位项目专业技术负责人等进行验收。</w:t>
      </w:r>
    </w:p>
    <w:p w14:paraId="346DB45E">
      <w:pPr>
        <w:ind w:firstLine="480" w:firstLineChars="200"/>
        <w:rPr>
          <w:rFonts w:hint="default"/>
          <w:highlight w:val="none"/>
          <w:lang w:val="en-US" w:eastAsia="zh-CN"/>
        </w:rPr>
      </w:pPr>
      <w:r>
        <w:rPr>
          <w:rFonts w:hint="default"/>
          <w:highlight w:val="none"/>
          <w:lang w:val="en-US" w:eastAsia="zh-CN"/>
        </w:rPr>
        <w:t>分部工程由总监理工程师（建设单位项目负责人）组织施工单位项目负责人和技术、质量负责人等进行验收</w:t>
      </w:r>
      <w:r>
        <w:rPr>
          <w:rFonts w:hint="eastAsia"/>
          <w:highlight w:val="none"/>
          <w:lang w:val="en-US" w:eastAsia="zh-CN"/>
        </w:rPr>
        <w:t>；</w:t>
      </w:r>
      <w:r>
        <w:rPr>
          <w:rFonts w:hint="default"/>
          <w:highlight w:val="none"/>
          <w:lang w:val="en-US" w:eastAsia="zh-CN"/>
        </w:rPr>
        <w:t>地基与基础、主体结构分部工程进行验收时，勘察、设计单位项目负责人也应参加。</w:t>
      </w:r>
    </w:p>
    <w:p w14:paraId="763FE683">
      <w:pPr>
        <w:pStyle w:val="3"/>
        <w:numPr>
          <w:ilvl w:val="0"/>
          <w:numId w:val="0"/>
        </w:numPr>
        <w:outlineLvl w:val="1"/>
        <w:rPr>
          <w:rFonts w:hint="eastAsia" w:cs="Times New Roman"/>
          <w:highlight w:val="none"/>
          <w:lang w:val="en-US" w:eastAsia="zh-CN"/>
        </w:rPr>
      </w:pPr>
      <w:bookmarkStart w:id="350" w:name="_Toc21699"/>
      <w:bookmarkStart w:id="351" w:name="_Toc17296"/>
      <w:r>
        <w:rPr>
          <w:rFonts w:hint="eastAsia" w:cs="Times New Roman"/>
          <w:highlight w:val="none"/>
          <w:lang w:val="en-US" w:eastAsia="zh-CN"/>
        </w:rPr>
        <w:t>8</w:t>
      </w:r>
      <w:r>
        <w:rPr>
          <w:rFonts w:hint="eastAsia" w:ascii="Arial" w:hAnsi="Arial" w:cs="Times New Roman"/>
          <w:highlight w:val="none"/>
          <w:lang w:val="en-US" w:eastAsia="zh-CN"/>
        </w:rPr>
        <w:t>.</w:t>
      </w:r>
      <w:r>
        <w:rPr>
          <w:rFonts w:hint="eastAsia" w:cs="Times New Roman"/>
          <w:highlight w:val="none"/>
          <w:lang w:val="en-US" w:eastAsia="zh-CN"/>
        </w:rPr>
        <w:t>3</w:t>
      </w:r>
      <w:r>
        <w:rPr>
          <w:rFonts w:hint="eastAsia" w:ascii="Arial" w:hAnsi="Arial" w:cs="Times New Roman"/>
          <w:highlight w:val="none"/>
          <w:lang w:val="en-US" w:eastAsia="zh-CN"/>
        </w:rPr>
        <w:t>验收</w:t>
      </w:r>
      <w:r>
        <w:rPr>
          <w:rFonts w:hint="eastAsia" w:cs="Times New Roman"/>
          <w:highlight w:val="none"/>
          <w:lang w:val="en-US" w:eastAsia="zh-CN"/>
        </w:rPr>
        <w:t>内容</w:t>
      </w:r>
      <w:bookmarkEnd w:id="350"/>
      <w:bookmarkEnd w:id="351"/>
    </w:p>
    <w:p w14:paraId="2A610C4B">
      <w:pPr>
        <w:pStyle w:val="14"/>
        <w:bidi w:val="0"/>
        <w:rPr>
          <w:rFonts w:hint="default"/>
          <w:highlight w:val="none"/>
          <w:lang w:val="en-US" w:eastAsia="zh-CN"/>
        </w:rPr>
      </w:pPr>
      <w:r>
        <w:rPr>
          <w:rFonts w:hint="eastAsia"/>
          <w:highlight w:val="none"/>
          <w:lang w:val="en-US" w:eastAsia="zh-CN"/>
        </w:rPr>
        <w:t>表8.3-1塔吊安拆验收内容</w:t>
      </w:r>
    </w:p>
    <w:tbl>
      <w:tblPr>
        <w:tblStyle w:val="29"/>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83"/>
        <w:gridCol w:w="7821"/>
      </w:tblGrid>
      <w:tr w14:paraId="08E0E3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83" w:type="dxa"/>
            <w:tcBorders>
              <w:tl2br w:val="nil"/>
              <w:tr2bl w:val="nil"/>
            </w:tcBorders>
            <w:shd w:val="clear" w:color="auto" w:fill="DAE3F3" w:themeFill="accent5" w:themeFillTint="32"/>
            <w:noWrap w:val="0"/>
            <w:vAlign w:val="center"/>
          </w:tcPr>
          <w:p w14:paraId="0719A6C2">
            <w:pPr>
              <w:pStyle w:val="102"/>
              <w:bidi w:val="0"/>
              <w:rPr>
                <w:rFonts w:hint="default"/>
                <w:highlight w:val="none"/>
                <w:lang w:val="en-US" w:eastAsia="zh-CN"/>
              </w:rPr>
            </w:pPr>
            <w:r>
              <w:rPr>
                <w:rFonts w:hint="eastAsia"/>
                <w:highlight w:val="none"/>
                <w:lang w:val="en-US" w:eastAsia="zh-CN"/>
              </w:rPr>
              <w:t>序号</w:t>
            </w:r>
          </w:p>
        </w:tc>
        <w:tc>
          <w:tcPr>
            <w:tcW w:w="7821" w:type="dxa"/>
            <w:tcBorders>
              <w:tl2br w:val="nil"/>
              <w:tr2bl w:val="nil"/>
            </w:tcBorders>
            <w:shd w:val="clear" w:color="auto" w:fill="DAE3F3" w:themeFill="accent5" w:themeFillTint="32"/>
            <w:noWrap w:val="0"/>
            <w:vAlign w:val="center"/>
          </w:tcPr>
          <w:p w14:paraId="435D78FD">
            <w:pPr>
              <w:pStyle w:val="102"/>
              <w:bidi w:val="0"/>
              <w:rPr>
                <w:rFonts w:hint="default"/>
                <w:highlight w:val="none"/>
                <w:lang w:val="en-US" w:eastAsia="zh-CN"/>
              </w:rPr>
            </w:pPr>
            <w:r>
              <w:rPr>
                <w:rFonts w:hint="eastAsia"/>
                <w:highlight w:val="none"/>
                <w:lang w:val="en-US" w:eastAsia="zh-CN"/>
              </w:rPr>
              <w:t>内 容</w:t>
            </w:r>
          </w:p>
        </w:tc>
      </w:tr>
      <w:tr w14:paraId="4C00DD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784BE103">
            <w:pPr>
              <w:pStyle w:val="102"/>
              <w:bidi w:val="0"/>
              <w:rPr>
                <w:rFonts w:hint="default"/>
                <w:highlight w:val="none"/>
                <w:lang w:val="en-US" w:eastAsia="zh-CN"/>
              </w:rPr>
            </w:pPr>
            <w:r>
              <w:rPr>
                <w:rFonts w:hint="eastAsia"/>
                <w:highlight w:val="none"/>
                <w:lang w:val="en-US" w:eastAsia="zh-CN"/>
              </w:rPr>
              <w:t>1</w:t>
            </w:r>
          </w:p>
        </w:tc>
        <w:tc>
          <w:tcPr>
            <w:tcW w:w="7821" w:type="dxa"/>
            <w:tcBorders>
              <w:tl2br w:val="nil"/>
              <w:tr2bl w:val="nil"/>
            </w:tcBorders>
            <w:noWrap w:val="0"/>
            <w:vAlign w:val="center"/>
          </w:tcPr>
          <w:p w14:paraId="75B04B2F">
            <w:pPr>
              <w:pStyle w:val="102"/>
              <w:bidi w:val="0"/>
              <w:rPr>
                <w:rFonts w:hint="default"/>
                <w:highlight w:val="none"/>
                <w:lang w:val="en-US" w:eastAsia="zh-CN"/>
              </w:rPr>
            </w:pPr>
            <w:r>
              <w:rPr>
                <w:rFonts w:hint="eastAsia"/>
                <w:highlight w:val="none"/>
                <w:lang w:val="en-US" w:eastAsia="zh-CN"/>
              </w:rPr>
              <w:t>施工现场塔吊的技术资料和安全资料必须齐全。</w:t>
            </w:r>
          </w:p>
        </w:tc>
      </w:tr>
      <w:tr w14:paraId="7F0604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58EC579">
            <w:pPr>
              <w:pStyle w:val="102"/>
              <w:bidi w:val="0"/>
              <w:rPr>
                <w:rFonts w:hint="default"/>
                <w:highlight w:val="none"/>
                <w:lang w:val="en-US" w:eastAsia="zh-CN"/>
              </w:rPr>
            </w:pPr>
            <w:r>
              <w:rPr>
                <w:rFonts w:hint="eastAsia"/>
                <w:highlight w:val="none"/>
                <w:lang w:val="en-US" w:eastAsia="zh-CN"/>
              </w:rPr>
              <w:t>2</w:t>
            </w:r>
          </w:p>
        </w:tc>
        <w:tc>
          <w:tcPr>
            <w:tcW w:w="7821" w:type="dxa"/>
            <w:tcBorders>
              <w:tl2br w:val="nil"/>
              <w:tr2bl w:val="nil"/>
            </w:tcBorders>
            <w:noWrap w:val="0"/>
            <w:vAlign w:val="center"/>
          </w:tcPr>
          <w:p w14:paraId="63FB3894">
            <w:pPr>
              <w:pStyle w:val="102"/>
              <w:bidi w:val="0"/>
              <w:rPr>
                <w:rFonts w:hint="default"/>
                <w:highlight w:val="none"/>
                <w:lang w:val="en-US" w:eastAsia="zh-CN"/>
              </w:rPr>
            </w:pPr>
            <w:r>
              <w:rPr>
                <w:rFonts w:hint="eastAsia"/>
                <w:highlight w:val="none"/>
                <w:lang w:val="en-US" w:eastAsia="zh-CN"/>
              </w:rPr>
              <w:t>塔吊生产许可证、出厂合格证、使用说明书、设备 档案、运转及维修保养记录、安装拆除方案、验收证书、检测检验报告。</w:t>
            </w:r>
          </w:p>
        </w:tc>
      </w:tr>
      <w:tr w14:paraId="0FFBB6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48175CB0">
            <w:pPr>
              <w:pStyle w:val="102"/>
              <w:bidi w:val="0"/>
              <w:rPr>
                <w:rFonts w:hint="default"/>
                <w:highlight w:val="none"/>
                <w:lang w:val="en-US" w:eastAsia="zh-CN"/>
              </w:rPr>
            </w:pPr>
            <w:r>
              <w:rPr>
                <w:rFonts w:hint="eastAsia"/>
                <w:highlight w:val="none"/>
                <w:lang w:val="en-US" w:eastAsia="zh-CN"/>
              </w:rPr>
              <w:t>3</w:t>
            </w:r>
          </w:p>
        </w:tc>
        <w:tc>
          <w:tcPr>
            <w:tcW w:w="7821" w:type="dxa"/>
            <w:tcBorders>
              <w:tl2br w:val="nil"/>
              <w:tr2bl w:val="nil"/>
            </w:tcBorders>
            <w:noWrap w:val="0"/>
            <w:vAlign w:val="center"/>
          </w:tcPr>
          <w:p w14:paraId="2AD4858C">
            <w:pPr>
              <w:pStyle w:val="102"/>
              <w:bidi w:val="0"/>
              <w:rPr>
                <w:rFonts w:hint="default"/>
                <w:highlight w:val="none"/>
                <w:lang w:val="en-US" w:eastAsia="zh-CN"/>
              </w:rPr>
            </w:pPr>
            <w:r>
              <w:rPr>
                <w:rFonts w:hint="eastAsia"/>
                <w:highlight w:val="none"/>
                <w:lang w:val="en-US" w:eastAsia="zh-CN"/>
              </w:rPr>
              <w:t>拆装队伍资质证书、设备安拆人员、指挥人员、操作人员及其他特种作业人员的操作证和安全上岗证。</w:t>
            </w:r>
          </w:p>
        </w:tc>
      </w:tr>
      <w:tr w14:paraId="6B75BE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6E072DFC">
            <w:pPr>
              <w:pStyle w:val="102"/>
              <w:bidi w:val="0"/>
              <w:rPr>
                <w:rFonts w:hint="default"/>
                <w:highlight w:val="none"/>
                <w:lang w:val="en-US" w:eastAsia="zh-CN"/>
              </w:rPr>
            </w:pPr>
            <w:r>
              <w:rPr>
                <w:rFonts w:hint="eastAsia"/>
                <w:highlight w:val="none"/>
                <w:lang w:val="en-US" w:eastAsia="zh-CN"/>
              </w:rPr>
              <w:t>4</w:t>
            </w:r>
          </w:p>
        </w:tc>
        <w:tc>
          <w:tcPr>
            <w:tcW w:w="7821" w:type="dxa"/>
            <w:tcBorders>
              <w:tl2br w:val="nil"/>
              <w:tr2bl w:val="nil"/>
            </w:tcBorders>
            <w:noWrap w:val="0"/>
            <w:vAlign w:val="center"/>
          </w:tcPr>
          <w:p w14:paraId="1E456B82">
            <w:pPr>
              <w:pStyle w:val="102"/>
              <w:bidi w:val="0"/>
              <w:rPr>
                <w:rFonts w:hint="default"/>
                <w:highlight w:val="none"/>
                <w:lang w:val="en-US" w:eastAsia="zh-CN"/>
              </w:rPr>
            </w:pPr>
            <w:r>
              <w:rPr>
                <w:rFonts w:hint="eastAsia"/>
                <w:highlight w:val="none"/>
                <w:lang w:val="en-US" w:eastAsia="zh-CN"/>
              </w:rPr>
              <w:t>塔吊处悬挂限载标志牌、安全警示牌、操作规程牌、验收合格牌、定人定机牌。</w:t>
            </w:r>
          </w:p>
        </w:tc>
      </w:tr>
      <w:tr w14:paraId="10332A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95D2F60">
            <w:pPr>
              <w:pStyle w:val="102"/>
              <w:bidi w:val="0"/>
              <w:rPr>
                <w:rFonts w:hint="eastAsia"/>
                <w:highlight w:val="none"/>
                <w:lang w:val="en-US" w:eastAsia="zh-CN"/>
              </w:rPr>
            </w:pPr>
            <w:r>
              <w:rPr>
                <w:rFonts w:hint="eastAsia"/>
                <w:highlight w:val="none"/>
                <w:lang w:val="en-US" w:eastAsia="zh-CN"/>
              </w:rPr>
              <w:t>5</w:t>
            </w:r>
          </w:p>
        </w:tc>
        <w:tc>
          <w:tcPr>
            <w:tcW w:w="7821" w:type="dxa"/>
            <w:tcBorders>
              <w:tl2br w:val="nil"/>
              <w:tr2bl w:val="nil"/>
            </w:tcBorders>
            <w:noWrap w:val="0"/>
            <w:vAlign w:val="center"/>
          </w:tcPr>
          <w:p w14:paraId="1593D1B0">
            <w:pPr>
              <w:pStyle w:val="102"/>
              <w:bidi w:val="0"/>
              <w:rPr>
                <w:rFonts w:hint="eastAsia"/>
                <w:highlight w:val="none"/>
                <w:lang w:val="en-US" w:eastAsia="zh-CN"/>
              </w:rPr>
            </w:pPr>
            <w:r>
              <w:rPr>
                <w:rFonts w:hint="eastAsia"/>
                <w:highlight w:val="none"/>
                <w:lang w:val="en-US" w:eastAsia="zh-CN"/>
              </w:rPr>
              <w:t>起重吊装及起重机械设备、设施安装，过程中各工序、节点的验收标准和验收条件</w:t>
            </w:r>
          </w:p>
        </w:tc>
      </w:tr>
      <w:tr w14:paraId="392B5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256405B">
            <w:pPr>
              <w:pStyle w:val="102"/>
              <w:bidi w:val="0"/>
              <w:rPr>
                <w:rFonts w:hint="default"/>
                <w:highlight w:val="none"/>
                <w:lang w:val="en-US" w:eastAsia="zh-CN"/>
              </w:rPr>
            </w:pPr>
            <w:r>
              <w:rPr>
                <w:rFonts w:hint="eastAsia"/>
                <w:highlight w:val="none"/>
                <w:lang w:val="en-US" w:eastAsia="zh-CN"/>
              </w:rPr>
              <w:t>6</w:t>
            </w:r>
          </w:p>
        </w:tc>
        <w:tc>
          <w:tcPr>
            <w:tcW w:w="7821" w:type="dxa"/>
            <w:tcBorders>
              <w:tl2br w:val="nil"/>
              <w:tr2bl w:val="nil"/>
            </w:tcBorders>
            <w:noWrap w:val="0"/>
            <w:vAlign w:val="center"/>
          </w:tcPr>
          <w:p w14:paraId="3E77B42C">
            <w:pPr>
              <w:pStyle w:val="102"/>
              <w:bidi w:val="0"/>
              <w:rPr>
                <w:rFonts w:hint="eastAsia"/>
                <w:highlight w:val="none"/>
                <w:lang w:val="en-US" w:eastAsia="zh-CN"/>
              </w:rPr>
            </w:pPr>
            <w:r>
              <w:rPr>
                <w:rFonts w:hint="eastAsia"/>
                <w:highlight w:val="none"/>
                <w:lang w:val="en-US" w:eastAsia="zh-CN"/>
              </w:rPr>
              <w:t>进场材料、机械设备、设施验收标准及验收表</w:t>
            </w:r>
          </w:p>
        </w:tc>
      </w:tr>
      <w:tr w14:paraId="0E7DE8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C025A0E">
            <w:pPr>
              <w:pStyle w:val="102"/>
              <w:bidi w:val="0"/>
              <w:rPr>
                <w:rFonts w:hint="default"/>
                <w:highlight w:val="none"/>
                <w:lang w:val="en-US" w:eastAsia="zh-CN"/>
              </w:rPr>
            </w:pPr>
            <w:r>
              <w:rPr>
                <w:rFonts w:hint="eastAsia"/>
                <w:highlight w:val="none"/>
                <w:lang w:val="en-US" w:eastAsia="zh-CN"/>
              </w:rPr>
              <w:t>7</w:t>
            </w:r>
          </w:p>
        </w:tc>
        <w:tc>
          <w:tcPr>
            <w:tcW w:w="7821" w:type="dxa"/>
            <w:tcBorders>
              <w:tl2br w:val="nil"/>
              <w:tr2bl w:val="nil"/>
            </w:tcBorders>
            <w:noWrap w:val="0"/>
            <w:vAlign w:val="center"/>
          </w:tcPr>
          <w:p w14:paraId="2BF185DC">
            <w:pPr>
              <w:pStyle w:val="102"/>
              <w:bidi w:val="0"/>
              <w:rPr>
                <w:rFonts w:hint="default"/>
                <w:highlight w:val="none"/>
                <w:lang w:val="en-US" w:eastAsia="zh-CN"/>
              </w:rPr>
            </w:pPr>
            <w:r>
              <w:rPr>
                <w:rFonts w:hint="eastAsia"/>
                <w:highlight w:val="none"/>
                <w:lang w:val="en-US" w:eastAsia="zh-CN"/>
              </w:rPr>
              <w:t>吊装与拆卸作业全过程安全技术控制的关键环节验收</w:t>
            </w:r>
          </w:p>
        </w:tc>
      </w:tr>
      <w:tr w14:paraId="6A6106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20E6ED">
            <w:pPr>
              <w:pStyle w:val="102"/>
              <w:bidi w:val="0"/>
              <w:rPr>
                <w:rFonts w:hint="default"/>
                <w:highlight w:val="none"/>
                <w:lang w:val="en-US" w:eastAsia="zh-CN"/>
              </w:rPr>
            </w:pPr>
            <w:r>
              <w:rPr>
                <w:rFonts w:hint="eastAsia"/>
                <w:highlight w:val="none"/>
                <w:lang w:val="en-US" w:eastAsia="zh-CN"/>
              </w:rPr>
              <w:t>8</w:t>
            </w:r>
          </w:p>
        </w:tc>
        <w:tc>
          <w:tcPr>
            <w:tcW w:w="7821" w:type="dxa"/>
            <w:tcBorders>
              <w:tl2br w:val="nil"/>
              <w:tr2bl w:val="nil"/>
            </w:tcBorders>
            <w:noWrap w:val="0"/>
            <w:vAlign w:val="center"/>
          </w:tcPr>
          <w:p w14:paraId="7B1B5CEC">
            <w:pPr>
              <w:pStyle w:val="102"/>
              <w:bidi w:val="0"/>
              <w:rPr>
                <w:rFonts w:hint="default"/>
                <w:highlight w:val="none"/>
                <w:lang w:val="en-US" w:eastAsia="zh-CN"/>
              </w:rPr>
            </w:pPr>
            <w:r>
              <w:rPr>
                <w:rFonts w:hint="eastAsia"/>
                <w:highlight w:val="none"/>
                <w:lang w:val="en-US" w:eastAsia="zh-CN"/>
              </w:rPr>
              <w:t>汽车吊摆放位置基础承载力满足要求</w:t>
            </w:r>
          </w:p>
        </w:tc>
      </w:tr>
      <w:tr w14:paraId="55C49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1F80A89D">
            <w:pPr>
              <w:pStyle w:val="102"/>
              <w:bidi w:val="0"/>
              <w:rPr>
                <w:rFonts w:hint="default"/>
                <w:highlight w:val="none"/>
                <w:lang w:val="en-US" w:eastAsia="zh-CN"/>
              </w:rPr>
            </w:pPr>
            <w:r>
              <w:rPr>
                <w:rFonts w:hint="eastAsia"/>
                <w:highlight w:val="none"/>
                <w:lang w:val="en-US" w:eastAsia="zh-CN"/>
              </w:rPr>
              <w:t>9</w:t>
            </w:r>
          </w:p>
        </w:tc>
        <w:tc>
          <w:tcPr>
            <w:tcW w:w="7821" w:type="dxa"/>
            <w:tcBorders>
              <w:tl2br w:val="nil"/>
              <w:tr2bl w:val="nil"/>
            </w:tcBorders>
            <w:noWrap w:val="0"/>
            <w:vAlign w:val="center"/>
          </w:tcPr>
          <w:p w14:paraId="2D660F46">
            <w:pPr>
              <w:pStyle w:val="102"/>
              <w:bidi w:val="0"/>
              <w:rPr>
                <w:rFonts w:hint="default"/>
                <w:highlight w:val="none"/>
                <w:lang w:val="en-US" w:eastAsia="zh-CN"/>
              </w:rPr>
            </w:pPr>
            <w:r>
              <w:rPr>
                <w:rFonts w:hint="eastAsia"/>
                <w:highlight w:val="none"/>
                <w:lang w:val="en-US" w:eastAsia="zh-CN"/>
              </w:rPr>
              <w:t>汽车吊起重性能满足要求</w:t>
            </w:r>
          </w:p>
        </w:tc>
      </w:tr>
      <w:tr w14:paraId="341DA39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659F308">
            <w:pPr>
              <w:pStyle w:val="102"/>
              <w:bidi w:val="0"/>
              <w:rPr>
                <w:rFonts w:hint="default"/>
                <w:highlight w:val="none"/>
                <w:lang w:val="en-US" w:eastAsia="zh-CN"/>
              </w:rPr>
            </w:pPr>
            <w:r>
              <w:rPr>
                <w:rFonts w:hint="eastAsia"/>
                <w:highlight w:val="none"/>
                <w:lang w:val="en-US" w:eastAsia="zh-CN"/>
              </w:rPr>
              <w:t>10</w:t>
            </w:r>
          </w:p>
        </w:tc>
        <w:tc>
          <w:tcPr>
            <w:tcW w:w="7821" w:type="dxa"/>
            <w:tcBorders>
              <w:tl2br w:val="nil"/>
              <w:tr2bl w:val="nil"/>
            </w:tcBorders>
            <w:noWrap w:val="0"/>
            <w:vAlign w:val="center"/>
          </w:tcPr>
          <w:p w14:paraId="7E19B736">
            <w:pPr>
              <w:pStyle w:val="102"/>
              <w:bidi w:val="0"/>
              <w:rPr>
                <w:rFonts w:hint="default"/>
                <w:highlight w:val="none"/>
                <w:lang w:val="en-US" w:eastAsia="zh-CN"/>
              </w:rPr>
            </w:pPr>
            <w:r>
              <w:rPr>
                <w:rFonts w:hint="eastAsia"/>
                <w:highlight w:val="none"/>
                <w:lang w:val="en-US" w:eastAsia="zh-CN"/>
              </w:rPr>
              <w:t>吊、索、卡、具完好，被吊物重心已确认</w:t>
            </w:r>
          </w:p>
        </w:tc>
      </w:tr>
      <w:tr w14:paraId="7D8DE6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F2F29E">
            <w:pPr>
              <w:pStyle w:val="102"/>
              <w:bidi w:val="0"/>
              <w:rPr>
                <w:rFonts w:hint="default"/>
                <w:highlight w:val="none"/>
                <w:lang w:val="en-US" w:eastAsia="zh-CN"/>
              </w:rPr>
            </w:pPr>
            <w:r>
              <w:rPr>
                <w:rFonts w:hint="eastAsia"/>
                <w:highlight w:val="none"/>
                <w:lang w:val="en-US" w:eastAsia="zh-CN"/>
              </w:rPr>
              <w:t>11</w:t>
            </w:r>
          </w:p>
        </w:tc>
        <w:tc>
          <w:tcPr>
            <w:tcW w:w="7821" w:type="dxa"/>
            <w:tcBorders>
              <w:tl2br w:val="nil"/>
              <w:tr2bl w:val="nil"/>
            </w:tcBorders>
            <w:noWrap w:val="0"/>
            <w:vAlign w:val="center"/>
          </w:tcPr>
          <w:p w14:paraId="356304BD">
            <w:pPr>
              <w:pStyle w:val="102"/>
              <w:bidi w:val="0"/>
              <w:rPr>
                <w:rFonts w:hint="eastAsia"/>
                <w:highlight w:val="none"/>
                <w:lang w:val="en-US" w:eastAsia="zh-CN"/>
              </w:rPr>
            </w:pPr>
            <w:r>
              <w:rPr>
                <w:rFonts w:hint="eastAsia"/>
                <w:highlight w:val="none"/>
                <w:lang w:val="en-US" w:eastAsia="zh-CN"/>
              </w:rPr>
              <w:t>各结构件焊缝强度满足设计要求</w:t>
            </w:r>
          </w:p>
        </w:tc>
      </w:tr>
      <w:tr w14:paraId="00333C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6D083E7">
            <w:pPr>
              <w:pStyle w:val="102"/>
              <w:bidi w:val="0"/>
              <w:rPr>
                <w:rFonts w:hint="default"/>
                <w:highlight w:val="none"/>
                <w:lang w:val="en-US" w:eastAsia="zh-CN"/>
              </w:rPr>
            </w:pPr>
            <w:r>
              <w:rPr>
                <w:rFonts w:hint="eastAsia"/>
                <w:highlight w:val="none"/>
                <w:lang w:val="en-US" w:eastAsia="zh-CN"/>
              </w:rPr>
              <w:t>12</w:t>
            </w:r>
          </w:p>
        </w:tc>
        <w:tc>
          <w:tcPr>
            <w:tcW w:w="7821" w:type="dxa"/>
            <w:tcBorders>
              <w:tl2br w:val="nil"/>
              <w:tr2bl w:val="nil"/>
            </w:tcBorders>
            <w:noWrap w:val="0"/>
            <w:vAlign w:val="center"/>
          </w:tcPr>
          <w:p w14:paraId="6C2FFA0E">
            <w:pPr>
              <w:pStyle w:val="102"/>
              <w:bidi w:val="0"/>
              <w:rPr>
                <w:rFonts w:hint="eastAsia"/>
                <w:highlight w:val="none"/>
                <w:lang w:val="en-US" w:eastAsia="zh-CN"/>
              </w:rPr>
            </w:pPr>
            <w:r>
              <w:rPr>
                <w:rFonts w:hint="eastAsia"/>
                <w:highlight w:val="none"/>
                <w:lang w:val="en-US" w:eastAsia="zh-CN"/>
              </w:rPr>
              <w:t>吊运轨迹正确，信号指挥方式确定</w:t>
            </w:r>
          </w:p>
        </w:tc>
      </w:tr>
    </w:tbl>
    <w:p w14:paraId="220C6F80">
      <w:pPr>
        <w:pStyle w:val="14"/>
        <w:bidi w:val="0"/>
        <w:rPr>
          <w:rFonts w:hint="default"/>
          <w:highlight w:val="none"/>
          <w:lang w:val="en-US" w:eastAsia="zh-CN"/>
        </w:rPr>
      </w:pPr>
      <w:r>
        <w:rPr>
          <w:rFonts w:hint="eastAsia"/>
          <w:highlight w:val="none"/>
          <w:lang w:val="en-US" w:eastAsia="zh-CN"/>
        </w:rPr>
        <w:t>表8.3-2</w:t>
      </w:r>
      <w:r>
        <w:rPr>
          <w:rFonts w:hint="default"/>
          <w:highlight w:val="none"/>
          <w:lang w:val="en-US" w:eastAsia="zh-CN"/>
        </w:rPr>
        <w:t>塔式起重机基础整体验收表</w:t>
      </w:r>
    </w:p>
    <w:tbl>
      <w:tblPr>
        <w:tblStyle w:val="28"/>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97"/>
        <w:gridCol w:w="6160"/>
        <w:gridCol w:w="1647"/>
      </w:tblGrid>
      <w:tr w14:paraId="1AFCF88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shd w:val="clear" w:color="auto" w:fill="DAE3F3" w:themeFill="accent5" w:themeFillTint="32"/>
            <w:noWrap w:val="0"/>
            <w:vAlign w:val="center"/>
          </w:tcPr>
          <w:p w14:paraId="6B954C1A">
            <w:pPr>
              <w:pStyle w:val="102"/>
              <w:bidi w:val="0"/>
              <w:rPr>
                <w:rFonts w:hint="default"/>
                <w:highlight w:val="none"/>
                <w:lang w:val="en-US" w:eastAsia="zh-CN"/>
              </w:rPr>
            </w:pPr>
            <w:r>
              <w:rPr>
                <w:rFonts w:hint="default"/>
                <w:highlight w:val="none"/>
                <w:lang w:val="en-US" w:eastAsia="zh-CN"/>
              </w:rPr>
              <w:t>序号</w:t>
            </w:r>
          </w:p>
        </w:tc>
        <w:tc>
          <w:tcPr>
            <w:tcW w:w="6160" w:type="dxa"/>
            <w:tcBorders>
              <w:tl2br w:val="nil"/>
              <w:tr2bl w:val="nil"/>
            </w:tcBorders>
            <w:shd w:val="clear" w:color="auto" w:fill="DAE3F3" w:themeFill="accent5" w:themeFillTint="32"/>
            <w:noWrap w:val="0"/>
            <w:vAlign w:val="center"/>
          </w:tcPr>
          <w:p w14:paraId="202DB14C">
            <w:pPr>
              <w:pStyle w:val="102"/>
              <w:bidi w:val="0"/>
              <w:rPr>
                <w:rFonts w:hint="default"/>
                <w:highlight w:val="none"/>
                <w:lang w:val="en-US" w:eastAsia="zh-CN"/>
              </w:rPr>
            </w:pPr>
            <w:r>
              <w:rPr>
                <w:rFonts w:hint="default"/>
                <w:highlight w:val="none"/>
                <w:lang w:val="en-US" w:eastAsia="zh-CN"/>
              </w:rPr>
              <w:t>安全技术要求</w:t>
            </w:r>
          </w:p>
        </w:tc>
        <w:tc>
          <w:tcPr>
            <w:tcW w:w="1647" w:type="dxa"/>
            <w:tcBorders>
              <w:tl2br w:val="nil"/>
              <w:tr2bl w:val="nil"/>
            </w:tcBorders>
            <w:shd w:val="clear" w:color="auto" w:fill="DAE3F3" w:themeFill="accent5" w:themeFillTint="32"/>
            <w:noWrap w:val="0"/>
            <w:vAlign w:val="center"/>
          </w:tcPr>
          <w:p w14:paraId="247CC425">
            <w:pPr>
              <w:pStyle w:val="102"/>
              <w:bidi w:val="0"/>
              <w:rPr>
                <w:rFonts w:hint="default"/>
                <w:highlight w:val="none"/>
                <w:lang w:val="en-US" w:eastAsia="zh-CN"/>
              </w:rPr>
            </w:pPr>
            <w:r>
              <w:rPr>
                <w:rFonts w:hint="default"/>
                <w:highlight w:val="none"/>
                <w:lang w:val="en-US" w:eastAsia="zh-CN"/>
              </w:rPr>
              <w:t>验收结果</w:t>
            </w:r>
          </w:p>
        </w:tc>
      </w:tr>
      <w:tr w14:paraId="458B59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07E5043">
            <w:pPr>
              <w:pStyle w:val="102"/>
              <w:bidi w:val="0"/>
              <w:rPr>
                <w:rFonts w:hint="default"/>
                <w:highlight w:val="none"/>
                <w:lang w:val="en-US" w:eastAsia="zh-CN"/>
              </w:rPr>
            </w:pPr>
            <w:r>
              <w:rPr>
                <w:rFonts w:hint="default"/>
                <w:highlight w:val="none"/>
                <w:lang w:val="en-US" w:eastAsia="zh-CN"/>
              </w:rPr>
              <w:t>1</w:t>
            </w:r>
          </w:p>
        </w:tc>
        <w:tc>
          <w:tcPr>
            <w:tcW w:w="6160" w:type="dxa"/>
            <w:tcBorders>
              <w:tl2br w:val="nil"/>
              <w:tr2bl w:val="nil"/>
            </w:tcBorders>
            <w:noWrap w:val="0"/>
            <w:vAlign w:val="center"/>
          </w:tcPr>
          <w:p w14:paraId="7D5713DA">
            <w:pPr>
              <w:pStyle w:val="102"/>
              <w:bidi w:val="0"/>
              <w:rPr>
                <w:rFonts w:hint="default"/>
                <w:highlight w:val="none"/>
                <w:lang w:val="en-US" w:eastAsia="zh-CN"/>
              </w:rPr>
            </w:pPr>
            <w:r>
              <w:rPr>
                <w:rFonts w:hint="default"/>
                <w:highlight w:val="none"/>
                <w:lang w:val="en-US" w:eastAsia="zh-CN"/>
              </w:rPr>
              <w:t>地基承载力应满足说明书要求，基础原材料符合相关标准要求，并做材料性能检验及隐蔽工程验收。</w:t>
            </w:r>
          </w:p>
        </w:tc>
        <w:tc>
          <w:tcPr>
            <w:tcW w:w="1647" w:type="dxa"/>
            <w:tcBorders>
              <w:tl2br w:val="nil"/>
              <w:tr2bl w:val="nil"/>
            </w:tcBorders>
            <w:noWrap w:val="0"/>
            <w:vAlign w:val="center"/>
          </w:tcPr>
          <w:p w14:paraId="1DDA75C0">
            <w:pPr>
              <w:pStyle w:val="102"/>
              <w:bidi w:val="0"/>
              <w:rPr>
                <w:rFonts w:hint="default"/>
                <w:highlight w:val="none"/>
                <w:lang w:val="en-US" w:eastAsia="zh-CN"/>
              </w:rPr>
            </w:pPr>
          </w:p>
        </w:tc>
      </w:tr>
      <w:tr w14:paraId="5AAC008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8EB1F61">
            <w:pPr>
              <w:pStyle w:val="102"/>
              <w:bidi w:val="0"/>
              <w:rPr>
                <w:rFonts w:hint="default"/>
                <w:highlight w:val="none"/>
                <w:lang w:val="en-US" w:eastAsia="zh-CN"/>
              </w:rPr>
            </w:pPr>
            <w:r>
              <w:rPr>
                <w:rFonts w:hint="default"/>
                <w:highlight w:val="none"/>
                <w:lang w:val="en-US" w:eastAsia="zh-CN"/>
              </w:rPr>
              <w:t>2</w:t>
            </w:r>
          </w:p>
        </w:tc>
        <w:tc>
          <w:tcPr>
            <w:tcW w:w="6160" w:type="dxa"/>
            <w:tcBorders>
              <w:tl2br w:val="nil"/>
              <w:tr2bl w:val="nil"/>
            </w:tcBorders>
            <w:noWrap w:val="0"/>
            <w:vAlign w:val="center"/>
          </w:tcPr>
          <w:p w14:paraId="6257C024">
            <w:pPr>
              <w:pStyle w:val="102"/>
              <w:bidi w:val="0"/>
              <w:rPr>
                <w:rFonts w:hint="default"/>
                <w:highlight w:val="none"/>
                <w:lang w:val="en-US" w:eastAsia="zh-CN"/>
              </w:rPr>
            </w:pPr>
            <w:r>
              <w:rPr>
                <w:rFonts w:hint="default"/>
                <w:highlight w:val="none"/>
                <w:lang w:val="en-US" w:eastAsia="zh-CN"/>
              </w:rPr>
              <w:t>基础尺寸偏差（长度、宽度、高度）≤±20mm。</w:t>
            </w:r>
          </w:p>
        </w:tc>
        <w:tc>
          <w:tcPr>
            <w:tcW w:w="1647" w:type="dxa"/>
            <w:tcBorders>
              <w:tl2br w:val="nil"/>
              <w:tr2bl w:val="nil"/>
            </w:tcBorders>
            <w:noWrap w:val="0"/>
            <w:vAlign w:val="center"/>
          </w:tcPr>
          <w:p w14:paraId="33C30881">
            <w:pPr>
              <w:pStyle w:val="102"/>
              <w:bidi w:val="0"/>
              <w:rPr>
                <w:rFonts w:hint="default"/>
                <w:highlight w:val="none"/>
                <w:lang w:val="en-US" w:eastAsia="zh-CN"/>
              </w:rPr>
            </w:pPr>
          </w:p>
        </w:tc>
      </w:tr>
      <w:tr w14:paraId="2F1A40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12172440">
            <w:pPr>
              <w:pStyle w:val="102"/>
              <w:bidi w:val="0"/>
              <w:rPr>
                <w:rFonts w:hint="default"/>
                <w:highlight w:val="none"/>
                <w:lang w:val="en-US" w:eastAsia="zh-CN"/>
              </w:rPr>
            </w:pPr>
            <w:r>
              <w:rPr>
                <w:rFonts w:hint="default"/>
                <w:highlight w:val="none"/>
                <w:lang w:val="en-US" w:eastAsia="zh-CN"/>
              </w:rPr>
              <w:t>3</w:t>
            </w:r>
          </w:p>
        </w:tc>
        <w:tc>
          <w:tcPr>
            <w:tcW w:w="6160" w:type="dxa"/>
            <w:tcBorders>
              <w:tl2br w:val="nil"/>
              <w:tr2bl w:val="nil"/>
            </w:tcBorders>
            <w:noWrap w:val="0"/>
            <w:vAlign w:val="center"/>
          </w:tcPr>
          <w:p w14:paraId="338F2AFA">
            <w:pPr>
              <w:pStyle w:val="102"/>
              <w:bidi w:val="0"/>
              <w:rPr>
                <w:rFonts w:hint="default"/>
                <w:highlight w:val="none"/>
                <w:lang w:val="en-US" w:eastAsia="zh-CN"/>
              </w:rPr>
            </w:pPr>
            <w:r>
              <w:rPr>
                <w:rFonts w:hint="default"/>
                <w:highlight w:val="none"/>
                <w:lang w:val="en-US" w:eastAsia="zh-CN"/>
              </w:rPr>
              <w:t>混凝土强度达到设计强度80%以上时方可安装、达到设计强度100%以上时方可使用塔式起重机（查验基础混凝土同期强度报告确定）</w:t>
            </w:r>
          </w:p>
        </w:tc>
        <w:tc>
          <w:tcPr>
            <w:tcW w:w="1647" w:type="dxa"/>
            <w:tcBorders>
              <w:tl2br w:val="nil"/>
              <w:tr2bl w:val="nil"/>
            </w:tcBorders>
            <w:noWrap w:val="0"/>
            <w:vAlign w:val="center"/>
          </w:tcPr>
          <w:p w14:paraId="2AAA70F1">
            <w:pPr>
              <w:pStyle w:val="102"/>
              <w:bidi w:val="0"/>
              <w:rPr>
                <w:rFonts w:hint="default"/>
                <w:highlight w:val="none"/>
                <w:lang w:val="en-US" w:eastAsia="zh-CN"/>
              </w:rPr>
            </w:pPr>
          </w:p>
        </w:tc>
      </w:tr>
      <w:tr w14:paraId="154CCB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6A3E127">
            <w:pPr>
              <w:pStyle w:val="102"/>
              <w:bidi w:val="0"/>
              <w:rPr>
                <w:rFonts w:hint="default"/>
                <w:highlight w:val="none"/>
                <w:lang w:val="en-US" w:eastAsia="zh-CN"/>
              </w:rPr>
            </w:pPr>
            <w:r>
              <w:rPr>
                <w:rFonts w:hint="default"/>
                <w:highlight w:val="none"/>
                <w:lang w:val="en-US" w:eastAsia="zh-CN"/>
              </w:rPr>
              <w:t>4</w:t>
            </w:r>
          </w:p>
        </w:tc>
        <w:tc>
          <w:tcPr>
            <w:tcW w:w="6160" w:type="dxa"/>
            <w:tcBorders>
              <w:tl2br w:val="nil"/>
              <w:tr2bl w:val="nil"/>
            </w:tcBorders>
            <w:noWrap w:val="0"/>
            <w:vAlign w:val="center"/>
          </w:tcPr>
          <w:p w14:paraId="69548AE6">
            <w:pPr>
              <w:pStyle w:val="102"/>
              <w:bidi w:val="0"/>
              <w:rPr>
                <w:rFonts w:hint="default"/>
                <w:highlight w:val="none"/>
                <w:lang w:val="en-US" w:eastAsia="zh-CN"/>
              </w:rPr>
            </w:pPr>
            <w:r>
              <w:rPr>
                <w:rFonts w:hint="default"/>
                <w:highlight w:val="none"/>
                <w:lang w:val="en-US" w:eastAsia="zh-CN"/>
              </w:rPr>
              <w:t>基础表面平整度允许偏差≤L/1000mm，且≤10mm（L为矩形或十字形基础的长边）。</w:t>
            </w:r>
          </w:p>
        </w:tc>
        <w:tc>
          <w:tcPr>
            <w:tcW w:w="1647" w:type="dxa"/>
            <w:tcBorders>
              <w:tl2br w:val="nil"/>
              <w:tr2bl w:val="nil"/>
            </w:tcBorders>
            <w:noWrap w:val="0"/>
            <w:vAlign w:val="center"/>
          </w:tcPr>
          <w:p w14:paraId="30450DB5">
            <w:pPr>
              <w:pStyle w:val="102"/>
              <w:bidi w:val="0"/>
              <w:rPr>
                <w:rFonts w:hint="default"/>
                <w:highlight w:val="none"/>
                <w:lang w:val="en-US" w:eastAsia="zh-CN"/>
              </w:rPr>
            </w:pPr>
          </w:p>
        </w:tc>
      </w:tr>
      <w:tr w14:paraId="24F380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45A554B">
            <w:pPr>
              <w:pStyle w:val="102"/>
              <w:bidi w:val="0"/>
              <w:rPr>
                <w:rFonts w:hint="default"/>
                <w:highlight w:val="none"/>
                <w:lang w:val="en-US" w:eastAsia="zh-CN"/>
              </w:rPr>
            </w:pPr>
            <w:r>
              <w:rPr>
                <w:rFonts w:hint="default"/>
                <w:highlight w:val="none"/>
                <w:lang w:val="en-US" w:eastAsia="zh-CN"/>
              </w:rPr>
              <w:t>5</w:t>
            </w:r>
          </w:p>
        </w:tc>
        <w:tc>
          <w:tcPr>
            <w:tcW w:w="6160" w:type="dxa"/>
            <w:tcBorders>
              <w:tl2br w:val="nil"/>
              <w:tr2bl w:val="nil"/>
            </w:tcBorders>
            <w:noWrap w:val="0"/>
            <w:vAlign w:val="center"/>
          </w:tcPr>
          <w:p w14:paraId="3111C412">
            <w:pPr>
              <w:pStyle w:val="102"/>
              <w:bidi w:val="0"/>
              <w:rPr>
                <w:rFonts w:hint="default"/>
                <w:highlight w:val="none"/>
                <w:lang w:val="en-US" w:eastAsia="zh-CN"/>
              </w:rPr>
            </w:pPr>
            <w:r>
              <w:rPr>
                <w:rFonts w:hint="default"/>
                <w:highlight w:val="none"/>
                <w:lang w:val="en-US" w:eastAsia="zh-CN"/>
              </w:rPr>
              <w:t>基础顶面标高偏差≤±20mm。</w:t>
            </w:r>
          </w:p>
        </w:tc>
        <w:tc>
          <w:tcPr>
            <w:tcW w:w="1647" w:type="dxa"/>
            <w:tcBorders>
              <w:tl2br w:val="nil"/>
              <w:tr2bl w:val="nil"/>
            </w:tcBorders>
            <w:noWrap w:val="0"/>
            <w:vAlign w:val="center"/>
          </w:tcPr>
          <w:p w14:paraId="10E264DA">
            <w:pPr>
              <w:pStyle w:val="102"/>
              <w:bidi w:val="0"/>
              <w:rPr>
                <w:rFonts w:hint="default"/>
                <w:highlight w:val="none"/>
                <w:lang w:val="en-US" w:eastAsia="zh-CN"/>
              </w:rPr>
            </w:pPr>
          </w:p>
        </w:tc>
      </w:tr>
      <w:tr w14:paraId="78C186E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E2D525E">
            <w:pPr>
              <w:pStyle w:val="102"/>
              <w:bidi w:val="0"/>
              <w:rPr>
                <w:rFonts w:hint="default"/>
                <w:highlight w:val="none"/>
                <w:lang w:val="en-US" w:eastAsia="zh-CN"/>
              </w:rPr>
            </w:pPr>
            <w:r>
              <w:rPr>
                <w:rFonts w:hint="default"/>
                <w:highlight w:val="none"/>
                <w:lang w:val="en-US" w:eastAsia="zh-CN"/>
              </w:rPr>
              <w:t>6</w:t>
            </w:r>
          </w:p>
        </w:tc>
        <w:tc>
          <w:tcPr>
            <w:tcW w:w="6160" w:type="dxa"/>
            <w:tcBorders>
              <w:tl2br w:val="nil"/>
              <w:tr2bl w:val="nil"/>
            </w:tcBorders>
            <w:noWrap w:val="0"/>
            <w:vAlign w:val="center"/>
          </w:tcPr>
          <w:p w14:paraId="2A5EA75B">
            <w:pPr>
              <w:pStyle w:val="102"/>
              <w:bidi w:val="0"/>
              <w:rPr>
                <w:rFonts w:hint="default"/>
                <w:highlight w:val="none"/>
                <w:lang w:val="en-US" w:eastAsia="zh-CN"/>
              </w:rPr>
            </w:pPr>
            <w:r>
              <w:rPr>
                <w:rFonts w:hint="default"/>
                <w:highlight w:val="none"/>
                <w:lang w:val="en-US" w:eastAsia="zh-CN"/>
              </w:rPr>
              <w:t>预埋螺栓、预埋件顶部标高偏差≤±20mm。</w:t>
            </w:r>
          </w:p>
        </w:tc>
        <w:tc>
          <w:tcPr>
            <w:tcW w:w="1647" w:type="dxa"/>
            <w:tcBorders>
              <w:tl2br w:val="nil"/>
              <w:tr2bl w:val="nil"/>
            </w:tcBorders>
            <w:noWrap w:val="0"/>
            <w:vAlign w:val="center"/>
          </w:tcPr>
          <w:p w14:paraId="091B3B1E">
            <w:pPr>
              <w:pStyle w:val="102"/>
              <w:bidi w:val="0"/>
              <w:rPr>
                <w:rFonts w:hint="default"/>
                <w:highlight w:val="none"/>
                <w:lang w:val="en-US" w:eastAsia="zh-CN"/>
              </w:rPr>
            </w:pPr>
          </w:p>
        </w:tc>
      </w:tr>
      <w:tr w14:paraId="2F7332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7C4BC33">
            <w:pPr>
              <w:pStyle w:val="102"/>
              <w:bidi w:val="0"/>
              <w:rPr>
                <w:rFonts w:hint="default"/>
                <w:highlight w:val="none"/>
                <w:lang w:val="en-US" w:eastAsia="zh-CN"/>
              </w:rPr>
            </w:pPr>
            <w:r>
              <w:rPr>
                <w:rFonts w:hint="default"/>
                <w:highlight w:val="none"/>
                <w:lang w:val="en-US" w:eastAsia="zh-CN"/>
              </w:rPr>
              <w:t>7</w:t>
            </w:r>
          </w:p>
        </w:tc>
        <w:tc>
          <w:tcPr>
            <w:tcW w:w="6160" w:type="dxa"/>
            <w:tcBorders>
              <w:tl2br w:val="nil"/>
              <w:tr2bl w:val="nil"/>
            </w:tcBorders>
            <w:noWrap w:val="0"/>
            <w:vAlign w:val="center"/>
          </w:tcPr>
          <w:p w14:paraId="6E8C71D7">
            <w:pPr>
              <w:pStyle w:val="102"/>
              <w:bidi w:val="0"/>
              <w:rPr>
                <w:rFonts w:hint="default"/>
                <w:highlight w:val="none"/>
                <w:lang w:val="en-US" w:eastAsia="zh-CN"/>
              </w:rPr>
            </w:pPr>
            <w:r>
              <w:rPr>
                <w:rFonts w:hint="default"/>
                <w:highlight w:val="none"/>
                <w:lang w:val="en-US" w:eastAsia="zh-CN"/>
              </w:rPr>
              <w:t>预埋螺栓、预埋件中心距偏差≤±2mm。</w:t>
            </w:r>
          </w:p>
        </w:tc>
        <w:tc>
          <w:tcPr>
            <w:tcW w:w="1647" w:type="dxa"/>
            <w:tcBorders>
              <w:tl2br w:val="nil"/>
              <w:tr2bl w:val="nil"/>
            </w:tcBorders>
            <w:noWrap w:val="0"/>
            <w:vAlign w:val="center"/>
          </w:tcPr>
          <w:p w14:paraId="73FB11A6">
            <w:pPr>
              <w:pStyle w:val="102"/>
              <w:bidi w:val="0"/>
              <w:rPr>
                <w:rFonts w:hint="default"/>
                <w:highlight w:val="none"/>
                <w:lang w:val="en-US" w:eastAsia="zh-CN"/>
              </w:rPr>
            </w:pPr>
          </w:p>
        </w:tc>
      </w:tr>
      <w:tr w14:paraId="0F5331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D07DA31">
            <w:pPr>
              <w:pStyle w:val="102"/>
              <w:bidi w:val="0"/>
              <w:rPr>
                <w:rFonts w:hint="default"/>
                <w:highlight w:val="none"/>
                <w:lang w:val="en-US" w:eastAsia="zh-CN"/>
              </w:rPr>
            </w:pPr>
            <w:r>
              <w:rPr>
                <w:rFonts w:hint="default"/>
                <w:highlight w:val="none"/>
                <w:lang w:val="en-US" w:eastAsia="zh-CN"/>
              </w:rPr>
              <w:t>8</w:t>
            </w:r>
          </w:p>
        </w:tc>
        <w:tc>
          <w:tcPr>
            <w:tcW w:w="6160" w:type="dxa"/>
            <w:tcBorders>
              <w:tl2br w:val="nil"/>
              <w:tr2bl w:val="nil"/>
            </w:tcBorders>
            <w:noWrap w:val="0"/>
            <w:vAlign w:val="center"/>
          </w:tcPr>
          <w:p w14:paraId="2AADA52A">
            <w:pPr>
              <w:pStyle w:val="102"/>
              <w:bidi w:val="0"/>
              <w:rPr>
                <w:rFonts w:hint="default"/>
                <w:highlight w:val="none"/>
                <w:lang w:val="en-US" w:eastAsia="zh-CN"/>
              </w:rPr>
            </w:pPr>
            <w:r>
              <w:rPr>
                <w:rFonts w:hint="default"/>
                <w:highlight w:val="none"/>
                <w:lang w:val="en-US" w:eastAsia="zh-CN"/>
              </w:rPr>
              <w:t>基础周边有排水措施。</w:t>
            </w:r>
          </w:p>
        </w:tc>
        <w:tc>
          <w:tcPr>
            <w:tcW w:w="1647" w:type="dxa"/>
            <w:tcBorders>
              <w:tl2br w:val="nil"/>
              <w:tr2bl w:val="nil"/>
            </w:tcBorders>
            <w:noWrap w:val="0"/>
            <w:vAlign w:val="center"/>
          </w:tcPr>
          <w:p w14:paraId="039994BD">
            <w:pPr>
              <w:pStyle w:val="102"/>
              <w:bidi w:val="0"/>
              <w:rPr>
                <w:rFonts w:hint="default"/>
                <w:highlight w:val="none"/>
                <w:lang w:val="en-US" w:eastAsia="zh-CN"/>
              </w:rPr>
            </w:pPr>
          </w:p>
        </w:tc>
      </w:tr>
      <w:tr w14:paraId="7B1DBAA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870C35C">
            <w:pPr>
              <w:pStyle w:val="102"/>
              <w:bidi w:val="0"/>
              <w:rPr>
                <w:rFonts w:hint="default"/>
                <w:highlight w:val="none"/>
                <w:lang w:val="en-US" w:eastAsia="zh-CN"/>
              </w:rPr>
            </w:pPr>
            <w:r>
              <w:rPr>
                <w:rFonts w:hint="default"/>
                <w:highlight w:val="none"/>
                <w:lang w:val="en-US" w:eastAsia="zh-CN"/>
              </w:rPr>
              <w:t>9</w:t>
            </w:r>
          </w:p>
        </w:tc>
        <w:tc>
          <w:tcPr>
            <w:tcW w:w="6160" w:type="dxa"/>
            <w:tcBorders>
              <w:tl2br w:val="nil"/>
              <w:tr2bl w:val="nil"/>
            </w:tcBorders>
            <w:noWrap w:val="0"/>
            <w:vAlign w:val="center"/>
          </w:tcPr>
          <w:p w14:paraId="380EA78C">
            <w:pPr>
              <w:pStyle w:val="102"/>
              <w:bidi w:val="0"/>
              <w:rPr>
                <w:rFonts w:hint="default"/>
                <w:highlight w:val="none"/>
                <w:lang w:val="en-US" w:eastAsia="zh-CN"/>
              </w:rPr>
            </w:pPr>
            <w:r>
              <w:rPr>
                <w:rFonts w:hint="default"/>
                <w:highlight w:val="none"/>
                <w:lang w:val="en-US" w:eastAsia="zh-CN"/>
              </w:rPr>
              <w:t>基础周边与外电线路安全距离符合JGJ46—2005规定。</w:t>
            </w:r>
          </w:p>
        </w:tc>
        <w:tc>
          <w:tcPr>
            <w:tcW w:w="1647" w:type="dxa"/>
            <w:tcBorders>
              <w:tl2br w:val="nil"/>
              <w:tr2bl w:val="nil"/>
            </w:tcBorders>
            <w:noWrap w:val="0"/>
            <w:vAlign w:val="center"/>
          </w:tcPr>
          <w:p w14:paraId="18DE7705">
            <w:pPr>
              <w:pStyle w:val="102"/>
              <w:bidi w:val="0"/>
              <w:rPr>
                <w:rFonts w:hint="default"/>
                <w:highlight w:val="none"/>
                <w:lang w:val="en-US" w:eastAsia="zh-CN"/>
              </w:rPr>
            </w:pPr>
          </w:p>
        </w:tc>
      </w:tr>
    </w:tbl>
    <w:p w14:paraId="17A14562">
      <w:pPr>
        <w:pStyle w:val="38"/>
        <w:bidi w:val="0"/>
        <w:rPr>
          <w:rFonts w:hint="default"/>
          <w:highlight w:val="none"/>
          <w:lang w:val="en-US" w:eastAsia="zh-CN"/>
        </w:rPr>
      </w:pPr>
      <w:bookmarkStart w:id="352" w:name="_Toc360722866"/>
      <w:r>
        <w:rPr>
          <w:highlight w:val="none"/>
        </w:rPr>
        <w:t>表</w:t>
      </w:r>
      <w:r>
        <w:rPr>
          <w:rFonts w:hint="eastAsia"/>
          <w:highlight w:val="none"/>
          <w:lang w:val="en-US" w:eastAsia="zh-CN"/>
        </w:rPr>
        <w:t>8.3-3</w:t>
      </w:r>
      <w:r>
        <w:rPr>
          <w:rFonts w:hint="default"/>
          <w:highlight w:val="none"/>
          <w:lang w:val="en-US" w:eastAsia="zh-CN"/>
        </w:rPr>
        <w:t>塔式起重机安装整体验收表</w:t>
      </w:r>
    </w:p>
    <w:bookmarkEnd w:id="352"/>
    <w:tbl>
      <w:tblPr>
        <w:tblStyle w:val="28"/>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1"/>
        <w:gridCol w:w="513"/>
        <w:gridCol w:w="6041"/>
        <w:gridCol w:w="1229"/>
      </w:tblGrid>
      <w:tr w14:paraId="1B91D5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1" w:type="dxa"/>
            <w:tcBorders>
              <w:tl2br w:val="nil"/>
              <w:tr2bl w:val="nil"/>
            </w:tcBorders>
            <w:shd w:val="clear" w:color="auto" w:fill="DAE3F3" w:themeFill="accent5" w:themeFillTint="32"/>
            <w:noWrap w:val="0"/>
            <w:vAlign w:val="center"/>
          </w:tcPr>
          <w:p w14:paraId="002F6276">
            <w:pPr>
              <w:pStyle w:val="102"/>
              <w:bidi w:val="0"/>
              <w:rPr>
                <w:rFonts w:hint="default"/>
                <w:highlight w:val="none"/>
                <w:lang w:val="en-US" w:eastAsia="zh-CN"/>
              </w:rPr>
            </w:pPr>
            <w:r>
              <w:rPr>
                <w:rFonts w:hint="default"/>
                <w:highlight w:val="none"/>
                <w:lang w:val="en-US" w:eastAsia="zh-CN"/>
              </w:rPr>
              <w:t>验收项目</w:t>
            </w:r>
          </w:p>
        </w:tc>
        <w:tc>
          <w:tcPr>
            <w:tcW w:w="513" w:type="dxa"/>
            <w:tcBorders>
              <w:tl2br w:val="nil"/>
              <w:tr2bl w:val="nil"/>
            </w:tcBorders>
            <w:shd w:val="clear" w:color="auto" w:fill="DAE3F3" w:themeFill="accent5" w:themeFillTint="32"/>
            <w:noWrap w:val="0"/>
            <w:vAlign w:val="center"/>
          </w:tcPr>
          <w:p w14:paraId="63E3650F">
            <w:pPr>
              <w:pStyle w:val="102"/>
              <w:bidi w:val="0"/>
              <w:rPr>
                <w:rFonts w:hint="default"/>
                <w:highlight w:val="none"/>
                <w:lang w:val="en-US" w:eastAsia="zh-CN"/>
              </w:rPr>
            </w:pPr>
            <w:r>
              <w:rPr>
                <w:rFonts w:hint="default"/>
                <w:highlight w:val="none"/>
                <w:lang w:val="en-US" w:eastAsia="zh-CN"/>
              </w:rPr>
              <w:t>序号</w:t>
            </w:r>
          </w:p>
        </w:tc>
        <w:tc>
          <w:tcPr>
            <w:tcW w:w="6041" w:type="dxa"/>
            <w:tcBorders>
              <w:tl2br w:val="nil"/>
              <w:tr2bl w:val="nil"/>
            </w:tcBorders>
            <w:shd w:val="clear" w:color="auto" w:fill="DAE3F3" w:themeFill="accent5" w:themeFillTint="32"/>
            <w:noWrap w:val="0"/>
            <w:vAlign w:val="center"/>
          </w:tcPr>
          <w:p w14:paraId="11A66EB1">
            <w:pPr>
              <w:pStyle w:val="102"/>
              <w:bidi w:val="0"/>
              <w:rPr>
                <w:rFonts w:hint="default"/>
                <w:highlight w:val="none"/>
                <w:lang w:val="en-US" w:eastAsia="zh-CN"/>
              </w:rPr>
            </w:pPr>
            <w:r>
              <w:rPr>
                <w:rFonts w:hint="default"/>
                <w:highlight w:val="none"/>
                <w:lang w:val="en-US" w:eastAsia="zh-CN"/>
              </w:rPr>
              <w:t>安全技术要求</w:t>
            </w:r>
          </w:p>
        </w:tc>
        <w:tc>
          <w:tcPr>
            <w:tcW w:w="1229" w:type="dxa"/>
            <w:tcBorders>
              <w:tl2br w:val="nil"/>
              <w:tr2bl w:val="nil"/>
            </w:tcBorders>
            <w:shd w:val="clear" w:color="auto" w:fill="DAE3F3" w:themeFill="accent5" w:themeFillTint="32"/>
            <w:noWrap w:val="0"/>
            <w:vAlign w:val="center"/>
          </w:tcPr>
          <w:p w14:paraId="29F6822B">
            <w:pPr>
              <w:pStyle w:val="102"/>
              <w:bidi w:val="0"/>
              <w:rPr>
                <w:rFonts w:hint="default"/>
                <w:highlight w:val="none"/>
                <w:lang w:val="en-US" w:eastAsia="zh-CN"/>
              </w:rPr>
            </w:pPr>
            <w:r>
              <w:rPr>
                <w:rFonts w:hint="default"/>
                <w:highlight w:val="none"/>
                <w:lang w:val="en-US" w:eastAsia="zh-CN"/>
              </w:rPr>
              <w:t>验收结果</w:t>
            </w:r>
          </w:p>
        </w:tc>
      </w:tr>
      <w:tr w14:paraId="4A25BA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79AD772">
            <w:pPr>
              <w:pStyle w:val="102"/>
              <w:bidi w:val="0"/>
              <w:rPr>
                <w:rFonts w:hint="default"/>
                <w:highlight w:val="none"/>
                <w:lang w:val="en-US" w:eastAsia="zh-CN"/>
              </w:rPr>
            </w:pPr>
            <w:r>
              <w:rPr>
                <w:rFonts w:hint="default"/>
                <w:highlight w:val="none"/>
                <w:lang w:val="en-US" w:eastAsia="zh-CN"/>
              </w:rPr>
              <w:t>资料检查</w:t>
            </w:r>
          </w:p>
        </w:tc>
        <w:tc>
          <w:tcPr>
            <w:tcW w:w="513" w:type="dxa"/>
            <w:tcBorders>
              <w:tl2br w:val="nil"/>
              <w:tr2bl w:val="nil"/>
            </w:tcBorders>
            <w:noWrap w:val="0"/>
            <w:vAlign w:val="center"/>
          </w:tcPr>
          <w:p w14:paraId="5EB9A2A2">
            <w:pPr>
              <w:pStyle w:val="102"/>
              <w:bidi w:val="0"/>
              <w:rPr>
                <w:rFonts w:hint="default"/>
                <w:highlight w:val="none"/>
                <w:lang w:val="en-US" w:eastAsia="zh-CN"/>
              </w:rPr>
            </w:pPr>
            <w:r>
              <w:rPr>
                <w:rFonts w:hint="default"/>
                <w:highlight w:val="none"/>
                <w:lang w:val="en-US" w:eastAsia="zh-CN"/>
              </w:rPr>
              <w:t>1</w:t>
            </w:r>
          </w:p>
        </w:tc>
        <w:tc>
          <w:tcPr>
            <w:tcW w:w="6041" w:type="dxa"/>
            <w:tcBorders>
              <w:tl2br w:val="nil"/>
              <w:tr2bl w:val="nil"/>
            </w:tcBorders>
            <w:noWrap w:val="0"/>
            <w:vAlign w:val="center"/>
          </w:tcPr>
          <w:p w14:paraId="01CF1171">
            <w:pPr>
              <w:pStyle w:val="102"/>
              <w:bidi w:val="0"/>
              <w:rPr>
                <w:rFonts w:hint="default"/>
                <w:highlight w:val="none"/>
                <w:lang w:val="en-US" w:eastAsia="zh-CN"/>
              </w:rPr>
            </w:pPr>
            <w:r>
              <w:rPr>
                <w:rFonts w:hint="default"/>
                <w:highlight w:val="none"/>
                <w:lang w:val="en-US" w:eastAsia="zh-CN"/>
              </w:rPr>
              <w:t>基础验收表和隐蔽工程验收单应齐全</w:t>
            </w:r>
          </w:p>
        </w:tc>
        <w:tc>
          <w:tcPr>
            <w:tcW w:w="1229" w:type="dxa"/>
            <w:tcBorders>
              <w:tl2br w:val="nil"/>
              <w:tr2bl w:val="nil"/>
            </w:tcBorders>
            <w:noWrap w:val="0"/>
            <w:vAlign w:val="center"/>
          </w:tcPr>
          <w:p w14:paraId="286916CA">
            <w:pPr>
              <w:pStyle w:val="102"/>
              <w:bidi w:val="0"/>
              <w:rPr>
                <w:rFonts w:hint="default"/>
                <w:highlight w:val="none"/>
                <w:lang w:val="en-US" w:eastAsia="zh-CN"/>
              </w:rPr>
            </w:pPr>
          </w:p>
        </w:tc>
      </w:tr>
      <w:tr w14:paraId="4639A9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84F3D2E">
            <w:pPr>
              <w:pStyle w:val="102"/>
              <w:bidi w:val="0"/>
              <w:rPr>
                <w:rFonts w:hint="default"/>
                <w:highlight w:val="none"/>
                <w:lang w:val="en-US" w:eastAsia="zh-CN"/>
              </w:rPr>
            </w:pPr>
          </w:p>
        </w:tc>
        <w:tc>
          <w:tcPr>
            <w:tcW w:w="513" w:type="dxa"/>
            <w:tcBorders>
              <w:tl2br w:val="nil"/>
              <w:tr2bl w:val="nil"/>
            </w:tcBorders>
            <w:noWrap w:val="0"/>
            <w:vAlign w:val="center"/>
          </w:tcPr>
          <w:p w14:paraId="0FEE8742">
            <w:pPr>
              <w:pStyle w:val="102"/>
              <w:bidi w:val="0"/>
              <w:rPr>
                <w:rFonts w:hint="default"/>
                <w:highlight w:val="none"/>
                <w:lang w:val="en-US" w:eastAsia="zh-CN"/>
              </w:rPr>
            </w:pPr>
            <w:r>
              <w:rPr>
                <w:rFonts w:hint="default"/>
                <w:highlight w:val="none"/>
                <w:lang w:val="en-US" w:eastAsia="zh-CN"/>
              </w:rPr>
              <w:t>2</w:t>
            </w:r>
          </w:p>
        </w:tc>
        <w:tc>
          <w:tcPr>
            <w:tcW w:w="6041" w:type="dxa"/>
            <w:tcBorders>
              <w:tl2br w:val="nil"/>
              <w:tr2bl w:val="nil"/>
            </w:tcBorders>
            <w:noWrap w:val="0"/>
            <w:vAlign w:val="center"/>
          </w:tcPr>
          <w:p w14:paraId="37E8E7BC">
            <w:pPr>
              <w:pStyle w:val="102"/>
              <w:bidi w:val="0"/>
              <w:rPr>
                <w:rFonts w:hint="default"/>
                <w:highlight w:val="none"/>
                <w:lang w:val="en-US" w:eastAsia="zh-CN"/>
              </w:rPr>
            </w:pPr>
            <w:r>
              <w:rPr>
                <w:rFonts w:hint="default"/>
                <w:highlight w:val="none"/>
                <w:lang w:val="en-US" w:eastAsia="zh-CN"/>
              </w:rPr>
              <w:t xml:space="preserve">安装方案、安全交底记录应齐全 </w:t>
            </w:r>
          </w:p>
        </w:tc>
        <w:tc>
          <w:tcPr>
            <w:tcW w:w="1229" w:type="dxa"/>
            <w:tcBorders>
              <w:tl2br w:val="nil"/>
              <w:tr2bl w:val="nil"/>
            </w:tcBorders>
            <w:noWrap w:val="0"/>
            <w:vAlign w:val="center"/>
          </w:tcPr>
          <w:p w14:paraId="0C838808">
            <w:pPr>
              <w:pStyle w:val="102"/>
              <w:bidi w:val="0"/>
              <w:rPr>
                <w:rFonts w:hint="default"/>
                <w:highlight w:val="none"/>
                <w:lang w:val="en-US" w:eastAsia="zh-CN"/>
              </w:rPr>
            </w:pPr>
          </w:p>
        </w:tc>
      </w:tr>
      <w:tr w14:paraId="7101CCC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05041A0">
            <w:pPr>
              <w:pStyle w:val="102"/>
              <w:bidi w:val="0"/>
              <w:rPr>
                <w:rFonts w:hint="default"/>
                <w:highlight w:val="none"/>
                <w:lang w:val="en-US" w:eastAsia="zh-CN"/>
              </w:rPr>
            </w:pPr>
          </w:p>
        </w:tc>
        <w:tc>
          <w:tcPr>
            <w:tcW w:w="513" w:type="dxa"/>
            <w:tcBorders>
              <w:tl2br w:val="nil"/>
              <w:tr2bl w:val="nil"/>
            </w:tcBorders>
            <w:noWrap w:val="0"/>
            <w:vAlign w:val="center"/>
          </w:tcPr>
          <w:p w14:paraId="63A87DF0">
            <w:pPr>
              <w:pStyle w:val="102"/>
              <w:bidi w:val="0"/>
              <w:rPr>
                <w:rFonts w:hint="default"/>
                <w:highlight w:val="none"/>
                <w:lang w:val="en-US" w:eastAsia="zh-CN"/>
              </w:rPr>
            </w:pPr>
            <w:r>
              <w:rPr>
                <w:rFonts w:hint="default"/>
                <w:highlight w:val="none"/>
                <w:lang w:val="en-US" w:eastAsia="zh-CN"/>
              </w:rPr>
              <w:t>3</w:t>
            </w:r>
          </w:p>
        </w:tc>
        <w:tc>
          <w:tcPr>
            <w:tcW w:w="6041" w:type="dxa"/>
            <w:tcBorders>
              <w:tl2br w:val="nil"/>
              <w:tr2bl w:val="nil"/>
            </w:tcBorders>
            <w:noWrap w:val="0"/>
            <w:vAlign w:val="center"/>
          </w:tcPr>
          <w:p w14:paraId="11A27281">
            <w:pPr>
              <w:pStyle w:val="102"/>
              <w:bidi w:val="0"/>
              <w:rPr>
                <w:rFonts w:hint="default"/>
                <w:highlight w:val="none"/>
                <w:lang w:val="en-US" w:eastAsia="zh-CN"/>
              </w:rPr>
            </w:pPr>
            <w:r>
              <w:rPr>
                <w:rFonts w:hint="default"/>
                <w:highlight w:val="none"/>
                <w:lang w:val="en-US" w:eastAsia="zh-CN"/>
              </w:rPr>
              <w:t>转场保养作业单及进场验收记录应齐全</w:t>
            </w:r>
          </w:p>
        </w:tc>
        <w:tc>
          <w:tcPr>
            <w:tcW w:w="1229" w:type="dxa"/>
            <w:tcBorders>
              <w:tl2br w:val="nil"/>
              <w:tr2bl w:val="nil"/>
            </w:tcBorders>
            <w:noWrap w:val="0"/>
            <w:vAlign w:val="center"/>
          </w:tcPr>
          <w:p w14:paraId="4E3A69B9">
            <w:pPr>
              <w:pStyle w:val="102"/>
              <w:bidi w:val="0"/>
              <w:rPr>
                <w:rFonts w:hint="default"/>
                <w:highlight w:val="none"/>
                <w:lang w:val="en-US" w:eastAsia="zh-CN"/>
              </w:rPr>
            </w:pPr>
          </w:p>
        </w:tc>
      </w:tr>
      <w:tr w14:paraId="7AE545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CC5C5F">
            <w:pPr>
              <w:pStyle w:val="102"/>
              <w:bidi w:val="0"/>
              <w:rPr>
                <w:rFonts w:hint="default"/>
                <w:highlight w:val="none"/>
                <w:lang w:val="en-US" w:eastAsia="zh-CN"/>
              </w:rPr>
            </w:pPr>
          </w:p>
        </w:tc>
        <w:tc>
          <w:tcPr>
            <w:tcW w:w="513" w:type="dxa"/>
            <w:tcBorders>
              <w:tl2br w:val="nil"/>
              <w:tr2bl w:val="nil"/>
            </w:tcBorders>
            <w:noWrap w:val="0"/>
            <w:vAlign w:val="center"/>
          </w:tcPr>
          <w:p w14:paraId="2C907115">
            <w:pPr>
              <w:pStyle w:val="102"/>
              <w:bidi w:val="0"/>
              <w:rPr>
                <w:rFonts w:hint="default"/>
                <w:highlight w:val="none"/>
                <w:lang w:val="en-US" w:eastAsia="zh-CN"/>
              </w:rPr>
            </w:pPr>
            <w:r>
              <w:rPr>
                <w:rFonts w:hint="default"/>
                <w:highlight w:val="none"/>
                <w:lang w:val="en-US" w:eastAsia="zh-CN"/>
              </w:rPr>
              <w:t>4</w:t>
            </w:r>
          </w:p>
        </w:tc>
        <w:tc>
          <w:tcPr>
            <w:tcW w:w="6041" w:type="dxa"/>
            <w:tcBorders>
              <w:tl2br w:val="nil"/>
              <w:tr2bl w:val="nil"/>
            </w:tcBorders>
            <w:noWrap w:val="0"/>
            <w:vAlign w:val="center"/>
          </w:tcPr>
          <w:p w14:paraId="131761AD">
            <w:pPr>
              <w:pStyle w:val="102"/>
              <w:bidi w:val="0"/>
              <w:rPr>
                <w:rFonts w:hint="default"/>
                <w:highlight w:val="none"/>
                <w:lang w:val="en-US" w:eastAsia="zh-CN"/>
              </w:rPr>
            </w:pPr>
            <w:r>
              <w:rPr>
                <w:rFonts w:hint="default"/>
                <w:highlight w:val="none"/>
                <w:lang w:val="en-US" w:eastAsia="zh-CN"/>
              </w:rPr>
              <w:t>群塔作业应编制专项防碰撞措施方案</w:t>
            </w:r>
          </w:p>
        </w:tc>
        <w:tc>
          <w:tcPr>
            <w:tcW w:w="1229" w:type="dxa"/>
            <w:tcBorders>
              <w:tl2br w:val="nil"/>
              <w:tr2bl w:val="nil"/>
            </w:tcBorders>
            <w:noWrap w:val="0"/>
            <w:vAlign w:val="center"/>
          </w:tcPr>
          <w:p w14:paraId="5B070B1B">
            <w:pPr>
              <w:pStyle w:val="102"/>
              <w:bidi w:val="0"/>
              <w:rPr>
                <w:rFonts w:hint="default"/>
                <w:highlight w:val="none"/>
                <w:lang w:val="en-US" w:eastAsia="zh-CN"/>
              </w:rPr>
            </w:pPr>
          </w:p>
        </w:tc>
      </w:tr>
      <w:tr w14:paraId="589A3A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2E47FD9">
            <w:pPr>
              <w:pStyle w:val="102"/>
              <w:bidi w:val="0"/>
              <w:rPr>
                <w:rFonts w:hint="default"/>
                <w:highlight w:val="none"/>
                <w:lang w:val="en-US" w:eastAsia="zh-CN"/>
              </w:rPr>
            </w:pPr>
            <w:r>
              <w:rPr>
                <w:rFonts w:hint="default"/>
                <w:highlight w:val="none"/>
                <w:lang w:val="en-US" w:eastAsia="zh-CN"/>
              </w:rPr>
              <w:t>标识</w:t>
            </w:r>
          </w:p>
          <w:p w14:paraId="6862B8DA">
            <w:pPr>
              <w:pStyle w:val="102"/>
              <w:bidi w:val="0"/>
              <w:rPr>
                <w:rFonts w:hint="default"/>
                <w:highlight w:val="none"/>
                <w:lang w:val="en-US" w:eastAsia="zh-CN"/>
              </w:rPr>
            </w:pPr>
            <w:r>
              <w:rPr>
                <w:rFonts w:hint="default"/>
                <w:highlight w:val="none"/>
                <w:lang w:val="en-US" w:eastAsia="zh-CN"/>
              </w:rPr>
              <w:t>与环境</w:t>
            </w:r>
          </w:p>
        </w:tc>
        <w:tc>
          <w:tcPr>
            <w:tcW w:w="513" w:type="dxa"/>
            <w:tcBorders>
              <w:tl2br w:val="nil"/>
              <w:tr2bl w:val="nil"/>
            </w:tcBorders>
            <w:noWrap w:val="0"/>
            <w:vAlign w:val="center"/>
          </w:tcPr>
          <w:p w14:paraId="4DF9995B">
            <w:pPr>
              <w:pStyle w:val="102"/>
              <w:bidi w:val="0"/>
              <w:rPr>
                <w:rFonts w:hint="default"/>
                <w:highlight w:val="none"/>
                <w:lang w:val="en-US" w:eastAsia="zh-CN"/>
              </w:rPr>
            </w:pPr>
            <w:r>
              <w:rPr>
                <w:rFonts w:hint="default"/>
                <w:highlight w:val="none"/>
                <w:lang w:val="en-US" w:eastAsia="zh-CN"/>
              </w:rPr>
              <w:t>5</w:t>
            </w:r>
          </w:p>
        </w:tc>
        <w:tc>
          <w:tcPr>
            <w:tcW w:w="6041" w:type="dxa"/>
            <w:tcBorders>
              <w:tl2br w:val="nil"/>
              <w:tr2bl w:val="nil"/>
            </w:tcBorders>
            <w:noWrap w:val="0"/>
            <w:vAlign w:val="center"/>
          </w:tcPr>
          <w:p w14:paraId="68A134BC">
            <w:pPr>
              <w:pStyle w:val="102"/>
              <w:bidi w:val="0"/>
              <w:rPr>
                <w:rFonts w:hint="default"/>
                <w:highlight w:val="none"/>
                <w:lang w:val="en-US" w:eastAsia="zh-CN"/>
              </w:rPr>
            </w:pPr>
            <w:r>
              <w:rPr>
                <w:rFonts w:hint="default"/>
                <w:highlight w:val="none"/>
                <w:lang w:val="en-US" w:eastAsia="zh-CN"/>
              </w:rPr>
              <w:t>使用登记牌、安全操作规程牌和产品标牌齐全，悬挂醒目</w:t>
            </w:r>
          </w:p>
        </w:tc>
        <w:tc>
          <w:tcPr>
            <w:tcW w:w="1229" w:type="dxa"/>
            <w:tcBorders>
              <w:tl2br w:val="nil"/>
              <w:tr2bl w:val="nil"/>
            </w:tcBorders>
            <w:noWrap w:val="0"/>
            <w:vAlign w:val="center"/>
          </w:tcPr>
          <w:p w14:paraId="1672B425">
            <w:pPr>
              <w:pStyle w:val="102"/>
              <w:bidi w:val="0"/>
              <w:rPr>
                <w:rFonts w:hint="default"/>
                <w:highlight w:val="none"/>
                <w:lang w:val="en-US" w:eastAsia="zh-CN"/>
              </w:rPr>
            </w:pPr>
          </w:p>
        </w:tc>
      </w:tr>
      <w:tr w14:paraId="3745EF1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1D6F1BC6">
            <w:pPr>
              <w:pStyle w:val="102"/>
              <w:bidi w:val="0"/>
              <w:rPr>
                <w:rFonts w:hint="default"/>
                <w:highlight w:val="none"/>
                <w:lang w:val="en-US" w:eastAsia="zh-CN"/>
              </w:rPr>
            </w:pPr>
          </w:p>
        </w:tc>
        <w:tc>
          <w:tcPr>
            <w:tcW w:w="513" w:type="dxa"/>
            <w:tcBorders>
              <w:tl2br w:val="nil"/>
              <w:tr2bl w:val="nil"/>
            </w:tcBorders>
            <w:noWrap w:val="0"/>
            <w:vAlign w:val="center"/>
          </w:tcPr>
          <w:p w14:paraId="6CEE9E99">
            <w:pPr>
              <w:pStyle w:val="102"/>
              <w:bidi w:val="0"/>
              <w:rPr>
                <w:rFonts w:hint="default"/>
                <w:highlight w:val="none"/>
                <w:lang w:val="en-US" w:eastAsia="zh-CN"/>
              </w:rPr>
            </w:pPr>
            <w:r>
              <w:rPr>
                <w:rFonts w:hint="default"/>
                <w:highlight w:val="none"/>
                <w:lang w:val="en-US" w:eastAsia="zh-CN"/>
              </w:rPr>
              <w:t>6</w:t>
            </w:r>
          </w:p>
        </w:tc>
        <w:tc>
          <w:tcPr>
            <w:tcW w:w="6041" w:type="dxa"/>
            <w:tcBorders>
              <w:tl2br w:val="nil"/>
              <w:tr2bl w:val="nil"/>
            </w:tcBorders>
            <w:noWrap w:val="0"/>
            <w:vAlign w:val="center"/>
          </w:tcPr>
          <w:p w14:paraId="55839299">
            <w:pPr>
              <w:pStyle w:val="102"/>
              <w:bidi w:val="0"/>
              <w:rPr>
                <w:rFonts w:hint="default"/>
                <w:highlight w:val="none"/>
                <w:lang w:val="en-US" w:eastAsia="zh-CN"/>
              </w:rPr>
            </w:pPr>
            <w:r>
              <w:rPr>
                <w:rFonts w:hint="default"/>
                <w:highlight w:val="none"/>
                <w:lang w:val="en-US" w:eastAsia="zh-CN"/>
              </w:rPr>
              <w:t>塔式起重机尾部与建（构）筑物及施工设施之间的距离≥0.6m</w:t>
            </w:r>
          </w:p>
        </w:tc>
        <w:tc>
          <w:tcPr>
            <w:tcW w:w="1229" w:type="dxa"/>
            <w:tcBorders>
              <w:tl2br w:val="nil"/>
              <w:tr2bl w:val="nil"/>
            </w:tcBorders>
            <w:noWrap w:val="0"/>
            <w:vAlign w:val="center"/>
          </w:tcPr>
          <w:p w14:paraId="67061EDA">
            <w:pPr>
              <w:pStyle w:val="102"/>
              <w:bidi w:val="0"/>
              <w:rPr>
                <w:rFonts w:hint="default"/>
                <w:highlight w:val="none"/>
                <w:lang w:val="en-US" w:eastAsia="zh-CN"/>
              </w:rPr>
            </w:pPr>
          </w:p>
        </w:tc>
      </w:tr>
      <w:tr w14:paraId="7FFA70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1BE9867">
            <w:pPr>
              <w:pStyle w:val="102"/>
              <w:bidi w:val="0"/>
              <w:rPr>
                <w:rFonts w:hint="default"/>
                <w:highlight w:val="none"/>
                <w:lang w:val="en-US" w:eastAsia="zh-CN"/>
              </w:rPr>
            </w:pPr>
          </w:p>
        </w:tc>
        <w:tc>
          <w:tcPr>
            <w:tcW w:w="513" w:type="dxa"/>
            <w:tcBorders>
              <w:tl2br w:val="nil"/>
              <w:tr2bl w:val="nil"/>
            </w:tcBorders>
            <w:noWrap w:val="0"/>
            <w:vAlign w:val="center"/>
          </w:tcPr>
          <w:p w14:paraId="1C414DB0">
            <w:pPr>
              <w:pStyle w:val="102"/>
              <w:bidi w:val="0"/>
              <w:rPr>
                <w:rFonts w:hint="default"/>
                <w:highlight w:val="none"/>
                <w:lang w:val="en-US" w:eastAsia="zh-CN"/>
              </w:rPr>
            </w:pPr>
            <w:r>
              <w:rPr>
                <w:rFonts w:hint="default"/>
                <w:highlight w:val="none"/>
                <w:lang w:val="en-US" w:eastAsia="zh-CN"/>
              </w:rPr>
              <w:t>7</w:t>
            </w:r>
          </w:p>
        </w:tc>
        <w:tc>
          <w:tcPr>
            <w:tcW w:w="6041" w:type="dxa"/>
            <w:tcBorders>
              <w:tl2br w:val="nil"/>
              <w:tr2bl w:val="nil"/>
            </w:tcBorders>
            <w:noWrap w:val="0"/>
            <w:vAlign w:val="center"/>
          </w:tcPr>
          <w:p w14:paraId="24A8EA71">
            <w:pPr>
              <w:pStyle w:val="102"/>
              <w:bidi w:val="0"/>
              <w:rPr>
                <w:rFonts w:hint="default"/>
                <w:highlight w:val="none"/>
                <w:lang w:val="en-US" w:eastAsia="zh-CN"/>
              </w:rPr>
            </w:pPr>
            <w:r>
              <w:rPr>
                <w:rFonts w:hint="default"/>
                <w:highlight w:val="none"/>
                <w:lang w:val="en-US" w:eastAsia="zh-CN"/>
              </w:rPr>
              <w:t>多塔作业时，低位塔起重臂端部与高位塔塔身之间的水平距离≥2m；高位塔的最低位置部件与低位塔最高位置部件之间的垂直距离≥2m</w:t>
            </w:r>
          </w:p>
        </w:tc>
        <w:tc>
          <w:tcPr>
            <w:tcW w:w="1229" w:type="dxa"/>
            <w:tcBorders>
              <w:tl2br w:val="nil"/>
              <w:tr2bl w:val="nil"/>
            </w:tcBorders>
            <w:noWrap w:val="0"/>
            <w:vAlign w:val="center"/>
          </w:tcPr>
          <w:p w14:paraId="5977EC8B">
            <w:pPr>
              <w:pStyle w:val="102"/>
              <w:bidi w:val="0"/>
              <w:rPr>
                <w:rFonts w:hint="default"/>
                <w:highlight w:val="none"/>
                <w:lang w:val="en-US" w:eastAsia="zh-CN"/>
              </w:rPr>
            </w:pPr>
          </w:p>
        </w:tc>
      </w:tr>
      <w:tr w14:paraId="07E4B4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A9E2C68">
            <w:pPr>
              <w:pStyle w:val="102"/>
              <w:bidi w:val="0"/>
              <w:rPr>
                <w:rFonts w:hint="default"/>
                <w:highlight w:val="none"/>
                <w:lang w:val="en-US" w:eastAsia="zh-CN"/>
              </w:rPr>
            </w:pPr>
          </w:p>
        </w:tc>
        <w:tc>
          <w:tcPr>
            <w:tcW w:w="513" w:type="dxa"/>
            <w:tcBorders>
              <w:tl2br w:val="nil"/>
              <w:tr2bl w:val="nil"/>
            </w:tcBorders>
            <w:noWrap w:val="0"/>
            <w:vAlign w:val="center"/>
          </w:tcPr>
          <w:p w14:paraId="632A050B">
            <w:pPr>
              <w:pStyle w:val="102"/>
              <w:bidi w:val="0"/>
              <w:rPr>
                <w:rFonts w:hint="default"/>
                <w:highlight w:val="none"/>
                <w:lang w:val="en-US" w:eastAsia="zh-CN"/>
              </w:rPr>
            </w:pPr>
            <w:r>
              <w:rPr>
                <w:rFonts w:hint="default"/>
                <w:highlight w:val="none"/>
                <w:lang w:val="en-US" w:eastAsia="zh-CN"/>
              </w:rPr>
              <w:t>8</w:t>
            </w:r>
          </w:p>
        </w:tc>
        <w:tc>
          <w:tcPr>
            <w:tcW w:w="6041" w:type="dxa"/>
            <w:tcBorders>
              <w:tl2br w:val="nil"/>
              <w:tr2bl w:val="nil"/>
            </w:tcBorders>
            <w:noWrap w:val="0"/>
            <w:vAlign w:val="center"/>
          </w:tcPr>
          <w:p w14:paraId="3D51F5C4">
            <w:pPr>
              <w:pStyle w:val="102"/>
              <w:bidi w:val="0"/>
              <w:rPr>
                <w:rFonts w:hint="default"/>
                <w:highlight w:val="none"/>
                <w:lang w:val="en-US" w:eastAsia="zh-CN"/>
              </w:rPr>
            </w:pPr>
            <w:r>
              <w:rPr>
                <w:rFonts w:hint="default"/>
                <w:highlight w:val="none"/>
                <w:lang w:val="en-US" w:eastAsia="zh-CN"/>
              </w:rPr>
              <w:t>塔式起重机与外电线路的距离应符合JGJ46—2005的规定</w:t>
            </w:r>
          </w:p>
        </w:tc>
        <w:tc>
          <w:tcPr>
            <w:tcW w:w="1229" w:type="dxa"/>
            <w:tcBorders>
              <w:tl2br w:val="nil"/>
              <w:tr2bl w:val="nil"/>
            </w:tcBorders>
            <w:noWrap w:val="0"/>
            <w:vAlign w:val="center"/>
          </w:tcPr>
          <w:p w14:paraId="6D5EEB75">
            <w:pPr>
              <w:pStyle w:val="102"/>
              <w:bidi w:val="0"/>
              <w:rPr>
                <w:rFonts w:hint="default"/>
                <w:highlight w:val="none"/>
                <w:lang w:val="en-US" w:eastAsia="zh-CN"/>
              </w:rPr>
            </w:pPr>
          </w:p>
        </w:tc>
      </w:tr>
      <w:tr w14:paraId="593E60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30DCB7A6">
            <w:pPr>
              <w:pStyle w:val="102"/>
              <w:bidi w:val="0"/>
              <w:rPr>
                <w:rFonts w:hint="default"/>
                <w:highlight w:val="none"/>
                <w:lang w:val="en-US" w:eastAsia="zh-CN"/>
              </w:rPr>
            </w:pPr>
            <w:r>
              <w:rPr>
                <w:rFonts w:hint="default"/>
                <w:highlight w:val="none"/>
                <w:lang w:val="en-US" w:eastAsia="zh-CN"/>
              </w:rPr>
              <w:t>塔式起重机结构</w:t>
            </w:r>
          </w:p>
        </w:tc>
        <w:tc>
          <w:tcPr>
            <w:tcW w:w="513" w:type="dxa"/>
            <w:tcBorders>
              <w:tl2br w:val="nil"/>
              <w:tr2bl w:val="nil"/>
            </w:tcBorders>
            <w:noWrap w:val="0"/>
            <w:vAlign w:val="center"/>
          </w:tcPr>
          <w:p w14:paraId="6E3FAD16">
            <w:pPr>
              <w:pStyle w:val="102"/>
              <w:bidi w:val="0"/>
              <w:rPr>
                <w:rFonts w:hint="default"/>
                <w:highlight w:val="none"/>
                <w:lang w:val="en-US" w:eastAsia="zh-CN"/>
              </w:rPr>
            </w:pPr>
            <w:r>
              <w:rPr>
                <w:rFonts w:hint="default"/>
                <w:highlight w:val="none"/>
                <w:lang w:val="en-US" w:eastAsia="zh-CN"/>
              </w:rPr>
              <w:t>9</w:t>
            </w:r>
          </w:p>
        </w:tc>
        <w:tc>
          <w:tcPr>
            <w:tcW w:w="6041" w:type="dxa"/>
            <w:tcBorders>
              <w:tl2br w:val="nil"/>
              <w:tr2bl w:val="nil"/>
            </w:tcBorders>
            <w:noWrap w:val="0"/>
            <w:vAlign w:val="center"/>
          </w:tcPr>
          <w:p w14:paraId="4DC98110">
            <w:pPr>
              <w:pStyle w:val="102"/>
              <w:bidi w:val="0"/>
              <w:rPr>
                <w:rFonts w:hint="default"/>
                <w:highlight w:val="none"/>
                <w:lang w:val="en-US" w:eastAsia="zh-CN"/>
              </w:rPr>
            </w:pPr>
            <w:r>
              <w:rPr>
                <w:rFonts w:hint="default"/>
                <w:highlight w:val="none"/>
                <w:lang w:val="en-US" w:eastAsia="zh-CN"/>
              </w:rPr>
              <w:t>金属结构无可见裂纹和明显变形</w:t>
            </w:r>
          </w:p>
        </w:tc>
        <w:tc>
          <w:tcPr>
            <w:tcW w:w="1229" w:type="dxa"/>
            <w:tcBorders>
              <w:tl2br w:val="nil"/>
              <w:tr2bl w:val="nil"/>
            </w:tcBorders>
            <w:noWrap w:val="0"/>
            <w:vAlign w:val="center"/>
          </w:tcPr>
          <w:p w14:paraId="6CFA8459">
            <w:pPr>
              <w:pStyle w:val="102"/>
              <w:bidi w:val="0"/>
              <w:rPr>
                <w:rFonts w:hint="default"/>
                <w:highlight w:val="none"/>
                <w:lang w:val="en-US" w:eastAsia="zh-CN"/>
              </w:rPr>
            </w:pPr>
          </w:p>
        </w:tc>
      </w:tr>
      <w:tr w14:paraId="633C88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0919881">
            <w:pPr>
              <w:pStyle w:val="102"/>
              <w:bidi w:val="0"/>
              <w:rPr>
                <w:rFonts w:hint="default"/>
                <w:highlight w:val="none"/>
                <w:lang w:val="en-US" w:eastAsia="zh-CN"/>
              </w:rPr>
            </w:pPr>
          </w:p>
        </w:tc>
        <w:tc>
          <w:tcPr>
            <w:tcW w:w="513" w:type="dxa"/>
            <w:tcBorders>
              <w:tl2br w:val="nil"/>
              <w:tr2bl w:val="nil"/>
            </w:tcBorders>
            <w:noWrap w:val="0"/>
            <w:vAlign w:val="center"/>
          </w:tcPr>
          <w:p w14:paraId="637BF7B6">
            <w:pPr>
              <w:pStyle w:val="102"/>
              <w:bidi w:val="0"/>
              <w:rPr>
                <w:rFonts w:hint="default"/>
                <w:highlight w:val="none"/>
                <w:lang w:val="en-US" w:eastAsia="zh-CN"/>
              </w:rPr>
            </w:pPr>
            <w:r>
              <w:rPr>
                <w:rFonts w:hint="default"/>
                <w:highlight w:val="none"/>
                <w:lang w:val="en-US" w:eastAsia="zh-CN"/>
              </w:rPr>
              <w:t>10</w:t>
            </w:r>
          </w:p>
        </w:tc>
        <w:tc>
          <w:tcPr>
            <w:tcW w:w="6041" w:type="dxa"/>
            <w:tcBorders>
              <w:tl2br w:val="nil"/>
              <w:tr2bl w:val="nil"/>
            </w:tcBorders>
            <w:noWrap w:val="0"/>
            <w:vAlign w:val="center"/>
          </w:tcPr>
          <w:p w14:paraId="40D5A2A8">
            <w:pPr>
              <w:pStyle w:val="102"/>
              <w:bidi w:val="0"/>
              <w:rPr>
                <w:rFonts w:hint="default"/>
                <w:highlight w:val="none"/>
                <w:lang w:val="en-US" w:eastAsia="zh-CN"/>
              </w:rPr>
            </w:pPr>
            <w:r>
              <w:rPr>
                <w:rFonts w:hint="default"/>
                <w:highlight w:val="none"/>
                <w:lang w:val="en-US" w:eastAsia="zh-CN"/>
              </w:rPr>
              <w:t>连接螺栓齐全，规格和预紧力达到使用说明书要求</w:t>
            </w:r>
          </w:p>
        </w:tc>
        <w:tc>
          <w:tcPr>
            <w:tcW w:w="1229" w:type="dxa"/>
            <w:tcBorders>
              <w:tl2br w:val="nil"/>
              <w:tr2bl w:val="nil"/>
            </w:tcBorders>
            <w:noWrap w:val="0"/>
            <w:vAlign w:val="center"/>
          </w:tcPr>
          <w:p w14:paraId="434013BF">
            <w:pPr>
              <w:pStyle w:val="102"/>
              <w:bidi w:val="0"/>
              <w:rPr>
                <w:rFonts w:hint="default"/>
                <w:highlight w:val="none"/>
                <w:lang w:val="en-US" w:eastAsia="zh-CN"/>
              </w:rPr>
            </w:pPr>
          </w:p>
        </w:tc>
      </w:tr>
      <w:tr w14:paraId="5A1BAF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453E75">
            <w:pPr>
              <w:pStyle w:val="102"/>
              <w:bidi w:val="0"/>
              <w:rPr>
                <w:rFonts w:hint="default"/>
                <w:highlight w:val="none"/>
                <w:lang w:val="en-US" w:eastAsia="zh-CN"/>
              </w:rPr>
            </w:pPr>
          </w:p>
        </w:tc>
        <w:tc>
          <w:tcPr>
            <w:tcW w:w="513" w:type="dxa"/>
            <w:tcBorders>
              <w:tl2br w:val="nil"/>
              <w:tr2bl w:val="nil"/>
            </w:tcBorders>
            <w:noWrap w:val="0"/>
            <w:vAlign w:val="center"/>
          </w:tcPr>
          <w:p w14:paraId="53268A53">
            <w:pPr>
              <w:pStyle w:val="102"/>
              <w:bidi w:val="0"/>
              <w:rPr>
                <w:rFonts w:hint="default"/>
                <w:highlight w:val="none"/>
                <w:lang w:val="en-US" w:eastAsia="zh-CN"/>
              </w:rPr>
            </w:pPr>
            <w:r>
              <w:rPr>
                <w:rFonts w:hint="default"/>
                <w:highlight w:val="none"/>
                <w:lang w:val="en-US" w:eastAsia="zh-CN"/>
              </w:rPr>
              <w:t>11</w:t>
            </w:r>
          </w:p>
        </w:tc>
        <w:tc>
          <w:tcPr>
            <w:tcW w:w="6041" w:type="dxa"/>
            <w:tcBorders>
              <w:tl2br w:val="nil"/>
              <w:tr2bl w:val="nil"/>
            </w:tcBorders>
            <w:noWrap w:val="0"/>
            <w:vAlign w:val="center"/>
          </w:tcPr>
          <w:p w14:paraId="0CE43711">
            <w:pPr>
              <w:pStyle w:val="102"/>
              <w:bidi w:val="0"/>
              <w:rPr>
                <w:rFonts w:hint="default"/>
                <w:highlight w:val="none"/>
                <w:lang w:val="en-US" w:eastAsia="zh-CN"/>
              </w:rPr>
            </w:pPr>
            <w:r>
              <w:rPr>
                <w:rFonts w:hint="default"/>
                <w:highlight w:val="none"/>
                <w:lang w:val="en-US" w:eastAsia="zh-CN"/>
              </w:rPr>
              <w:t xml:space="preserve">销轴连接可靠，符合出厂要求 </w:t>
            </w:r>
          </w:p>
        </w:tc>
        <w:tc>
          <w:tcPr>
            <w:tcW w:w="1229" w:type="dxa"/>
            <w:tcBorders>
              <w:tl2br w:val="nil"/>
              <w:tr2bl w:val="nil"/>
            </w:tcBorders>
            <w:noWrap w:val="0"/>
            <w:vAlign w:val="center"/>
          </w:tcPr>
          <w:p w14:paraId="58989B8D">
            <w:pPr>
              <w:pStyle w:val="102"/>
              <w:bidi w:val="0"/>
              <w:rPr>
                <w:rFonts w:hint="default"/>
                <w:highlight w:val="none"/>
                <w:lang w:val="en-US" w:eastAsia="zh-CN"/>
              </w:rPr>
            </w:pPr>
          </w:p>
        </w:tc>
      </w:tr>
      <w:tr w14:paraId="65958F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PrEx>
        <w:trPr>
          <w:trHeight w:val="454" w:hRule="atLeast"/>
          <w:jc w:val="center"/>
        </w:trPr>
        <w:tc>
          <w:tcPr>
            <w:tcW w:w="721" w:type="dxa"/>
            <w:vMerge w:val="continue"/>
            <w:tcBorders>
              <w:tl2br w:val="nil"/>
              <w:tr2bl w:val="nil"/>
            </w:tcBorders>
            <w:noWrap w:val="0"/>
            <w:vAlign w:val="center"/>
          </w:tcPr>
          <w:p w14:paraId="23E19C5E">
            <w:pPr>
              <w:pStyle w:val="102"/>
              <w:bidi w:val="0"/>
              <w:rPr>
                <w:rFonts w:hint="default"/>
                <w:highlight w:val="none"/>
                <w:lang w:val="en-US" w:eastAsia="zh-CN"/>
              </w:rPr>
            </w:pPr>
          </w:p>
        </w:tc>
        <w:tc>
          <w:tcPr>
            <w:tcW w:w="513" w:type="dxa"/>
            <w:tcBorders>
              <w:tl2br w:val="nil"/>
              <w:tr2bl w:val="nil"/>
            </w:tcBorders>
            <w:noWrap w:val="0"/>
            <w:vAlign w:val="center"/>
          </w:tcPr>
          <w:p w14:paraId="43B0882B">
            <w:pPr>
              <w:pStyle w:val="102"/>
              <w:bidi w:val="0"/>
              <w:rPr>
                <w:rFonts w:hint="default"/>
                <w:highlight w:val="none"/>
                <w:lang w:val="en-US" w:eastAsia="zh-CN"/>
              </w:rPr>
            </w:pPr>
            <w:r>
              <w:rPr>
                <w:rFonts w:hint="default"/>
                <w:highlight w:val="none"/>
                <w:lang w:val="en-US" w:eastAsia="zh-CN"/>
              </w:rPr>
              <w:t>12</w:t>
            </w:r>
          </w:p>
        </w:tc>
        <w:tc>
          <w:tcPr>
            <w:tcW w:w="6041" w:type="dxa"/>
            <w:tcBorders>
              <w:tl2br w:val="nil"/>
              <w:tr2bl w:val="nil"/>
            </w:tcBorders>
            <w:noWrap w:val="0"/>
            <w:vAlign w:val="center"/>
          </w:tcPr>
          <w:p w14:paraId="22B90383">
            <w:pPr>
              <w:pStyle w:val="102"/>
              <w:bidi w:val="0"/>
              <w:rPr>
                <w:rFonts w:hint="default"/>
                <w:highlight w:val="none"/>
                <w:lang w:val="en-US" w:eastAsia="zh-CN"/>
              </w:rPr>
            </w:pPr>
            <w:r>
              <w:rPr>
                <w:rFonts w:hint="default"/>
                <w:highlight w:val="none"/>
                <w:lang w:val="en-US" w:eastAsia="zh-CN"/>
              </w:rPr>
              <w:t>过道、平台、栏杆、踏板符合GB5144—2006规定，连接牢靠</w:t>
            </w:r>
          </w:p>
        </w:tc>
        <w:tc>
          <w:tcPr>
            <w:tcW w:w="1229" w:type="dxa"/>
            <w:tcBorders>
              <w:tl2br w:val="nil"/>
              <w:tr2bl w:val="nil"/>
            </w:tcBorders>
            <w:noWrap w:val="0"/>
            <w:vAlign w:val="center"/>
          </w:tcPr>
          <w:p w14:paraId="2F887603">
            <w:pPr>
              <w:pStyle w:val="102"/>
              <w:bidi w:val="0"/>
              <w:rPr>
                <w:rFonts w:hint="default"/>
                <w:highlight w:val="none"/>
                <w:lang w:val="en-US" w:eastAsia="zh-CN"/>
              </w:rPr>
            </w:pPr>
          </w:p>
        </w:tc>
      </w:tr>
      <w:tr w14:paraId="60C292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A5464DD">
            <w:pPr>
              <w:pStyle w:val="102"/>
              <w:bidi w:val="0"/>
              <w:rPr>
                <w:rFonts w:hint="default"/>
                <w:highlight w:val="none"/>
                <w:lang w:val="en-US" w:eastAsia="zh-CN"/>
              </w:rPr>
            </w:pPr>
          </w:p>
        </w:tc>
        <w:tc>
          <w:tcPr>
            <w:tcW w:w="513" w:type="dxa"/>
            <w:tcBorders>
              <w:tl2br w:val="nil"/>
              <w:tr2bl w:val="nil"/>
            </w:tcBorders>
            <w:noWrap w:val="0"/>
            <w:vAlign w:val="center"/>
          </w:tcPr>
          <w:p w14:paraId="251DCE2D">
            <w:pPr>
              <w:pStyle w:val="102"/>
              <w:bidi w:val="0"/>
              <w:rPr>
                <w:rFonts w:hint="default"/>
                <w:highlight w:val="none"/>
                <w:lang w:val="en-US" w:eastAsia="zh-CN"/>
              </w:rPr>
            </w:pPr>
            <w:r>
              <w:rPr>
                <w:rFonts w:hint="default"/>
                <w:highlight w:val="none"/>
                <w:lang w:val="en-US" w:eastAsia="zh-CN"/>
              </w:rPr>
              <w:t>13</w:t>
            </w:r>
          </w:p>
        </w:tc>
        <w:tc>
          <w:tcPr>
            <w:tcW w:w="6041" w:type="dxa"/>
            <w:tcBorders>
              <w:tl2br w:val="nil"/>
              <w:tr2bl w:val="nil"/>
            </w:tcBorders>
            <w:noWrap w:val="0"/>
            <w:vAlign w:val="center"/>
          </w:tcPr>
          <w:p w14:paraId="01F903FF">
            <w:pPr>
              <w:pStyle w:val="102"/>
              <w:bidi w:val="0"/>
              <w:rPr>
                <w:rFonts w:hint="default"/>
                <w:highlight w:val="none"/>
                <w:lang w:val="en-US" w:eastAsia="zh-CN"/>
              </w:rPr>
            </w:pPr>
            <w:r>
              <w:rPr>
                <w:rFonts w:hint="default"/>
                <w:highlight w:val="none"/>
                <w:lang w:val="en-US" w:eastAsia="zh-CN"/>
              </w:rPr>
              <w:t>梯子、护圈、休息平台符合GB5144—2006规定，连接牢靠</w:t>
            </w:r>
          </w:p>
        </w:tc>
        <w:tc>
          <w:tcPr>
            <w:tcW w:w="1229" w:type="dxa"/>
            <w:tcBorders>
              <w:tl2br w:val="nil"/>
              <w:tr2bl w:val="nil"/>
            </w:tcBorders>
            <w:noWrap w:val="0"/>
            <w:vAlign w:val="center"/>
          </w:tcPr>
          <w:p w14:paraId="632BE8CD">
            <w:pPr>
              <w:pStyle w:val="102"/>
              <w:bidi w:val="0"/>
              <w:rPr>
                <w:rFonts w:hint="default"/>
                <w:highlight w:val="none"/>
                <w:lang w:val="en-US" w:eastAsia="zh-CN"/>
              </w:rPr>
            </w:pPr>
          </w:p>
        </w:tc>
      </w:tr>
      <w:tr w14:paraId="2068D7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1E27AF">
            <w:pPr>
              <w:pStyle w:val="102"/>
              <w:bidi w:val="0"/>
              <w:rPr>
                <w:rFonts w:hint="default"/>
                <w:highlight w:val="none"/>
                <w:lang w:val="en-US" w:eastAsia="zh-CN"/>
              </w:rPr>
            </w:pPr>
          </w:p>
        </w:tc>
        <w:tc>
          <w:tcPr>
            <w:tcW w:w="513" w:type="dxa"/>
            <w:tcBorders>
              <w:tl2br w:val="nil"/>
              <w:tr2bl w:val="nil"/>
            </w:tcBorders>
            <w:noWrap w:val="0"/>
            <w:vAlign w:val="center"/>
          </w:tcPr>
          <w:p w14:paraId="50CD42C5">
            <w:pPr>
              <w:pStyle w:val="102"/>
              <w:bidi w:val="0"/>
              <w:rPr>
                <w:rFonts w:hint="default"/>
                <w:highlight w:val="none"/>
                <w:lang w:val="en-US" w:eastAsia="zh-CN"/>
              </w:rPr>
            </w:pPr>
            <w:r>
              <w:rPr>
                <w:rFonts w:hint="default"/>
                <w:highlight w:val="none"/>
                <w:lang w:val="en-US" w:eastAsia="zh-CN"/>
              </w:rPr>
              <w:t>14</w:t>
            </w:r>
          </w:p>
        </w:tc>
        <w:tc>
          <w:tcPr>
            <w:tcW w:w="6041" w:type="dxa"/>
            <w:tcBorders>
              <w:tl2br w:val="nil"/>
              <w:tr2bl w:val="nil"/>
            </w:tcBorders>
            <w:noWrap w:val="0"/>
            <w:vAlign w:val="center"/>
          </w:tcPr>
          <w:p w14:paraId="0B398DA9">
            <w:pPr>
              <w:pStyle w:val="102"/>
              <w:bidi w:val="0"/>
              <w:rPr>
                <w:rFonts w:hint="default"/>
                <w:highlight w:val="none"/>
                <w:lang w:val="en-US" w:eastAsia="zh-CN"/>
              </w:rPr>
            </w:pPr>
            <w:r>
              <w:rPr>
                <w:rFonts w:hint="default"/>
                <w:highlight w:val="none"/>
                <w:lang w:val="en-US" w:eastAsia="zh-CN"/>
              </w:rPr>
              <w:t xml:space="preserve">平衡重安装牢固，重量与位置符合使用说明书要求， </w:t>
            </w:r>
          </w:p>
        </w:tc>
        <w:tc>
          <w:tcPr>
            <w:tcW w:w="1229" w:type="dxa"/>
            <w:tcBorders>
              <w:tl2br w:val="nil"/>
              <w:tr2bl w:val="nil"/>
            </w:tcBorders>
            <w:noWrap w:val="0"/>
            <w:vAlign w:val="center"/>
          </w:tcPr>
          <w:p w14:paraId="720EBC38">
            <w:pPr>
              <w:pStyle w:val="102"/>
              <w:bidi w:val="0"/>
              <w:rPr>
                <w:rFonts w:hint="default"/>
                <w:highlight w:val="none"/>
                <w:lang w:val="en-US" w:eastAsia="zh-CN"/>
              </w:rPr>
            </w:pPr>
          </w:p>
        </w:tc>
      </w:tr>
      <w:tr w14:paraId="1AD7B6E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594C29CC">
            <w:pPr>
              <w:pStyle w:val="102"/>
              <w:bidi w:val="0"/>
              <w:rPr>
                <w:rFonts w:hint="default"/>
                <w:highlight w:val="none"/>
                <w:lang w:val="en-US" w:eastAsia="zh-CN"/>
              </w:rPr>
            </w:pPr>
            <w:r>
              <w:rPr>
                <w:rFonts w:hint="default"/>
                <w:highlight w:val="none"/>
                <w:lang w:val="en-US" w:eastAsia="zh-CN"/>
              </w:rPr>
              <w:t>垂直度</w:t>
            </w:r>
          </w:p>
        </w:tc>
        <w:tc>
          <w:tcPr>
            <w:tcW w:w="513" w:type="dxa"/>
            <w:tcBorders>
              <w:tl2br w:val="nil"/>
              <w:tr2bl w:val="nil"/>
            </w:tcBorders>
            <w:noWrap w:val="0"/>
            <w:vAlign w:val="center"/>
          </w:tcPr>
          <w:p w14:paraId="6957DB7D">
            <w:pPr>
              <w:pStyle w:val="102"/>
              <w:bidi w:val="0"/>
              <w:rPr>
                <w:rFonts w:hint="default"/>
                <w:highlight w:val="none"/>
                <w:lang w:val="en-US" w:eastAsia="zh-CN"/>
              </w:rPr>
            </w:pPr>
            <w:r>
              <w:rPr>
                <w:rFonts w:hint="default"/>
                <w:highlight w:val="none"/>
                <w:lang w:val="en-US" w:eastAsia="zh-CN"/>
              </w:rPr>
              <w:t>15</w:t>
            </w:r>
          </w:p>
        </w:tc>
        <w:tc>
          <w:tcPr>
            <w:tcW w:w="6041" w:type="dxa"/>
            <w:tcBorders>
              <w:tl2br w:val="nil"/>
              <w:tr2bl w:val="nil"/>
            </w:tcBorders>
            <w:noWrap w:val="0"/>
            <w:vAlign w:val="center"/>
          </w:tcPr>
          <w:p w14:paraId="3AD568CE">
            <w:pPr>
              <w:pStyle w:val="102"/>
              <w:bidi w:val="0"/>
              <w:rPr>
                <w:rFonts w:hint="default"/>
                <w:highlight w:val="none"/>
                <w:lang w:val="en-US" w:eastAsia="zh-CN"/>
              </w:rPr>
            </w:pPr>
            <w:r>
              <w:rPr>
                <w:rFonts w:hint="default"/>
                <w:highlight w:val="none"/>
                <w:lang w:val="en-US" w:eastAsia="zh-CN"/>
              </w:rPr>
              <w:t>独立状态塔身轴心线对支承面的垂直度≤4‰</w:t>
            </w:r>
          </w:p>
        </w:tc>
        <w:tc>
          <w:tcPr>
            <w:tcW w:w="1229" w:type="dxa"/>
            <w:tcBorders>
              <w:tl2br w:val="nil"/>
              <w:tr2bl w:val="nil"/>
            </w:tcBorders>
            <w:noWrap w:val="0"/>
            <w:vAlign w:val="center"/>
          </w:tcPr>
          <w:p w14:paraId="62595DDD">
            <w:pPr>
              <w:pStyle w:val="102"/>
              <w:bidi w:val="0"/>
              <w:rPr>
                <w:rFonts w:hint="default"/>
                <w:highlight w:val="none"/>
                <w:lang w:val="en-US" w:eastAsia="zh-CN"/>
              </w:rPr>
            </w:pPr>
          </w:p>
        </w:tc>
      </w:tr>
      <w:tr w14:paraId="556C6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7AD01A6">
            <w:pPr>
              <w:pStyle w:val="102"/>
              <w:bidi w:val="0"/>
              <w:rPr>
                <w:rFonts w:hint="default"/>
                <w:highlight w:val="none"/>
                <w:lang w:val="en-US" w:eastAsia="zh-CN"/>
              </w:rPr>
            </w:pPr>
            <w:r>
              <w:rPr>
                <w:rFonts w:hint="default"/>
                <w:highlight w:val="none"/>
                <w:lang w:val="en-US" w:eastAsia="zh-CN"/>
              </w:rPr>
              <w:t>回转</w:t>
            </w:r>
          </w:p>
        </w:tc>
        <w:tc>
          <w:tcPr>
            <w:tcW w:w="513" w:type="dxa"/>
            <w:tcBorders>
              <w:tl2br w:val="nil"/>
              <w:tr2bl w:val="nil"/>
            </w:tcBorders>
            <w:noWrap w:val="0"/>
            <w:vAlign w:val="center"/>
          </w:tcPr>
          <w:p w14:paraId="4AB5557F">
            <w:pPr>
              <w:pStyle w:val="102"/>
              <w:bidi w:val="0"/>
              <w:rPr>
                <w:rFonts w:hint="default"/>
                <w:highlight w:val="none"/>
                <w:lang w:val="en-US" w:eastAsia="zh-CN"/>
              </w:rPr>
            </w:pPr>
            <w:r>
              <w:rPr>
                <w:rFonts w:hint="default"/>
                <w:highlight w:val="none"/>
                <w:lang w:val="en-US" w:eastAsia="zh-CN"/>
              </w:rPr>
              <w:t>16</w:t>
            </w:r>
          </w:p>
        </w:tc>
        <w:tc>
          <w:tcPr>
            <w:tcW w:w="6041" w:type="dxa"/>
            <w:tcBorders>
              <w:tl2br w:val="nil"/>
              <w:tr2bl w:val="nil"/>
            </w:tcBorders>
            <w:noWrap w:val="0"/>
            <w:vAlign w:val="center"/>
          </w:tcPr>
          <w:p w14:paraId="4B7BCCCA">
            <w:pPr>
              <w:pStyle w:val="102"/>
              <w:bidi w:val="0"/>
              <w:rPr>
                <w:rFonts w:hint="default"/>
                <w:highlight w:val="none"/>
                <w:lang w:val="en-US" w:eastAsia="zh-CN"/>
              </w:rPr>
            </w:pPr>
            <w:r>
              <w:rPr>
                <w:rFonts w:hint="default"/>
                <w:highlight w:val="none"/>
                <w:lang w:val="en-US" w:eastAsia="zh-CN"/>
              </w:rPr>
              <w:t>回转处不设集电器供电的塔式起重机，应设置正反两个方向回转限位开关，开关动作时臂架旋转角度应≤±540°</w:t>
            </w:r>
          </w:p>
        </w:tc>
        <w:tc>
          <w:tcPr>
            <w:tcW w:w="1229" w:type="dxa"/>
            <w:tcBorders>
              <w:tl2br w:val="nil"/>
              <w:tr2bl w:val="nil"/>
            </w:tcBorders>
            <w:noWrap w:val="0"/>
            <w:vAlign w:val="center"/>
          </w:tcPr>
          <w:p w14:paraId="5DD1B288">
            <w:pPr>
              <w:pStyle w:val="102"/>
              <w:bidi w:val="0"/>
              <w:rPr>
                <w:rFonts w:hint="default"/>
                <w:highlight w:val="none"/>
                <w:lang w:val="en-US" w:eastAsia="zh-CN"/>
              </w:rPr>
            </w:pPr>
          </w:p>
        </w:tc>
      </w:tr>
      <w:tr w14:paraId="61C9D50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B99B151">
            <w:pPr>
              <w:pStyle w:val="102"/>
              <w:bidi w:val="0"/>
              <w:rPr>
                <w:rFonts w:hint="default"/>
                <w:highlight w:val="none"/>
                <w:lang w:val="en-US" w:eastAsia="zh-CN"/>
              </w:rPr>
            </w:pPr>
            <w:r>
              <w:rPr>
                <w:rFonts w:hint="default"/>
                <w:highlight w:val="none"/>
                <w:lang w:val="en-US" w:eastAsia="zh-CN"/>
              </w:rPr>
              <w:t>起升系统</w:t>
            </w:r>
          </w:p>
        </w:tc>
        <w:tc>
          <w:tcPr>
            <w:tcW w:w="513" w:type="dxa"/>
            <w:tcBorders>
              <w:tl2br w:val="nil"/>
              <w:tr2bl w:val="nil"/>
            </w:tcBorders>
            <w:noWrap w:val="0"/>
            <w:vAlign w:val="center"/>
          </w:tcPr>
          <w:p w14:paraId="6413DFF0">
            <w:pPr>
              <w:pStyle w:val="102"/>
              <w:bidi w:val="0"/>
              <w:rPr>
                <w:rFonts w:hint="default"/>
                <w:highlight w:val="none"/>
                <w:lang w:val="en-US" w:eastAsia="zh-CN"/>
              </w:rPr>
            </w:pPr>
            <w:r>
              <w:rPr>
                <w:rFonts w:hint="default"/>
                <w:highlight w:val="none"/>
                <w:lang w:val="en-US" w:eastAsia="zh-CN"/>
              </w:rPr>
              <w:t>17</w:t>
            </w:r>
          </w:p>
        </w:tc>
        <w:tc>
          <w:tcPr>
            <w:tcW w:w="6041" w:type="dxa"/>
            <w:tcBorders>
              <w:tl2br w:val="nil"/>
              <w:tr2bl w:val="nil"/>
            </w:tcBorders>
            <w:noWrap w:val="0"/>
            <w:vAlign w:val="center"/>
          </w:tcPr>
          <w:p w14:paraId="0EF27B82">
            <w:pPr>
              <w:pStyle w:val="102"/>
              <w:bidi w:val="0"/>
              <w:rPr>
                <w:rFonts w:hint="default"/>
                <w:highlight w:val="none"/>
                <w:lang w:val="en-US" w:eastAsia="zh-CN"/>
              </w:rPr>
            </w:pPr>
            <w:r>
              <w:rPr>
                <w:rFonts w:hint="default"/>
                <w:highlight w:val="none"/>
                <w:lang w:val="en-US" w:eastAsia="zh-CN"/>
              </w:rPr>
              <w:t>起重力矩限制器灵敏可靠，限制值&lt;额定载荷110%，显示误差≤额定载荷±5%</w:t>
            </w:r>
          </w:p>
        </w:tc>
        <w:tc>
          <w:tcPr>
            <w:tcW w:w="1229" w:type="dxa"/>
            <w:tcBorders>
              <w:tl2br w:val="nil"/>
              <w:tr2bl w:val="nil"/>
            </w:tcBorders>
            <w:noWrap w:val="0"/>
            <w:vAlign w:val="center"/>
          </w:tcPr>
          <w:p w14:paraId="4279D8B6">
            <w:pPr>
              <w:pStyle w:val="102"/>
              <w:bidi w:val="0"/>
              <w:rPr>
                <w:rFonts w:hint="default"/>
                <w:highlight w:val="none"/>
                <w:lang w:val="en-US" w:eastAsia="zh-CN"/>
              </w:rPr>
            </w:pPr>
          </w:p>
        </w:tc>
      </w:tr>
      <w:tr w14:paraId="10846D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0AFC299">
            <w:pPr>
              <w:pStyle w:val="102"/>
              <w:bidi w:val="0"/>
              <w:rPr>
                <w:rFonts w:hint="default"/>
                <w:highlight w:val="none"/>
                <w:lang w:val="en-US" w:eastAsia="zh-CN"/>
              </w:rPr>
            </w:pPr>
          </w:p>
        </w:tc>
        <w:tc>
          <w:tcPr>
            <w:tcW w:w="513" w:type="dxa"/>
            <w:tcBorders>
              <w:tl2br w:val="nil"/>
              <w:tr2bl w:val="nil"/>
            </w:tcBorders>
            <w:noWrap w:val="0"/>
            <w:vAlign w:val="center"/>
          </w:tcPr>
          <w:p w14:paraId="52C433CE">
            <w:pPr>
              <w:pStyle w:val="102"/>
              <w:bidi w:val="0"/>
              <w:rPr>
                <w:rFonts w:hint="default"/>
                <w:highlight w:val="none"/>
                <w:lang w:val="en-US" w:eastAsia="zh-CN"/>
              </w:rPr>
            </w:pPr>
            <w:r>
              <w:rPr>
                <w:rFonts w:hint="default"/>
                <w:highlight w:val="none"/>
                <w:lang w:val="en-US" w:eastAsia="zh-CN"/>
              </w:rPr>
              <w:t>18</w:t>
            </w:r>
          </w:p>
        </w:tc>
        <w:tc>
          <w:tcPr>
            <w:tcW w:w="6041" w:type="dxa"/>
            <w:tcBorders>
              <w:tl2br w:val="nil"/>
              <w:tr2bl w:val="nil"/>
            </w:tcBorders>
            <w:noWrap w:val="0"/>
            <w:vAlign w:val="center"/>
          </w:tcPr>
          <w:p w14:paraId="246E9D49">
            <w:pPr>
              <w:pStyle w:val="102"/>
              <w:bidi w:val="0"/>
              <w:rPr>
                <w:rFonts w:hint="default"/>
                <w:highlight w:val="none"/>
                <w:lang w:val="en-US" w:eastAsia="zh-CN"/>
              </w:rPr>
            </w:pPr>
            <w:r>
              <w:rPr>
                <w:rFonts w:hint="default"/>
                <w:highlight w:val="none"/>
                <w:lang w:val="en-US" w:eastAsia="zh-CN"/>
              </w:rPr>
              <w:t>起升高度限位器灵敏可靠，安全越程≥800mm</w:t>
            </w:r>
          </w:p>
        </w:tc>
        <w:tc>
          <w:tcPr>
            <w:tcW w:w="1229" w:type="dxa"/>
            <w:tcBorders>
              <w:tl2br w:val="nil"/>
              <w:tr2bl w:val="nil"/>
            </w:tcBorders>
            <w:noWrap w:val="0"/>
            <w:vAlign w:val="center"/>
          </w:tcPr>
          <w:p w14:paraId="4D304025">
            <w:pPr>
              <w:pStyle w:val="102"/>
              <w:bidi w:val="0"/>
              <w:rPr>
                <w:rFonts w:hint="default"/>
                <w:highlight w:val="none"/>
                <w:lang w:val="en-US" w:eastAsia="zh-CN"/>
              </w:rPr>
            </w:pPr>
          </w:p>
        </w:tc>
      </w:tr>
      <w:tr w14:paraId="17CEBD6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71E591A">
            <w:pPr>
              <w:pStyle w:val="102"/>
              <w:bidi w:val="0"/>
              <w:rPr>
                <w:rFonts w:hint="default"/>
                <w:highlight w:val="none"/>
                <w:lang w:val="en-US" w:eastAsia="zh-CN"/>
              </w:rPr>
            </w:pPr>
          </w:p>
        </w:tc>
        <w:tc>
          <w:tcPr>
            <w:tcW w:w="513" w:type="dxa"/>
            <w:tcBorders>
              <w:tl2br w:val="nil"/>
              <w:tr2bl w:val="nil"/>
            </w:tcBorders>
            <w:noWrap w:val="0"/>
            <w:vAlign w:val="center"/>
          </w:tcPr>
          <w:p w14:paraId="161C8A87">
            <w:pPr>
              <w:pStyle w:val="102"/>
              <w:bidi w:val="0"/>
              <w:rPr>
                <w:rFonts w:hint="default"/>
                <w:highlight w:val="none"/>
                <w:lang w:val="en-US" w:eastAsia="zh-CN"/>
              </w:rPr>
            </w:pPr>
            <w:r>
              <w:rPr>
                <w:rFonts w:hint="default"/>
                <w:highlight w:val="none"/>
                <w:lang w:val="en-US" w:eastAsia="zh-CN"/>
              </w:rPr>
              <w:t>19</w:t>
            </w:r>
          </w:p>
        </w:tc>
        <w:tc>
          <w:tcPr>
            <w:tcW w:w="6041" w:type="dxa"/>
            <w:tcBorders>
              <w:tl2br w:val="nil"/>
              <w:tr2bl w:val="nil"/>
            </w:tcBorders>
            <w:noWrap w:val="0"/>
            <w:vAlign w:val="center"/>
          </w:tcPr>
          <w:p w14:paraId="245BA9C1">
            <w:pPr>
              <w:pStyle w:val="102"/>
              <w:bidi w:val="0"/>
              <w:rPr>
                <w:rFonts w:hint="default"/>
                <w:highlight w:val="none"/>
                <w:lang w:val="en-US" w:eastAsia="zh-CN"/>
              </w:rPr>
            </w:pPr>
            <w:r>
              <w:rPr>
                <w:rFonts w:hint="default"/>
                <w:highlight w:val="none"/>
                <w:lang w:val="en-US" w:eastAsia="zh-CN"/>
              </w:rPr>
              <w:t>起重量限制器灵敏可靠，限制值＜额定载荷110%，显示误差≤额定载荷±5%</w:t>
            </w:r>
          </w:p>
        </w:tc>
        <w:tc>
          <w:tcPr>
            <w:tcW w:w="1229" w:type="dxa"/>
            <w:tcBorders>
              <w:tl2br w:val="nil"/>
              <w:tr2bl w:val="nil"/>
            </w:tcBorders>
            <w:noWrap w:val="0"/>
            <w:vAlign w:val="center"/>
          </w:tcPr>
          <w:p w14:paraId="0C02C57E">
            <w:pPr>
              <w:pStyle w:val="102"/>
              <w:bidi w:val="0"/>
              <w:rPr>
                <w:rFonts w:hint="default"/>
                <w:highlight w:val="none"/>
                <w:lang w:val="en-US" w:eastAsia="zh-CN"/>
              </w:rPr>
            </w:pPr>
          </w:p>
        </w:tc>
      </w:tr>
      <w:tr w14:paraId="59E578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159052A5">
            <w:pPr>
              <w:pStyle w:val="102"/>
              <w:bidi w:val="0"/>
              <w:rPr>
                <w:rFonts w:hint="default"/>
                <w:highlight w:val="none"/>
                <w:lang w:val="en-US" w:eastAsia="zh-CN"/>
              </w:rPr>
            </w:pPr>
            <w:r>
              <w:rPr>
                <w:rFonts w:hint="default"/>
                <w:highlight w:val="none"/>
                <w:lang w:val="en-US" w:eastAsia="zh-CN"/>
              </w:rPr>
              <w:t>变幅系统</w:t>
            </w:r>
          </w:p>
        </w:tc>
        <w:tc>
          <w:tcPr>
            <w:tcW w:w="513" w:type="dxa"/>
            <w:tcBorders>
              <w:tl2br w:val="nil"/>
              <w:tr2bl w:val="nil"/>
            </w:tcBorders>
            <w:noWrap w:val="0"/>
            <w:vAlign w:val="center"/>
          </w:tcPr>
          <w:p w14:paraId="29A2DD67">
            <w:pPr>
              <w:pStyle w:val="102"/>
              <w:bidi w:val="0"/>
              <w:rPr>
                <w:rFonts w:hint="default"/>
                <w:highlight w:val="none"/>
                <w:lang w:val="en-US" w:eastAsia="zh-CN"/>
              </w:rPr>
            </w:pPr>
            <w:r>
              <w:rPr>
                <w:rFonts w:hint="default"/>
                <w:highlight w:val="none"/>
                <w:lang w:val="en-US" w:eastAsia="zh-CN"/>
              </w:rPr>
              <w:t>20</w:t>
            </w:r>
          </w:p>
        </w:tc>
        <w:tc>
          <w:tcPr>
            <w:tcW w:w="6041" w:type="dxa"/>
            <w:tcBorders>
              <w:tl2br w:val="nil"/>
              <w:tr2bl w:val="nil"/>
            </w:tcBorders>
            <w:noWrap w:val="0"/>
            <w:vAlign w:val="center"/>
          </w:tcPr>
          <w:p w14:paraId="6B3E8513">
            <w:pPr>
              <w:pStyle w:val="102"/>
              <w:bidi w:val="0"/>
              <w:rPr>
                <w:rFonts w:hint="default"/>
                <w:highlight w:val="none"/>
                <w:lang w:val="en-US" w:eastAsia="zh-CN"/>
              </w:rPr>
            </w:pPr>
            <w:r>
              <w:rPr>
                <w:rFonts w:hint="default"/>
                <w:highlight w:val="none"/>
                <w:lang w:val="en-US" w:eastAsia="zh-CN"/>
              </w:rPr>
              <w:t>应设置小车断绳、小车断轴保护装置，可靠有效</w:t>
            </w:r>
          </w:p>
        </w:tc>
        <w:tc>
          <w:tcPr>
            <w:tcW w:w="1229" w:type="dxa"/>
            <w:tcBorders>
              <w:tl2br w:val="nil"/>
              <w:tr2bl w:val="nil"/>
            </w:tcBorders>
            <w:noWrap w:val="0"/>
            <w:vAlign w:val="center"/>
          </w:tcPr>
          <w:p w14:paraId="1FBA7BC7">
            <w:pPr>
              <w:pStyle w:val="102"/>
              <w:bidi w:val="0"/>
              <w:rPr>
                <w:rFonts w:hint="default"/>
                <w:highlight w:val="none"/>
                <w:lang w:val="en-US" w:eastAsia="zh-CN"/>
              </w:rPr>
            </w:pPr>
          </w:p>
        </w:tc>
      </w:tr>
      <w:tr w14:paraId="02A26BA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77479BC5">
            <w:pPr>
              <w:pStyle w:val="102"/>
              <w:bidi w:val="0"/>
              <w:rPr>
                <w:rFonts w:hint="default"/>
                <w:highlight w:val="none"/>
                <w:lang w:val="en-US" w:eastAsia="zh-CN"/>
              </w:rPr>
            </w:pPr>
          </w:p>
        </w:tc>
        <w:tc>
          <w:tcPr>
            <w:tcW w:w="513" w:type="dxa"/>
            <w:tcBorders>
              <w:tl2br w:val="nil"/>
              <w:tr2bl w:val="nil"/>
            </w:tcBorders>
            <w:noWrap w:val="0"/>
            <w:vAlign w:val="center"/>
          </w:tcPr>
          <w:p w14:paraId="0E634CF7">
            <w:pPr>
              <w:pStyle w:val="102"/>
              <w:bidi w:val="0"/>
              <w:rPr>
                <w:rFonts w:hint="default"/>
                <w:highlight w:val="none"/>
                <w:lang w:val="en-US" w:eastAsia="zh-CN"/>
              </w:rPr>
            </w:pPr>
            <w:r>
              <w:rPr>
                <w:rFonts w:hint="default"/>
                <w:highlight w:val="none"/>
                <w:lang w:val="en-US" w:eastAsia="zh-CN"/>
              </w:rPr>
              <w:t>21</w:t>
            </w:r>
          </w:p>
        </w:tc>
        <w:tc>
          <w:tcPr>
            <w:tcW w:w="6041" w:type="dxa"/>
            <w:tcBorders>
              <w:tl2br w:val="nil"/>
              <w:tr2bl w:val="nil"/>
            </w:tcBorders>
            <w:noWrap w:val="0"/>
            <w:vAlign w:val="center"/>
          </w:tcPr>
          <w:p w14:paraId="499AE565">
            <w:pPr>
              <w:pStyle w:val="102"/>
              <w:bidi w:val="0"/>
              <w:rPr>
                <w:rFonts w:hint="default"/>
                <w:highlight w:val="none"/>
                <w:lang w:val="en-US" w:eastAsia="zh-CN"/>
              </w:rPr>
            </w:pPr>
            <w:r>
              <w:rPr>
                <w:rFonts w:hint="default"/>
                <w:highlight w:val="none"/>
                <w:lang w:val="en-US" w:eastAsia="zh-CN"/>
              </w:rPr>
              <w:t>小车变幅检修挂篮牢固可靠</w:t>
            </w:r>
          </w:p>
        </w:tc>
        <w:tc>
          <w:tcPr>
            <w:tcW w:w="1229" w:type="dxa"/>
            <w:tcBorders>
              <w:tl2br w:val="nil"/>
              <w:tr2bl w:val="nil"/>
            </w:tcBorders>
            <w:noWrap w:val="0"/>
            <w:vAlign w:val="center"/>
          </w:tcPr>
          <w:p w14:paraId="2FF3EF3B">
            <w:pPr>
              <w:pStyle w:val="102"/>
              <w:bidi w:val="0"/>
              <w:rPr>
                <w:rFonts w:hint="default"/>
                <w:highlight w:val="none"/>
                <w:lang w:val="en-US" w:eastAsia="zh-CN"/>
              </w:rPr>
            </w:pPr>
          </w:p>
        </w:tc>
      </w:tr>
      <w:tr w14:paraId="3748FF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FDE4A71">
            <w:pPr>
              <w:pStyle w:val="102"/>
              <w:bidi w:val="0"/>
              <w:rPr>
                <w:rFonts w:hint="default"/>
                <w:highlight w:val="none"/>
                <w:lang w:val="en-US" w:eastAsia="zh-CN"/>
              </w:rPr>
            </w:pPr>
          </w:p>
        </w:tc>
        <w:tc>
          <w:tcPr>
            <w:tcW w:w="513" w:type="dxa"/>
            <w:tcBorders>
              <w:tl2br w:val="nil"/>
              <w:tr2bl w:val="nil"/>
            </w:tcBorders>
            <w:noWrap w:val="0"/>
            <w:vAlign w:val="center"/>
          </w:tcPr>
          <w:p w14:paraId="79D2AA77">
            <w:pPr>
              <w:pStyle w:val="102"/>
              <w:bidi w:val="0"/>
              <w:rPr>
                <w:rFonts w:hint="default"/>
                <w:highlight w:val="none"/>
                <w:lang w:val="en-US" w:eastAsia="zh-CN"/>
              </w:rPr>
            </w:pPr>
            <w:r>
              <w:rPr>
                <w:rFonts w:hint="default"/>
                <w:highlight w:val="none"/>
                <w:lang w:val="en-US" w:eastAsia="zh-CN"/>
              </w:rPr>
              <w:t>22</w:t>
            </w:r>
          </w:p>
        </w:tc>
        <w:tc>
          <w:tcPr>
            <w:tcW w:w="6041" w:type="dxa"/>
            <w:tcBorders>
              <w:tl2br w:val="nil"/>
              <w:tr2bl w:val="nil"/>
            </w:tcBorders>
            <w:noWrap w:val="0"/>
            <w:vAlign w:val="center"/>
          </w:tcPr>
          <w:p w14:paraId="010F6982">
            <w:pPr>
              <w:pStyle w:val="102"/>
              <w:bidi w:val="0"/>
              <w:rPr>
                <w:rFonts w:hint="default"/>
                <w:highlight w:val="none"/>
                <w:lang w:val="en-US" w:eastAsia="zh-CN"/>
              </w:rPr>
            </w:pPr>
            <w:r>
              <w:rPr>
                <w:rFonts w:hint="default"/>
                <w:highlight w:val="none"/>
                <w:lang w:val="en-US" w:eastAsia="zh-CN"/>
              </w:rPr>
              <w:t>小车行程限位开关和终端缓冲装置齐全有效。限位开关动作后应保证小车停车时其端部距缓冲装置距离≥200mm</w:t>
            </w:r>
          </w:p>
        </w:tc>
        <w:tc>
          <w:tcPr>
            <w:tcW w:w="1229" w:type="dxa"/>
            <w:tcBorders>
              <w:tl2br w:val="nil"/>
              <w:tr2bl w:val="nil"/>
            </w:tcBorders>
            <w:noWrap w:val="0"/>
            <w:vAlign w:val="center"/>
          </w:tcPr>
          <w:p w14:paraId="73F7B804">
            <w:pPr>
              <w:pStyle w:val="102"/>
              <w:bidi w:val="0"/>
              <w:rPr>
                <w:rFonts w:hint="default"/>
                <w:highlight w:val="none"/>
                <w:lang w:val="en-US" w:eastAsia="zh-CN"/>
              </w:rPr>
            </w:pPr>
          </w:p>
        </w:tc>
      </w:tr>
      <w:tr w14:paraId="7ACD4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57209F6E">
            <w:pPr>
              <w:pStyle w:val="102"/>
              <w:bidi w:val="0"/>
              <w:rPr>
                <w:rFonts w:hint="default"/>
                <w:highlight w:val="none"/>
                <w:lang w:val="en-US" w:eastAsia="zh-CN"/>
              </w:rPr>
            </w:pPr>
            <w:r>
              <w:rPr>
                <w:rFonts w:hint="default"/>
                <w:highlight w:val="none"/>
                <w:lang w:val="en-US" w:eastAsia="zh-CN"/>
              </w:rPr>
              <w:t>机构及零部件</w:t>
            </w:r>
          </w:p>
        </w:tc>
        <w:tc>
          <w:tcPr>
            <w:tcW w:w="513" w:type="dxa"/>
            <w:tcBorders>
              <w:tl2br w:val="nil"/>
              <w:tr2bl w:val="nil"/>
            </w:tcBorders>
            <w:noWrap w:val="0"/>
            <w:vAlign w:val="center"/>
          </w:tcPr>
          <w:p w14:paraId="089F1205">
            <w:pPr>
              <w:pStyle w:val="102"/>
              <w:bidi w:val="0"/>
              <w:rPr>
                <w:rFonts w:hint="default"/>
                <w:highlight w:val="none"/>
                <w:lang w:val="en-US" w:eastAsia="zh-CN"/>
              </w:rPr>
            </w:pPr>
            <w:r>
              <w:rPr>
                <w:rFonts w:hint="default"/>
                <w:highlight w:val="none"/>
                <w:lang w:val="en-US" w:eastAsia="zh-CN"/>
              </w:rPr>
              <w:t>23</w:t>
            </w:r>
          </w:p>
        </w:tc>
        <w:tc>
          <w:tcPr>
            <w:tcW w:w="6041" w:type="dxa"/>
            <w:tcBorders>
              <w:tl2br w:val="nil"/>
              <w:tr2bl w:val="nil"/>
            </w:tcBorders>
            <w:noWrap w:val="0"/>
            <w:vAlign w:val="center"/>
          </w:tcPr>
          <w:p w14:paraId="135AE44F">
            <w:pPr>
              <w:pStyle w:val="102"/>
              <w:bidi w:val="0"/>
              <w:rPr>
                <w:rFonts w:hint="default"/>
                <w:highlight w:val="none"/>
                <w:lang w:val="en-US" w:eastAsia="zh-CN"/>
              </w:rPr>
            </w:pPr>
            <w:r>
              <w:rPr>
                <w:rFonts w:hint="default"/>
                <w:highlight w:val="none"/>
                <w:lang w:val="en-US" w:eastAsia="zh-CN"/>
              </w:rPr>
              <w:t>吊钩钩体无裂纹、补焊，危险截面、钩筋无塑性变形，挂绳处截面磨损量＜原高度的10%</w:t>
            </w:r>
          </w:p>
        </w:tc>
        <w:tc>
          <w:tcPr>
            <w:tcW w:w="1229" w:type="dxa"/>
            <w:tcBorders>
              <w:tl2br w:val="nil"/>
              <w:tr2bl w:val="nil"/>
            </w:tcBorders>
            <w:noWrap w:val="0"/>
            <w:vAlign w:val="center"/>
          </w:tcPr>
          <w:p w14:paraId="0C9FFE77">
            <w:pPr>
              <w:pStyle w:val="102"/>
              <w:bidi w:val="0"/>
              <w:rPr>
                <w:rFonts w:hint="default"/>
                <w:highlight w:val="none"/>
                <w:lang w:val="en-US" w:eastAsia="zh-CN"/>
              </w:rPr>
            </w:pPr>
          </w:p>
        </w:tc>
      </w:tr>
      <w:tr w14:paraId="3CE57C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BE3CCA">
            <w:pPr>
              <w:pStyle w:val="102"/>
              <w:bidi w:val="0"/>
              <w:rPr>
                <w:rFonts w:hint="default"/>
                <w:highlight w:val="none"/>
                <w:lang w:val="en-US" w:eastAsia="zh-CN"/>
              </w:rPr>
            </w:pPr>
          </w:p>
        </w:tc>
        <w:tc>
          <w:tcPr>
            <w:tcW w:w="513" w:type="dxa"/>
            <w:tcBorders>
              <w:tl2br w:val="nil"/>
              <w:tr2bl w:val="nil"/>
            </w:tcBorders>
            <w:noWrap w:val="0"/>
            <w:vAlign w:val="center"/>
          </w:tcPr>
          <w:p w14:paraId="03303823">
            <w:pPr>
              <w:pStyle w:val="102"/>
              <w:bidi w:val="0"/>
              <w:rPr>
                <w:rFonts w:hint="default"/>
                <w:highlight w:val="none"/>
                <w:lang w:val="en-US" w:eastAsia="zh-CN"/>
              </w:rPr>
            </w:pPr>
            <w:r>
              <w:rPr>
                <w:rFonts w:hint="default"/>
                <w:highlight w:val="none"/>
                <w:lang w:val="en-US" w:eastAsia="zh-CN"/>
              </w:rPr>
              <w:t>24</w:t>
            </w:r>
          </w:p>
        </w:tc>
        <w:tc>
          <w:tcPr>
            <w:tcW w:w="6041" w:type="dxa"/>
            <w:tcBorders>
              <w:tl2br w:val="nil"/>
              <w:tr2bl w:val="nil"/>
            </w:tcBorders>
            <w:noWrap w:val="0"/>
            <w:vAlign w:val="center"/>
          </w:tcPr>
          <w:p w14:paraId="2439E3DF">
            <w:pPr>
              <w:pStyle w:val="102"/>
              <w:bidi w:val="0"/>
              <w:rPr>
                <w:rFonts w:hint="default"/>
                <w:highlight w:val="none"/>
                <w:lang w:val="en-US" w:eastAsia="zh-CN"/>
              </w:rPr>
            </w:pPr>
            <w:r>
              <w:rPr>
                <w:rFonts w:hint="default"/>
                <w:highlight w:val="none"/>
                <w:lang w:val="en-US" w:eastAsia="zh-CN"/>
              </w:rPr>
              <w:t>滑轮转动灵活可靠，无卡塞现象；无裂纹或轮缘破损；滑轮绳槽壁厚磨损量＜原壁厚的20%；滑轮槽底的磨损量＜相应钢丝绳直径的25%</w:t>
            </w:r>
          </w:p>
        </w:tc>
        <w:tc>
          <w:tcPr>
            <w:tcW w:w="1229" w:type="dxa"/>
            <w:tcBorders>
              <w:tl2br w:val="nil"/>
              <w:tr2bl w:val="nil"/>
            </w:tcBorders>
            <w:noWrap w:val="0"/>
            <w:vAlign w:val="center"/>
          </w:tcPr>
          <w:p w14:paraId="2225AEDA">
            <w:pPr>
              <w:pStyle w:val="102"/>
              <w:bidi w:val="0"/>
              <w:rPr>
                <w:rFonts w:hint="default"/>
                <w:highlight w:val="none"/>
                <w:lang w:val="en-US" w:eastAsia="zh-CN"/>
              </w:rPr>
            </w:pPr>
          </w:p>
        </w:tc>
      </w:tr>
      <w:tr w14:paraId="2097196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30929B15">
            <w:pPr>
              <w:pStyle w:val="102"/>
              <w:bidi w:val="0"/>
              <w:rPr>
                <w:rFonts w:hint="default"/>
                <w:highlight w:val="none"/>
                <w:lang w:val="en-US" w:eastAsia="zh-CN"/>
              </w:rPr>
            </w:pPr>
          </w:p>
        </w:tc>
        <w:tc>
          <w:tcPr>
            <w:tcW w:w="513" w:type="dxa"/>
            <w:tcBorders>
              <w:tl2br w:val="nil"/>
              <w:tr2bl w:val="nil"/>
            </w:tcBorders>
            <w:noWrap w:val="0"/>
            <w:vAlign w:val="center"/>
          </w:tcPr>
          <w:p w14:paraId="1245D91E">
            <w:pPr>
              <w:pStyle w:val="102"/>
              <w:bidi w:val="0"/>
              <w:rPr>
                <w:rFonts w:hint="default"/>
                <w:highlight w:val="none"/>
                <w:lang w:val="en-US" w:eastAsia="zh-CN"/>
              </w:rPr>
            </w:pPr>
            <w:r>
              <w:rPr>
                <w:rFonts w:hint="default"/>
                <w:highlight w:val="none"/>
                <w:lang w:val="en-US" w:eastAsia="zh-CN"/>
              </w:rPr>
              <w:t>25</w:t>
            </w:r>
          </w:p>
        </w:tc>
        <w:tc>
          <w:tcPr>
            <w:tcW w:w="6041" w:type="dxa"/>
            <w:tcBorders>
              <w:tl2br w:val="nil"/>
              <w:tr2bl w:val="nil"/>
            </w:tcBorders>
            <w:noWrap w:val="0"/>
            <w:vAlign w:val="center"/>
          </w:tcPr>
          <w:p w14:paraId="15B66F70">
            <w:pPr>
              <w:pStyle w:val="102"/>
              <w:bidi w:val="0"/>
              <w:rPr>
                <w:rFonts w:hint="default"/>
                <w:highlight w:val="none"/>
                <w:lang w:val="en-US" w:eastAsia="zh-CN"/>
              </w:rPr>
            </w:pPr>
            <w:r>
              <w:rPr>
                <w:rFonts w:hint="default"/>
                <w:highlight w:val="none"/>
                <w:lang w:val="en-US" w:eastAsia="zh-CN"/>
              </w:rPr>
              <w:t>滑轮上的钢丝绳防脱装置应完整、可靠，该装置与滑轮最外缘的间隙≤钢丝绳直径的20%</w:t>
            </w:r>
          </w:p>
        </w:tc>
        <w:tc>
          <w:tcPr>
            <w:tcW w:w="1229" w:type="dxa"/>
            <w:tcBorders>
              <w:tl2br w:val="nil"/>
              <w:tr2bl w:val="nil"/>
            </w:tcBorders>
            <w:noWrap w:val="0"/>
            <w:vAlign w:val="center"/>
          </w:tcPr>
          <w:p w14:paraId="2F523861">
            <w:pPr>
              <w:pStyle w:val="102"/>
              <w:bidi w:val="0"/>
              <w:rPr>
                <w:rFonts w:hint="default"/>
                <w:highlight w:val="none"/>
                <w:lang w:val="en-US" w:eastAsia="zh-CN"/>
              </w:rPr>
            </w:pPr>
          </w:p>
        </w:tc>
      </w:tr>
      <w:tr w14:paraId="40E69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C200DFE">
            <w:pPr>
              <w:pStyle w:val="102"/>
              <w:bidi w:val="0"/>
              <w:rPr>
                <w:rFonts w:hint="default"/>
                <w:highlight w:val="none"/>
                <w:lang w:val="en-US" w:eastAsia="zh-CN"/>
              </w:rPr>
            </w:pPr>
          </w:p>
        </w:tc>
        <w:tc>
          <w:tcPr>
            <w:tcW w:w="513" w:type="dxa"/>
            <w:tcBorders>
              <w:tl2br w:val="nil"/>
              <w:tr2bl w:val="nil"/>
            </w:tcBorders>
            <w:noWrap w:val="0"/>
            <w:vAlign w:val="center"/>
          </w:tcPr>
          <w:p w14:paraId="06FF7460">
            <w:pPr>
              <w:pStyle w:val="102"/>
              <w:bidi w:val="0"/>
              <w:rPr>
                <w:rFonts w:hint="default"/>
                <w:highlight w:val="none"/>
                <w:lang w:val="en-US" w:eastAsia="zh-CN"/>
              </w:rPr>
            </w:pPr>
            <w:r>
              <w:rPr>
                <w:rFonts w:hint="default"/>
                <w:highlight w:val="none"/>
                <w:lang w:val="en-US" w:eastAsia="zh-CN"/>
              </w:rPr>
              <w:t>26</w:t>
            </w:r>
          </w:p>
        </w:tc>
        <w:tc>
          <w:tcPr>
            <w:tcW w:w="6041" w:type="dxa"/>
            <w:tcBorders>
              <w:tl2br w:val="nil"/>
              <w:tr2bl w:val="nil"/>
            </w:tcBorders>
            <w:noWrap w:val="0"/>
            <w:vAlign w:val="center"/>
          </w:tcPr>
          <w:p w14:paraId="14BC20AA">
            <w:pPr>
              <w:pStyle w:val="102"/>
              <w:bidi w:val="0"/>
              <w:rPr>
                <w:rFonts w:hint="default"/>
                <w:highlight w:val="none"/>
                <w:lang w:val="en-US" w:eastAsia="zh-CN"/>
              </w:rPr>
            </w:pPr>
            <w:r>
              <w:rPr>
                <w:rFonts w:hint="default"/>
                <w:highlight w:val="none"/>
                <w:lang w:val="en-US" w:eastAsia="zh-CN"/>
              </w:rPr>
              <w:t>吊钩防钢丝绳脱钩装置应完整可靠</w:t>
            </w:r>
          </w:p>
        </w:tc>
        <w:tc>
          <w:tcPr>
            <w:tcW w:w="1229" w:type="dxa"/>
            <w:tcBorders>
              <w:tl2br w:val="nil"/>
              <w:tr2bl w:val="nil"/>
            </w:tcBorders>
            <w:noWrap w:val="0"/>
            <w:vAlign w:val="center"/>
          </w:tcPr>
          <w:p w14:paraId="1525C5DF">
            <w:pPr>
              <w:pStyle w:val="102"/>
              <w:bidi w:val="0"/>
              <w:rPr>
                <w:rFonts w:hint="default"/>
                <w:highlight w:val="none"/>
                <w:lang w:val="en-US" w:eastAsia="zh-CN"/>
              </w:rPr>
            </w:pPr>
          </w:p>
        </w:tc>
      </w:tr>
      <w:tr w14:paraId="1F9469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B1B8783">
            <w:pPr>
              <w:pStyle w:val="102"/>
              <w:bidi w:val="0"/>
              <w:rPr>
                <w:rFonts w:hint="default"/>
                <w:highlight w:val="none"/>
                <w:lang w:val="en-US" w:eastAsia="zh-CN"/>
              </w:rPr>
            </w:pPr>
          </w:p>
        </w:tc>
        <w:tc>
          <w:tcPr>
            <w:tcW w:w="513" w:type="dxa"/>
            <w:tcBorders>
              <w:tl2br w:val="nil"/>
              <w:tr2bl w:val="nil"/>
            </w:tcBorders>
            <w:noWrap w:val="0"/>
            <w:vAlign w:val="center"/>
          </w:tcPr>
          <w:p w14:paraId="0BFD9CDC">
            <w:pPr>
              <w:pStyle w:val="102"/>
              <w:bidi w:val="0"/>
              <w:rPr>
                <w:rFonts w:hint="default"/>
                <w:highlight w:val="none"/>
                <w:lang w:val="en-US" w:eastAsia="zh-CN"/>
              </w:rPr>
            </w:pPr>
            <w:r>
              <w:rPr>
                <w:rFonts w:hint="default"/>
                <w:highlight w:val="none"/>
                <w:lang w:val="en-US" w:eastAsia="zh-CN"/>
              </w:rPr>
              <w:t>27</w:t>
            </w:r>
          </w:p>
        </w:tc>
        <w:tc>
          <w:tcPr>
            <w:tcW w:w="6041" w:type="dxa"/>
            <w:tcBorders>
              <w:tl2br w:val="nil"/>
              <w:tr2bl w:val="nil"/>
            </w:tcBorders>
            <w:noWrap w:val="0"/>
            <w:vAlign w:val="center"/>
          </w:tcPr>
          <w:p w14:paraId="0E24E0BB">
            <w:pPr>
              <w:pStyle w:val="102"/>
              <w:bidi w:val="0"/>
              <w:rPr>
                <w:rFonts w:hint="default"/>
                <w:highlight w:val="none"/>
                <w:lang w:val="en-US" w:eastAsia="zh-CN"/>
              </w:rPr>
            </w:pPr>
            <w:r>
              <w:rPr>
                <w:rFonts w:hint="default"/>
                <w:highlight w:val="none"/>
                <w:lang w:val="en-US" w:eastAsia="zh-CN"/>
              </w:rPr>
              <w:t>卷筒壁不应有裂纹，筒壁磨损量＜原壁厚的10%；多层缠绕的卷筒，端部应有比最外层钢丝绳高出2倍钢丝绳直径的凸缘</w:t>
            </w:r>
          </w:p>
        </w:tc>
        <w:tc>
          <w:tcPr>
            <w:tcW w:w="1229" w:type="dxa"/>
            <w:tcBorders>
              <w:tl2br w:val="nil"/>
              <w:tr2bl w:val="nil"/>
            </w:tcBorders>
            <w:noWrap w:val="0"/>
            <w:vAlign w:val="top"/>
          </w:tcPr>
          <w:p w14:paraId="02BBCB5D">
            <w:pPr>
              <w:pStyle w:val="102"/>
              <w:bidi w:val="0"/>
              <w:rPr>
                <w:rFonts w:hint="default"/>
                <w:highlight w:val="none"/>
                <w:lang w:val="en-US" w:eastAsia="zh-CN"/>
              </w:rPr>
            </w:pPr>
          </w:p>
        </w:tc>
      </w:tr>
      <w:tr w14:paraId="22E145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C326FB4">
            <w:pPr>
              <w:pStyle w:val="102"/>
              <w:bidi w:val="0"/>
              <w:rPr>
                <w:rFonts w:hint="default"/>
                <w:highlight w:val="none"/>
                <w:lang w:val="en-US" w:eastAsia="zh-CN"/>
              </w:rPr>
            </w:pPr>
          </w:p>
        </w:tc>
        <w:tc>
          <w:tcPr>
            <w:tcW w:w="513" w:type="dxa"/>
            <w:tcBorders>
              <w:tl2br w:val="nil"/>
              <w:tr2bl w:val="nil"/>
            </w:tcBorders>
            <w:noWrap w:val="0"/>
            <w:vAlign w:val="center"/>
          </w:tcPr>
          <w:p w14:paraId="1E2D66F6">
            <w:pPr>
              <w:pStyle w:val="102"/>
              <w:bidi w:val="0"/>
              <w:rPr>
                <w:rFonts w:hint="default"/>
                <w:highlight w:val="none"/>
                <w:lang w:val="en-US" w:eastAsia="zh-CN"/>
              </w:rPr>
            </w:pPr>
            <w:r>
              <w:rPr>
                <w:rFonts w:hint="default"/>
                <w:highlight w:val="none"/>
                <w:lang w:val="en-US" w:eastAsia="zh-CN"/>
              </w:rPr>
              <w:t>28</w:t>
            </w:r>
          </w:p>
        </w:tc>
        <w:tc>
          <w:tcPr>
            <w:tcW w:w="6041" w:type="dxa"/>
            <w:tcBorders>
              <w:tl2br w:val="nil"/>
              <w:tr2bl w:val="nil"/>
            </w:tcBorders>
            <w:noWrap w:val="0"/>
            <w:vAlign w:val="center"/>
          </w:tcPr>
          <w:p w14:paraId="2D46D8E3">
            <w:pPr>
              <w:pStyle w:val="102"/>
              <w:bidi w:val="0"/>
              <w:rPr>
                <w:rFonts w:hint="default"/>
                <w:highlight w:val="none"/>
                <w:lang w:val="en-US" w:eastAsia="zh-CN"/>
              </w:rPr>
            </w:pPr>
            <w:r>
              <w:rPr>
                <w:rFonts w:hint="default"/>
                <w:highlight w:val="none"/>
                <w:lang w:val="en-US" w:eastAsia="zh-CN"/>
              </w:rPr>
              <w:t>卷筒上钢丝绳应排列有序，有钢丝绳防脱槽装置。该装置与卷筒最外缘的间隙≤钢丝绳直径的20%</w:t>
            </w:r>
          </w:p>
        </w:tc>
        <w:tc>
          <w:tcPr>
            <w:tcW w:w="1229" w:type="dxa"/>
            <w:tcBorders>
              <w:tl2br w:val="nil"/>
              <w:tr2bl w:val="nil"/>
            </w:tcBorders>
            <w:noWrap w:val="0"/>
            <w:vAlign w:val="center"/>
          </w:tcPr>
          <w:p w14:paraId="639E3B0B">
            <w:pPr>
              <w:pStyle w:val="102"/>
              <w:bidi w:val="0"/>
              <w:rPr>
                <w:rFonts w:hint="default"/>
                <w:highlight w:val="none"/>
                <w:lang w:val="en-US" w:eastAsia="zh-CN"/>
              </w:rPr>
            </w:pPr>
          </w:p>
        </w:tc>
      </w:tr>
      <w:tr w14:paraId="4F72FB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876323A">
            <w:pPr>
              <w:pStyle w:val="102"/>
              <w:bidi w:val="0"/>
              <w:rPr>
                <w:rFonts w:hint="default"/>
                <w:highlight w:val="none"/>
                <w:lang w:val="en-US" w:eastAsia="zh-CN"/>
              </w:rPr>
            </w:pPr>
          </w:p>
        </w:tc>
        <w:tc>
          <w:tcPr>
            <w:tcW w:w="513" w:type="dxa"/>
            <w:tcBorders>
              <w:tl2br w:val="nil"/>
              <w:tr2bl w:val="nil"/>
            </w:tcBorders>
            <w:noWrap w:val="0"/>
            <w:vAlign w:val="center"/>
          </w:tcPr>
          <w:p w14:paraId="248AA6F7">
            <w:pPr>
              <w:pStyle w:val="102"/>
              <w:bidi w:val="0"/>
              <w:rPr>
                <w:rFonts w:hint="default"/>
                <w:highlight w:val="none"/>
                <w:lang w:val="en-US" w:eastAsia="zh-CN"/>
              </w:rPr>
            </w:pPr>
            <w:r>
              <w:rPr>
                <w:rFonts w:hint="default"/>
                <w:highlight w:val="none"/>
                <w:lang w:val="en-US" w:eastAsia="zh-CN"/>
              </w:rPr>
              <w:t>29</w:t>
            </w:r>
          </w:p>
        </w:tc>
        <w:tc>
          <w:tcPr>
            <w:tcW w:w="6041" w:type="dxa"/>
            <w:tcBorders>
              <w:tl2br w:val="nil"/>
              <w:tr2bl w:val="nil"/>
            </w:tcBorders>
            <w:noWrap w:val="0"/>
            <w:vAlign w:val="center"/>
          </w:tcPr>
          <w:p w14:paraId="44448620">
            <w:pPr>
              <w:pStyle w:val="102"/>
              <w:bidi w:val="0"/>
              <w:rPr>
                <w:rFonts w:hint="default"/>
                <w:highlight w:val="none"/>
                <w:lang w:val="en-US" w:eastAsia="zh-CN"/>
              </w:rPr>
            </w:pPr>
            <w:r>
              <w:rPr>
                <w:rFonts w:hint="default"/>
                <w:highlight w:val="none"/>
                <w:lang w:val="en-US" w:eastAsia="zh-CN"/>
              </w:rPr>
              <w:t>钢丝绳穿绕正确，无干涉；钢丝绳规格符合说明书规定，端部应固结可靠；使用应符合GB5972—2009规定</w:t>
            </w:r>
          </w:p>
        </w:tc>
        <w:tc>
          <w:tcPr>
            <w:tcW w:w="1229" w:type="dxa"/>
            <w:tcBorders>
              <w:tl2br w:val="nil"/>
              <w:tr2bl w:val="nil"/>
            </w:tcBorders>
            <w:noWrap w:val="0"/>
            <w:vAlign w:val="center"/>
          </w:tcPr>
          <w:p w14:paraId="5CA99567">
            <w:pPr>
              <w:pStyle w:val="102"/>
              <w:bidi w:val="0"/>
              <w:rPr>
                <w:rFonts w:hint="default"/>
                <w:highlight w:val="none"/>
                <w:lang w:val="en-US" w:eastAsia="zh-CN"/>
              </w:rPr>
            </w:pPr>
          </w:p>
        </w:tc>
      </w:tr>
      <w:tr w14:paraId="7826D8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DED901">
            <w:pPr>
              <w:pStyle w:val="102"/>
              <w:bidi w:val="0"/>
              <w:rPr>
                <w:rFonts w:hint="default"/>
                <w:highlight w:val="none"/>
                <w:lang w:val="en-US" w:eastAsia="zh-CN"/>
              </w:rPr>
            </w:pPr>
          </w:p>
        </w:tc>
        <w:tc>
          <w:tcPr>
            <w:tcW w:w="513" w:type="dxa"/>
            <w:tcBorders>
              <w:tl2br w:val="nil"/>
              <w:tr2bl w:val="nil"/>
            </w:tcBorders>
            <w:noWrap w:val="0"/>
            <w:vAlign w:val="center"/>
          </w:tcPr>
          <w:p w14:paraId="3E117A4E">
            <w:pPr>
              <w:pStyle w:val="102"/>
              <w:bidi w:val="0"/>
              <w:rPr>
                <w:rFonts w:hint="default"/>
                <w:highlight w:val="none"/>
                <w:lang w:val="en-US" w:eastAsia="zh-CN"/>
              </w:rPr>
            </w:pPr>
            <w:r>
              <w:rPr>
                <w:rFonts w:hint="default"/>
                <w:highlight w:val="none"/>
                <w:lang w:val="en-US" w:eastAsia="zh-CN"/>
              </w:rPr>
              <w:t>30</w:t>
            </w:r>
          </w:p>
        </w:tc>
        <w:tc>
          <w:tcPr>
            <w:tcW w:w="6041" w:type="dxa"/>
            <w:tcBorders>
              <w:tl2br w:val="nil"/>
              <w:tr2bl w:val="nil"/>
            </w:tcBorders>
            <w:noWrap w:val="0"/>
            <w:vAlign w:val="center"/>
          </w:tcPr>
          <w:p w14:paraId="61325168">
            <w:pPr>
              <w:pStyle w:val="102"/>
              <w:bidi w:val="0"/>
              <w:rPr>
                <w:rFonts w:hint="default"/>
                <w:highlight w:val="none"/>
                <w:lang w:val="en-US" w:eastAsia="zh-CN"/>
              </w:rPr>
            </w:pPr>
            <w:r>
              <w:rPr>
                <w:rFonts w:hint="default"/>
                <w:highlight w:val="none"/>
                <w:lang w:val="en-US" w:eastAsia="zh-CN"/>
              </w:rPr>
              <w:t>制动器不应有裂纹、过度磨损、塑性变形、缺件等缺陷，调整适宜，制动平稳可靠</w:t>
            </w:r>
          </w:p>
        </w:tc>
        <w:tc>
          <w:tcPr>
            <w:tcW w:w="1229" w:type="dxa"/>
            <w:tcBorders>
              <w:tl2br w:val="nil"/>
              <w:tr2bl w:val="nil"/>
            </w:tcBorders>
            <w:noWrap w:val="0"/>
            <w:vAlign w:val="center"/>
          </w:tcPr>
          <w:p w14:paraId="6AD20D8A">
            <w:pPr>
              <w:pStyle w:val="102"/>
              <w:bidi w:val="0"/>
              <w:rPr>
                <w:rFonts w:hint="default"/>
                <w:highlight w:val="none"/>
                <w:lang w:val="en-US" w:eastAsia="zh-CN"/>
              </w:rPr>
            </w:pPr>
          </w:p>
        </w:tc>
      </w:tr>
      <w:tr w14:paraId="258D12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9CC8291">
            <w:pPr>
              <w:pStyle w:val="102"/>
              <w:bidi w:val="0"/>
              <w:rPr>
                <w:rFonts w:hint="default"/>
                <w:highlight w:val="none"/>
                <w:lang w:val="en-US" w:eastAsia="zh-CN"/>
              </w:rPr>
            </w:pPr>
          </w:p>
        </w:tc>
        <w:tc>
          <w:tcPr>
            <w:tcW w:w="513" w:type="dxa"/>
            <w:tcBorders>
              <w:tl2br w:val="nil"/>
              <w:tr2bl w:val="nil"/>
            </w:tcBorders>
            <w:noWrap w:val="0"/>
            <w:vAlign w:val="center"/>
          </w:tcPr>
          <w:p w14:paraId="27E08230">
            <w:pPr>
              <w:pStyle w:val="102"/>
              <w:bidi w:val="0"/>
              <w:rPr>
                <w:rFonts w:hint="default"/>
                <w:highlight w:val="none"/>
                <w:lang w:val="en-US" w:eastAsia="zh-CN"/>
              </w:rPr>
            </w:pPr>
            <w:r>
              <w:rPr>
                <w:rFonts w:hint="default"/>
                <w:highlight w:val="none"/>
                <w:lang w:val="en-US" w:eastAsia="zh-CN"/>
              </w:rPr>
              <w:t>31</w:t>
            </w:r>
          </w:p>
        </w:tc>
        <w:tc>
          <w:tcPr>
            <w:tcW w:w="6041" w:type="dxa"/>
            <w:tcBorders>
              <w:tl2br w:val="nil"/>
              <w:tr2bl w:val="nil"/>
            </w:tcBorders>
            <w:noWrap w:val="0"/>
            <w:vAlign w:val="center"/>
          </w:tcPr>
          <w:p w14:paraId="633764C8">
            <w:pPr>
              <w:pStyle w:val="102"/>
              <w:bidi w:val="0"/>
              <w:rPr>
                <w:rFonts w:hint="default"/>
                <w:highlight w:val="none"/>
                <w:lang w:val="en-US" w:eastAsia="zh-CN"/>
              </w:rPr>
            </w:pPr>
            <w:r>
              <w:rPr>
                <w:rFonts w:hint="default"/>
                <w:highlight w:val="none"/>
                <w:lang w:val="en-US" w:eastAsia="zh-CN"/>
              </w:rPr>
              <w:t>传动装置固定牢固，运行平稳</w:t>
            </w:r>
          </w:p>
        </w:tc>
        <w:tc>
          <w:tcPr>
            <w:tcW w:w="1229" w:type="dxa"/>
            <w:tcBorders>
              <w:tl2br w:val="nil"/>
              <w:tr2bl w:val="nil"/>
            </w:tcBorders>
            <w:noWrap w:val="0"/>
            <w:vAlign w:val="center"/>
          </w:tcPr>
          <w:p w14:paraId="35E027C6">
            <w:pPr>
              <w:pStyle w:val="102"/>
              <w:bidi w:val="0"/>
              <w:rPr>
                <w:rFonts w:hint="default"/>
                <w:highlight w:val="none"/>
                <w:lang w:val="en-US" w:eastAsia="zh-CN"/>
              </w:rPr>
            </w:pPr>
          </w:p>
        </w:tc>
      </w:tr>
      <w:tr w14:paraId="67F241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C449D00">
            <w:pPr>
              <w:pStyle w:val="102"/>
              <w:bidi w:val="0"/>
              <w:rPr>
                <w:rFonts w:hint="default"/>
                <w:highlight w:val="none"/>
                <w:lang w:val="en-US" w:eastAsia="zh-CN"/>
              </w:rPr>
            </w:pPr>
          </w:p>
        </w:tc>
        <w:tc>
          <w:tcPr>
            <w:tcW w:w="513" w:type="dxa"/>
            <w:tcBorders>
              <w:tl2br w:val="nil"/>
              <w:tr2bl w:val="nil"/>
            </w:tcBorders>
            <w:noWrap w:val="0"/>
            <w:vAlign w:val="center"/>
          </w:tcPr>
          <w:p w14:paraId="1CEF0AD3">
            <w:pPr>
              <w:pStyle w:val="102"/>
              <w:bidi w:val="0"/>
              <w:rPr>
                <w:rFonts w:hint="default"/>
                <w:highlight w:val="none"/>
                <w:lang w:val="en-US" w:eastAsia="zh-CN"/>
              </w:rPr>
            </w:pPr>
            <w:r>
              <w:rPr>
                <w:rFonts w:hint="default"/>
                <w:highlight w:val="none"/>
                <w:lang w:val="en-US" w:eastAsia="zh-CN"/>
              </w:rPr>
              <w:t>32</w:t>
            </w:r>
          </w:p>
        </w:tc>
        <w:tc>
          <w:tcPr>
            <w:tcW w:w="6041" w:type="dxa"/>
            <w:tcBorders>
              <w:tl2br w:val="nil"/>
              <w:tr2bl w:val="nil"/>
            </w:tcBorders>
            <w:noWrap w:val="0"/>
            <w:vAlign w:val="center"/>
          </w:tcPr>
          <w:p w14:paraId="1A59730F">
            <w:pPr>
              <w:pStyle w:val="102"/>
              <w:bidi w:val="0"/>
              <w:rPr>
                <w:rFonts w:hint="default"/>
                <w:highlight w:val="none"/>
                <w:lang w:val="en-US" w:eastAsia="zh-CN"/>
              </w:rPr>
            </w:pPr>
            <w:r>
              <w:rPr>
                <w:rFonts w:hint="default"/>
                <w:highlight w:val="none"/>
                <w:lang w:val="en-US" w:eastAsia="zh-CN"/>
              </w:rPr>
              <w:t>有可能伤人的活动零部件的防护罩齐全</w:t>
            </w:r>
          </w:p>
        </w:tc>
        <w:tc>
          <w:tcPr>
            <w:tcW w:w="1229" w:type="dxa"/>
            <w:tcBorders>
              <w:tl2br w:val="nil"/>
              <w:tr2bl w:val="nil"/>
            </w:tcBorders>
            <w:noWrap w:val="0"/>
            <w:vAlign w:val="center"/>
          </w:tcPr>
          <w:p w14:paraId="5BA0DEB5">
            <w:pPr>
              <w:pStyle w:val="102"/>
              <w:bidi w:val="0"/>
              <w:rPr>
                <w:rFonts w:hint="default"/>
                <w:highlight w:val="none"/>
                <w:lang w:val="en-US" w:eastAsia="zh-CN"/>
              </w:rPr>
            </w:pPr>
          </w:p>
        </w:tc>
      </w:tr>
      <w:tr w14:paraId="0D2390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E1CCB2C">
            <w:pPr>
              <w:pStyle w:val="102"/>
              <w:bidi w:val="0"/>
              <w:rPr>
                <w:rFonts w:hint="default"/>
                <w:highlight w:val="none"/>
                <w:lang w:val="en-US" w:eastAsia="zh-CN"/>
              </w:rPr>
            </w:pPr>
            <w:r>
              <w:rPr>
                <w:rFonts w:hint="default"/>
                <w:highlight w:val="none"/>
                <w:lang w:val="en-US" w:eastAsia="zh-CN"/>
              </w:rPr>
              <w:t>电气系统</w:t>
            </w:r>
          </w:p>
        </w:tc>
        <w:tc>
          <w:tcPr>
            <w:tcW w:w="513" w:type="dxa"/>
            <w:tcBorders>
              <w:tl2br w:val="nil"/>
              <w:tr2bl w:val="nil"/>
            </w:tcBorders>
            <w:noWrap w:val="0"/>
            <w:vAlign w:val="center"/>
          </w:tcPr>
          <w:p w14:paraId="46B5813E">
            <w:pPr>
              <w:pStyle w:val="102"/>
              <w:bidi w:val="0"/>
              <w:rPr>
                <w:rFonts w:hint="default"/>
                <w:highlight w:val="none"/>
                <w:lang w:val="en-US" w:eastAsia="zh-CN"/>
              </w:rPr>
            </w:pPr>
            <w:r>
              <w:rPr>
                <w:rFonts w:hint="default"/>
                <w:highlight w:val="none"/>
                <w:lang w:val="en-US" w:eastAsia="zh-CN"/>
              </w:rPr>
              <w:t>33</w:t>
            </w:r>
          </w:p>
        </w:tc>
        <w:tc>
          <w:tcPr>
            <w:tcW w:w="6041" w:type="dxa"/>
            <w:tcBorders>
              <w:tl2br w:val="nil"/>
              <w:tr2bl w:val="nil"/>
            </w:tcBorders>
            <w:noWrap w:val="0"/>
            <w:vAlign w:val="center"/>
          </w:tcPr>
          <w:p w14:paraId="0C1FC08A">
            <w:pPr>
              <w:pStyle w:val="102"/>
              <w:bidi w:val="0"/>
              <w:rPr>
                <w:rFonts w:hint="default"/>
                <w:highlight w:val="none"/>
                <w:lang w:val="en-US" w:eastAsia="zh-CN"/>
              </w:rPr>
            </w:pPr>
            <w:r>
              <w:rPr>
                <w:rFonts w:hint="default"/>
                <w:highlight w:val="none"/>
                <w:lang w:val="en-US" w:eastAsia="zh-CN"/>
              </w:rPr>
              <w:t>仪表、照明、报警系统完好、可靠；控制、操纵装置动作灵活、可靠</w:t>
            </w:r>
          </w:p>
        </w:tc>
        <w:tc>
          <w:tcPr>
            <w:tcW w:w="1229" w:type="dxa"/>
            <w:tcBorders>
              <w:tl2br w:val="nil"/>
              <w:tr2bl w:val="nil"/>
            </w:tcBorders>
            <w:noWrap w:val="0"/>
            <w:vAlign w:val="center"/>
          </w:tcPr>
          <w:p w14:paraId="3467D0D1">
            <w:pPr>
              <w:pStyle w:val="102"/>
              <w:bidi w:val="0"/>
              <w:rPr>
                <w:rFonts w:hint="default"/>
                <w:highlight w:val="none"/>
                <w:lang w:val="en-US" w:eastAsia="zh-CN"/>
              </w:rPr>
            </w:pPr>
          </w:p>
        </w:tc>
      </w:tr>
      <w:tr w14:paraId="5A7424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598A970">
            <w:pPr>
              <w:pStyle w:val="102"/>
              <w:bidi w:val="0"/>
              <w:rPr>
                <w:rFonts w:hint="default"/>
                <w:highlight w:val="none"/>
                <w:lang w:val="en-US" w:eastAsia="zh-CN"/>
              </w:rPr>
            </w:pPr>
          </w:p>
        </w:tc>
        <w:tc>
          <w:tcPr>
            <w:tcW w:w="513" w:type="dxa"/>
            <w:tcBorders>
              <w:tl2br w:val="nil"/>
              <w:tr2bl w:val="nil"/>
            </w:tcBorders>
            <w:noWrap w:val="0"/>
            <w:vAlign w:val="center"/>
          </w:tcPr>
          <w:p w14:paraId="4A781143">
            <w:pPr>
              <w:pStyle w:val="102"/>
              <w:bidi w:val="0"/>
              <w:rPr>
                <w:rFonts w:hint="default"/>
                <w:highlight w:val="none"/>
                <w:lang w:val="en-US" w:eastAsia="zh-CN"/>
              </w:rPr>
            </w:pPr>
            <w:r>
              <w:rPr>
                <w:rFonts w:hint="default"/>
                <w:highlight w:val="none"/>
                <w:lang w:val="en-US" w:eastAsia="zh-CN"/>
              </w:rPr>
              <w:t>34</w:t>
            </w:r>
          </w:p>
        </w:tc>
        <w:tc>
          <w:tcPr>
            <w:tcW w:w="6041" w:type="dxa"/>
            <w:tcBorders>
              <w:tl2br w:val="nil"/>
              <w:tr2bl w:val="nil"/>
            </w:tcBorders>
            <w:noWrap w:val="0"/>
            <w:vAlign w:val="center"/>
          </w:tcPr>
          <w:p w14:paraId="06FF40CB">
            <w:pPr>
              <w:pStyle w:val="102"/>
              <w:bidi w:val="0"/>
              <w:rPr>
                <w:rFonts w:hint="default"/>
                <w:highlight w:val="none"/>
                <w:lang w:val="en-US" w:eastAsia="zh-CN"/>
              </w:rPr>
            </w:pPr>
            <w:r>
              <w:rPr>
                <w:rFonts w:hint="default"/>
                <w:highlight w:val="none"/>
                <w:lang w:val="en-US" w:eastAsia="zh-CN"/>
              </w:rPr>
              <w:t>短路、过电流、失压及零位保护灵敏可靠</w:t>
            </w:r>
          </w:p>
        </w:tc>
        <w:tc>
          <w:tcPr>
            <w:tcW w:w="1229" w:type="dxa"/>
            <w:tcBorders>
              <w:tl2br w:val="nil"/>
              <w:tr2bl w:val="nil"/>
            </w:tcBorders>
            <w:noWrap w:val="0"/>
            <w:vAlign w:val="center"/>
          </w:tcPr>
          <w:p w14:paraId="789076C3">
            <w:pPr>
              <w:pStyle w:val="102"/>
              <w:bidi w:val="0"/>
              <w:rPr>
                <w:rFonts w:hint="default"/>
                <w:highlight w:val="none"/>
                <w:lang w:val="en-US" w:eastAsia="zh-CN"/>
              </w:rPr>
            </w:pPr>
          </w:p>
        </w:tc>
      </w:tr>
      <w:tr w14:paraId="01088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CB5D365">
            <w:pPr>
              <w:pStyle w:val="102"/>
              <w:bidi w:val="0"/>
              <w:rPr>
                <w:rFonts w:hint="default"/>
                <w:highlight w:val="none"/>
                <w:lang w:val="en-US" w:eastAsia="zh-CN"/>
              </w:rPr>
            </w:pPr>
          </w:p>
        </w:tc>
        <w:tc>
          <w:tcPr>
            <w:tcW w:w="513" w:type="dxa"/>
            <w:tcBorders>
              <w:tl2br w:val="nil"/>
              <w:tr2bl w:val="nil"/>
            </w:tcBorders>
            <w:noWrap w:val="0"/>
            <w:vAlign w:val="center"/>
          </w:tcPr>
          <w:p w14:paraId="11D63B99">
            <w:pPr>
              <w:pStyle w:val="102"/>
              <w:bidi w:val="0"/>
              <w:rPr>
                <w:rFonts w:hint="default"/>
                <w:highlight w:val="none"/>
                <w:lang w:val="en-US" w:eastAsia="zh-CN"/>
              </w:rPr>
            </w:pPr>
            <w:r>
              <w:rPr>
                <w:rFonts w:hint="default"/>
                <w:highlight w:val="none"/>
                <w:lang w:val="en-US" w:eastAsia="zh-CN"/>
              </w:rPr>
              <w:t>35</w:t>
            </w:r>
          </w:p>
        </w:tc>
        <w:tc>
          <w:tcPr>
            <w:tcW w:w="6041" w:type="dxa"/>
            <w:tcBorders>
              <w:tl2br w:val="nil"/>
              <w:tr2bl w:val="nil"/>
            </w:tcBorders>
            <w:noWrap w:val="0"/>
            <w:vAlign w:val="center"/>
          </w:tcPr>
          <w:p w14:paraId="3DC1E8B4">
            <w:pPr>
              <w:pStyle w:val="102"/>
              <w:bidi w:val="0"/>
              <w:rPr>
                <w:rFonts w:hint="default"/>
                <w:highlight w:val="none"/>
                <w:lang w:val="en-US" w:eastAsia="zh-CN"/>
              </w:rPr>
            </w:pPr>
            <w:r>
              <w:rPr>
                <w:rFonts w:hint="default"/>
                <w:highlight w:val="none"/>
                <w:lang w:val="en-US" w:eastAsia="zh-CN"/>
              </w:rPr>
              <w:t>切断总电源的急停开关应为非自动复位型，可靠有效</w:t>
            </w:r>
          </w:p>
        </w:tc>
        <w:tc>
          <w:tcPr>
            <w:tcW w:w="1229" w:type="dxa"/>
            <w:tcBorders>
              <w:tl2br w:val="nil"/>
              <w:tr2bl w:val="nil"/>
            </w:tcBorders>
            <w:noWrap w:val="0"/>
            <w:vAlign w:val="center"/>
          </w:tcPr>
          <w:p w14:paraId="7D8A6573">
            <w:pPr>
              <w:pStyle w:val="102"/>
              <w:bidi w:val="0"/>
              <w:rPr>
                <w:rFonts w:hint="default"/>
                <w:highlight w:val="none"/>
                <w:lang w:val="en-US" w:eastAsia="zh-CN"/>
              </w:rPr>
            </w:pPr>
          </w:p>
        </w:tc>
      </w:tr>
      <w:tr w14:paraId="2B80A1C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C6689C2">
            <w:pPr>
              <w:pStyle w:val="102"/>
              <w:bidi w:val="0"/>
              <w:rPr>
                <w:rFonts w:hint="default"/>
                <w:highlight w:val="none"/>
                <w:lang w:val="en-US" w:eastAsia="zh-CN"/>
              </w:rPr>
            </w:pPr>
          </w:p>
        </w:tc>
        <w:tc>
          <w:tcPr>
            <w:tcW w:w="513" w:type="dxa"/>
            <w:tcBorders>
              <w:tl2br w:val="nil"/>
              <w:tr2bl w:val="nil"/>
            </w:tcBorders>
            <w:noWrap w:val="0"/>
            <w:vAlign w:val="center"/>
          </w:tcPr>
          <w:p w14:paraId="42A076A2">
            <w:pPr>
              <w:pStyle w:val="102"/>
              <w:bidi w:val="0"/>
              <w:rPr>
                <w:rFonts w:hint="default"/>
                <w:highlight w:val="none"/>
                <w:lang w:val="en-US" w:eastAsia="zh-CN"/>
              </w:rPr>
            </w:pPr>
            <w:r>
              <w:rPr>
                <w:rFonts w:hint="default"/>
                <w:highlight w:val="none"/>
                <w:lang w:val="en-US" w:eastAsia="zh-CN"/>
              </w:rPr>
              <w:t>36</w:t>
            </w:r>
          </w:p>
        </w:tc>
        <w:tc>
          <w:tcPr>
            <w:tcW w:w="6041" w:type="dxa"/>
            <w:tcBorders>
              <w:tl2br w:val="nil"/>
              <w:tr2bl w:val="nil"/>
            </w:tcBorders>
            <w:noWrap w:val="0"/>
            <w:vAlign w:val="center"/>
          </w:tcPr>
          <w:p w14:paraId="3910DCB7">
            <w:pPr>
              <w:pStyle w:val="102"/>
              <w:bidi w:val="0"/>
              <w:rPr>
                <w:rFonts w:hint="default"/>
                <w:highlight w:val="none"/>
                <w:lang w:val="en-US" w:eastAsia="zh-CN"/>
              </w:rPr>
            </w:pPr>
            <w:r>
              <w:rPr>
                <w:rFonts w:hint="default"/>
                <w:highlight w:val="none"/>
                <w:lang w:val="en-US" w:eastAsia="zh-CN"/>
              </w:rPr>
              <w:t>主电路和控制电路的对地绝缘电阻≥0.5MΩ</w:t>
            </w:r>
          </w:p>
        </w:tc>
        <w:tc>
          <w:tcPr>
            <w:tcW w:w="1229" w:type="dxa"/>
            <w:tcBorders>
              <w:tl2br w:val="nil"/>
              <w:tr2bl w:val="nil"/>
            </w:tcBorders>
            <w:noWrap w:val="0"/>
            <w:vAlign w:val="center"/>
          </w:tcPr>
          <w:p w14:paraId="4488B9F1">
            <w:pPr>
              <w:pStyle w:val="102"/>
              <w:bidi w:val="0"/>
              <w:rPr>
                <w:rFonts w:hint="default"/>
                <w:highlight w:val="none"/>
                <w:lang w:val="en-US" w:eastAsia="zh-CN"/>
              </w:rPr>
            </w:pPr>
          </w:p>
        </w:tc>
      </w:tr>
      <w:tr w14:paraId="5498FF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3DEDB3">
            <w:pPr>
              <w:pStyle w:val="102"/>
              <w:bidi w:val="0"/>
              <w:rPr>
                <w:rFonts w:hint="default"/>
                <w:highlight w:val="none"/>
                <w:lang w:val="en-US" w:eastAsia="zh-CN"/>
              </w:rPr>
            </w:pPr>
          </w:p>
        </w:tc>
        <w:tc>
          <w:tcPr>
            <w:tcW w:w="513" w:type="dxa"/>
            <w:tcBorders>
              <w:tl2br w:val="nil"/>
              <w:tr2bl w:val="nil"/>
            </w:tcBorders>
            <w:noWrap w:val="0"/>
            <w:vAlign w:val="center"/>
          </w:tcPr>
          <w:p w14:paraId="16773DB1">
            <w:pPr>
              <w:pStyle w:val="102"/>
              <w:bidi w:val="0"/>
              <w:rPr>
                <w:rFonts w:hint="default"/>
                <w:highlight w:val="none"/>
                <w:lang w:val="en-US" w:eastAsia="zh-CN"/>
              </w:rPr>
            </w:pPr>
            <w:r>
              <w:rPr>
                <w:rFonts w:hint="default"/>
                <w:highlight w:val="none"/>
                <w:lang w:val="en-US" w:eastAsia="zh-CN"/>
              </w:rPr>
              <w:t>37</w:t>
            </w:r>
          </w:p>
        </w:tc>
        <w:tc>
          <w:tcPr>
            <w:tcW w:w="6041" w:type="dxa"/>
            <w:tcBorders>
              <w:tl2br w:val="nil"/>
              <w:tr2bl w:val="nil"/>
            </w:tcBorders>
            <w:noWrap w:val="0"/>
            <w:vAlign w:val="center"/>
          </w:tcPr>
          <w:p w14:paraId="14EA7CFB">
            <w:pPr>
              <w:pStyle w:val="102"/>
              <w:bidi w:val="0"/>
              <w:rPr>
                <w:rFonts w:hint="default"/>
                <w:highlight w:val="none"/>
                <w:lang w:val="en-US" w:eastAsia="zh-CN"/>
              </w:rPr>
            </w:pPr>
            <w:r>
              <w:rPr>
                <w:rFonts w:hint="default"/>
                <w:highlight w:val="none"/>
                <w:lang w:val="en-US" w:eastAsia="zh-CN"/>
              </w:rPr>
              <w:t>声响信号完好</w:t>
            </w:r>
          </w:p>
        </w:tc>
        <w:tc>
          <w:tcPr>
            <w:tcW w:w="1229" w:type="dxa"/>
            <w:tcBorders>
              <w:tl2br w:val="nil"/>
              <w:tr2bl w:val="nil"/>
            </w:tcBorders>
            <w:noWrap w:val="0"/>
            <w:vAlign w:val="center"/>
          </w:tcPr>
          <w:p w14:paraId="3EC1C3B1">
            <w:pPr>
              <w:pStyle w:val="102"/>
              <w:bidi w:val="0"/>
              <w:rPr>
                <w:rFonts w:hint="default"/>
                <w:highlight w:val="none"/>
                <w:lang w:val="en-US" w:eastAsia="zh-CN"/>
              </w:rPr>
            </w:pPr>
          </w:p>
        </w:tc>
      </w:tr>
      <w:tr w14:paraId="7508B4E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A762E4C">
            <w:pPr>
              <w:pStyle w:val="102"/>
              <w:bidi w:val="0"/>
              <w:rPr>
                <w:rFonts w:hint="default"/>
                <w:highlight w:val="none"/>
                <w:lang w:val="en-US" w:eastAsia="zh-CN"/>
              </w:rPr>
            </w:pPr>
          </w:p>
        </w:tc>
        <w:tc>
          <w:tcPr>
            <w:tcW w:w="513" w:type="dxa"/>
            <w:tcBorders>
              <w:tl2br w:val="nil"/>
              <w:tr2bl w:val="nil"/>
            </w:tcBorders>
            <w:noWrap w:val="0"/>
            <w:vAlign w:val="center"/>
          </w:tcPr>
          <w:p w14:paraId="401FA66A">
            <w:pPr>
              <w:pStyle w:val="102"/>
              <w:bidi w:val="0"/>
              <w:rPr>
                <w:rFonts w:hint="default"/>
                <w:highlight w:val="none"/>
                <w:lang w:val="en-US" w:eastAsia="zh-CN"/>
              </w:rPr>
            </w:pPr>
            <w:r>
              <w:rPr>
                <w:rFonts w:hint="default"/>
                <w:highlight w:val="none"/>
                <w:lang w:val="en-US" w:eastAsia="zh-CN"/>
              </w:rPr>
              <w:t>38</w:t>
            </w:r>
          </w:p>
        </w:tc>
        <w:tc>
          <w:tcPr>
            <w:tcW w:w="6041" w:type="dxa"/>
            <w:tcBorders>
              <w:tl2br w:val="nil"/>
              <w:tr2bl w:val="nil"/>
            </w:tcBorders>
            <w:noWrap w:val="0"/>
            <w:vAlign w:val="center"/>
          </w:tcPr>
          <w:p w14:paraId="15559056">
            <w:pPr>
              <w:pStyle w:val="102"/>
              <w:bidi w:val="0"/>
              <w:rPr>
                <w:rFonts w:hint="default"/>
                <w:highlight w:val="none"/>
                <w:lang w:val="en-US" w:eastAsia="zh-CN"/>
              </w:rPr>
            </w:pPr>
            <w:r>
              <w:rPr>
                <w:rFonts w:hint="default"/>
                <w:highlight w:val="none"/>
                <w:lang w:val="en-US" w:eastAsia="zh-CN"/>
              </w:rPr>
              <w:t>专用开关箱单独设置并有警示标志</w:t>
            </w:r>
          </w:p>
        </w:tc>
        <w:tc>
          <w:tcPr>
            <w:tcW w:w="1229" w:type="dxa"/>
            <w:tcBorders>
              <w:tl2br w:val="nil"/>
              <w:tr2bl w:val="nil"/>
            </w:tcBorders>
            <w:noWrap w:val="0"/>
            <w:vAlign w:val="center"/>
          </w:tcPr>
          <w:p w14:paraId="333BCB3E">
            <w:pPr>
              <w:pStyle w:val="102"/>
              <w:bidi w:val="0"/>
              <w:rPr>
                <w:rFonts w:hint="default"/>
                <w:highlight w:val="none"/>
                <w:lang w:val="en-US" w:eastAsia="zh-CN"/>
              </w:rPr>
            </w:pPr>
          </w:p>
        </w:tc>
      </w:tr>
      <w:tr w14:paraId="725CDA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FD243E7">
            <w:pPr>
              <w:pStyle w:val="102"/>
              <w:bidi w:val="0"/>
              <w:rPr>
                <w:rFonts w:hint="default"/>
                <w:highlight w:val="none"/>
                <w:lang w:val="en-US" w:eastAsia="zh-CN"/>
              </w:rPr>
            </w:pPr>
          </w:p>
        </w:tc>
        <w:tc>
          <w:tcPr>
            <w:tcW w:w="513" w:type="dxa"/>
            <w:tcBorders>
              <w:tl2br w:val="nil"/>
              <w:tr2bl w:val="nil"/>
            </w:tcBorders>
            <w:noWrap w:val="0"/>
            <w:vAlign w:val="center"/>
          </w:tcPr>
          <w:p w14:paraId="7085356E">
            <w:pPr>
              <w:pStyle w:val="102"/>
              <w:bidi w:val="0"/>
              <w:rPr>
                <w:rFonts w:hint="default"/>
                <w:highlight w:val="none"/>
                <w:lang w:val="en-US" w:eastAsia="zh-CN"/>
              </w:rPr>
            </w:pPr>
            <w:r>
              <w:rPr>
                <w:rFonts w:hint="default"/>
                <w:highlight w:val="none"/>
                <w:lang w:val="en-US" w:eastAsia="zh-CN"/>
              </w:rPr>
              <w:t>39</w:t>
            </w:r>
          </w:p>
        </w:tc>
        <w:tc>
          <w:tcPr>
            <w:tcW w:w="6041" w:type="dxa"/>
            <w:tcBorders>
              <w:tl2br w:val="nil"/>
              <w:tr2bl w:val="nil"/>
            </w:tcBorders>
            <w:noWrap w:val="0"/>
            <w:vAlign w:val="center"/>
          </w:tcPr>
          <w:p w14:paraId="0D870A95">
            <w:pPr>
              <w:pStyle w:val="102"/>
              <w:bidi w:val="0"/>
              <w:rPr>
                <w:rFonts w:hint="default"/>
                <w:highlight w:val="none"/>
                <w:lang w:val="en-US" w:eastAsia="zh-CN"/>
              </w:rPr>
            </w:pPr>
            <w:r>
              <w:rPr>
                <w:rFonts w:hint="default"/>
                <w:highlight w:val="none"/>
                <w:lang w:val="en-US" w:eastAsia="zh-CN"/>
              </w:rPr>
              <w:t>电缆无破损，老化，与金属接触处有绝缘材料隔离</w:t>
            </w:r>
          </w:p>
        </w:tc>
        <w:tc>
          <w:tcPr>
            <w:tcW w:w="1229" w:type="dxa"/>
            <w:tcBorders>
              <w:tl2br w:val="nil"/>
              <w:tr2bl w:val="nil"/>
            </w:tcBorders>
            <w:noWrap w:val="0"/>
            <w:vAlign w:val="center"/>
          </w:tcPr>
          <w:p w14:paraId="0DF8FF8E">
            <w:pPr>
              <w:pStyle w:val="102"/>
              <w:bidi w:val="0"/>
              <w:rPr>
                <w:rFonts w:hint="default"/>
                <w:highlight w:val="none"/>
                <w:lang w:val="en-US" w:eastAsia="zh-CN"/>
              </w:rPr>
            </w:pPr>
          </w:p>
        </w:tc>
      </w:tr>
      <w:tr w14:paraId="6FD5EA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13A760">
            <w:pPr>
              <w:pStyle w:val="102"/>
              <w:bidi w:val="0"/>
              <w:rPr>
                <w:rFonts w:hint="default"/>
                <w:highlight w:val="none"/>
                <w:lang w:val="en-US" w:eastAsia="zh-CN"/>
              </w:rPr>
            </w:pPr>
          </w:p>
        </w:tc>
        <w:tc>
          <w:tcPr>
            <w:tcW w:w="513" w:type="dxa"/>
            <w:tcBorders>
              <w:tl2br w:val="nil"/>
              <w:tr2bl w:val="nil"/>
            </w:tcBorders>
            <w:noWrap w:val="0"/>
            <w:vAlign w:val="center"/>
          </w:tcPr>
          <w:p w14:paraId="3D5EF53D">
            <w:pPr>
              <w:pStyle w:val="102"/>
              <w:bidi w:val="0"/>
              <w:rPr>
                <w:rFonts w:hint="default"/>
                <w:highlight w:val="none"/>
                <w:lang w:val="en-US" w:eastAsia="zh-CN"/>
              </w:rPr>
            </w:pPr>
            <w:r>
              <w:rPr>
                <w:rFonts w:hint="default"/>
                <w:highlight w:val="none"/>
                <w:lang w:val="en-US" w:eastAsia="zh-CN"/>
              </w:rPr>
              <w:t>40</w:t>
            </w:r>
          </w:p>
        </w:tc>
        <w:tc>
          <w:tcPr>
            <w:tcW w:w="6041" w:type="dxa"/>
            <w:tcBorders>
              <w:tl2br w:val="nil"/>
              <w:tr2bl w:val="nil"/>
            </w:tcBorders>
            <w:noWrap w:val="0"/>
            <w:vAlign w:val="center"/>
          </w:tcPr>
          <w:p w14:paraId="2DF07955">
            <w:pPr>
              <w:pStyle w:val="102"/>
              <w:bidi w:val="0"/>
              <w:rPr>
                <w:rFonts w:hint="default"/>
                <w:highlight w:val="none"/>
                <w:lang w:val="en-US" w:eastAsia="zh-CN"/>
              </w:rPr>
            </w:pPr>
            <w:r>
              <w:rPr>
                <w:rFonts w:hint="default"/>
                <w:highlight w:val="none"/>
                <w:lang w:val="en-US" w:eastAsia="zh-CN"/>
              </w:rPr>
              <w:t>塔顶高度大于30m且高于周围建筑物时应安装障碍指示灯，供电不应受停机的影响</w:t>
            </w:r>
          </w:p>
        </w:tc>
        <w:tc>
          <w:tcPr>
            <w:tcW w:w="1229" w:type="dxa"/>
            <w:tcBorders>
              <w:tl2br w:val="nil"/>
              <w:tr2bl w:val="nil"/>
            </w:tcBorders>
            <w:noWrap w:val="0"/>
            <w:vAlign w:val="center"/>
          </w:tcPr>
          <w:p w14:paraId="53ADC7AE">
            <w:pPr>
              <w:pStyle w:val="102"/>
              <w:bidi w:val="0"/>
              <w:rPr>
                <w:rFonts w:hint="default"/>
                <w:highlight w:val="none"/>
                <w:lang w:val="en-US" w:eastAsia="zh-CN"/>
              </w:rPr>
            </w:pPr>
          </w:p>
        </w:tc>
      </w:tr>
      <w:tr w14:paraId="534B83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7D436C1A">
            <w:pPr>
              <w:pStyle w:val="102"/>
              <w:bidi w:val="0"/>
              <w:rPr>
                <w:rFonts w:hint="default"/>
                <w:highlight w:val="none"/>
                <w:lang w:val="en-US" w:eastAsia="zh-CN"/>
              </w:rPr>
            </w:pPr>
          </w:p>
        </w:tc>
        <w:tc>
          <w:tcPr>
            <w:tcW w:w="513" w:type="dxa"/>
            <w:tcBorders>
              <w:tl2br w:val="nil"/>
              <w:tr2bl w:val="nil"/>
            </w:tcBorders>
            <w:noWrap w:val="0"/>
            <w:vAlign w:val="center"/>
          </w:tcPr>
          <w:p w14:paraId="13449C87">
            <w:pPr>
              <w:pStyle w:val="102"/>
              <w:bidi w:val="0"/>
              <w:rPr>
                <w:rFonts w:hint="default"/>
                <w:highlight w:val="none"/>
                <w:lang w:val="en-US" w:eastAsia="zh-CN"/>
              </w:rPr>
            </w:pPr>
            <w:r>
              <w:rPr>
                <w:rFonts w:hint="default"/>
                <w:highlight w:val="none"/>
                <w:lang w:val="en-US" w:eastAsia="zh-CN"/>
              </w:rPr>
              <w:t>41</w:t>
            </w:r>
          </w:p>
        </w:tc>
        <w:tc>
          <w:tcPr>
            <w:tcW w:w="6041" w:type="dxa"/>
            <w:tcBorders>
              <w:tl2br w:val="nil"/>
              <w:tr2bl w:val="nil"/>
            </w:tcBorders>
            <w:noWrap w:val="0"/>
            <w:vAlign w:val="center"/>
          </w:tcPr>
          <w:p w14:paraId="13BDB6C8">
            <w:pPr>
              <w:pStyle w:val="102"/>
              <w:bidi w:val="0"/>
              <w:rPr>
                <w:rFonts w:hint="default"/>
                <w:highlight w:val="none"/>
                <w:lang w:val="en-US" w:eastAsia="zh-CN"/>
              </w:rPr>
            </w:pPr>
            <w:r>
              <w:rPr>
                <w:rFonts w:hint="default"/>
                <w:highlight w:val="none"/>
                <w:lang w:val="en-US" w:eastAsia="zh-CN"/>
              </w:rPr>
              <w:t>臂根铰点高于50m时应设置风速仪</w:t>
            </w:r>
          </w:p>
        </w:tc>
        <w:tc>
          <w:tcPr>
            <w:tcW w:w="1229" w:type="dxa"/>
            <w:tcBorders>
              <w:tl2br w:val="nil"/>
              <w:tr2bl w:val="nil"/>
            </w:tcBorders>
            <w:noWrap w:val="0"/>
            <w:vAlign w:val="center"/>
          </w:tcPr>
          <w:p w14:paraId="0AAE97BA">
            <w:pPr>
              <w:pStyle w:val="102"/>
              <w:bidi w:val="0"/>
              <w:rPr>
                <w:rFonts w:hint="default"/>
                <w:highlight w:val="none"/>
                <w:lang w:val="en-US" w:eastAsia="zh-CN"/>
              </w:rPr>
            </w:pPr>
          </w:p>
        </w:tc>
      </w:tr>
      <w:tr w14:paraId="71D7AD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69FCD5F">
            <w:pPr>
              <w:pStyle w:val="102"/>
              <w:bidi w:val="0"/>
              <w:rPr>
                <w:rFonts w:hint="default"/>
                <w:highlight w:val="none"/>
                <w:lang w:val="en-US" w:eastAsia="zh-CN"/>
              </w:rPr>
            </w:pPr>
            <w:r>
              <w:rPr>
                <w:rFonts w:hint="default"/>
                <w:highlight w:val="none"/>
                <w:lang w:val="en-US" w:eastAsia="zh-CN"/>
              </w:rPr>
              <w:t>司机室</w:t>
            </w:r>
          </w:p>
        </w:tc>
        <w:tc>
          <w:tcPr>
            <w:tcW w:w="513" w:type="dxa"/>
            <w:tcBorders>
              <w:tl2br w:val="nil"/>
              <w:tr2bl w:val="nil"/>
            </w:tcBorders>
            <w:noWrap w:val="0"/>
            <w:vAlign w:val="center"/>
          </w:tcPr>
          <w:p w14:paraId="7F80FBB5">
            <w:pPr>
              <w:pStyle w:val="102"/>
              <w:bidi w:val="0"/>
              <w:rPr>
                <w:rFonts w:hint="default"/>
                <w:highlight w:val="none"/>
                <w:lang w:val="en-US" w:eastAsia="zh-CN"/>
              </w:rPr>
            </w:pPr>
            <w:r>
              <w:rPr>
                <w:rFonts w:hint="default"/>
                <w:highlight w:val="none"/>
                <w:lang w:val="en-US" w:eastAsia="zh-CN"/>
              </w:rPr>
              <w:t>42</w:t>
            </w:r>
          </w:p>
        </w:tc>
        <w:tc>
          <w:tcPr>
            <w:tcW w:w="6041" w:type="dxa"/>
            <w:tcBorders>
              <w:tl2br w:val="nil"/>
              <w:tr2bl w:val="nil"/>
            </w:tcBorders>
            <w:noWrap w:val="0"/>
            <w:vAlign w:val="center"/>
          </w:tcPr>
          <w:p w14:paraId="1ADE153C">
            <w:pPr>
              <w:pStyle w:val="102"/>
              <w:bidi w:val="0"/>
              <w:rPr>
                <w:rFonts w:hint="default"/>
                <w:highlight w:val="none"/>
                <w:lang w:val="en-US" w:eastAsia="zh-CN"/>
              </w:rPr>
            </w:pPr>
            <w:r>
              <w:rPr>
                <w:rFonts w:hint="default"/>
                <w:highlight w:val="none"/>
                <w:lang w:val="en-US" w:eastAsia="zh-CN"/>
              </w:rPr>
              <w:t>性能标牌（显示屏）齐全，清晰</w:t>
            </w:r>
          </w:p>
        </w:tc>
        <w:tc>
          <w:tcPr>
            <w:tcW w:w="1229" w:type="dxa"/>
            <w:tcBorders>
              <w:tl2br w:val="nil"/>
              <w:tr2bl w:val="nil"/>
            </w:tcBorders>
            <w:noWrap w:val="0"/>
            <w:vAlign w:val="center"/>
          </w:tcPr>
          <w:p w14:paraId="58593A65">
            <w:pPr>
              <w:pStyle w:val="102"/>
              <w:bidi w:val="0"/>
              <w:rPr>
                <w:rFonts w:hint="default"/>
                <w:highlight w:val="none"/>
                <w:lang w:val="en-US" w:eastAsia="zh-CN"/>
              </w:rPr>
            </w:pPr>
          </w:p>
        </w:tc>
      </w:tr>
      <w:tr w14:paraId="776EE9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372820">
            <w:pPr>
              <w:pStyle w:val="102"/>
              <w:bidi w:val="0"/>
              <w:rPr>
                <w:rFonts w:hint="default"/>
                <w:highlight w:val="none"/>
                <w:lang w:val="en-US" w:eastAsia="zh-CN"/>
              </w:rPr>
            </w:pPr>
          </w:p>
        </w:tc>
        <w:tc>
          <w:tcPr>
            <w:tcW w:w="513" w:type="dxa"/>
            <w:tcBorders>
              <w:tl2br w:val="nil"/>
              <w:tr2bl w:val="nil"/>
            </w:tcBorders>
            <w:noWrap w:val="0"/>
            <w:vAlign w:val="center"/>
          </w:tcPr>
          <w:p w14:paraId="12F7C0A6">
            <w:pPr>
              <w:pStyle w:val="102"/>
              <w:bidi w:val="0"/>
              <w:rPr>
                <w:rFonts w:hint="default"/>
                <w:highlight w:val="none"/>
                <w:lang w:val="en-US" w:eastAsia="zh-CN"/>
              </w:rPr>
            </w:pPr>
            <w:r>
              <w:rPr>
                <w:rFonts w:hint="default"/>
                <w:highlight w:val="none"/>
                <w:lang w:val="en-US" w:eastAsia="zh-CN"/>
              </w:rPr>
              <w:t>43</w:t>
            </w:r>
          </w:p>
        </w:tc>
        <w:tc>
          <w:tcPr>
            <w:tcW w:w="6041" w:type="dxa"/>
            <w:tcBorders>
              <w:tl2br w:val="nil"/>
              <w:tr2bl w:val="nil"/>
            </w:tcBorders>
            <w:noWrap w:val="0"/>
            <w:vAlign w:val="center"/>
          </w:tcPr>
          <w:p w14:paraId="06B75388">
            <w:pPr>
              <w:pStyle w:val="102"/>
              <w:bidi w:val="0"/>
              <w:rPr>
                <w:rFonts w:hint="default"/>
                <w:highlight w:val="none"/>
                <w:lang w:val="en-US" w:eastAsia="zh-CN"/>
              </w:rPr>
            </w:pPr>
            <w:r>
              <w:rPr>
                <w:rFonts w:hint="default"/>
                <w:highlight w:val="none"/>
                <w:lang w:val="en-US" w:eastAsia="zh-CN"/>
              </w:rPr>
              <w:t>门窗、绝缘地板及灭火器等附属设施齐全，有效</w:t>
            </w:r>
          </w:p>
        </w:tc>
        <w:tc>
          <w:tcPr>
            <w:tcW w:w="1229" w:type="dxa"/>
            <w:tcBorders>
              <w:tl2br w:val="nil"/>
              <w:tr2bl w:val="nil"/>
            </w:tcBorders>
            <w:noWrap w:val="0"/>
            <w:vAlign w:val="center"/>
          </w:tcPr>
          <w:p w14:paraId="7877A75F">
            <w:pPr>
              <w:pStyle w:val="102"/>
              <w:bidi w:val="0"/>
              <w:rPr>
                <w:rFonts w:hint="default"/>
                <w:highlight w:val="none"/>
                <w:lang w:val="en-US" w:eastAsia="zh-CN"/>
              </w:rPr>
            </w:pPr>
          </w:p>
        </w:tc>
      </w:tr>
      <w:tr w14:paraId="757B0FC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54D01D1">
            <w:pPr>
              <w:pStyle w:val="102"/>
              <w:bidi w:val="0"/>
              <w:rPr>
                <w:rFonts w:hint="default"/>
                <w:highlight w:val="none"/>
                <w:lang w:val="en-US" w:eastAsia="zh-CN"/>
              </w:rPr>
            </w:pPr>
            <w:r>
              <w:rPr>
                <w:rFonts w:hint="default"/>
                <w:highlight w:val="none"/>
                <w:lang w:val="en-US" w:eastAsia="zh-CN"/>
              </w:rPr>
              <w:t>试运行</w:t>
            </w:r>
          </w:p>
        </w:tc>
        <w:tc>
          <w:tcPr>
            <w:tcW w:w="513" w:type="dxa"/>
            <w:tcBorders>
              <w:tl2br w:val="nil"/>
              <w:tr2bl w:val="nil"/>
            </w:tcBorders>
            <w:noWrap w:val="0"/>
            <w:vAlign w:val="center"/>
          </w:tcPr>
          <w:p w14:paraId="5B89863A">
            <w:pPr>
              <w:pStyle w:val="102"/>
              <w:bidi w:val="0"/>
              <w:rPr>
                <w:rFonts w:hint="default"/>
                <w:highlight w:val="none"/>
                <w:lang w:val="en-US" w:eastAsia="zh-CN"/>
              </w:rPr>
            </w:pPr>
            <w:r>
              <w:rPr>
                <w:rFonts w:hint="default"/>
                <w:highlight w:val="none"/>
                <w:lang w:val="en-US" w:eastAsia="zh-CN"/>
              </w:rPr>
              <w:t>44</w:t>
            </w:r>
          </w:p>
        </w:tc>
        <w:tc>
          <w:tcPr>
            <w:tcW w:w="6041" w:type="dxa"/>
            <w:tcBorders>
              <w:tl2br w:val="nil"/>
              <w:tr2bl w:val="nil"/>
            </w:tcBorders>
            <w:noWrap w:val="0"/>
            <w:vAlign w:val="center"/>
          </w:tcPr>
          <w:p w14:paraId="614E4CEE">
            <w:pPr>
              <w:pStyle w:val="102"/>
              <w:bidi w:val="0"/>
              <w:rPr>
                <w:rFonts w:hint="default"/>
                <w:highlight w:val="none"/>
                <w:lang w:val="en-US" w:eastAsia="zh-CN"/>
              </w:rPr>
            </w:pPr>
            <w:r>
              <w:rPr>
                <w:rFonts w:hint="default"/>
                <w:highlight w:val="none"/>
                <w:lang w:val="en-US" w:eastAsia="zh-CN"/>
              </w:rPr>
              <w:t>空载状态下，进行起升、回转、变幅各动作的操作，检查调试：操作系统、控制系统、联锁装置动作准确性和灵活性；各行程限位器动作准确性和可靠性；各机构无漏油现象，运动平稳无异常现象</w:t>
            </w:r>
          </w:p>
        </w:tc>
        <w:tc>
          <w:tcPr>
            <w:tcW w:w="1229" w:type="dxa"/>
            <w:tcBorders>
              <w:tl2br w:val="nil"/>
              <w:tr2bl w:val="nil"/>
            </w:tcBorders>
            <w:noWrap w:val="0"/>
            <w:vAlign w:val="center"/>
          </w:tcPr>
          <w:p w14:paraId="406010D7">
            <w:pPr>
              <w:pStyle w:val="102"/>
              <w:bidi w:val="0"/>
              <w:rPr>
                <w:rFonts w:hint="default"/>
                <w:highlight w:val="none"/>
                <w:lang w:val="en-US" w:eastAsia="zh-CN"/>
              </w:rPr>
            </w:pPr>
          </w:p>
        </w:tc>
      </w:tr>
    </w:tbl>
    <w:p w14:paraId="7ABCC3F3">
      <w:pPr>
        <w:spacing w:line="360" w:lineRule="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br w:type="page"/>
      </w:r>
    </w:p>
    <w:bookmarkEnd w:id="294"/>
    <w:p w14:paraId="4B8D1658">
      <w:pPr>
        <w:pStyle w:val="2"/>
        <w:bidi w:val="0"/>
        <w:rPr>
          <w:highlight w:val="none"/>
        </w:rPr>
      </w:pPr>
      <w:bookmarkStart w:id="353" w:name="_Toc25769"/>
      <w:bookmarkStart w:id="354" w:name="_Toc29137"/>
      <w:bookmarkStart w:id="355" w:name="_Toc2184"/>
      <w:r>
        <w:rPr>
          <w:rFonts w:hint="eastAsia"/>
          <w:highlight w:val="none"/>
          <w:lang w:val="en-US" w:eastAsia="zh-CN"/>
        </w:rPr>
        <w:t>9</w:t>
      </w:r>
      <w:r>
        <w:rPr>
          <w:rFonts w:hint="eastAsia"/>
          <w:highlight w:val="none"/>
        </w:rPr>
        <w:t>应急处置</w:t>
      </w:r>
      <w:r>
        <w:rPr>
          <w:rFonts w:hint="eastAsia"/>
          <w:highlight w:val="none"/>
          <w:lang w:eastAsia="zh-CN"/>
        </w:rPr>
        <w:t>措施</w:t>
      </w:r>
      <w:bookmarkEnd w:id="353"/>
      <w:bookmarkEnd w:id="354"/>
      <w:bookmarkEnd w:id="355"/>
    </w:p>
    <w:p w14:paraId="0E2505D8">
      <w:pPr>
        <w:pStyle w:val="3"/>
        <w:numPr>
          <w:ilvl w:val="0"/>
          <w:numId w:val="0"/>
        </w:numPr>
        <w:outlineLvl w:val="1"/>
        <w:rPr>
          <w:rFonts w:hint="eastAsia"/>
          <w:highlight w:val="none"/>
        </w:rPr>
      </w:pPr>
      <w:bookmarkStart w:id="356" w:name="_Toc10409838"/>
      <w:bookmarkStart w:id="357" w:name="_Toc32162"/>
      <w:bookmarkStart w:id="358" w:name="_Toc4766"/>
      <w:bookmarkStart w:id="359" w:name="_Toc20136"/>
      <w:r>
        <w:rPr>
          <w:rFonts w:hint="eastAsia"/>
          <w:highlight w:val="none"/>
          <w:lang w:val="en-US" w:eastAsia="zh-CN"/>
        </w:rPr>
        <w:t xml:space="preserve">9.1 </w:t>
      </w:r>
      <w:r>
        <w:rPr>
          <w:rFonts w:hint="eastAsia"/>
          <w:highlight w:val="none"/>
        </w:rPr>
        <w:t>危险源辨识</w:t>
      </w:r>
      <w:bookmarkEnd w:id="356"/>
      <w:bookmarkEnd w:id="357"/>
      <w:bookmarkEnd w:id="358"/>
      <w:bookmarkEnd w:id="359"/>
    </w:p>
    <w:p w14:paraId="21C6C25E">
      <w:pPr>
        <w:pStyle w:val="4"/>
        <w:bidi w:val="0"/>
        <w:rPr>
          <w:rFonts w:hint="default"/>
          <w:highlight w:val="none"/>
          <w:lang w:val="en-US" w:eastAsia="zh-CN"/>
        </w:rPr>
      </w:pPr>
      <w:r>
        <w:rPr>
          <w:rFonts w:hint="eastAsia"/>
          <w:highlight w:val="none"/>
          <w:lang w:val="en-US" w:eastAsia="zh-CN"/>
        </w:rPr>
        <w:t>9.1.1</w:t>
      </w:r>
      <w:r>
        <w:rPr>
          <w:rFonts w:hint="eastAsia" w:ascii="宋体" w:hAnsi="宋体" w:eastAsia="宋体" w:cs="宋体"/>
          <w:color w:val="000000"/>
          <w:kern w:val="0"/>
          <w:sz w:val="24"/>
          <w:szCs w:val="24"/>
          <w:highlight w:val="none"/>
          <w:lang w:val="en-US" w:eastAsia="zh-CN" w:bidi="ar"/>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155"/>
        <w:ind w:firstLine="480"/>
        <w:rPr>
          <w:rFonts w:ascii="宋体" w:hAnsi="宋体"/>
          <w:highlight w:val="none"/>
        </w:rPr>
      </w:pPr>
      <w:r>
        <w:rPr>
          <w:rFonts w:ascii="宋体" w:hAnsi="宋体"/>
          <w:highlight w:val="none"/>
        </w:rPr>
        <w:t>（1）风险估测方法选择</w:t>
      </w:r>
    </w:p>
    <w:p w14:paraId="739D2572">
      <w:pPr>
        <w:pStyle w:val="155"/>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155"/>
        <w:ind w:firstLine="480"/>
        <w:rPr>
          <w:rFonts w:ascii="宋体" w:hAnsi="宋体"/>
          <w:highlight w:val="none"/>
        </w:rPr>
      </w:pPr>
      <w:r>
        <w:rPr>
          <w:rFonts w:ascii="宋体" w:hAnsi="宋体"/>
          <w:highlight w:val="none"/>
        </w:rPr>
        <w:t>（2）量化分值标准</w:t>
      </w:r>
    </w:p>
    <w:p w14:paraId="4BD18095">
      <w:pPr>
        <w:pStyle w:val="155"/>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155"/>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155"/>
        <w:ind w:firstLine="480"/>
        <w:rPr>
          <w:rFonts w:ascii="宋体" w:hAnsi="宋体"/>
          <w:highlight w:val="none"/>
        </w:rPr>
      </w:pPr>
      <w:r>
        <w:rPr>
          <w:rFonts w:ascii="宋体" w:hAnsi="宋体"/>
          <w:highlight w:val="none"/>
        </w:rPr>
        <w:t>C一发生事故造成的后果。</w:t>
      </w:r>
    </w:p>
    <w:p w14:paraId="547723C5">
      <w:pPr>
        <w:pStyle w:val="155"/>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155"/>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的分数定为0.1，而必然要发生的事故的分数定为10，介于这两种情况之间的情况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9.1-1</w:t>
      </w:r>
      <w:r>
        <w:rPr>
          <w:rFonts w:ascii="宋体" w:hAnsi="宋体"/>
          <w:highlight w:val="none"/>
        </w:rPr>
        <w:t>所示：</w:t>
      </w:r>
    </w:p>
    <w:p w14:paraId="019274C0">
      <w:pPr>
        <w:pStyle w:val="38"/>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1</w:t>
      </w:r>
      <w:r>
        <w:rPr>
          <w:highlight w:val="none"/>
        </w:rP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0.5</w:t>
            </w: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0.2</w:t>
            </w: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0.1</w:t>
            </w: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155"/>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155"/>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人员出现在危险环境中的时间越多，则危险性越大规定连续出现在危险环境的情况分数定为10，而非常罕见地出现在危险环境中分数定为0.5，将介于两者之间的各种情况规定若干个中间值，如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38"/>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2</w:t>
      </w:r>
      <w:r>
        <w:rPr>
          <w:highlight w:val="none"/>
        </w:rP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0.5</w:t>
            </w: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155"/>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155"/>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38"/>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3</w:t>
      </w:r>
      <w:r>
        <w:rPr>
          <w:highlight w:val="none"/>
        </w:rP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69"/>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155"/>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155"/>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38"/>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4</w:t>
      </w:r>
      <w:r>
        <w:rPr>
          <w:highlight w:val="none"/>
        </w:rP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69"/>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69"/>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69"/>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69"/>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69"/>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69"/>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69"/>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69"/>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69"/>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69"/>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69"/>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69"/>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69"/>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69"/>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69"/>
              <w:rPr>
                <w:rFonts w:hint="eastAsia" w:ascii="宋体" w:hAnsi="宋体" w:eastAsia="黑体"/>
                <w:highlight w:val="none"/>
                <w:lang w:eastAsia="zh-CN"/>
              </w:rPr>
            </w:pPr>
            <w:r>
              <w:rPr>
                <w:rFonts w:hint="eastAsia" w:ascii="宋体" w:hAnsi="宋体"/>
                <w:highlight w:val="none"/>
                <w:lang w:val="en-US" w:eastAsia="zh-CN"/>
              </w:rPr>
              <w:t>Ⅰ</w:t>
            </w:r>
          </w:p>
        </w:tc>
      </w:tr>
    </w:tbl>
    <w:p w14:paraId="7DE0E791">
      <w:pPr>
        <w:bidi w:val="0"/>
        <w:rPr>
          <w:rFonts w:hint="eastAsia"/>
          <w:highlight w:val="none"/>
          <w:lang w:val="en-US" w:eastAsia="zh-CN"/>
        </w:rPr>
      </w:pPr>
    </w:p>
    <w:p w14:paraId="1B61E0A9">
      <w:pPr>
        <w:pStyle w:val="4"/>
        <w:bidi w:val="0"/>
        <w:rPr>
          <w:rFonts w:hint="default" w:ascii="宋体" w:hAnsi="宋体" w:eastAsia="宋体"/>
          <w:highlight w:val="none"/>
          <w:lang w:val="en-US" w:eastAsia="zh-CN"/>
        </w:rPr>
      </w:pPr>
      <w:r>
        <w:rPr>
          <w:rFonts w:hint="eastAsia"/>
          <w:highlight w:val="none"/>
          <w:lang w:val="en-US" w:eastAsia="zh-CN"/>
        </w:rPr>
        <w:t>9.1.2</w:t>
      </w:r>
      <w:r>
        <w:rPr>
          <w:rFonts w:hint="eastAsia" w:ascii="宋体" w:hAnsi="宋体" w:eastAsia="宋体" w:cs="宋体"/>
          <w:color w:val="000000"/>
          <w:kern w:val="0"/>
          <w:sz w:val="24"/>
          <w:szCs w:val="24"/>
          <w:highlight w:val="none"/>
          <w:lang w:val="en-US" w:eastAsia="zh-CN" w:bidi="ar"/>
        </w:rPr>
        <w:t>危险源辨识与评价</w:t>
      </w:r>
    </w:p>
    <w:p w14:paraId="341CFD3E">
      <w:pPr>
        <w:ind w:firstLine="480" w:firstLineChars="200"/>
        <w:rPr>
          <w:rFonts w:ascii="宋体" w:hAnsi="宋体"/>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highlight w:val="none"/>
        </w:rPr>
        <w:t>根据以上风险估测方法，对</w:t>
      </w:r>
      <w:r>
        <w:rPr>
          <w:rFonts w:hint="eastAsia"/>
          <w:highlight w:val="none"/>
          <w:lang w:val="en-US" w:eastAsia="zh-CN"/>
        </w:rPr>
        <w:t>塔吊</w:t>
      </w:r>
      <w:r>
        <w:rPr>
          <w:rFonts w:hint="eastAsia" w:ascii="宋体" w:hAnsi="宋体"/>
          <w:highlight w:val="none"/>
          <w:lang w:val="en-US" w:eastAsia="zh-CN"/>
        </w:rPr>
        <w:t>安拆</w:t>
      </w:r>
      <w:r>
        <w:rPr>
          <w:rFonts w:ascii="宋体" w:hAnsi="宋体"/>
          <w:highlight w:val="none"/>
        </w:rPr>
        <w:t>施工过程主要危险源进行分析和估算，从而得出相关估测结果见</w:t>
      </w:r>
      <w:r>
        <w:rPr>
          <w:rFonts w:hint="eastAsia" w:ascii="宋体" w:hAnsi="宋体"/>
          <w:highlight w:val="none"/>
        </w:rPr>
        <w:t>下表</w:t>
      </w:r>
      <w:r>
        <w:rPr>
          <w:rFonts w:ascii="宋体" w:hAnsi="宋体"/>
          <w:highlight w:val="none"/>
        </w:rPr>
        <w:t>。</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511"/>
        <w:gridCol w:w="467"/>
        <w:gridCol w:w="688"/>
        <w:gridCol w:w="5406"/>
        <w:gridCol w:w="1096"/>
        <w:gridCol w:w="486"/>
        <w:gridCol w:w="421"/>
        <w:gridCol w:w="399"/>
        <w:gridCol w:w="719"/>
        <w:gridCol w:w="631"/>
        <w:gridCol w:w="1703"/>
        <w:gridCol w:w="164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5"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3"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7"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1"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3"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5"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7"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1"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3"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5"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7"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67"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9"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1"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2"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3"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5"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3"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7"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3"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5"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7"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3"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5"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7"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67"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9"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2"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3"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5"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7"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5"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7"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67"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3"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5"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7"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3"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5"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7"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9"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2"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3"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5"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7"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3"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5"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7"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3"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5"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7"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3"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5"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7"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3"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5"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7"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9"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2"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3"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5"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7"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3"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5"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7"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67"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3"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5"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7"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5"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塔吊安拆</w:t>
            </w:r>
          </w:p>
        </w:tc>
        <w:tc>
          <w:tcPr>
            <w:tcW w:w="243"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7"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5"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7"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3"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5"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7"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3"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5"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7"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0.2</w:t>
            </w:r>
          </w:p>
        </w:tc>
        <w:tc>
          <w:tcPr>
            <w:tcW w:w="149"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5"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7"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3"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181"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5"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7"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3"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5"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7"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67"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5"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7"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67"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5"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7"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67"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2AF78B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32" w:hRule="atLeast"/>
        </w:trPr>
        <w:tc>
          <w:tcPr>
            <w:tcW w:w="181" w:type="pct"/>
            <w:tcBorders>
              <w:tl2br w:val="nil"/>
              <w:tr2bl w:val="nil"/>
            </w:tcBorders>
            <w:shd w:val="clear" w:color="auto" w:fill="auto"/>
            <w:vAlign w:val="center"/>
          </w:tcPr>
          <w:p w14:paraId="0E60A5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c>
          <w:tcPr>
            <w:tcW w:w="165" w:type="pct"/>
            <w:vMerge w:val="continue"/>
            <w:tcBorders>
              <w:tl2br w:val="nil"/>
              <w:tr2bl w:val="nil"/>
            </w:tcBorders>
            <w:shd w:val="clear" w:color="auto" w:fill="auto"/>
            <w:vAlign w:val="center"/>
          </w:tcPr>
          <w:p w14:paraId="3331DC5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7CDA0A6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6AE216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拆除作业未按照专项方案要求实施拆除前未对安装作业人员进行安全技术交底</w:t>
            </w:r>
          </w:p>
        </w:tc>
        <w:tc>
          <w:tcPr>
            <w:tcW w:w="387" w:type="pct"/>
            <w:tcBorders>
              <w:tl2br w:val="nil"/>
              <w:tr2bl w:val="nil"/>
            </w:tcBorders>
            <w:shd w:val="clear" w:color="auto" w:fill="auto"/>
            <w:vAlign w:val="center"/>
          </w:tcPr>
          <w:p w14:paraId="2775A3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机械伤害等</w:t>
            </w:r>
          </w:p>
        </w:tc>
        <w:tc>
          <w:tcPr>
            <w:tcW w:w="167" w:type="pct"/>
            <w:tcBorders>
              <w:tl2br w:val="nil"/>
              <w:tr2bl w:val="nil"/>
            </w:tcBorders>
            <w:shd w:val="clear" w:color="auto" w:fill="auto"/>
            <w:vAlign w:val="center"/>
          </w:tcPr>
          <w:p w14:paraId="2E0E0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D5540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7FACA5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4C7E84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45506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FB15B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9E4CF68">
            <w:pPr>
              <w:spacing w:line="240" w:lineRule="auto"/>
              <w:jc w:val="left"/>
              <w:rPr>
                <w:rFonts w:hint="eastAsia" w:ascii="宋体" w:hAnsi="宋体" w:eastAsia="宋体" w:cs="宋体"/>
                <w:i w:val="0"/>
                <w:iCs w:val="0"/>
                <w:color w:val="000000"/>
                <w:sz w:val="18"/>
                <w:szCs w:val="18"/>
                <w:highlight w:val="none"/>
                <w:u w:val="none"/>
              </w:rPr>
            </w:pPr>
          </w:p>
        </w:tc>
      </w:tr>
      <w:tr w14:paraId="116CF9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13054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c>
          <w:tcPr>
            <w:tcW w:w="165" w:type="pct"/>
            <w:vMerge w:val="continue"/>
            <w:tcBorders>
              <w:tl2br w:val="nil"/>
              <w:tr2bl w:val="nil"/>
            </w:tcBorders>
            <w:shd w:val="clear" w:color="auto" w:fill="auto"/>
            <w:vAlign w:val="center"/>
          </w:tcPr>
          <w:p w14:paraId="3C9B8219">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CCA707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3E8ED4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拆除辅助设备就位后，没有对其机械和安全性能进行检验</w:t>
            </w:r>
          </w:p>
        </w:tc>
        <w:tc>
          <w:tcPr>
            <w:tcW w:w="387" w:type="pct"/>
            <w:tcBorders>
              <w:tl2br w:val="nil"/>
              <w:tr2bl w:val="nil"/>
            </w:tcBorders>
            <w:shd w:val="clear" w:color="auto" w:fill="auto"/>
            <w:vAlign w:val="center"/>
          </w:tcPr>
          <w:p w14:paraId="125F984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机械伤害等</w:t>
            </w:r>
          </w:p>
        </w:tc>
        <w:tc>
          <w:tcPr>
            <w:tcW w:w="167" w:type="pct"/>
            <w:tcBorders>
              <w:tl2br w:val="nil"/>
              <w:tr2bl w:val="nil"/>
            </w:tcBorders>
            <w:shd w:val="clear" w:color="auto" w:fill="auto"/>
            <w:vAlign w:val="center"/>
          </w:tcPr>
          <w:p w14:paraId="7D66E5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9BDC9A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461670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7A204E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3441B5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AA4F64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E5281E9">
            <w:pPr>
              <w:spacing w:line="240" w:lineRule="auto"/>
              <w:jc w:val="left"/>
              <w:rPr>
                <w:rFonts w:hint="eastAsia" w:ascii="宋体" w:hAnsi="宋体" w:eastAsia="宋体" w:cs="宋体"/>
                <w:i w:val="0"/>
                <w:iCs w:val="0"/>
                <w:color w:val="000000"/>
                <w:sz w:val="18"/>
                <w:szCs w:val="18"/>
                <w:highlight w:val="none"/>
                <w:u w:val="none"/>
              </w:rPr>
            </w:pPr>
          </w:p>
        </w:tc>
      </w:tr>
      <w:tr w14:paraId="4F8E6B7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53C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c>
          <w:tcPr>
            <w:tcW w:w="165" w:type="pct"/>
            <w:vMerge w:val="continue"/>
            <w:tcBorders>
              <w:tl2br w:val="nil"/>
              <w:tr2bl w:val="nil"/>
            </w:tcBorders>
            <w:shd w:val="clear" w:color="auto" w:fill="auto"/>
            <w:vAlign w:val="center"/>
          </w:tcPr>
          <w:p w14:paraId="0A3F6939">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DBFFE2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4092A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雨雪、浓雾天气没有停止拆除作业 </w:t>
            </w:r>
          </w:p>
        </w:tc>
        <w:tc>
          <w:tcPr>
            <w:tcW w:w="387" w:type="pct"/>
            <w:tcBorders>
              <w:tl2br w:val="nil"/>
              <w:tr2bl w:val="nil"/>
            </w:tcBorders>
            <w:shd w:val="clear" w:color="auto" w:fill="auto"/>
            <w:vAlign w:val="center"/>
          </w:tcPr>
          <w:p w14:paraId="153900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67" w:type="pct"/>
            <w:tcBorders>
              <w:tl2br w:val="nil"/>
              <w:tr2bl w:val="nil"/>
            </w:tcBorders>
            <w:shd w:val="clear" w:color="auto" w:fill="auto"/>
            <w:vAlign w:val="center"/>
          </w:tcPr>
          <w:p w14:paraId="067DD5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7185B4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3E6351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66C9C4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3" w:type="pct"/>
            <w:tcBorders>
              <w:tl2br w:val="nil"/>
              <w:tr2bl w:val="nil"/>
            </w:tcBorders>
            <w:shd w:val="clear" w:color="auto" w:fill="auto"/>
            <w:vAlign w:val="center"/>
          </w:tcPr>
          <w:p w14:paraId="11EBF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99E84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01B1B00">
            <w:pPr>
              <w:spacing w:line="240" w:lineRule="auto"/>
              <w:jc w:val="left"/>
              <w:rPr>
                <w:rFonts w:hint="eastAsia" w:ascii="宋体" w:hAnsi="宋体" w:eastAsia="宋体" w:cs="宋体"/>
                <w:i w:val="0"/>
                <w:iCs w:val="0"/>
                <w:color w:val="000000"/>
                <w:sz w:val="18"/>
                <w:szCs w:val="18"/>
                <w:highlight w:val="none"/>
                <w:u w:val="none"/>
              </w:rPr>
            </w:pPr>
          </w:p>
        </w:tc>
      </w:tr>
      <w:tr w14:paraId="459FB13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1D69F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165" w:type="pct"/>
            <w:vMerge w:val="continue"/>
            <w:tcBorders>
              <w:tl2br w:val="nil"/>
              <w:tr2bl w:val="nil"/>
            </w:tcBorders>
            <w:shd w:val="clear" w:color="auto" w:fill="auto"/>
            <w:vAlign w:val="center"/>
          </w:tcPr>
          <w:p w14:paraId="53A6F47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2DBFF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4A3D84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拆除时塔机最高处的风速不符合使用说明书的要求，或者大于12m/s</w:t>
            </w:r>
          </w:p>
        </w:tc>
        <w:tc>
          <w:tcPr>
            <w:tcW w:w="387" w:type="pct"/>
            <w:tcBorders>
              <w:tl2br w:val="nil"/>
              <w:tr2bl w:val="nil"/>
            </w:tcBorders>
            <w:shd w:val="clear" w:color="auto" w:fill="auto"/>
            <w:vAlign w:val="center"/>
          </w:tcPr>
          <w:p w14:paraId="55DDAE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67" w:type="pct"/>
            <w:tcBorders>
              <w:tl2br w:val="nil"/>
              <w:tr2bl w:val="nil"/>
            </w:tcBorders>
            <w:shd w:val="clear" w:color="auto" w:fill="auto"/>
            <w:vAlign w:val="center"/>
          </w:tcPr>
          <w:p w14:paraId="11E050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A549B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3605EE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7FD6DE4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1BFCB8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D0804B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B4C7D1">
            <w:pPr>
              <w:spacing w:line="240" w:lineRule="auto"/>
              <w:jc w:val="left"/>
              <w:rPr>
                <w:rFonts w:hint="eastAsia" w:ascii="宋体" w:hAnsi="宋体" w:eastAsia="宋体" w:cs="宋体"/>
                <w:i w:val="0"/>
                <w:iCs w:val="0"/>
                <w:color w:val="000000"/>
                <w:sz w:val="18"/>
                <w:szCs w:val="18"/>
                <w:highlight w:val="none"/>
                <w:u w:val="none"/>
              </w:rPr>
            </w:pPr>
          </w:p>
        </w:tc>
      </w:tr>
      <w:tr w14:paraId="599F11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2B811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c>
          <w:tcPr>
            <w:tcW w:w="165" w:type="pct"/>
            <w:vMerge w:val="continue"/>
            <w:tcBorders>
              <w:tl2br w:val="nil"/>
              <w:tr2bl w:val="nil"/>
            </w:tcBorders>
            <w:shd w:val="clear" w:color="auto" w:fill="auto"/>
            <w:vAlign w:val="center"/>
          </w:tcPr>
          <w:p w14:paraId="2A39CD5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4911DA9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6CC702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当遇特殊情况拆除作业不能连续进行时，没有将已安装的部位固定牢靠并达到安全状态</w:t>
            </w:r>
          </w:p>
        </w:tc>
        <w:tc>
          <w:tcPr>
            <w:tcW w:w="387" w:type="pct"/>
            <w:tcBorders>
              <w:tl2br w:val="nil"/>
              <w:tr2bl w:val="nil"/>
            </w:tcBorders>
            <w:shd w:val="clear" w:color="auto" w:fill="auto"/>
            <w:vAlign w:val="center"/>
          </w:tcPr>
          <w:p w14:paraId="5C37E1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物体打击等</w:t>
            </w:r>
          </w:p>
        </w:tc>
        <w:tc>
          <w:tcPr>
            <w:tcW w:w="167" w:type="pct"/>
            <w:tcBorders>
              <w:tl2br w:val="nil"/>
              <w:tr2bl w:val="nil"/>
            </w:tcBorders>
            <w:shd w:val="clear" w:color="auto" w:fill="auto"/>
            <w:vAlign w:val="center"/>
          </w:tcPr>
          <w:p w14:paraId="681124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394B32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20D0FE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44CD7F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3" w:type="pct"/>
            <w:tcBorders>
              <w:tl2br w:val="nil"/>
              <w:tr2bl w:val="nil"/>
            </w:tcBorders>
            <w:shd w:val="clear" w:color="auto" w:fill="auto"/>
            <w:vAlign w:val="center"/>
          </w:tcPr>
          <w:p w14:paraId="52F86D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65BC1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6C35BC">
            <w:pPr>
              <w:spacing w:line="240" w:lineRule="auto"/>
              <w:jc w:val="left"/>
              <w:rPr>
                <w:rFonts w:hint="eastAsia" w:ascii="宋体" w:hAnsi="宋体" w:eastAsia="宋体" w:cs="宋体"/>
                <w:i w:val="0"/>
                <w:iCs w:val="0"/>
                <w:color w:val="000000"/>
                <w:sz w:val="18"/>
                <w:szCs w:val="18"/>
                <w:highlight w:val="none"/>
                <w:u w:val="none"/>
              </w:rPr>
            </w:pPr>
          </w:p>
        </w:tc>
      </w:tr>
      <w:tr w14:paraId="5DDAEF5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9AE63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165" w:type="pct"/>
            <w:vMerge w:val="continue"/>
            <w:tcBorders>
              <w:tl2br w:val="nil"/>
              <w:tr2bl w:val="nil"/>
            </w:tcBorders>
            <w:shd w:val="clear" w:color="auto" w:fill="auto"/>
            <w:vAlign w:val="center"/>
          </w:tcPr>
          <w:p w14:paraId="73B943F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6AE8F57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54A5F4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自升式塔机每次降节前，没有检查顶升系统和附着装置的连接等</w:t>
            </w:r>
          </w:p>
        </w:tc>
        <w:tc>
          <w:tcPr>
            <w:tcW w:w="387" w:type="pct"/>
            <w:tcBorders>
              <w:tl2br w:val="nil"/>
              <w:tr2bl w:val="nil"/>
            </w:tcBorders>
            <w:shd w:val="clear" w:color="auto" w:fill="auto"/>
            <w:vAlign w:val="center"/>
          </w:tcPr>
          <w:p w14:paraId="5E736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67" w:type="pct"/>
            <w:tcBorders>
              <w:tl2br w:val="nil"/>
              <w:tr2bl w:val="nil"/>
            </w:tcBorders>
            <w:shd w:val="clear" w:color="auto" w:fill="auto"/>
            <w:vAlign w:val="center"/>
          </w:tcPr>
          <w:p w14:paraId="55BB5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7256A4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2DCDFF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257931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40A79A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248F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52E07DD">
            <w:pPr>
              <w:spacing w:line="240" w:lineRule="auto"/>
              <w:jc w:val="left"/>
              <w:rPr>
                <w:rFonts w:hint="eastAsia" w:ascii="宋体" w:hAnsi="宋体" w:eastAsia="宋体" w:cs="宋体"/>
                <w:i w:val="0"/>
                <w:iCs w:val="0"/>
                <w:color w:val="000000"/>
                <w:sz w:val="18"/>
                <w:szCs w:val="18"/>
                <w:highlight w:val="none"/>
                <w:u w:val="none"/>
              </w:rPr>
            </w:pPr>
          </w:p>
        </w:tc>
      </w:tr>
      <w:tr w14:paraId="2C7428B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57EE87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w:t>
            </w:r>
          </w:p>
        </w:tc>
        <w:tc>
          <w:tcPr>
            <w:tcW w:w="165" w:type="pct"/>
            <w:vMerge w:val="continue"/>
            <w:tcBorders>
              <w:tl2br w:val="nil"/>
              <w:tr2bl w:val="nil"/>
            </w:tcBorders>
            <w:shd w:val="clear" w:color="auto" w:fill="auto"/>
            <w:vAlign w:val="center"/>
          </w:tcPr>
          <w:p w14:paraId="32BA1E5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6085A5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03E302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拆卸时没有按照先降节，后拆除附着装置的顺序施工</w:t>
            </w:r>
          </w:p>
        </w:tc>
        <w:tc>
          <w:tcPr>
            <w:tcW w:w="387" w:type="pct"/>
            <w:tcBorders>
              <w:tl2br w:val="nil"/>
              <w:tr2bl w:val="nil"/>
            </w:tcBorders>
            <w:shd w:val="clear" w:color="auto" w:fill="auto"/>
            <w:vAlign w:val="center"/>
          </w:tcPr>
          <w:p w14:paraId="5F5676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67" w:type="pct"/>
            <w:tcBorders>
              <w:tl2br w:val="nil"/>
              <w:tr2bl w:val="nil"/>
            </w:tcBorders>
            <w:shd w:val="clear" w:color="auto" w:fill="auto"/>
            <w:vAlign w:val="center"/>
          </w:tcPr>
          <w:p w14:paraId="7CFB41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7ADBB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1" w:type="pct"/>
            <w:tcBorders>
              <w:tl2br w:val="nil"/>
              <w:tr2bl w:val="nil"/>
            </w:tcBorders>
            <w:shd w:val="clear" w:color="auto" w:fill="auto"/>
            <w:vAlign w:val="center"/>
          </w:tcPr>
          <w:p w14:paraId="06D90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2" w:type="pct"/>
            <w:tcBorders>
              <w:tl2br w:val="nil"/>
              <w:tr2bl w:val="nil"/>
            </w:tcBorders>
            <w:shd w:val="clear" w:color="auto" w:fill="auto"/>
            <w:vAlign w:val="center"/>
          </w:tcPr>
          <w:p w14:paraId="4E3899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3" w:type="pct"/>
            <w:tcBorders>
              <w:tl2br w:val="nil"/>
              <w:tr2bl w:val="nil"/>
            </w:tcBorders>
            <w:shd w:val="clear" w:color="auto" w:fill="auto"/>
            <w:vAlign w:val="center"/>
          </w:tcPr>
          <w:p w14:paraId="403E29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09BEC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5BAE61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5"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3"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7"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5"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7"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5"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7"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3"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5"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7"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5"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7"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3"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5"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7"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3"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5"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7"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3"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5"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7"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3"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5"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7"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3"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5"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7"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67"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3"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5"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7"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67"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3"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5"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7"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3"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5"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7"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3"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5"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7"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3"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5"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7"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5"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7"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2"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3"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5"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7"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67"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5"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7"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1"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3"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5"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7"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3"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5"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3"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7"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3"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5"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7"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3"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5"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7"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3"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5"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7"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5"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7"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67"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3"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5"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隧道、高温、有导电灰尘、比较潮湿或灯具离地面高度低于2.5m等场所的照明，电源电压大于36V</w:t>
            </w:r>
          </w:p>
        </w:tc>
        <w:tc>
          <w:tcPr>
            <w:tcW w:w="387"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5"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7"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5"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3"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7"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5"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7"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5"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7"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5"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7"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5"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7"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5"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7"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67"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2"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3"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1"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5"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3"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7"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67"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1"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3"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1"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5"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7"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67"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3"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1"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5"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7"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67"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1"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2"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5"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7"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67"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1"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2"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1"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5"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7"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67"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2"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3"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5"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7"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67"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2"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3"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5"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7"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67"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2"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3"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5"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7"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67"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1"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2"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3"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5"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7"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67"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3"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5"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7"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67"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5"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7"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67"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3"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5"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7"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67"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1"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3"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5"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3"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7"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67"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3"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1"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5"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7"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67"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3"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1"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5"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3"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7"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67"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1"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2"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3"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2BE63090">
      <w:pPr>
        <w:bidi w:val="0"/>
        <w:rPr>
          <w:rFonts w:hint="eastAsia"/>
          <w:highlight w:val="none"/>
        </w:rPr>
        <w:sectPr>
          <w:head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9FDB69D">
      <w:pPr>
        <w:pStyle w:val="4"/>
        <w:bidi w:val="0"/>
        <w:rPr>
          <w:highlight w:val="none"/>
        </w:rPr>
      </w:pPr>
      <w:bookmarkStart w:id="360" w:name="_Toc11562"/>
      <w:bookmarkStart w:id="361" w:name="_Toc10409839"/>
      <w:bookmarkStart w:id="362" w:name="_Toc18053"/>
      <w:r>
        <w:rPr>
          <w:rFonts w:hint="eastAsia"/>
          <w:highlight w:val="none"/>
          <w:lang w:val="en-US" w:eastAsia="zh-CN"/>
        </w:rPr>
        <w:t>9.1.3</w:t>
      </w:r>
      <w:r>
        <w:rPr>
          <w:rFonts w:hint="eastAsia" w:ascii="宋体" w:hAnsi="宋体" w:eastAsia="宋体" w:cs="宋体"/>
          <w:color w:val="000000"/>
          <w:kern w:val="0"/>
          <w:sz w:val="24"/>
          <w:szCs w:val="24"/>
          <w:highlight w:val="none"/>
          <w:lang w:val="en-US" w:eastAsia="zh-CN" w:bidi="ar"/>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对塔吊安拆施工过程中存在的危险有害因素进行辨识，辨识出危险有害因素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0A8401FE">
      <w:pPr>
        <w:pStyle w:val="155"/>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表9</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.1</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.3</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1</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 xml:space="preserve"> </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液压爬模施工显著危害因素清单及控制措施表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塔吊安装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安排专人进行塔吊安拆工作。安装完成后落实验收程序。报专业机构验收合格后，由项目部组织邀请监理和业主单位进行验收。施工过程中定期进行检查维护，对破损构件及时进行更换。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tbl>
    <w:p w14:paraId="7D06C13B">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highlight w:val="none"/>
        </w:rPr>
      </w:pPr>
      <w:bookmarkStart w:id="363" w:name="_Toc7136"/>
      <w:r>
        <w:rPr>
          <w:rFonts w:hint="eastAsia"/>
          <w:highlight w:val="none"/>
          <w:lang w:val="en-US" w:eastAsia="zh-CN"/>
        </w:rPr>
        <w:t>9.2</w:t>
      </w:r>
      <w:r>
        <w:rPr>
          <w:rFonts w:hint="eastAsia"/>
          <w:highlight w:val="none"/>
        </w:rPr>
        <w:t>组织</w:t>
      </w:r>
      <w:r>
        <w:rPr>
          <w:rFonts w:hint="eastAsia"/>
          <w:highlight w:val="none"/>
          <w:lang w:val="en-US" w:eastAsia="zh-CN"/>
        </w:rPr>
        <w:t>机</w:t>
      </w:r>
      <w:r>
        <w:rPr>
          <w:rFonts w:hint="eastAsia"/>
          <w:highlight w:val="none"/>
        </w:rPr>
        <w:t>构及职责</w:t>
      </w:r>
      <w:bookmarkEnd w:id="360"/>
      <w:bookmarkEnd w:id="361"/>
      <w:bookmarkEnd w:id="362"/>
      <w:bookmarkEnd w:id="363"/>
    </w:p>
    <w:p w14:paraId="42429EFE">
      <w:pPr>
        <w:pStyle w:val="4"/>
        <w:bidi w:val="0"/>
        <w:rPr>
          <w:rFonts w:hint="eastAsia"/>
          <w:highlight w:val="none"/>
        </w:rPr>
      </w:pPr>
      <w:bookmarkStart w:id="364" w:name="_Toc530055718"/>
      <w:r>
        <w:rPr>
          <w:rFonts w:hint="eastAsia"/>
          <w:highlight w:val="none"/>
          <w:lang w:val="en-US" w:eastAsia="zh-CN"/>
        </w:rPr>
        <w:t>9.2.1</w:t>
      </w:r>
      <w:r>
        <w:rPr>
          <w:rFonts w:hint="eastAsia"/>
          <w:highlight w:val="none"/>
        </w:rPr>
        <w:t>应急处置领导小组</w:t>
      </w:r>
      <w:bookmarkEnd w:id="364"/>
    </w:p>
    <w:p w14:paraId="40BFA608">
      <w:pPr>
        <w:ind w:firstLine="643"/>
        <w:rPr>
          <w:rFonts w:hint="default" w:ascii="Times New Roman" w:hAnsi="Times New Roman" w:eastAsia="宋体" w:cstheme="minorBidi"/>
          <w:szCs w:val="22"/>
          <w:highlight w:val="none"/>
          <w:lang w:val="en-US" w:eastAsia="zh-CN"/>
        </w:rPr>
      </w:pPr>
      <w:bookmarkStart w:id="365" w:name="_Toc530055719"/>
      <w:r>
        <w:rPr>
          <w:rFonts w:hint="default" w:ascii="Times New Roman" w:hAnsi="Times New Roman" w:eastAsia="宋体" w:cstheme="minorBidi"/>
          <w:szCs w:val="22"/>
          <w:highlight w:val="none"/>
          <w:lang w:val="en-US" w:eastAsia="zh-CN"/>
        </w:rPr>
        <w:t>项目部成立以项目经理</w:t>
      </w:r>
      <w:r>
        <w:rPr>
          <w:rFonts w:hint="eastAsia" w:ascii="Times New Roman" w:hAnsi="Times New Roman" w:eastAsia="宋体" w:cstheme="minorBidi"/>
          <w:szCs w:val="22"/>
          <w:highlight w:val="none"/>
          <w:lang w:val="en-US" w:eastAsia="zh-CN"/>
        </w:rPr>
        <w:t>、</w:t>
      </w:r>
      <w:r>
        <w:rPr>
          <w:rFonts w:hint="default" w:ascii="Times New Roman" w:hAnsi="Times New Roman" w:eastAsia="宋体" w:cstheme="minorBidi"/>
          <w:szCs w:val="22"/>
          <w:highlight w:val="none"/>
          <w:lang w:val="en-US" w:eastAsia="zh-CN"/>
        </w:rPr>
        <w:t>项目书记为组长，总工程师、</w:t>
      </w:r>
      <w:r>
        <w:rPr>
          <w:rFonts w:hint="eastAsia" w:ascii="Times New Roman" w:hAnsi="Times New Roman" w:eastAsia="宋体" w:cstheme="minorBidi"/>
          <w:szCs w:val="22"/>
          <w:highlight w:val="none"/>
          <w:lang w:val="en-US" w:eastAsia="zh-CN"/>
        </w:rPr>
        <w:t>副经理、安全总监等其他副职领导</w:t>
      </w:r>
      <w:r>
        <w:rPr>
          <w:rFonts w:hint="default" w:ascii="Times New Roman" w:hAnsi="Times New Roman" w:eastAsia="宋体" w:cstheme="minorBidi"/>
          <w:szCs w:val="22"/>
          <w:highlight w:val="none"/>
          <w:lang w:val="en-US" w:eastAsia="zh-CN"/>
        </w:rPr>
        <w:t>为副组长，各</w:t>
      </w:r>
      <w:r>
        <w:rPr>
          <w:rFonts w:hint="eastAsia" w:ascii="Times New Roman" w:hAnsi="Times New Roman" w:eastAsia="宋体" w:cstheme="minorBidi"/>
          <w:szCs w:val="22"/>
          <w:highlight w:val="none"/>
          <w:lang w:val="en-US" w:eastAsia="zh-CN"/>
        </w:rPr>
        <w:t>职能</w:t>
      </w:r>
      <w:r>
        <w:rPr>
          <w:rFonts w:hint="default" w:ascii="Times New Roman" w:hAnsi="Times New Roman" w:eastAsia="宋体" w:cstheme="minorBidi"/>
          <w:szCs w:val="22"/>
          <w:highlight w:val="none"/>
          <w:lang w:val="en-US" w:eastAsia="zh-CN"/>
        </w:rPr>
        <w:t>部门负责人及各协作队伍负责人为组员的安全应急领导小组</w:t>
      </w:r>
      <w:r>
        <w:rPr>
          <w:rFonts w:hint="eastAsia" w:ascii="Times New Roman" w:hAnsi="Times New Roman" w:eastAsia="宋体" w:cstheme="minorBidi"/>
          <w:szCs w:val="22"/>
          <w:highlight w:val="none"/>
          <w:lang w:val="en-US" w:eastAsia="zh-CN"/>
        </w:rPr>
        <w:t>。</w:t>
      </w:r>
    </w:p>
    <w:p w14:paraId="15B92C34">
      <w:pPr>
        <w:ind w:firstLine="480"/>
        <w:rPr>
          <w:rFonts w:cstheme="minorBidi"/>
          <w:szCs w:val="22"/>
          <w:highlight w:val="none"/>
        </w:rPr>
      </w:pPr>
      <w:r>
        <w:rPr>
          <w:rFonts w:cstheme="minorBidi"/>
          <w:szCs w:val="22"/>
          <w:highlight w:val="none"/>
        </w:rPr>
        <w:t>组  长</w:t>
      </w:r>
      <w:r>
        <w:rPr>
          <w:rFonts w:hint="eastAsia" w:cstheme="minorBidi"/>
          <w:szCs w:val="22"/>
          <w:highlight w:val="none"/>
        </w:rPr>
        <w:t>：</w:t>
      </w:r>
      <w:r>
        <w:rPr>
          <w:rFonts w:hint="eastAsia"/>
          <w:highlight w:val="none"/>
        </w:rPr>
        <w:t>程金平</w:t>
      </w:r>
    </w:p>
    <w:p w14:paraId="02251F65">
      <w:pPr>
        <w:ind w:firstLine="480"/>
        <w:rPr>
          <w:rFonts w:hint="default" w:eastAsia="宋体" w:cstheme="minorBidi"/>
          <w:szCs w:val="22"/>
          <w:highlight w:val="none"/>
          <w:lang w:val="en-US" w:eastAsia="zh-CN"/>
        </w:rPr>
      </w:pPr>
      <w:r>
        <w:rPr>
          <w:rFonts w:cstheme="minorBidi"/>
          <w:szCs w:val="22"/>
          <w:highlight w:val="none"/>
        </w:rPr>
        <w:t>副组长：</w:t>
      </w:r>
      <w:r>
        <w:rPr>
          <w:rFonts w:hint="eastAsia" w:cstheme="minorBidi"/>
          <w:szCs w:val="22"/>
          <w:highlight w:val="none"/>
          <w:lang w:val="en-US" w:eastAsia="zh-CN"/>
        </w:rPr>
        <w:t>赵凯、刘海、刘斌、李野、刘海东、农世好</w:t>
      </w:r>
    </w:p>
    <w:p w14:paraId="225437F3">
      <w:pPr>
        <w:ind w:firstLine="480"/>
        <w:rPr>
          <w:rFonts w:hint="eastAsia"/>
          <w:highlight w:val="none"/>
          <w:lang w:val="en-US" w:eastAsia="zh-CN"/>
        </w:rPr>
      </w:pPr>
      <w:r>
        <w:rPr>
          <w:rFonts w:cstheme="minorBidi"/>
          <w:szCs w:val="22"/>
          <w:highlight w:val="none"/>
        </w:rPr>
        <w:t>组  员：</w:t>
      </w:r>
      <w:r>
        <w:rPr>
          <w:rFonts w:hint="eastAsia"/>
          <w:highlight w:val="none"/>
        </w:rPr>
        <w:t>岳蛟、</w:t>
      </w:r>
      <w:r>
        <w:rPr>
          <w:highlight w:val="none"/>
        </w:rPr>
        <w:t>李萌萌</w:t>
      </w:r>
      <w:r>
        <w:rPr>
          <w:rFonts w:hint="eastAsia"/>
          <w:highlight w:val="none"/>
        </w:rPr>
        <w:t>、刘嘉伟、黄硕、</w:t>
      </w:r>
      <w:r>
        <w:rPr>
          <w:highlight w:val="none"/>
        </w:rPr>
        <w:t>魏小雨</w:t>
      </w:r>
      <w:r>
        <w:rPr>
          <w:rFonts w:hint="eastAsia"/>
          <w:highlight w:val="none"/>
        </w:rPr>
        <w:t>、</w:t>
      </w:r>
      <w:r>
        <w:rPr>
          <w:highlight w:val="none"/>
        </w:rPr>
        <w:t>丁阳</w:t>
      </w:r>
      <w:r>
        <w:rPr>
          <w:rFonts w:hint="eastAsia"/>
          <w:highlight w:val="none"/>
        </w:rPr>
        <w:t>、</w:t>
      </w:r>
      <w:r>
        <w:rPr>
          <w:highlight w:val="none"/>
        </w:rPr>
        <w:t>陈硕</w:t>
      </w:r>
      <w:r>
        <w:rPr>
          <w:rFonts w:hint="eastAsia"/>
          <w:highlight w:val="none"/>
        </w:rPr>
        <w:t>、</w:t>
      </w:r>
      <w:r>
        <w:rPr>
          <w:rFonts w:hint="eastAsia"/>
          <w:highlight w:val="none"/>
          <w:lang w:val="en-US" w:eastAsia="zh-CN"/>
        </w:rPr>
        <w:t>刘慈龙</w:t>
      </w:r>
      <w:r>
        <w:rPr>
          <w:rFonts w:hint="eastAsia"/>
          <w:highlight w:val="none"/>
        </w:rPr>
        <w:t>、</w:t>
      </w:r>
      <w:r>
        <w:rPr>
          <w:rFonts w:hint="eastAsia"/>
          <w:highlight w:val="none"/>
          <w:lang w:val="en-US" w:eastAsia="zh-CN"/>
        </w:rPr>
        <w:t>桂海波</w:t>
      </w:r>
    </w:p>
    <w:p w14:paraId="4299E23B">
      <w:pPr>
        <w:ind w:firstLine="480" w:firstLineChars="200"/>
        <w:rPr>
          <w:highlight w:val="none"/>
        </w:rPr>
      </w:pPr>
      <w:bookmarkStart w:id="366" w:name="_Toc29787"/>
      <w:r>
        <w:rPr>
          <w:rFonts w:hint="eastAsia"/>
          <w:color w:val="000000"/>
          <w:kern w:val="0"/>
          <w:highlight w:val="none"/>
          <w:lang w:bidi="ar"/>
        </w:rPr>
        <w:t>应急救援领导小组办公室</w:t>
      </w:r>
      <w:bookmarkEnd w:id="366"/>
      <w:r>
        <w:rPr>
          <w:rFonts w:hint="eastAsia"/>
          <w:color w:val="000000"/>
          <w:kern w:val="0"/>
          <w:highlight w:val="none"/>
          <w:lang w:bidi="ar"/>
        </w:rPr>
        <w:t xml:space="preserve"> </w:t>
      </w:r>
    </w:p>
    <w:p w14:paraId="4D2BF7A1">
      <w:pPr>
        <w:widowControl/>
        <w:ind w:firstLine="480" w:firstLineChars="200"/>
        <w:jc w:val="left"/>
        <w:rPr>
          <w:highlight w:val="none"/>
        </w:rPr>
      </w:pPr>
      <w:r>
        <w:rPr>
          <w:rFonts w:hint="eastAsia"/>
          <w:color w:val="000000"/>
          <w:kern w:val="0"/>
          <w:highlight w:val="none"/>
          <w:lang w:bidi="ar"/>
        </w:rPr>
        <w:t>主  任：刘斌</w:t>
      </w:r>
    </w:p>
    <w:p w14:paraId="3AD9DCB4">
      <w:pPr>
        <w:widowControl/>
        <w:ind w:firstLine="480" w:firstLineChars="200"/>
        <w:jc w:val="left"/>
        <w:rPr>
          <w:rFonts w:hint="eastAsia"/>
          <w:highlight w:val="none"/>
          <w:lang w:val="en-US" w:eastAsia="zh-CN"/>
        </w:rPr>
      </w:pPr>
      <w:r>
        <w:rPr>
          <w:rFonts w:hint="eastAsia"/>
          <w:color w:val="000000"/>
          <w:kern w:val="0"/>
          <w:highlight w:val="none"/>
          <w:lang w:bidi="ar"/>
        </w:rPr>
        <w:t>成  员：陈硕、</w:t>
      </w:r>
      <w:r>
        <w:rPr>
          <w:rFonts w:hint="eastAsia"/>
          <w:color w:val="000000"/>
          <w:kern w:val="0"/>
          <w:highlight w:val="none"/>
          <w:lang w:val="en-US" w:eastAsia="zh-CN" w:bidi="ar"/>
        </w:rPr>
        <w:t>刘俊臣</w:t>
      </w:r>
      <w:r>
        <w:rPr>
          <w:rFonts w:hint="eastAsia"/>
          <w:color w:val="000000"/>
          <w:kern w:val="0"/>
          <w:highlight w:val="none"/>
          <w:lang w:bidi="ar"/>
        </w:rPr>
        <w:t>、</w:t>
      </w:r>
      <w:r>
        <w:rPr>
          <w:rFonts w:hint="eastAsia"/>
          <w:color w:val="000000"/>
          <w:kern w:val="0"/>
          <w:highlight w:val="none"/>
          <w:lang w:val="en-US" w:eastAsia="zh-CN" w:bidi="ar"/>
        </w:rPr>
        <w:t>苏靖晗</w:t>
      </w:r>
    </w:p>
    <w:p w14:paraId="3986D17E">
      <w:pPr>
        <w:pStyle w:val="4"/>
        <w:bidi w:val="0"/>
        <w:rPr>
          <w:rFonts w:hint="eastAsia" w:ascii="宋体" w:hAnsi="宋体" w:eastAsia="宋体"/>
          <w:highlight w:val="none"/>
          <w:lang w:val="en-US" w:eastAsia="zh-CN"/>
        </w:rPr>
      </w:pPr>
      <w:r>
        <w:rPr>
          <w:rFonts w:hint="eastAsia" w:ascii="宋体" w:hAnsi="宋体" w:eastAsia="宋体"/>
          <w:highlight w:val="none"/>
          <w:lang w:val="en-US" w:eastAsia="zh-CN"/>
        </w:rPr>
        <w:t>9.2.2职责</w:t>
      </w:r>
      <w:bookmarkEnd w:id="365"/>
    </w:p>
    <w:p w14:paraId="02B89FAD">
      <w:pPr>
        <w:ind w:firstLine="480"/>
        <w:rPr>
          <w:rFonts w:hint="default" w:ascii="宋体" w:hAnsi="宋体" w:eastAsia="宋体"/>
          <w:highlight w:val="none"/>
          <w:lang w:val="en-US" w:eastAsia="zh-CN"/>
        </w:rPr>
      </w:pPr>
      <w:r>
        <w:rPr>
          <w:rFonts w:hint="eastAsia"/>
          <w:highlight w:val="none"/>
          <w:lang w:val="en-US" w:eastAsia="zh-CN"/>
        </w:rPr>
        <w:t>1.领导小组职责</w:t>
      </w:r>
    </w:p>
    <w:p w14:paraId="3B3B8E53">
      <w:pPr>
        <w:ind w:firstLine="480"/>
        <w:rPr>
          <w:rFonts w:hint="eastAsia" w:ascii="宋体" w:hAnsi="宋体" w:eastAsia="宋体"/>
          <w:highlight w:val="none"/>
        </w:rPr>
      </w:pPr>
      <w:r>
        <w:rPr>
          <w:rFonts w:hint="eastAsia" w:ascii="宋体" w:hAnsi="宋体" w:eastAsia="宋体"/>
          <w:highlight w:val="none"/>
        </w:rPr>
        <w:t>（1）负责组织和制定应急处置措施；</w:t>
      </w:r>
    </w:p>
    <w:p w14:paraId="63BD38DD">
      <w:pPr>
        <w:ind w:firstLine="480"/>
        <w:rPr>
          <w:rFonts w:hint="eastAsia" w:ascii="宋体" w:hAnsi="宋体" w:eastAsia="宋体"/>
          <w:highlight w:val="none"/>
        </w:rPr>
      </w:pPr>
      <w:r>
        <w:rPr>
          <w:rFonts w:hint="eastAsia" w:ascii="宋体" w:hAnsi="宋体" w:eastAsia="宋体"/>
          <w:highlight w:val="none"/>
        </w:rPr>
        <w:t>（2）按规定的报告程序和时限，逐级上报事故；</w:t>
      </w:r>
    </w:p>
    <w:p w14:paraId="0ECFE6C4">
      <w:pPr>
        <w:ind w:firstLine="480"/>
        <w:rPr>
          <w:rFonts w:hint="eastAsia" w:ascii="宋体" w:hAnsi="宋体" w:eastAsia="宋体"/>
          <w:highlight w:val="none"/>
        </w:rPr>
      </w:pPr>
      <w:r>
        <w:rPr>
          <w:rFonts w:hint="eastAsia" w:ascii="宋体" w:hAnsi="宋体" w:eastAsia="宋体"/>
          <w:highlight w:val="none"/>
        </w:rPr>
        <w:t>（3）检查督促做好各项预防措施及应急资源的落实情况；</w:t>
      </w:r>
    </w:p>
    <w:p w14:paraId="450A8A15">
      <w:pPr>
        <w:ind w:firstLine="480"/>
        <w:rPr>
          <w:rFonts w:hint="eastAsia" w:ascii="宋体" w:hAnsi="宋体" w:eastAsia="宋体"/>
          <w:highlight w:val="none"/>
        </w:rPr>
      </w:pPr>
      <w:r>
        <w:rPr>
          <w:rFonts w:hint="eastAsia" w:ascii="宋体" w:hAnsi="宋体" w:eastAsia="宋体"/>
          <w:highlight w:val="none"/>
        </w:rPr>
        <w:t>（4）应急处置措施的组织与实施；</w:t>
      </w:r>
    </w:p>
    <w:p w14:paraId="4D88D10E">
      <w:pPr>
        <w:ind w:firstLine="480"/>
        <w:rPr>
          <w:rFonts w:hint="eastAsia" w:ascii="宋体" w:hAnsi="宋体" w:eastAsia="宋体"/>
          <w:highlight w:val="none"/>
        </w:rPr>
      </w:pPr>
      <w:r>
        <w:rPr>
          <w:rFonts w:hint="eastAsia" w:ascii="宋体" w:hAnsi="宋体" w:eastAsia="宋体"/>
          <w:highlight w:val="none"/>
        </w:rPr>
        <w:t>（5）当施工现场发生紧急情况时，发布和解除应急救援命令；</w:t>
      </w:r>
    </w:p>
    <w:p w14:paraId="747B9F4A">
      <w:pPr>
        <w:ind w:firstLine="480"/>
        <w:rPr>
          <w:rFonts w:hint="eastAsia" w:ascii="宋体" w:hAnsi="宋体" w:eastAsia="宋体"/>
          <w:highlight w:val="none"/>
        </w:rPr>
      </w:pPr>
      <w:r>
        <w:rPr>
          <w:rFonts w:hint="eastAsia" w:ascii="宋体" w:hAnsi="宋体" w:eastAsia="宋体"/>
          <w:highlight w:val="none"/>
        </w:rPr>
        <w:t>（6）随时了解和掌握处理事故的实际情况，根据情况作出应急对策；</w:t>
      </w:r>
    </w:p>
    <w:p w14:paraId="7890CCA2">
      <w:pPr>
        <w:ind w:firstLine="480"/>
        <w:rPr>
          <w:rFonts w:hint="eastAsia" w:ascii="宋体" w:hAnsi="宋体" w:eastAsia="宋体"/>
          <w:highlight w:val="none"/>
        </w:rPr>
      </w:pPr>
      <w:r>
        <w:rPr>
          <w:rFonts w:hint="eastAsia" w:ascii="宋体" w:hAnsi="宋体" w:eastAsia="宋体"/>
          <w:highlight w:val="none"/>
        </w:rPr>
        <w:t>（7）保护好事故现场，确保内外通讯畅通。</w:t>
      </w:r>
    </w:p>
    <w:p w14:paraId="16428EC1">
      <w:pPr>
        <w:bidi w:val="0"/>
        <w:ind w:firstLine="480" w:firstLineChars="200"/>
        <w:rPr>
          <w:rFonts w:hint="eastAsia"/>
          <w:highlight w:val="none"/>
          <w:lang w:val="en-US" w:eastAsia="zh-CN"/>
        </w:rPr>
      </w:pPr>
      <w:r>
        <w:rPr>
          <w:rFonts w:hint="eastAsia"/>
          <w:highlight w:val="none"/>
          <w:lang w:val="en-US" w:eastAsia="zh-CN"/>
        </w:rPr>
        <w:t>2.</w:t>
      </w:r>
      <w:r>
        <w:rPr>
          <w:rFonts w:hint="eastAsia"/>
          <w:color w:val="000000"/>
          <w:kern w:val="0"/>
          <w:highlight w:val="none"/>
          <w:lang w:bidi="ar"/>
        </w:rPr>
        <w:t>应急救援领导小组办公室</w:t>
      </w:r>
      <w:r>
        <w:rPr>
          <w:rFonts w:hint="eastAsia"/>
          <w:highlight w:val="none"/>
          <w:lang w:val="en-US" w:eastAsia="zh-CN"/>
        </w:rPr>
        <w:t>职责</w:t>
      </w:r>
    </w:p>
    <w:p w14:paraId="5C6AEBDA">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1</w:t>
      </w:r>
      <w:r>
        <w:rPr>
          <w:rFonts w:hint="eastAsia"/>
          <w:color w:val="000000"/>
          <w:kern w:val="0"/>
          <w:highlight w:val="none"/>
          <w:lang w:bidi="ar"/>
        </w:rPr>
        <w:t xml:space="preserve">）服从项目部应急救援领导小组的指挥，实施救援响应； </w:t>
      </w:r>
    </w:p>
    <w:p w14:paraId="52DFE93E">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2</w:t>
      </w:r>
      <w:r>
        <w:rPr>
          <w:rFonts w:hint="eastAsia"/>
          <w:color w:val="000000"/>
          <w:kern w:val="0"/>
          <w:highlight w:val="none"/>
          <w:lang w:bidi="ar"/>
        </w:rPr>
        <w:t xml:space="preserve">）根据组长指示，发布和解除突发事件应急救援命令； </w:t>
      </w:r>
    </w:p>
    <w:p w14:paraId="62B429E0">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3</w:t>
      </w:r>
      <w:r>
        <w:rPr>
          <w:rFonts w:hint="eastAsia"/>
          <w:color w:val="000000"/>
          <w:kern w:val="0"/>
          <w:highlight w:val="none"/>
          <w:lang w:bidi="ar"/>
        </w:rPr>
        <w:t>）织指挥救援队伍实施救援行动；</w:t>
      </w:r>
    </w:p>
    <w:p w14:paraId="5DA114A4">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4</w:t>
      </w:r>
      <w:r>
        <w:rPr>
          <w:rFonts w:hint="eastAsia"/>
          <w:color w:val="000000"/>
          <w:kern w:val="0"/>
          <w:highlight w:val="none"/>
          <w:lang w:bidi="ar"/>
        </w:rPr>
        <w:t xml:space="preserve">）向上级报告事故和事故救援情况，适时发布事故救援报告； </w:t>
      </w:r>
    </w:p>
    <w:p w14:paraId="783617A8">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5</w:t>
      </w:r>
      <w:r>
        <w:rPr>
          <w:rFonts w:hint="eastAsia"/>
          <w:color w:val="000000"/>
          <w:kern w:val="0"/>
          <w:highlight w:val="none"/>
          <w:lang w:bidi="ar"/>
        </w:rPr>
        <w:t xml:space="preserve">）指令有关部门配合上级部门进行事故调查处理； </w:t>
      </w:r>
    </w:p>
    <w:p w14:paraId="4D4109EF">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6</w:t>
      </w:r>
      <w:r>
        <w:rPr>
          <w:rFonts w:hint="eastAsia"/>
          <w:color w:val="000000"/>
          <w:kern w:val="0"/>
          <w:highlight w:val="none"/>
          <w:lang w:bidi="ar"/>
        </w:rPr>
        <w:t xml:space="preserve">）必要时向有关部门发出救援请求； </w:t>
      </w:r>
    </w:p>
    <w:p w14:paraId="3D151FDB">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7</w:t>
      </w:r>
      <w:r>
        <w:rPr>
          <w:rFonts w:hint="eastAsia"/>
          <w:color w:val="000000"/>
          <w:kern w:val="0"/>
          <w:highlight w:val="none"/>
          <w:lang w:bidi="ar"/>
        </w:rPr>
        <w:t xml:space="preserve">）完成领导小组交办的其他事项。 </w:t>
      </w:r>
    </w:p>
    <w:p w14:paraId="4576F001">
      <w:pPr>
        <w:pStyle w:val="4"/>
        <w:bidi w:val="0"/>
        <w:rPr>
          <w:rFonts w:hint="eastAsia"/>
          <w:highlight w:val="none"/>
        </w:rPr>
      </w:pPr>
      <w:bookmarkStart w:id="367" w:name="_Toc530055720"/>
      <w:r>
        <w:rPr>
          <w:rFonts w:hint="eastAsia"/>
          <w:highlight w:val="none"/>
          <w:lang w:val="en-US" w:eastAsia="zh-CN"/>
        </w:rPr>
        <w:t>9</w:t>
      </w:r>
      <w:r>
        <w:rPr>
          <w:rFonts w:hint="eastAsia"/>
          <w:highlight w:val="none"/>
        </w:rPr>
        <w:t>.</w:t>
      </w:r>
      <w:r>
        <w:rPr>
          <w:rFonts w:hint="eastAsia"/>
          <w:highlight w:val="none"/>
          <w:lang w:val="en-US" w:eastAsia="zh-CN"/>
        </w:rPr>
        <w:t>2</w:t>
      </w:r>
      <w:r>
        <w:rPr>
          <w:rFonts w:hint="eastAsia"/>
          <w:highlight w:val="none"/>
        </w:rPr>
        <w:t>.3领导小组人员分工</w:t>
      </w:r>
      <w:bookmarkEnd w:id="367"/>
    </w:p>
    <w:p w14:paraId="14889A10">
      <w:pPr>
        <w:ind w:firstLine="480"/>
        <w:rPr>
          <w:rFonts w:hint="eastAsia" w:ascii="宋体" w:hAnsi="宋体" w:eastAsia="宋体"/>
          <w:highlight w:val="none"/>
        </w:rPr>
      </w:pPr>
      <w:r>
        <w:rPr>
          <w:rFonts w:hint="eastAsia" w:ascii="宋体" w:hAnsi="宋体" w:eastAsia="宋体"/>
          <w:highlight w:val="none"/>
        </w:rPr>
        <w:t>组长</w:t>
      </w:r>
      <w:r>
        <w:rPr>
          <w:rFonts w:hint="eastAsia" w:ascii="宋体" w:hAnsi="宋体" w:eastAsia="宋体"/>
          <w:highlight w:val="none"/>
          <w:lang w:eastAsia="zh-CN"/>
        </w:rPr>
        <w:t>（</w:t>
      </w:r>
      <w:r>
        <w:rPr>
          <w:rFonts w:hint="eastAsia" w:ascii="宋体" w:hAnsi="宋体" w:eastAsia="宋体"/>
          <w:highlight w:val="none"/>
          <w:lang w:val="en-US" w:eastAsia="zh-CN"/>
        </w:rPr>
        <w:t>总指挥</w:t>
      </w:r>
      <w:r>
        <w:rPr>
          <w:rFonts w:hint="eastAsia" w:ascii="宋体" w:hAnsi="宋体" w:eastAsia="宋体"/>
          <w:highlight w:val="none"/>
          <w:lang w:eastAsia="zh-CN"/>
        </w:rPr>
        <w:t>）</w:t>
      </w:r>
      <w:r>
        <w:rPr>
          <w:rFonts w:hint="eastAsia" w:ascii="宋体" w:hAnsi="宋体" w:eastAsia="宋体"/>
          <w:highlight w:val="none"/>
        </w:rPr>
        <w:t>：发生吊装安全事故时，发布和解除应急救援指令；组织指挥应急队伍实施救援行动；向上级汇报和公司通报事故情况，必要时向有关单位发出救援要求；组织事故调查，总结应急救援经验教育等。</w:t>
      </w:r>
    </w:p>
    <w:p w14:paraId="0EC44A98">
      <w:pPr>
        <w:ind w:firstLine="480"/>
        <w:rPr>
          <w:rFonts w:hint="eastAsia" w:ascii="宋体" w:hAnsi="宋体" w:eastAsia="宋体"/>
          <w:highlight w:val="none"/>
        </w:rPr>
      </w:pPr>
      <w:r>
        <w:rPr>
          <w:rFonts w:hint="eastAsia" w:ascii="宋体" w:hAnsi="宋体" w:eastAsia="宋体"/>
          <w:highlight w:val="none"/>
        </w:rPr>
        <w:t>副组长</w:t>
      </w:r>
      <w:r>
        <w:rPr>
          <w:rFonts w:hint="eastAsia" w:ascii="宋体" w:hAnsi="宋体" w:eastAsia="宋体"/>
          <w:highlight w:val="none"/>
          <w:lang w:eastAsia="zh-CN"/>
        </w:rPr>
        <w:t>（</w:t>
      </w:r>
      <w:r>
        <w:rPr>
          <w:rFonts w:hint="eastAsia" w:ascii="宋体" w:hAnsi="宋体" w:eastAsia="宋体"/>
          <w:highlight w:val="none"/>
          <w:lang w:val="en-US" w:eastAsia="zh-CN"/>
        </w:rPr>
        <w:t>副总指挥</w:t>
      </w:r>
      <w:r>
        <w:rPr>
          <w:rFonts w:hint="eastAsia" w:ascii="宋体" w:hAnsi="宋体" w:eastAsia="宋体"/>
          <w:highlight w:val="none"/>
          <w:lang w:eastAsia="zh-CN"/>
        </w:rPr>
        <w:t>）</w:t>
      </w:r>
      <w:r>
        <w:rPr>
          <w:rFonts w:hint="eastAsia" w:ascii="宋体" w:hAnsi="宋体" w:eastAsia="宋体"/>
          <w:highlight w:val="none"/>
        </w:rPr>
        <w:t>：协助组长工作，负责指挥应急处置工作的具体实施。</w:t>
      </w:r>
    </w:p>
    <w:p w14:paraId="5725054B">
      <w:pPr>
        <w:ind w:firstLine="480"/>
        <w:rPr>
          <w:rFonts w:hint="eastAsia" w:ascii="宋体" w:hAnsi="宋体" w:eastAsia="宋体"/>
          <w:highlight w:val="none"/>
        </w:rPr>
      </w:pPr>
      <w:r>
        <w:rPr>
          <w:rFonts w:hint="eastAsia" w:ascii="宋体" w:hAnsi="宋体" w:eastAsia="宋体"/>
          <w:highlight w:val="none"/>
        </w:rPr>
        <w:t>小组成员：</w:t>
      </w:r>
    </w:p>
    <w:p w14:paraId="0692D2FE">
      <w:pPr>
        <w:ind w:firstLine="480"/>
        <w:rPr>
          <w:rFonts w:hint="eastAsia" w:ascii="宋体" w:hAnsi="宋体" w:eastAsia="宋体"/>
          <w:highlight w:val="none"/>
        </w:rPr>
      </w:pPr>
      <w:r>
        <w:rPr>
          <w:rFonts w:hint="eastAsia" w:ascii="宋体" w:hAnsi="宋体" w:eastAsia="宋体"/>
          <w:highlight w:val="none"/>
        </w:rPr>
        <w:t>（1）负责警戒、治安保卫、人员疏散，道路交通管制工作。</w:t>
      </w:r>
    </w:p>
    <w:p w14:paraId="5F4FEB7F">
      <w:pPr>
        <w:ind w:firstLine="480"/>
        <w:rPr>
          <w:rFonts w:hint="eastAsia" w:ascii="宋体" w:hAnsi="宋体" w:eastAsia="宋体"/>
          <w:highlight w:val="none"/>
        </w:rPr>
      </w:pPr>
      <w:r>
        <w:rPr>
          <w:rFonts w:hint="eastAsia" w:ascii="宋体" w:hAnsi="宋体" w:eastAsia="宋体"/>
          <w:highlight w:val="none"/>
        </w:rPr>
        <w:t>（2）协助副组长工作，做好事故报警，情况通报及事故处置工作，负责事故现场的通讯联络、对外联络及事故现场的监测工作。</w:t>
      </w:r>
    </w:p>
    <w:p w14:paraId="7663CFCB">
      <w:pPr>
        <w:ind w:firstLine="480"/>
        <w:rPr>
          <w:rFonts w:hint="eastAsia" w:ascii="宋体" w:hAnsi="宋体" w:eastAsia="宋体"/>
          <w:highlight w:val="none"/>
        </w:rPr>
      </w:pPr>
      <w:r>
        <w:rPr>
          <w:rFonts w:hint="eastAsia" w:ascii="宋体" w:hAnsi="宋体" w:eastAsia="宋体"/>
          <w:highlight w:val="none"/>
        </w:rPr>
        <w:t>（3）负责协助抢险机械设备的调转；负责抢险救援物质的供应和运输工作。</w:t>
      </w:r>
    </w:p>
    <w:p w14:paraId="4F33F013">
      <w:pPr>
        <w:ind w:firstLine="480"/>
        <w:rPr>
          <w:rFonts w:hint="eastAsia" w:ascii="宋体" w:hAnsi="宋体" w:eastAsia="宋体"/>
          <w:highlight w:val="none"/>
        </w:rPr>
      </w:pPr>
      <w:r>
        <w:rPr>
          <w:rFonts w:hint="eastAsia" w:ascii="宋体" w:hAnsi="宋体" w:eastAsia="宋体"/>
          <w:highlight w:val="none"/>
        </w:rPr>
        <w:t>（4）负责抢险车辆调度和现场医疗救护指挥及受伤人员分类抢救和护送医院，受伤人员的生活必需品、抢险救援物资供应，资金保证。</w:t>
      </w:r>
    </w:p>
    <w:p w14:paraId="43F7A73A">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color w:val="000000"/>
          <w:kern w:val="0"/>
          <w:highlight w:val="none"/>
          <w:lang w:val="en-US" w:eastAsia="zh-CN" w:bidi="ar"/>
        </w:rPr>
        <w:t>应急联络方式：手机号码（24小时）19142751617</w:t>
      </w:r>
    </w:p>
    <w:p w14:paraId="187F4135">
      <w:pPr>
        <w:pStyle w:val="3"/>
        <w:bidi w:val="0"/>
        <w:rPr>
          <w:highlight w:val="none"/>
        </w:rPr>
      </w:pPr>
      <w:bookmarkStart w:id="368" w:name="_Toc10409840"/>
      <w:bookmarkStart w:id="369" w:name="_Toc31072"/>
      <w:bookmarkStart w:id="370" w:name="_Toc15798"/>
      <w:bookmarkStart w:id="371" w:name="_Toc29166"/>
      <w:r>
        <w:rPr>
          <w:rFonts w:hint="eastAsia"/>
          <w:highlight w:val="none"/>
          <w:lang w:val="en-US" w:eastAsia="zh-CN"/>
        </w:rPr>
        <w:t xml:space="preserve">9.3 </w:t>
      </w:r>
      <w:r>
        <w:rPr>
          <w:rFonts w:hint="eastAsia"/>
          <w:highlight w:val="none"/>
        </w:rPr>
        <w:t>预防与预警</w:t>
      </w:r>
      <w:bookmarkEnd w:id="368"/>
      <w:bookmarkEnd w:id="369"/>
      <w:bookmarkEnd w:id="370"/>
      <w:bookmarkEnd w:id="371"/>
    </w:p>
    <w:p w14:paraId="3E310D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bookmarkStart w:id="372" w:name="_Toc10409841"/>
      <w:r>
        <w:rPr>
          <w:rFonts w:hint="eastAsia"/>
          <w:highlight w:val="none"/>
        </w:rPr>
        <w:t>（1）施工现场设安全领导小组，负责吊装过程中可能造成的人员 伤亡事故的控制。</w:t>
      </w:r>
    </w:p>
    <w:p w14:paraId="75B650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（2）发生事故时，安全领导小组要立即救人。救人时先排除危险，防止抢救时事故的再发生。</w:t>
      </w:r>
    </w:p>
    <w:p w14:paraId="056172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04B1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（4）将受伤人员及时转送医院进行紧急救护。</w:t>
      </w:r>
    </w:p>
    <w:p w14:paraId="20DCB8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（5）将信息迅速传递给项目部；传递内容包括发生的时间、地点、部位、简要经过、伤人数和已采取的应急措施等。  </w:t>
      </w:r>
    </w:p>
    <w:p w14:paraId="0326C1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（6）项目部接到应急信息后应立即核实现场的处置情况，组织有关人员或应急队伍赶赴现场。</w:t>
      </w:r>
    </w:p>
    <w:p w14:paraId="49D412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4615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（8）事故处理完毕后，施工现场应保护好现场，接受事故调查并如实提供事故的情况。</w:t>
      </w:r>
    </w:p>
    <w:p w14:paraId="5EF3147C">
      <w:pPr>
        <w:pStyle w:val="3"/>
        <w:tabs>
          <w:tab w:val="left" w:pos="240"/>
        </w:tabs>
        <w:bidi w:val="0"/>
        <w:rPr>
          <w:rFonts w:hint="eastAsia" w:eastAsia="宋体"/>
          <w:highlight w:val="none"/>
          <w:lang w:val="en-US" w:eastAsia="zh-CN"/>
        </w:rPr>
      </w:pPr>
      <w:bookmarkStart w:id="373" w:name="_Toc8570"/>
      <w:bookmarkStart w:id="374" w:name="_Toc21539"/>
      <w:bookmarkStart w:id="375" w:name="_Toc26009"/>
      <w:r>
        <w:rPr>
          <w:rFonts w:hint="eastAsia"/>
          <w:highlight w:val="none"/>
          <w:lang w:val="en-US" w:eastAsia="zh-CN"/>
        </w:rPr>
        <w:t xml:space="preserve">9.4 </w:t>
      </w:r>
      <w:bookmarkEnd w:id="372"/>
      <w:bookmarkEnd w:id="373"/>
      <w:bookmarkEnd w:id="374"/>
      <w:bookmarkStart w:id="376" w:name="_Toc9735"/>
      <w:bookmarkStart w:id="377" w:name="_Toc55223384"/>
      <w:bookmarkStart w:id="378" w:name="_Toc18740"/>
      <w:bookmarkStart w:id="379" w:name="_Toc40778455"/>
      <w:bookmarkStart w:id="380" w:name="_Toc941"/>
      <w:bookmarkStart w:id="381" w:name="_Toc3771"/>
      <w:bookmarkStart w:id="382" w:name="_Toc31708"/>
      <w:bookmarkStart w:id="383" w:name="_Toc28613979"/>
      <w:r>
        <w:rPr>
          <w:rFonts w:hint="eastAsia"/>
          <w:highlight w:val="none"/>
        </w:rPr>
        <w:t>处置流程</w:t>
      </w:r>
      <w:bookmarkEnd w:id="375"/>
      <w:bookmarkEnd w:id="376"/>
      <w:bookmarkEnd w:id="377"/>
      <w:bookmarkEnd w:id="378"/>
      <w:bookmarkEnd w:id="379"/>
      <w:bookmarkEnd w:id="380"/>
      <w:bookmarkEnd w:id="381"/>
      <w:bookmarkEnd w:id="382"/>
      <w:bookmarkEnd w:id="383"/>
    </w:p>
    <w:p w14:paraId="32C3D2E6">
      <w:pPr>
        <w:pStyle w:val="4"/>
        <w:bidi w:val="0"/>
        <w:rPr>
          <w:highlight w:val="none"/>
        </w:rPr>
      </w:pPr>
      <w:bookmarkStart w:id="384" w:name="_Toc10409842"/>
      <w:bookmarkStart w:id="385" w:name="_Toc29053"/>
      <w:bookmarkStart w:id="386" w:name="_Toc16079"/>
      <w:r>
        <w:rPr>
          <w:rFonts w:hint="eastAsia"/>
          <w:highlight w:val="none"/>
          <w:lang w:val="en-US" w:eastAsia="zh-CN"/>
        </w:rPr>
        <w:t xml:space="preserve">9.4.1 信息报告与公开 </w:t>
      </w:r>
    </w:p>
    <w:p w14:paraId="755BF96A">
      <w:pPr>
        <w:bidi w:val="0"/>
        <w:jc w:val="center"/>
        <w:rPr>
          <w:highlight w:val="none"/>
        </w:rPr>
      </w:pPr>
      <w:bookmarkStart w:id="387" w:name="_Toc1726"/>
      <w:bookmarkStart w:id="388" w:name="_Toc646"/>
      <w:bookmarkStart w:id="389" w:name="_Toc12816"/>
      <w:r>
        <w:rPr>
          <w:highlight w:val="none"/>
        </w:rPr>
        <w:drawing>
          <wp:inline distT="0" distB="0" distL="114300" distR="114300">
            <wp:extent cx="3441700" cy="4241800"/>
            <wp:effectExtent l="0" t="0" r="0" b="0"/>
            <wp:docPr id="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
                    <pic:cNvPicPr>
                      <a:picLocks noChangeAspect="1"/>
                    </pic:cNvPicPr>
                  </pic:nvPicPr>
                  <pic:blipFill>
                    <a:blip r:embed="rId73"/>
                    <a:stretch>
                      <a:fillRect/>
                    </a:stretch>
                  </pic:blipFill>
                  <pic:spPr>
                    <a:xfrm>
                      <a:off x="0" y="0"/>
                      <a:ext cx="3441700" cy="4241800"/>
                    </a:xfrm>
                    <a:prstGeom prst="rect">
                      <a:avLst/>
                    </a:prstGeom>
                    <a:noFill/>
                    <a:ln>
                      <a:noFill/>
                    </a:ln>
                  </pic:spPr>
                </pic:pic>
              </a:graphicData>
            </a:graphic>
          </wp:inline>
        </w:drawing>
      </w:r>
    </w:p>
    <w:p w14:paraId="30D96AA7">
      <w:pPr>
        <w:pStyle w:val="38"/>
        <w:bidi w:val="0"/>
        <w:rPr>
          <w:highlight w:val="none"/>
        </w:rPr>
      </w:pPr>
      <w:r>
        <w:rPr>
          <w:rFonts w:hint="eastAsia"/>
          <w:highlight w:val="none"/>
          <w:lang w:val="en-US" w:eastAsia="zh-CN"/>
        </w:rPr>
        <w:t>图9.4.1-1 信息发布流程图</w:t>
      </w:r>
    </w:p>
    <w:p w14:paraId="7548F674">
      <w:pPr>
        <w:pStyle w:val="4"/>
        <w:bidi w:val="0"/>
        <w:rPr>
          <w:highlight w:val="none"/>
        </w:rPr>
      </w:pPr>
      <w:r>
        <w:rPr>
          <w:rFonts w:hint="eastAsia"/>
          <w:highlight w:val="none"/>
          <w:lang w:val="en-US" w:eastAsia="zh-CN"/>
        </w:rPr>
        <w:t>9.4.2</w:t>
      </w:r>
      <w:bookmarkEnd w:id="387"/>
      <w:bookmarkEnd w:id="388"/>
      <w:bookmarkEnd w:id="389"/>
      <w:r>
        <w:rPr>
          <w:rFonts w:hint="eastAsia"/>
          <w:highlight w:val="none"/>
          <w:lang w:val="en-US" w:eastAsia="zh-CN"/>
        </w:rPr>
        <w:t>响应分级</w:t>
      </w:r>
    </w:p>
    <w:p w14:paraId="1DD75A6E">
      <w:pPr>
        <w:bidi w:val="0"/>
        <w:ind w:firstLine="480" w:firstLineChars="200"/>
        <w:rPr>
          <w:highlight w:val="none"/>
        </w:rPr>
      </w:pPr>
      <w:r>
        <w:rPr>
          <w:rFonts w:hint="eastAsia"/>
          <w:highlight w:val="none"/>
          <w:lang w:val="en-US" w:eastAsia="zh-CN"/>
        </w:rPr>
        <w:t xml:space="preserve">按照事故性质、潜在危险性、严重程度、发展趋势、影响范围及应急处置能力等因素，结合国家及广西桂贺高速公路有限公司相关文件要求，将应急响应分为 I、Ⅱ、Ⅲ、Ⅳ级。 </w:t>
      </w:r>
    </w:p>
    <w:p w14:paraId="0EC19DDB">
      <w:pPr>
        <w:bidi w:val="0"/>
        <w:ind w:firstLine="480" w:firstLineChars="200"/>
        <w:rPr>
          <w:highlight w:val="none"/>
        </w:rPr>
      </w:pPr>
      <w:r>
        <w:rPr>
          <w:rFonts w:hint="eastAsia"/>
          <w:highlight w:val="none"/>
          <w:lang w:val="en-US" w:eastAsia="zh-CN"/>
        </w:rPr>
        <w:t>I级、Ⅱ级、Ⅲ级应急响应行动由广西桂贺高速公路有限公司应急领导小组组织实施。当广西桂贺高速公路有限公司应急领导小组进行应急响应行动时，总承包部应当按照相应的预案在确保救援人员安全的情况下全力以赴组织救援，控制事态发展；如事态有继续扩大可能，应立即撤离周边人员并及时向属地应急管理部门、监管部门、广西桂贺高速公路有限公司以及公司报告救援工作进展情况。</w:t>
      </w:r>
    </w:p>
    <w:p w14:paraId="217B6212">
      <w:pPr>
        <w:bidi w:val="0"/>
        <w:ind w:firstLine="480" w:firstLineChars="200"/>
        <w:rPr>
          <w:highlight w:val="none"/>
        </w:rPr>
      </w:pPr>
      <w:r>
        <w:rPr>
          <w:rFonts w:hint="eastAsia"/>
          <w:highlight w:val="none"/>
          <w:lang w:val="en-US" w:eastAsia="zh-CN"/>
        </w:rPr>
        <w:t>Ⅳ级应急响应行动的组织实施由总承包部应急领导小组决定。总承包部根据事故灾难或险情的严重程度启动相应的应急预案，超出其应急救援处置能力时，及时报请广西桂贺高速公路有限公司或上级公司应急领导小组启动相应应急预案实施救援。</w:t>
      </w:r>
    </w:p>
    <w:p w14:paraId="341B73BF">
      <w:pPr>
        <w:pStyle w:val="4"/>
        <w:bidi w:val="0"/>
        <w:rPr>
          <w:highlight w:val="none"/>
        </w:rPr>
      </w:pPr>
      <w:r>
        <w:rPr>
          <w:rFonts w:hint="eastAsia"/>
          <w:highlight w:val="none"/>
          <w:lang w:val="en-US" w:eastAsia="zh-CN"/>
        </w:rPr>
        <w:t>9.4.3响应程序</w:t>
      </w:r>
    </w:p>
    <w:p w14:paraId="00A893CC">
      <w:pPr>
        <w:bidi w:val="0"/>
        <w:ind w:firstLine="480" w:firstLineChars="200"/>
        <w:rPr>
          <w:highlight w:val="none"/>
        </w:rPr>
      </w:pPr>
      <w:r>
        <w:rPr>
          <w:rFonts w:hint="eastAsia"/>
          <w:highlight w:val="none"/>
          <w:lang w:val="en-US" w:eastAsia="zh-CN"/>
        </w:rPr>
        <w:t xml:space="preserve">（1）经现场发现异常现象或发生事件、事故时现场管理人员根据出现的险情或有可能出现的险情，迅速向应急领导小组上报。应急救援组织机构领导小组成员必须迅速到达指定岗位并立即启动总承包部应急救援预案。由应急领导小组组长主持紧急情况处理会议，协调、派遣和统一指挥所有车辆、设备、人员、物资等实施紧急抢救，并在30分钟内向广西桂贺高速公路有限公司应急领导小组办公室、监理及公司领导报告，主要说明紧急情况性质、地点、发生时间、有无伤亡等现场情况。根据上级领导指示启动更高一级的应急预案。（根据事故大小情况来确定，如果事故特别小，根据上级指示可由总承包部自行直接处理。如果事故较大或总承包部处理不了则由总承包部向广西桂贺高速公路有限公司应急救援领导办公室进行请示，请求启动广西桂贺高速公路有限公司级应急预案，广西桂贺高速公路有限公司的救援预案仍不能进行处理，则由广西桂贺高速公路有限公司向政府部门请示启动上一级救援预案。） </w:t>
      </w:r>
    </w:p>
    <w:p w14:paraId="28952113">
      <w:pPr>
        <w:bidi w:val="0"/>
        <w:ind w:firstLine="480" w:firstLineChars="200"/>
        <w:rPr>
          <w:highlight w:val="none"/>
        </w:rPr>
      </w:pPr>
      <w:r>
        <w:rPr>
          <w:rFonts w:hint="eastAsia"/>
          <w:highlight w:val="none"/>
          <w:lang w:val="en-US" w:eastAsia="zh-CN"/>
        </w:rPr>
        <w:t xml:space="preserve">（2）应急领导小组组长指挥各相应应急救援小组实施救援，各应急救援小组要切实履行自己的应急救援职责，实施救援。根据现场情况拨打120、110、119 等急救电话。 </w:t>
      </w:r>
    </w:p>
    <w:p w14:paraId="4AB5C266">
      <w:pPr>
        <w:bidi w:val="0"/>
        <w:ind w:firstLine="480" w:firstLineChars="200"/>
        <w:rPr>
          <w:highlight w:val="none"/>
        </w:rPr>
      </w:pPr>
      <w:r>
        <w:rPr>
          <w:rFonts w:hint="eastAsia"/>
          <w:highlight w:val="none"/>
          <w:lang w:val="en-US" w:eastAsia="zh-CN"/>
        </w:rPr>
        <w:t>（3）遇到紧急情况，全体职工应特事特办、急事急办，主动积极地投身到紧急情况的处理中去。各种设备、车辆、器材、物资等统一调遣，各类人员必须坚持无条件服从组长或副组长的命令和安排，不得拖延、推诿、阻碍紧急情况的处理。</w:t>
      </w:r>
    </w:p>
    <w:p w14:paraId="57945702">
      <w:pPr>
        <w:bidi w:val="0"/>
        <w:ind w:firstLine="480" w:firstLineChars="200"/>
        <w:rPr>
          <w:highlight w:val="none"/>
        </w:rPr>
      </w:pPr>
      <w:r>
        <w:rPr>
          <w:rFonts w:hint="eastAsia"/>
          <w:highlight w:val="none"/>
          <w:lang w:val="en-US" w:eastAsia="zh-CN"/>
        </w:rPr>
        <w:t>应急领导小组在确认事故现场得以控制，环境符合有关标准，导致次生、诱发事故隐患消除后，按照“谁启动、谁结束”的原则，经事故现场应急指挥机构批准后，现场应急结束</w:t>
      </w:r>
    </w:p>
    <w:p w14:paraId="1A68A341">
      <w:pPr>
        <w:pStyle w:val="4"/>
        <w:bidi w:val="0"/>
        <w:rPr>
          <w:highlight w:val="none"/>
        </w:rPr>
      </w:pPr>
      <w:r>
        <w:rPr>
          <w:rFonts w:hint="eastAsia"/>
          <w:highlight w:val="none"/>
          <w:lang w:val="en-US" w:eastAsia="zh-CN"/>
        </w:rPr>
        <w:t>9.4.4 后期处理</w:t>
      </w:r>
    </w:p>
    <w:p w14:paraId="585DA7A2">
      <w:pPr>
        <w:bidi w:val="0"/>
        <w:rPr>
          <w:highlight w:val="none"/>
        </w:rPr>
      </w:pPr>
      <w:r>
        <w:rPr>
          <w:rFonts w:hint="eastAsia"/>
          <w:highlight w:val="none"/>
          <w:lang w:val="en-US" w:eastAsia="zh-CN"/>
        </w:rPr>
        <w:t xml:space="preserve">（1）应急总结 </w:t>
      </w:r>
    </w:p>
    <w:p w14:paraId="0C0F858A">
      <w:pPr>
        <w:bidi w:val="0"/>
        <w:rPr>
          <w:rFonts w:hint="eastAsia" w:ascii="Times New Roman" w:hAnsi="Times New Roman" w:eastAsia="宋体" w:cs="Times New Roman"/>
          <w:highlight w:val="none"/>
          <w:lang w:val="en-US" w:eastAsia="zh-CN"/>
        </w:rPr>
      </w:pPr>
      <w:r>
        <w:rPr>
          <w:rFonts w:hint="eastAsia"/>
          <w:highlight w:val="none"/>
          <w:lang w:val="en-US" w:eastAsia="zh-CN"/>
        </w:rPr>
        <w:t>抢险救援结束后，由监理单位主持、业主、设计、咨询等相关单位参加的恢复生产会，对生产安全事故发生的原因进行分析，确定下一步恢复生产应采取的安全、文明、质量等施工措施和管理措施。总承包部主要从</w:t>
      </w:r>
      <w:r>
        <w:rPr>
          <w:rFonts w:hint="eastAsia" w:ascii="Times New Roman" w:hAnsi="Times New Roman" w:eastAsia="宋体" w:cs="Times New Roman"/>
          <w:highlight w:val="none"/>
          <w:lang w:val="en-US" w:eastAsia="zh-CN"/>
        </w:rPr>
        <w:t xml:space="preserve">以下几个方面进行恢复生产： </w:t>
      </w:r>
    </w:p>
    <w:p w14:paraId="7633038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1）做好事故处理和善后工作，对受害人员进行领导慰问或团体慰问。对良性事迹加强报道。 </w:t>
      </w:r>
    </w:p>
    <w:p w14:paraId="76F89553">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2）严格落实公司及广西桂贺高速公路有限公司和地方政府应急管理规定，推行全员应急管理，认真学习应急预案。 </w:t>
      </w:r>
    </w:p>
    <w:p w14:paraId="5A4BD24D">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健全各组织机构，加强人员管理，建立矩阵管理。完善安全、质量保证体系，健全安全、质量管理组织机构，整个项目形成一套严密完整的安全、质量管理体系，各层级充分发挥管理的机能、职能和人的作用。 </w:t>
      </w:r>
    </w:p>
    <w:p w14:paraId="2777BB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4）依据安全、质量体系有关文件，制定安全、质量检查计划制度，形成安全、质量管理依据，做到“有法可依”。严格实施岗位责任制。 </w:t>
      </w:r>
    </w:p>
    <w:p w14:paraId="55D0005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5）做好技术、试验、测量、机械、施工工艺、后勤等各项保证工作。 </w:t>
      </w:r>
    </w:p>
    <w:p w14:paraId="5F24787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6）对恢复生产确保资金投入不受阻。 </w:t>
      </w:r>
    </w:p>
    <w:p w14:paraId="3ACEE86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7）确保设计、施工方案可行，符合现场实际情况，可利用现场存有的机械、设备和材料。 </w:t>
      </w:r>
    </w:p>
    <w:p w14:paraId="5E66953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8）及时调用后备人员和机械设备，补充到该工区，进行生产恢复，尽快达到生产正常。 </w:t>
      </w:r>
    </w:p>
    <w:p w14:paraId="14753A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抢险结束和生产恢复后，对应急预案的整个过程进行评审、分析和总结，找出预案中存在的不足，并进行评审及修订，使以后的应急预案更加成熟，遇到紧急情况等能处理及时，将安全、财产损失降到最低限度。 </w:t>
      </w:r>
    </w:p>
    <w:p w14:paraId="1F4CC4DE">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（2）事故调查 </w:t>
      </w:r>
    </w:p>
    <w:p w14:paraId="7CF86D7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按照事故调查组的要求，总承包部如实提供相应资料。 </w:t>
      </w:r>
    </w:p>
    <w:p w14:paraId="6CB752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（3）保险理赔 </w:t>
      </w:r>
    </w:p>
    <w:p w14:paraId="62CE07FF">
      <w:pPr>
        <w:bidi w:val="0"/>
        <w:ind w:firstLine="480" w:firstLineChars="200"/>
        <w:rPr>
          <w:rFonts w:hint="eastAsia"/>
          <w:highlight w:val="none"/>
        </w:rPr>
      </w:pPr>
      <w:r>
        <w:rPr>
          <w:rFonts w:hint="eastAsia" w:ascii="Times New Roman" w:hAnsi="Times New Roman" w:eastAsia="宋体" w:cs="Times New Roman"/>
          <w:highlight w:val="none"/>
          <w:lang w:val="en-US" w:eastAsia="zh-CN"/>
        </w:rPr>
        <w:t>按照保险理赔机构的要求，总承包部如实提供相应资料。</w:t>
      </w:r>
    </w:p>
    <w:p w14:paraId="2D9A1A18">
      <w:pPr>
        <w:pStyle w:val="3"/>
        <w:bidi w:val="0"/>
        <w:rPr>
          <w:rFonts w:hint="eastAsia"/>
          <w:highlight w:val="none"/>
        </w:rPr>
      </w:pPr>
      <w:bookmarkStart w:id="390" w:name="_Toc22063"/>
      <w:r>
        <w:rPr>
          <w:rFonts w:hint="eastAsia"/>
          <w:highlight w:val="none"/>
          <w:lang w:val="en-US" w:eastAsia="zh-CN"/>
        </w:rPr>
        <w:t xml:space="preserve">9.5 </w:t>
      </w:r>
      <w:r>
        <w:rPr>
          <w:rFonts w:hint="eastAsia"/>
          <w:highlight w:val="none"/>
        </w:rPr>
        <w:t>突发事件应急</w:t>
      </w:r>
      <w:r>
        <w:rPr>
          <w:rFonts w:hint="eastAsia"/>
          <w:highlight w:val="none"/>
          <w:lang w:val="en-US" w:eastAsia="zh-CN"/>
        </w:rPr>
        <w:t>处置措施和</w:t>
      </w:r>
      <w:r>
        <w:rPr>
          <w:rFonts w:hint="eastAsia"/>
          <w:highlight w:val="none"/>
        </w:rPr>
        <w:t>预案</w:t>
      </w:r>
      <w:bookmarkEnd w:id="384"/>
      <w:bookmarkEnd w:id="385"/>
      <w:bookmarkEnd w:id="386"/>
      <w:bookmarkEnd w:id="390"/>
    </w:p>
    <w:p w14:paraId="6C38D89F">
      <w:pPr>
        <w:pStyle w:val="4"/>
        <w:bidi w:val="0"/>
        <w:rPr>
          <w:rFonts w:hint="eastAsia"/>
          <w:highlight w:val="none"/>
        </w:rPr>
      </w:pPr>
      <w:bookmarkStart w:id="391" w:name="_Toc530055723"/>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w:t>
      </w:r>
      <w:r>
        <w:rPr>
          <w:rFonts w:hint="eastAsia"/>
          <w:highlight w:val="none"/>
          <w:lang w:val="en-US" w:eastAsia="zh-CN"/>
        </w:rPr>
        <w:t>1</w:t>
      </w:r>
      <w:r>
        <w:rPr>
          <w:rFonts w:hint="eastAsia"/>
          <w:highlight w:val="none"/>
        </w:rPr>
        <w:t>高空坠落应急处置措施</w:t>
      </w:r>
      <w:bookmarkEnd w:id="391"/>
    </w:p>
    <w:p w14:paraId="75576B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B76F9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F5D25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09BF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04C7A5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（5）遇有创伤性出血的伤员，应迅速包扎止血，使伤员保持在头底脚高的卧位，并注意保暖。正确的现场止血处理措施：</w:t>
      </w:r>
    </w:p>
    <w:p w14:paraId="4AEB80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a.一般伤口的止血法：先用生理盐水（0.9%Nacl溶液）冲洗伤口，涂上红汞水，然后盖上消毒纱布，用绷带较紧地包扎。</w:t>
      </w:r>
    </w:p>
    <w:p w14:paraId="0761F5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b.加压包扎止血法：用纱布、棉花等作成软件垫，放在伤口上再加包扎，来增强压力而达到止血。</w:t>
      </w:r>
    </w:p>
    <w:p w14:paraId="098E2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E2205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（6）动用最快的交通工具或其他措施，及时把伤者送往邻近医院抢救，运送途中应尽量减少颠簸。同时密切注意伤者的呼吸、脉搏、血压及伤口的情况。</w:t>
      </w:r>
    </w:p>
    <w:p w14:paraId="223C4A2A">
      <w:pPr>
        <w:pStyle w:val="4"/>
        <w:bidi w:val="0"/>
        <w:rPr>
          <w:rFonts w:hint="eastAsia"/>
          <w:highlight w:val="none"/>
        </w:rPr>
      </w:pPr>
      <w:bookmarkStart w:id="392" w:name="_Toc530055724"/>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.2物体打击应急处置措施</w:t>
      </w:r>
      <w:bookmarkEnd w:id="392"/>
    </w:p>
    <w:p w14:paraId="37F52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当发生物体打击事故后，抢救的重点放在颅脑损伤、胸部骨折和出血上进行处理。</w:t>
      </w:r>
    </w:p>
    <w:p w14:paraId="3CEA3E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10D634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（2）遇呼吸、心跳停止者，应立即进行人工呼吸，胸外心脏挤压。处于休克状态的伤员要让其安静、保暖、平卧、少动，并将下肢抬高约20度左右，尽快送医院进行抢救治疗。</w:t>
      </w:r>
    </w:p>
    <w:p w14:paraId="111C0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06A562C">
      <w:pPr>
        <w:pStyle w:val="4"/>
        <w:bidi w:val="0"/>
        <w:rPr>
          <w:rFonts w:hint="eastAsia"/>
          <w:highlight w:val="none"/>
        </w:rPr>
      </w:pPr>
      <w:bookmarkStart w:id="393" w:name="_Toc530055725"/>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.3机械伤害应急处置措施</w:t>
      </w:r>
      <w:bookmarkEnd w:id="393"/>
      <w:r>
        <w:rPr>
          <w:rFonts w:hint="eastAsia"/>
          <w:highlight w:val="none"/>
        </w:rPr>
        <w:t xml:space="preserve"> </w:t>
      </w:r>
    </w:p>
    <w:p w14:paraId="6C56A9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当施工人员发生机械伤害事故时，迅速确定事故发生的准确位置、可能波及的范围、设备损坏的程度、人员伤亡等情况，观察伤者的受伤情况、部位、伤害性质，急救人员应尽快赶往出事地点。</w:t>
      </w:r>
    </w:p>
    <w:p w14:paraId="3D0EE8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（1）休克、昏迷急救</w:t>
      </w:r>
    </w:p>
    <w:p w14:paraId="22C19E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让休克者平卧、不用枕头，腿部抬高30度。若属于心原性休克同时伴有心力衰竭、气急，不能平卧时，可采用半卧，注意保暖和安静，尽量不要搬动，如必须搬动时，动作要轻。</w:t>
      </w:r>
    </w:p>
    <w:p w14:paraId="2DCA81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（2）骨折急救</w:t>
      </w:r>
    </w:p>
    <w:p w14:paraId="12AFF6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a.固定断骨的材料可就地取材，如棍、木板、拐杖、硬纸板等都可作为固定材料，长短要以能固定住骨折处上下两个关节或不使断骨错动为准。 </w:t>
      </w:r>
    </w:p>
    <w:p w14:paraId="6FB35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b.脊柱骨折或骨折或颈部骨折时，除非是特殊情况如室内失火，否则应让伤者留在原地，等待携有医疗器材的医护人员来搬动。  </w:t>
      </w:r>
    </w:p>
    <w:p w14:paraId="085D18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14A49B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（3）严重出血的急救</w:t>
      </w:r>
    </w:p>
    <w:p w14:paraId="1CDAB9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止血的方法：</w:t>
      </w:r>
    </w:p>
    <w:p w14:paraId="3FC3D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a.一般止血法：一般伤口小的出血，先用生理盐水涂上红汞药水，然后盖上消毒纱布，用绷带较紧地包扎。</w:t>
      </w:r>
    </w:p>
    <w:p w14:paraId="3E9F8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96B17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（4）肢体切断断肢(指)后，有时即刻造成伤者因流血或疼痛而发生休克，所以应设法首先止血，防止伤员休克。其急救要点为：</w:t>
      </w:r>
    </w:p>
    <w:p w14:paraId="18D2FC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a.让伤者躺下，用一块纱布或清洁布块(如翻出干净手帕的内面)，放在断肢伤口上，再用绷带固定位置。如果找不到绷带，也可用围巾包扎。</w:t>
      </w:r>
    </w:p>
    <w:p w14:paraId="19FCD5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b.如是手臂切断，用绷带把断臂挂在胸前，固定位置；若是一条腿断了，则与另一条腿扎在一起。</w:t>
      </w:r>
    </w:p>
    <w:p w14:paraId="6BA46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c.料理好伤者后，设法找回断肢。倘若离断的伤肢(指)仍在机器中，千万不能将肢体强行拉出，或将机器倒开(转)，以免增加损伤的机会。正确的方法应是拆开机器后取出。</w:t>
      </w:r>
    </w:p>
    <w:p w14:paraId="76079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F83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e.离断后的伤肢，如有少许皮肤或其他肌腱相连，不能将其离断，应放在夹板或阔竹片上，然后包扎，立即送到医院作紧急处理。</w:t>
      </w:r>
    </w:p>
    <w:p w14:paraId="4D39FF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f.严禁在离断伤肢(指)的断端涂抹各种药物及药水(包括消毒剂)，更不能涂抹牙膏、灶灰之类试图止血。</w:t>
      </w:r>
    </w:p>
    <w:p w14:paraId="78DB9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（5）一般性外伤</w:t>
      </w:r>
    </w:p>
    <w:p w14:paraId="11FCE3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a.视伤情送往医院，防止破伤风。</w:t>
      </w:r>
    </w:p>
    <w:p w14:paraId="3E64AF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b.轻微内伤，送医院检查。</w:t>
      </w:r>
    </w:p>
    <w:p w14:paraId="31617DCD">
      <w:pPr>
        <w:pStyle w:val="4"/>
        <w:bidi w:val="0"/>
        <w:rPr>
          <w:rFonts w:hint="eastAsia"/>
          <w:highlight w:val="none"/>
        </w:rPr>
      </w:pPr>
      <w:bookmarkStart w:id="394" w:name="_Toc530055726"/>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.4触电应急处置措施</w:t>
      </w:r>
      <w:bookmarkEnd w:id="394"/>
      <w:r>
        <w:rPr>
          <w:rFonts w:hint="eastAsia"/>
          <w:highlight w:val="none"/>
        </w:rPr>
        <w:t xml:space="preserve"> </w:t>
      </w:r>
    </w:p>
    <w:p w14:paraId="288D4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（1）迅速脱离电源  </w:t>
      </w:r>
    </w:p>
    <w:p w14:paraId="48766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人体触电以后，可能由于痉挛或失去知觉等原因而紧抓带电体，不能自己摆脱电源。抢救触电者的首要步骤就是使触电者尽快脱离电源。 </w:t>
      </w:r>
    </w:p>
    <w:p w14:paraId="4279AD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使触电者脱离电源的方法：  </w:t>
      </w:r>
    </w:p>
    <w:p w14:paraId="52777A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a.立即将闸刀打开或将插头拨掉，切断电源。要注意，普通的电灯开关（如拉线开关）只能关断一根线，有时关断的不是相线，并未真正切断电源。 </w:t>
      </w:r>
    </w:p>
    <w:p w14:paraId="2B73BB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b.找不到开关或插头时，可用绝缘的物体（如干燥的木棒、竹杆、手套等）将电线拨开，使触电者脱离电源。</w:t>
      </w:r>
    </w:p>
    <w:p w14:paraId="6BA157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c.用绝缘工具（如带绝缘的电工钳、木柄斧头以及锄头等）切断电线来切断电源。</w:t>
      </w:r>
    </w:p>
    <w:p w14:paraId="61EE77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d.遇高压触电事故，立即通过有关部门停电。 </w:t>
      </w:r>
    </w:p>
    <w:p w14:paraId="7ACECC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总之，要因地制宜，灵活运用各种方法，快速切断电源，防止事故扩大。</w:t>
      </w:r>
    </w:p>
    <w:p w14:paraId="5436D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（2）现场急救方法</w:t>
      </w:r>
    </w:p>
    <w:p w14:paraId="1B04B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6FACD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a.口对口人工呼吸法：是用人工的方法来代替肺的呼吸活动，使空气有节律地进入和排出肺脏，供给体内足够的氧气，充分排出二氧化碳，维持正常的通气功能。 </w:t>
      </w:r>
    </w:p>
    <w:p w14:paraId="4E62B0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b.体外心脏挤压法：是指有节律地对心脏挤压，用人工的方法代替心脏的自然收缩，使心脏恢复搏动功能，维持血液循环。</w:t>
      </w:r>
    </w:p>
    <w:p w14:paraId="7154BD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（3）触电急救方法</w:t>
      </w:r>
    </w:p>
    <w:p w14:paraId="1817DB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触电病人一般有以下四种症状，可分别给予正确的对症救治：</w:t>
      </w:r>
    </w:p>
    <w:p w14:paraId="1FDC4F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a.神志尚清醒，但心慌力乏，四肢麻木。该类病人一般只需将其扶到清凉通风之处休息，让其自然慢慢恢复。但要派专人照料护理，因为有的病人在几小时后会发生病变而突然死亡。</w:t>
      </w:r>
    </w:p>
    <w:p w14:paraId="6B7618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b.有心跳，但呼吸停止或极微弱。该类病人应该采用口对口人工呼吸法进行急救。人工呼吸法可按下述口诀进行，频率是每分钟约12次：清理口腔防堵塞，鼻孔朝天头后仰；贴嘴吹气胸扩张，放开口鼻换气畅。</w:t>
      </w:r>
    </w:p>
    <w:p w14:paraId="0409F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c.有呼吸，但心跳停止或极微弱。该类病人应该采用人工胸外心脏挤压法来恢复病人的心跳。一般可以按下述口诀进行，频率是每分钟约60~80次。当胸一手掌，中指对凹膛；掌根用力向下压，压下突然收。</w:t>
      </w:r>
    </w:p>
    <w:p w14:paraId="373B9A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5332E26">
      <w:pPr>
        <w:pStyle w:val="4"/>
        <w:bidi w:val="0"/>
        <w:rPr>
          <w:rFonts w:hint="eastAsia"/>
          <w:highlight w:val="none"/>
        </w:rPr>
      </w:pPr>
      <w:bookmarkStart w:id="395" w:name="_Toc530055727"/>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.5落水人员应急处置措施</w:t>
      </w:r>
      <w:bookmarkEnd w:id="395"/>
    </w:p>
    <w:p w14:paraId="3E5E85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（1）交通船舶必须符合水上航行安全要求，备妥救生工具如救生衣、救生圈、救生竹篙等救生器材。</w:t>
      </w:r>
    </w:p>
    <w:p w14:paraId="4A70D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（2）水上施工作业及船上流动作业人员应按规定穿着救生衣。符合高处作业条件的，还应按高处作业的规定系好安全带。</w:t>
      </w:r>
    </w:p>
    <w:p w14:paraId="0787E2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（3）交通船必须按定员，不准超载。乘坐人员应听从船员的指挥，船到位后，应待靠稳拴牢方可上、下。不得抢上抢下或船未靠稳就跳船。</w:t>
      </w:r>
    </w:p>
    <w:p w14:paraId="0D7A7A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（4）乘坐人员应听从船员的指挥，自觉入舱，不得站立和坐骑在船头、船尾和船帮上，遇有风浪时，船上乘坐人员不得来回走动。非本船驾驶人员严禁擅自操作。</w:t>
      </w:r>
    </w:p>
    <w:p w14:paraId="56C5FE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（5）施工人员应开展游泳培训，加强自救和互救的能力。</w:t>
      </w:r>
    </w:p>
    <w:p w14:paraId="4688F6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（6）人员上下通道必须设安全网，跳板要固定。作业平台应满铺脚手板，周边必须有栏杆和安全网等可靠的临边维护。</w:t>
      </w:r>
    </w:p>
    <w:p w14:paraId="3F485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（7）作业平台上应配置足够数量的救生圈等救生设备，并配备一定数量的固定式防水灯，保证夜间足够的照明。</w:t>
      </w:r>
    </w:p>
    <w:p w14:paraId="27E5DF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（8）作业平台上设置多条安全通道，以防不测时人员迅速疏散。</w:t>
      </w:r>
    </w:p>
    <w:p w14:paraId="7347971D">
      <w:pPr>
        <w:pStyle w:val="3"/>
        <w:numPr>
          <w:ilvl w:val="0"/>
          <w:numId w:val="0"/>
        </w:numPr>
        <w:outlineLvl w:val="1"/>
        <w:rPr>
          <w:highlight w:val="none"/>
        </w:rPr>
      </w:pPr>
      <w:bookmarkStart w:id="396" w:name="_Toc23128"/>
      <w:bookmarkStart w:id="397" w:name="_Toc7406"/>
      <w:bookmarkStart w:id="398" w:name="_Toc10409843"/>
      <w:bookmarkStart w:id="399" w:name="_Toc20264"/>
      <w:bookmarkStart w:id="400" w:name="_Toc11464"/>
      <w:r>
        <w:rPr>
          <w:rFonts w:hint="eastAsia"/>
          <w:highlight w:val="none"/>
          <w:lang w:val="en-US" w:eastAsia="zh-CN"/>
        </w:rPr>
        <w:t xml:space="preserve">9.6 </w:t>
      </w:r>
      <w:r>
        <w:rPr>
          <w:rFonts w:hint="eastAsia"/>
          <w:highlight w:val="none"/>
        </w:rPr>
        <w:t>应急保障</w:t>
      </w:r>
      <w:bookmarkEnd w:id="396"/>
      <w:bookmarkEnd w:id="397"/>
      <w:bookmarkEnd w:id="398"/>
      <w:bookmarkEnd w:id="399"/>
      <w:bookmarkEnd w:id="400"/>
    </w:p>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38"/>
        <w:bidi w:val="0"/>
        <w:rPr>
          <w:rFonts w:hint="eastAsia"/>
          <w:highlight w:val="none"/>
          <w:lang w:val="en-US" w:eastAsia="zh-CN"/>
        </w:rPr>
      </w:pPr>
      <w:r>
        <w:rPr>
          <w:highlight w:val="none"/>
        </w:rPr>
        <w:t>表</w:t>
      </w:r>
      <w:r>
        <w:rPr>
          <w:rFonts w:hint="eastAsia"/>
          <w:highlight w:val="none"/>
          <w:lang w:val="en-US" w:eastAsia="zh-CN"/>
        </w:rPr>
        <w:t>9.6-1应急物资、机械设备表</w:t>
      </w:r>
    </w:p>
    <w:tbl>
      <w:tblPr>
        <w:tblStyle w:val="28"/>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AE3F3" w:themeFill="accent5" w:themeFillTint="32"/>
            <w:noWrap w:val="0"/>
            <w:vAlign w:val="center"/>
          </w:tcPr>
          <w:p w14:paraId="03AC62B3">
            <w:pPr>
              <w:pStyle w:val="102"/>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AE3F3" w:themeFill="accent5" w:themeFillTint="32"/>
            <w:noWrap w:val="0"/>
            <w:vAlign w:val="center"/>
          </w:tcPr>
          <w:p w14:paraId="55C38F40">
            <w:pPr>
              <w:pStyle w:val="102"/>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AE3F3" w:themeFill="accent5" w:themeFillTint="32"/>
            <w:noWrap w:val="0"/>
            <w:vAlign w:val="center"/>
          </w:tcPr>
          <w:p w14:paraId="4F54F2C9">
            <w:pPr>
              <w:pStyle w:val="102"/>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AE3F3" w:themeFill="accent5" w:themeFillTint="32"/>
            <w:noWrap w:val="0"/>
            <w:vAlign w:val="center"/>
          </w:tcPr>
          <w:p w14:paraId="4518FBC0">
            <w:pPr>
              <w:pStyle w:val="102"/>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AE3F3" w:themeFill="accent5" w:themeFillTint="32"/>
            <w:noWrap w:val="0"/>
            <w:vAlign w:val="center"/>
          </w:tcPr>
          <w:p w14:paraId="4D813F3B">
            <w:pPr>
              <w:pStyle w:val="102"/>
              <w:bidi w:val="0"/>
              <w:rPr>
                <w:rFonts w:hint="eastAsia"/>
                <w:highlight w:val="none"/>
                <w:lang w:val="en-US" w:eastAsia="zh-CN"/>
              </w:rPr>
            </w:pPr>
            <w:r>
              <w:rPr>
                <w:rFonts w:hint="eastAsia"/>
                <w:highlight w:val="none"/>
                <w:lang w:val="en-US" w:eastAsia="zh-CN"/>
              </w:rPr>
              <w:t>备注</w:t>
            </w:r>
          </w:p>
        </w:tc>
      </w:tr>
      <w:tr w14:paraId="30C8B5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102"/>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102"/>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102"/>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102"/>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102"/>
              <w:bidi w:val="0"/>
              <w:rPr>
                <w:rFonts w:hint="eastAsia"/>
                <w:highlight w:val="none"/>
                <w:lang w:val="en-US" w:eastAsia="zh-CN"/>
              </w:rPr>
            </w:pPr>
            <w:r>
              <w:rPr>
                <w:rFonts w:hint="eastAsia"/>
                <w:highlight w:val="none"/>
                <w:lang w:val="en-US" w:eastAsia="zh-CN"/>
              </w:rPr>
              <w:t>220型</w:t>
            </w:r>
          </w:p>
        </w:tc>
      </w:tr>
      <w:tr w14:paraId="1C5073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102"/>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102"/>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102"/>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102"/>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102"/>
              <w:bidi w:val="0"/>
              <w:rPr>
                <w:rFonts w:hint="eastAsia"/>
                <w:highlight w:val="none"/>
                <w:lang w:val="en-US" w:eastAsia="zh-CN"/>
              </w:rPr>
            </w:pPr>
            <w:r>
              <w:rPr>
                <w:rFonts w:hint="eastAsia"/>
                <w:highlight w:val="none"/>
                <w:lang w:val="en-US" w:eastAsia="zh-CN"/>
              </w:rPr>
              <w:t>50型</w:t>
            </w:r>
          </w:p>
        </w:tc>
      </w:tr>
      <w:tr w14:paraId="1033BC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102"/>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102"/>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102"/>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102"/>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102"/>
              <w:bidi w:val="0"/>
              <w:rPr>
                <w:rFonts w:hint="eastAsia"/>
                <w:highlight w:val="none"/>
                <w:lang w:val="en-US" w:eastAsia="zh-CN"/>
              </w:rPr>
            </w:pPr>
            <w:r>
              <w:rPr>
                <w:rFonts w:hint="eastAsia"/>
                <w:highlight w:val="none"/>
                <w:lang w:val="en-US" w:eastAsia="zh-CN"/>
              </w:rPr>
              <w:t>200千瓦</w:t>
            </w:r>
          </w:p>
        </w:tc>
      </w:tr>
      <w:tr w14:paraId="6F5C3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102"/>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102"/>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102"/>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102"/>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102"/>
              <w:bidi w:val="0"/>
              <w:rPr>
                <w:rFonts w:hint="eastAsia"/>
                <w:highlight w:val="none"/>
                <w:lang w:val="en-US" w:eastAsia="zh-CN"/>
              </w:rPr>
            </w:pPr>
            <w:r>
              <w:rPr>
                <w:rFonts w:hint="eastAsia"/>
                <w:highlight w:val="none"/>
                <w:lang w:val="en-US" w:eastAsia="zh-CN"/>
              </w:rPr>
              <w:t>400吨</w:t>
            </w:r>
          </w:p>
        </w:tc>
      </w:tr>
      <w:tr w14:paraId="2E7171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102"/>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102"/>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102"/>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102"/>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102"/>
              <w:bidi w:val="0"/>
              <w:rPr>
                <w:rFonts w:hint="eastAsia"/>
                <w:highlight w:val="none"/>
                <w:lang w:val="en-US" w:eastAsia="zh-CN"/>
              </w:rPr>
            </w:pPr>
          </w:p>
        </w:tc>
      </w:tr>
      <w:tr w14:paraId="63FE7D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102"/>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102"/>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102"/>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102"/>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102"/>
              <w:bidi w:val="0"/>
              <w:rPr>
                <w:rFonts w:hint="eastAsia"/>
                <w:highlight w:val="none"/>
                <w:lang w:val="en-US" w:eastAsia="zh-CN"/>
              </w:rPr>
            </w:pPr>
          </w:p>
        </w:tc>
      </w:tr>
      <w:tr w14:paraId="7F2478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102"/>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102"/>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102"/>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102"/>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102"/>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102"/>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102"/>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102"/>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102"/>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102"/>
              <w:bidi w:val="0"/>
              <w:rPr>
                <w:rFonts w:hint="eastAsia"/>
                <w:highlight w:val="none"/>
                <w:lang w:val="en-US" w:eastAsia="zh-CN"/>
              </w:rPr>
            </w:pPr>
          </w:p>
        </w:tc>
      </w:tr>
      <w:tr w14:paraId="0ED501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102"/>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102"/>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102"/>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102"/>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102"/>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401" w:name="_Toc15656"/>
      <w:r>
        <w:rPr>
          <w:rFonts w:hint="eastAsia" w:ascii="宋体" w:hAnsi="宋体" w:eastAsia="宋体"/>
          <w:highlight w:val="none"/>
          <w:lang w:val="en-US" w:eastAsia="zh-CN"/>
        </w:rPr>
        <w:t>2、应急电话及救援路线图</w:t>
      </w:r>
      <w:bookmarkEnd w:id="401"/>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38"/>
        <w:bidi w:val="0"/>
        <w:rPr>
          <w:rFonts w:hint="eastAsia"/>
          <w:highlight w:val="none"/>
          <w:lang w:val="en-US" w:eastAsia="zh-CN"/>
        </w:rPr>
      </w:pPr>
      <w:r>
        <w:rPr>
          <w:highlight w:val="none"/>
        </w:rPr>
        <w:t>表</w:t>
      </w:r>
      <w:r>
        <w:rPr>
          <w:rFonts w:hint="eastAsia"/>
          <w:highlight w:val="none"/>
          <w:lang w:val="en-US" w:eastAsia="zh-CN"/>
        </w:rPr>
        <w:t>9.6-2项目附近救援机构联系方式及位置</w:t>
      </w:r>
    </w:p>
    <w:tbl>
      <w:tblPr>
        <w:tblStyle w:val="28"/>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PrEx>
        <w:trPr>
          <w:trHeight w:val="454" w:hRule="atLeast"/>
          <w:tblHeader/>
          <w:jc w:val="center"/>
        </w:trPr>
        <w:tc>
          <w:tcPr>
            <w:tcW w:w="410" w:type="pct"/>
            <w:tcBorders>
              <w:tl2br w:val="nil"/>
              <w:tr2bl w:val="nil"/>
            </w:tcBorders>
            <w:shd w:val="clear" w:color="auto" w:fill="DAE3F3" w:themeFill="accent5" w:themeFillTint="32"/>
            <w:noWrap w:val="0"/>
            <w:vAlign w:val="center"/>
          </w:tcPr>
          <w:p w14:paraId="1918F4A3">
            <w:pPr>
              <w:pStyle w:val="102"/>
              <w:bidi w:val="0"/>
              <w:rPr>
                <w:rFonts w:hint="eastAsia"/>
                <w:highlight w:val="none"/>
              </w:rPr>
            </w:pPr>
            <w:r>
              <w:rPr>
                <w:rFonts w:hint="eastAsia"/>
                <w:highlight w:val="none"/>
              </w:rPr>
              <w:t>序号</w:t>
            </w:r>
          </w:p>
        </w:tc>
        <w:tc>
          <w:tcPr>
            <w:tcW w:w="1464" w:type="pct"/>
            <w:tcBorders>
              <w:tl2br w:val="nil"/>
              <w:tr2bl w:val="nil"/>
            </w:tcBorders>
            <w:shd w:val="clear" w:color="auto" w:fill="DAE3F3" w:themeFill="accent5" w:themeFillTint="32"/>
            <w:noWrap w:val="0"/>
            <w:vAlign w:val="center"/>
          </w:tcPr>
          <w:p w14:paraId="6AE9834D">
            <w:pPr>
              <w:pStyle w:val="102"/>
              <w:bidi w:val="0"/>
              <w:rPr>
                <w:rFonts w:hint="eastAsia"/>
                <w:highlight w:val="none"/>
              </w:rPr>
            </w:pPr>
            <w:r>
              <w:rPr>
                <w:rFonts w:hint="eastAsia"/>
                <w:highlight w:val="none"/>
              </w:rPr>
              <w:t>周边资源</w:t>
            </w:r>
          </w:p>
        </w:tc>
        <w:tc>
          <w:tcPr>
            <w:tcW w:w="993" w:type="pct"/>
            <w:tcBorders>
              <w:tl2br w:val="nil"/>
              <w:tr2bl w:val="nil"/>
            </w:tcBorders>
            <w:shd w:val="clear" w:color="auto" w:fill="DAE3F3" w:themeFill="accent5" w:themeFillTint="32"/>
            <w:noWrap w:val="0"/>
            <w:vAlign w:val="center"/>
          </w:tcPr>
          <w:p w14:paraId="7971B0E4">
            <w:pPr>
              <w:pStyle w:val="102"/>
              <w:bidi w:val="0"/>
              <w:rPr>
                <w:rFonts w:hint="eastAsia"/>
                <w:highlight w:val="none"/>
              </w:rPr>
            </w:pPr>
            <w:r>
              <w:rPr>
                <w:rFonts w:hint="eastAsia"/>
                <w:highlight w:val="none"/>
              </w:rPr>
              <w:t>联系方式</w:t>
            </w:r>
          </w:p>
        </w:tc>
        <w:tc>
          <w:tcPr>
            <w:tcW w:w="1074" w:type="pct"/>
            <w:tcBorders>
              <w:tl2br w:val="nil"/>
              <w:tr2bl w:val="nil"/>
            </w:tcBorders>
            <w:shd w:val="clear" w:color="auto" w:fill="DAE3F3" w:themeFill="accent5" w:themeFillTint="32"/>
            <w:noWrap w:val="0"/>
            <w:vAlign w:val="center"/>
          </w:tcPr>
          <w:p w14:paraId="7790F91C">
            <w:pPr>
              <w:pStyle w:val="102"/>
              <w:bidi w:val="0"/>
              <w:rPr>
                <w:rFonts w:hint="eastAsia"/>
                <w:highlight w:val="none"/>
              </w:rPr>
            </w:pPr>
            <w:r>
              <w:rPr>
                <w:rFonts w:hint="eastAsia"/>
                <w:highlight w:val="none"/>
              </w:rPr>
              <w:t>位置</w:t>
            </w:r>
          </w:p>
        </w:tc>
        <w:tc>
          <w:tcPr>
            <w:tcW w:w="1056" w:type="pct"/>
            <w:tcBorders>
              <w:tl2br w:val="nil"/>
              <w:tr2bl w:val="nil"/>
            </w:tcBorders>
            <w:shd w:val="clear" w:color="auto" w:fill="DAE3F3" w:themeFill="accent5" w:themeFillTint="32"/>
            <w:noWrap w:val="0"/>
            <w:vAlign w:val="center"/>
          </w:tcPr>
          <w:p w14:paraId="5427F3F5">
            <w:pPr>
              <w:pStyle w:val="102"/>
              <w:bidi w:val="0"/>
              <w:rPr>
                <w:rFonts w:hint="eastAsia"/>
                <w:highlight w:val="none"/>
              </w:rPr>
            </w:pPr>
            <w:r>
              <w:rPr>
                <w:rFonts w:hint="eastAsia"/>
                <w:highlight w:val="none"/>
              </w:rPr>
              <w:t>用途</w:t>
            </w:r>
          </w:p>
        </w:tc>
      </w:tr>
      <w:tr w14:paraId="16E07F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102"/>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102"/>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102"/>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102"/>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102"/>
              <w:bidi w:val="0"/>
              <w:rPr>
                <w:rFonts w:hint="eastAsia"/>
                <w:highlight w:val="none"/>
                <w:lang w:val="en-US" w:eastAsia="zh-CN"/>
              </w:rPr>
            </w:pPr>
            <w:r>
              <w:rPr>
                <w:rFonts w:hint="eastAsia"/>
                <w:highlight w:val="none"/>
              </w:rPr>
              <w:t>火灾报警救援</w:t>
            </w:r>
          </w:p>
        </w:tc>
      </w:tr>
      <w:tr w14:paraId="60448D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102"/>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102"/>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102"/>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102"/>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102"/>
              <w:bidi w:val="0"/>
              <w:rPr>
                <w:rFonts w:hint="eastAsia"/>
                <w:highlight w:val="none"/>
                <w:lang w:val="en-US" w:eastAsia="zh-CN"/>
              </w:rPr>
            </w:pPr>
            <w:r>
              <w:rPr>
                <w:rFonts w:hint="eastAsia"/>
                <w:highlight w:val="none"/>
              </w:rPr>
              <w:t>治安事件报警救援</w:t>
            </w:r>
          </w:p>
        </w:tc>
      </w:tr>
      <w:tr w14:paraId="52BAABF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102"/>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102"/>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102"/>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102"/>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102"/>
              <w:bidi w:val="0"/>
              <w:rPr>
                <w:rFonts w:hint="eastAsia"/>
                <w:highlight w:val="none"/>
                <w:lang w:val="en-US" w:eastAsia="zh-CN"/>
              </w:rPr>
            </w:pPr>
            <w:r>
              <w:rPr>
                <w:rFonts w:hint="eastAsia"/>
                <w:highlight w:val="none"/>
              </w:rPr>
              <w:t>气象信息</w:t>
            </w:r>
          </w:p>
        </w:tc>
      </w:tr>
      <w:tr w14:paraId="7D6CF00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102"/>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102"/>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102"/>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102"/>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102"/>
              <w:bidi w:val="0"/>
              <w:rPr>
                <w:rFonts w:hint="eastAsia"/>
                <w:highlight w:val="none"/>
                <w:lang w:val="en-US" w:eastAsia="zh-CN"/>
              </w:rPr>
            </w:pPr>
            <w:r>
              <w:rPr>
                <w:rFonts w:hint="eastAsia"/>
                <w:highlight w:val="none"/>
              </w:rPr>
              <w:t>电话号码查询</w:t>
            </w:r>
          </w:p>
        </w:tc>
      </w:tr>
      <w:tr w14:paraId="4CFE67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102"/>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102"/>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102"/>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102"/>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102"/>
              <w:bidi w:val="0"/>
              <w:rPr>
                <w:rFonts w:hint="eastAsia"/>
                <w:highlight w:val="none"/>
                <w:lang w:val="en-US" w:eastAsia="zh-CN"/>
              </w:rPr>
            </w:pPr>
            <w:r>
              <w:rPr>
                <w:rFonts w:hint="eastAsia"/>
                <w:highlight w:val="none"/>
              </w:rPr>
              <w:t>人员伤亡急救</w:t>
            </w:r>
          </w:p>
        </w:tc>
      </w:tr>
      <w:tr w14:paraId="0390A4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102"/>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102"/>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102"/>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102"/>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102"/>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2"/>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0" b="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74"/>
                    <a:srcRect b="6944"/>
                    <a:stretch>
                      <a:fillRect/>
                    </a:stretch>
                  </pic:blipFill>
                  <pic:spPr>
                    <a:xfrm>
                      <a:off x="0" y="0"/>
                      <a:ext cx="4458335" cy="2416810"/>
                    </a:xfrm>
                    <a:prstGeom prst="rect">
                      <a:avLst/>
                    </a:prstGeom>
                    <a:noFill/>
                    <a:ln w="9525">
                      <a:noFill/>
                    </a:ln>
                  </pic:spPr>
                </pic:pic>
              </a:graphicData>
            </a:graphic>
          </wp:inline>
        </w:drawing>
      </w:r>
    </w:p>
    <w:p w14:paraId="741763BE">
      <w:pPr>
        <w:pStyle w:val="38"/>
        <w:bidi w:val="0"/>
        <w:rPr>
          <w:rFonts w:hint="eastAsia"/>
          <w:highlight w:val="none"/>
          <w:lang w:val="en-US" w:eastAsia="zh-CN"/>
        </w:rPr>
      </w:pPr>
      <w:r>
        <w:rPr>
          <w:rFonts w:hint="eastAsia"/>
          <w:highlight w:val="none"/>
          <w:lang w:val="en-US" w:eastAsia="zh-CN"/>
        </w:rPr>
        <w:t>图9.6</w:t>
      </w:r>
      <w:r>
        <w:rPr>
          <w:rFonts w:hint="default"/>
          <w:highlight w:val="none"/>
          <w:lang w:val="en-US" w:eastAsia="zh-CN"/>
        </w:rPr>
        <w:t xml:space="preserve">-1 </w:t>
      </w:r>
      <w:r>
        <w:rPr>
          <w:rFonts w:hint="eastAsia"/>
          <w:highlight w:val="none"/>
          <w:lang w:val="en-US" w:eastAsia="zh-CN"/>
        </w:rPr>
        <w:t>应急路线图</w:t>
      </w:r>
    </w:p>
    <w:p w14:paraId="5160C3FD">
      <w:pPr>
        <w:pStyle w:val="3"/>
        <w:tabs>
          <w:tab w:val="left" w:pos="240"/>
        </w:tabs>
        <w:bidi w:val="0"/>
        <w:rPr>
          <w:rFonts w:hint="eastAsia"/>
          <w:highlight w:val="none"/>
        </w:rPr>
      </w:pPr>
      <w:bookmarkStart w:id="402" w:name="_Toc32359"/>
      <w:bookmarkStart w:id="403" w:name="_Toc23591"/>
      <w:bookmarkStart w:id="404" w:name="_Toc25072"/>
      <w:bookmarkStart w:id="405" w:name="_Toc11021"/>
      <w:bookmarkStart w:id="406" w:name="_Toc31758"/>
      <w:r>
        <w:rPr>
          <w:rFonts w:hint="eastAsia"/>
          <w:highlight w:val="none"/>
          <w:lang w:val="en-US" w:eastAsia="zh-CN"/>
        </w:rPr>
        <w:t>9.</w:t>
      </w:r>
      <w:bookmarkStart w:id="407" w:name="_Toc28123"/>
      <w:bookmarkStart w:id="408" w:name="_Toc40778459"/>
      <w:bookmarkStart w:id="409" w:name="_Toc1146"/>
      <w:bookmarkStart w:id="410" w:name="_Toc55223388"/>
      <w:r>
        <w:rPr>
          <w:rFonts w:hint="eastAsia"/>
          <w:highlight w:val="none"/>
          <w:lang w:val="en-US" w:eastAsia="zh-CN"/>
        </w:rPr>
        <w:t>7</w:t>
      </w:r>
      <w:r>
        <w:rPr>
          <w:rFonts w:hint="eastAsia"/>
          <w:highlight w:val="none"/>
        </w:rPr>
        <w:t>事故善后及恢复生产</w:t>
      </w:r>
      <w:bookmarkEnd w:id="402"/>
      <w:bookmarkEnd w:id="403"/>
      <w:bookmarkEnd w:id="404"/>
      <w:bookmarkEnd w:id="405"/>
      <w:bookmarkEnd w:id="406"/>
      <w:bookmarkEnd w:id="407"/>
      <w:bookmarkEnd w:id="408"/>
      <w:bookmarkEnd w:id="409"/>
      <w:bookmarkEnd w:id="410"/>
    </w:p>
    <w:p w14:paraId="044B4493">
      <w:pPr>
        <w:bidi w:val="0"/>
        <w:ind w:firstLine="480" w:firstLineChars="200"/>
        <w:rPr>
          <w:highlight w:val="none"/>
        </w:rPr>
      </w:pPr>
      <w:bookmarkStart w:id="411" w:name="_Toc239741315"/>
      <w:r>
        <w:rPr>
          <w:rFonts w:hint="eastAsia"/>
          <w:highlight w:val="none"/>
        </w:rPr>
        <w:t>当事态得到有效控制，危险得以消除时，由项目经理下达终止应急令。</w:t>
      </w:r>
    </w:p>
    <w:p w14:paraId="2292B82F">
      <w:pPr>
        <w:bidi w:val="0"/>
        <w:ind w:firstLine="480" w:firstLineChars="200"/>
        <w:rPr>
          <w:highlight w:val="none"/>
        </w:rPr>
      </w:pPr>
      <w:r>
        <w:rPr>
          <w:rFonts w:hint="eastAsia"/>
          <w:highlight w:val="none"/>
        </w:rPr>
        <w:t>当终止应急救援后，事故现场仍然存在可能的不明隐患时支护结构是否能满足土体应力、是否需要采取加强支护等），现场警戒不予解除，直至经技术部门技术鉴定确认无不明隐患、周边土体、支护结构及周边建筑物等趋于稳定后，告知安保部部长下令解除现场警戒。</w:t>
      </w:r>
    </w:p>
    <w:p w14:paraId="06D3AE3B">
      <w:pPr>
        <w:bidi w:val="0"/>
        <w:ind w:firstLine="480" w:firstLineChars="200"/>
        <w:rPr>
          <w:highlight w:val="none"/>
        </w:rPr>
      </w:pPr>
      <w:r>
        <w:rPr>
          <w:rFonts w:hint="eastAsia"/>
          <w:highlight w:val="none"/>
        </w:rPr>
        <w:t>警戒解除后，由应急救援队伍负责恢复现场。主要清理临时设施、救援过程中产生的废弃物、恢复现场施工条件等。</w:t>
      </w:r>
    </w:p>
    <w:p w14:paraId="6E3F8998">
      <w:pPr>
        <w:bidi w:val="0"/>
        <w:ind w:firstLine="480" w:firstLineChars="200"/>
        <w:rPr>
          <w:highlight w:val="none"/>
        </w:rPr>
      </w:pPr>
      <w:r>
        <w:rPr>
          <w:rFonts w:hint="eastAsia"/>
          <w:highlight w:val="none"/>
        </w:rPr>
        <w:t>事故处理</w:t>
      </w:r>
      <w:bookmarkEnd w:id="411"/>
      <w:r>
        <w:rPr>
          <w:rFonts w:hint="eastAsia"/>
          <w:highlight w:val="none"/>
        </w:rPr>
        <w:t>：事故调查小组在事故得到控制以后，迅速到受到保护的现场调查取证，查明产生事故的原因。项目部在事故处理完毕后，认真总结经验教训。</w:t>
      </w:r>
    </w:p>
    <w:p w14:paraId="229C72D7">
      <w:pPr>
        <w:bidi w:val="0"/>
        <w:ind w:firstLine="480" w:firstLineChars="200"/>
        <w:rPr>
          <w:highlight w:val="none"/>
        </w:rPr>
      </w:pPr>
      <w:bookmarkStart w:id="412" w:name="_Toc239741316"/>
      <w:r>
        <w:rPr>
          <w:rFonts w:hint="eastAsia"/>
          <w:highlight w:val="none"/>
        </w:rPr>
        <w:t>生产恢复</w:t>
      </w:r>
      <w:bookmarkEnd w:id="412"/>
      <w:r>
        <w:rPr>
          <w:rFonts w:hint="eastAsia"/>
          <w:highlight w:val="none"/>
        </w:rPr>
        <w:t>：事故发生后，项目部在处理事故的同时，尽快组织人员恢复生产，避免影响项目部施工生产进度，恢复生产的主要工作包括：</w:t>
      </w:r>
    </w:p>
    <w:p w14:paraId="5E762D68">
      <w:pPr>
        <w:bidi w:val="0"/>
        <w:ind w:firstLine="480" w:firstLineChars="200"/>
        <w:rPr>
          <w:highlight w:val="none"/>
        </w:rPr>
      </w:pPr>
      <w:r>
        <w:rPr>
          <w:rFonts w:hint="eastAsia"/>
          <w:highlight w:val="none"/>
          <w:lang w:val="en-US" w:eastAsia="zh-CN"/>
        </w:rPr>
        <w:t>1、</w:t>
      </w:r>
      <w:r>
        <w:rPr>
          <w:rFonts w:hint="eastAsia"/>
          <w:highlight w:val="none"/>
        </w:rPr>
        <w:t>明确事故处理所需的现场材料，加快对施工现场进行调查和取证，收集相关的资料证据，包括对现场的</w:t>
      </w:r>
      <w:r>
        <w:rPr>
          <w:rFonts w:hint="eastAsia"/>
          <w:highlight w:val="none"/>
          <w:lang w:eastAsia="zh-CN"/>
        </w:rPr>
        <w:t>摄像</w:t>
      </w:r>
      <w:r>
        <w:rPr>
          <w:rFonts w:hint="eastAsia"/>
          <w:highlight w:val="none"/>
        </w:rPr>
        <w:t>，相关人员、机械设备、物资材料在现场的资料照片，详细统计机械设备、物资材料的损失情况，制定维修或报废处理计划。</w:t>
      </w:r>
    </w:p>
    <w:p w14:paraId="5E7ACC6D">
      <w:pPr>
        <w:bidi w:val="0"/>
        <w:ind w:firstLine="480" w:firstLineChars="200"/>
        <w:rPr>
          <w:highlight w:val="none"/>
        </w:rPr>
      </w:pPr>
      <w:r>
        <w:rPr>
          <w:rFonts w:hint="eastAsia"/>
          <w:highlight w:val="none"/>
          <w:lang w:val="en-US" w:eastAsia="zh-CN"/>
        </w:rPr>
        <w:t>2、</w:t>
      </w:r>
      <w:r>
        <w:rPr>
          <w:rFonts w:hint="eastAsia"/>
          <w:highlight w:val="none"/>
        </w:rPr>
        <w:t>现场取证工作完成后，项目部对现场清理行动进行充分论证，认为时机成熟时，调集相关人员和设备对现场进行清理，制定现场清理的计划和措施，落实现场责任人，防止清理过程中事态进一步扩大。</w:t>
      </w:r>
    </w:p>
    <w:p w14:paraId="16A37B33">
      <w:pPr>
        <w:ind w:firstLine="480" w:firstLineChars="200"/>
        <w:rPr>
          <w:rFonts w:hint="eastAsia"/>
          <w:highlight w:val="none"/>
          <w:lang w:val="en-US" w:eastAsia="zh-CN"/>
        </w:rPr>
      </w:pPr>
      <w:r>
        <w:rPr>
          <w:rFonts w:hint="eastAsia"/>
          <w:highlight w:val="none"/>
          <w:lang w:val="en-US" w:eastAsia="zh-CN"/>
        </w:rPr>
        <w:t>3、</w:t>
      </w:r>
      <w:r>
        <w:rPr>
          <w:rFonts w:hint="eastAsia"/>
          <w:highlight w:val="none"/>
        </w:rPr>
        <w:t>现场清理完毕，项目部重新调集生产资源，组织施工生产，组织生产过程中，应吸取事故教训、总结经验、制定切实可靠的安全措施后方可施工。</w:t>
      </w:r>
      <w:r>
        <w:rPr>
          <w:rFonts w:hint="eastAsia"/>
          <w:highlight w:val="none"/>
          <w:lang w:val="en-US" w:eastAsia="zh-CN"/>
        </w:rPr>
        <w:br w:type="page"/>
      </w:r>
    </w:p>
    <w:p w14:paraId="5C5B4B2C">
      <w:pPr>
        <w:pStyle w:val="2"/>
        <w:numPr>
          <w:ilvl w:val="0"/>
          <w:numId w:val="0"/>
        </w:numPr>
        <w:ind w:leftChars="0"/>
        <w:rPr>
          <w:rFonts w:hint="eastAsia"/>
          <w:highlight w:val="none"/>
        </w:rPr>
      </w:pPr>
      <w:bookmarkStart w:id="413" w:name="_Toc17552"/>
      <w:bookmarkStart w:id="414" w:name="_Toc15890"/>
      <w:bookmarkStart w:id="415" w:name="_Toc25052"/>
      <w:r>
        <w:rPr>
          <w:rFonts w:hint="eastAsia"/>
          <w:highlight w:val="none"/>
          <w:lang w:val="en-US" w:eastAsia="zh-CN"/>
        </w:rPr>
        <w:t>10</w:t>
      </w:r>
      <w:r>
        <w:rPr>
          <w:rFonts w:hint="eastAsia"/>
          <w:highlight w:val="none"/>
        </w:rPr>
        <w:t>绿色及文明施工</w:t>
      </w:r>
      <w:bookmarkEnd w:id="413"/>
      <w:bookmarkEnd w:id="414"/>
      <w:bookmarkEnd w:id="415"/>
    </w:p>
    <w:p w14:paraId="66F9B472">
      <w:pPr>
        <w:pStyle w:val="3"/>
        <w:tabs>
          <w:tab w:val="left" w:pos="240"/>
        </w:tabs>
        <w:bidi w:val="0"/>
        <w:rPr>
          <w:rFonts w:hint="default"/>
          <w:highlight w:val="none"/>
          <w:lang w:val="en-US" w:eastAsia="zh-CN"/>
        </w:rPr>
      </w:pPr>
      <w:bookmarkStart w:id="416" w:name="_Toc7823"/>
      <w:bookmarkStart w:id="417" w:name="_Toc32357"/>
      <w:bookmarkStart w:id="418" w:name="_Toc11152"/>
      <w:bookmarkStart w:id="419" w:name="_Toc30600"/>
      <w:r>
        <w:rPr>
          <w:rFonts w:hint="eastAsia"/>
          <w:highlight w:val="none"/>
          <w:lang w:val="en-US" w:eastAsia="zh-CN"/>
        </w:rPr>
        <w:t>10.1绿色施工</w:t>
      </w:r>
      <w:bookmarkEnd w:id="416"/>
      <w:bookmarkEnd w:id="417"/>
      <w:bookmarkEnd w:id="418"/>
      <w:bookmarkEnd w:id="419"/>
    </w:p>
    <w:p w14:paraId="39E6F611">
      <w:pPr>
        <w:pStyle w:val="4"/>
        <w:tabs>
          <w:tab w:val="left" w:pos="240"/>
        </w:tabs>
        <w:bidi w:val="0"/>
        <w:rPr>
          <w:rFonts w:hint="default"/>
          <w:highlight w:val="none"/>
          <w:lang w:val="en-US" w:eastAsia="zh-CN"/>
        </w:rPr>
      </w:pPr>
      <w:r>
        <w:rPr>
          <w:rFonts w:hint="eastAsia"/>
          <w:highlight w:val="none"/>
          <w:lang w:val="en-US" w:eastAsia="zh-CN"/>
        </w:rPr>
        <w:t>10.1.1绿色施工</w:t>
      </w:r>
      <w:r>
        <w:rPr>
          <w:rFonts w:hint="eastAsia"/>
          <w:highlight w:val="none"/>
        </w:rPr>
        <w:t>组织机构</w:t>
      </w:r>
    </w:p>
    <w:p w14:paraId="2A5F2AD3">
      <w:pPr>
        <w:bidi w:val="0"/>
        <w:ind w:firstLine="480" w:firstLineChars="200"/>
        <w:rPr>
          <w:rFonts w:hint="eastAsia" w:eastAsia="宋体"/>
          <w:highlight w:val="none"/>
          <w:lang w:eastAsia="zh-CN"/>
        </w:rPr>
      </w:pPr>
      <w:r>
        <w:rPr>
          <w:rFonts w:hint="eastAsia" w:ascii="宋体" w:hAnsi="宋体"/>
          <w:sz w:val="24"/>
          <w:highlight w:val="none"/>
        </w:rPr>
        <w:t>项目部成立节</w:t>
      </w:r>
      <w:r>
        <w:rPr>
          <w:rFonts w:hint="eastAsia" w:ascii="宋体" w:hAnsi="宋体"/>
          <w:sz w:val="24"/>
          <w:highlight w:val="none"/>
          <w:lang w:val="en-US" w:eastAsia="zh-CN"/>
        </w:rPr>
        <w:t>绿色施工</w:t>
      </w:r>
      <w:r>
        <w:rPr>
          <w:rFonts w:hint="eastAsia" w:ascii="宋体" w:hAnsi="宋体"/>
          <w:sz w:val="24"/>
          <w:highlight w:val="none"/>
        </w:rPr>
        <w:t>领导小组，负责项目</w:t>
      </w:r>
      <w:r>
        <w:rPr>
          <w:rFonts w:hint="eastAsia" w:ascii="宋体" w:hAnsi="宋体"/>
          <w:sz w:val="24"/>
          <w:highlight w:val="none"/>
          <w:lang w:val="en-US" w:eastAsia="zh-CN"/>
        </w:rPr>
        <w:t>绿色施工</w:t>
      </w:r>
      <w:r>
        <w:rPr>
          <w:rFonts w:hint="eastAsia" w:ascii="宋体" w:hAnsi="宋体"/>
          <w:sz w:val="24"/>
          <w:highlight w:val="none"/>
        </w:rPr>
        <w:t>的指导工作，指定</w:t>
      </w:r>
      <w:r>
        <w:rPr>
          <w:rFonts w:hint="eastAsia" w:ascii="宋体" w:hAnsi="宋体"/>
          <w:sz w:val="24"/>
          <w:highlight w:val="none"/>
          <w:lang w:val="en-US" w:eastAsia="zh-CN"/>
        </w:rPr>
        <w:t>工程部</w:t>
      </w:r>
      <w:r>
        <w:rPr>
          <w:rFonts w:hint="eastAsia" w:ascii="宋体" w:hAnsi="宋体"/>
          <w:sz w:val="24"/>
          <w:highlight w:val="none"/>
        </w:rPr>
        <w:t>人员具体负责节能减排工作。项目经理是</w:t>
      </w:r>
      <w:r>
        <w:rPr>
          <w:rFonts w:hint="eastAsia" w:ascii="宋体" w:hAnsi="宋体"/>
          <w:sz w:val="24"/>
          <w:highlight w:val="none"/>
          <w:lang w:val="en-US" w:eastAsia="zh-CN"/>
        </w:rPr>
        <w:t>绿色施工</w:t>
      </w:r>
      <w:r>
        <w:rPr>
          <w:rFonts w:hint="eastAsia" w:ascii="宋体" w:hAnsi="宋体"/>
          <w:sz w:val="24"/>
          <w:highlight w:val="none"/>
        </w:rPr>
        <w:t>第一责任人，对此项工作负总责。</w:t>
      </w:r>
    </w:p>
    <w:p w14:paraId="0ABBF6D4">
      <w:pPr>
        <w:bidi w:val="0"/>
        <w:rPr>
          <w:rFonts w:hint="eastAsia" w:eastAsia="宋体"/>
          <w:highlight w:val="none"/>
          <w:lang w:eastAsia="zh-CN"/>
        </w:rPr>
      </w:pPr>
      <w:r>
        <w:rPr>
          <w:rFonts w:hint="eastAsia"/>
          <w:highlight w:val="none"/>
        </w:rPr>
        <w:drawing>
          <wp:inline distT="0" distB="0" distL="114300" distR="114300">
            <wp:extent cx="5269230" cy="4343400"/>
            <wp:effectExtent l="0" t="0" r="0" b="0"/>
            <wp:docPr id="39" name="图片 39" descr="组织流程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织流程图--(2)(2)"/>
                    <pic:cNvPicPr>
                      <a:picLocks noChangeAspect="1"/>
                    </pic:cNvPicPr>
                  </pic:nvPicPr>
                  <pic:blipFill>
                    <a:blip r:embed="rId75"/>
                    <a:stretch>
                      <a:fillRect/>
                    </a:stretch>
                  </pic:blipFill>
                  <pic:spPr>
                    <a:xfrm>
                      <a:off x="0" y="0"/>
                      <a:ext cx="5269230" cy="4343400"/>
                    </a:xfrm>
                    <a:prstGeom prst="rect">
                      <a:avLst/>
                    </a:prstGeom>
                  </pic:spPr>
                </pic:pic>
              </a:graphicData>
            </a:graphic>
          </wp:inline>
        </w:drawing>
      </w:r>
    </w:p>
    <w:p w14:paraId="02F2B72D">
      <w:pPr>
        <w:pStyle w:val="38"/>
        <w:bidi w:val="0"/>
        <w:rPr>
          <w:rFonts w:hint="default"/>
          <w:highlight w:val="none"/>
          <w:lang w:val="en-US" w:eastAsia="zh-CN"/>
        </w:rPr>
      </w:pPr>
      <w:r>
        <w:rPr>
          <w:rFonts w:hint="eastAsia"/>
          <w:highlight w:val="none"/>
          <w:lang w:val="en-US" w:eastAsia="zh-CN"/>
        </w:rPr>
        <w:t>图10</w:t>
      </w:r>
      <w:r>
        <w:rPr>
          <w:highlight w:val="none"/>
        </w:rPr>
        <w:t>.1.1</w:t>
      </w:r>
      <w:r>
        <w:rPr>
          <w:rFonts w:hint="eastAsia"/>
          <w:highlight w:val="none"/>
          <w:lang w:val="en-US" w:eastAsia="zh-CN"/>
        </w:rPr>
        <w:t xml:space="preserve">-1 </w:t>
      </w:r>
      <w:r>
        <w:rPr>
          <w:rFonts w:hint="eastAsia" w:ascii="宋体" w:hAnsi="宋体"/>
          <w:sz w:val="24"/>
          <w:highlight w:val="none"/>
          <w:lang w:val="en-US" w:eastAsia="zh-CN"/>
        </w:rPr>
        <w:t>绿色施工</w:t>
      </w:r>
      <w:r>
        <w:rPr>
          <w:rFonts w:hint="eastAsia"/>
          <w:highlight w:val="none"/>
        </w:rPr>
        <w:t>管理组织机构</w:t>
      </w:r>
    </w:p>
    <w:p w14:paraId="282FD1E0">
      <w:pPr>
        <w:pStyle w:val="4"/>
        <w:tabs>
          <w:tab w:val="left" w:pos="240"/>
        </w:tabs>
        <w:bidi w:val="0"/>
        <w:rPr>
          <w:rFonts w:hint="eastAsia"/>
          <w:highlight w:val="none"/>
        </w:rPr>
      </w:pPr>
      <w:r>
        <w:rPr>
          <w:rFonts w:hint="eastAsia"/>
          <w:highlight w:val="none"/>
          <w:lang w:val="en-US" w:eastAsia="zh-CN"/>
        </w:rPr>
        <w:t>10.1.2绿色施工</w:t>
      </w:r>
      <w:r>
        <w:rPr>
          <w:rFonts w:hint="eastAsia"/>
          <w:highlight w:val="none"/>
        </w:rPr>
        <w:t>保证体系</w:t>
      </w:r>
    </w:p>
    <w:p w14:paraId="70B5C251">
      <w:pPr>
        <w:pStyle w:val="12"/>
        <w:rPr>
          <w:rFonts w:hint="eastAsia"/>
          <w:highlight w:val="none"/>
          <w:lang w:val="en-US" w:eastAsia="zh-CN"/>
        </w:rPr>
      </w:pPr>
      <w:r>
        <w:rPr>
          <w:rFonts w:hint="eastAsia"/>
          <w:highlight w:val="none"/>
          <w:lang w:val="en-US" w:eastAsia="zh-CN"/>
        </w:rPr>
        <w:t>绿色施工保证体系如图10</w:t>
      </w:r>
      <w:r>
        <w:rPr>
          <w:highlight w:val="none"/>
        </w:rPr>
        <w:t>.1.</w:t>
      </w:r>
      <w:r>
        <w:rPr>
          <w:rFonts w:hint="eastAsia"/>
          <w:highlight w:val="none"/>
          <w:lang w:val="en-US" w:eastAsia="zh-CN"/>
        </w:rPr>
        <w:t>2-1所示。</w:t>
      </w:r>
    </w:p>
    <w:p w14:paraId="27538FB1">
      <w:pPr>
        <w:pStyle w:val="4"/>
        <w:tabs>
          <w:tab w:val="left" w:pos="240"/>
        </w:tabs>
        <w:bidi w:val="0"/>
        <w:rPr>
          <w:rFonts w:hint="eastAsia"/>
          <w:highlight w:val="none"/>
          <w:lang w:val="en-US" w:eastAsia="zh-CN"/>
        </w:rPr>
      </w:pPr>
      <w:r>
        <w:rPr>
          <w:rFonts w:hint="eastAsia"/>
          <w:highlight w:val="none"/>
          <w:lang w:val="en-US" w:eastAsia="zh-CN"/>
        </w:rPr>
        <w:t>10.1.3绿色施工保证措施</w:t>
      </w:r>
    </w:p>
    <w:p w14:paraId="1554C5FD">
      <w:pPr>
        <w:pStyle w:val="5"/>
        <w:bidi w:val="0"/>
        <w:rPr>
          <w:rFonts w:hint="eastAsia"/>
          <w:highlight w:val="none"/>
          <w:lang w:val="en-US" w:eastAsia="zh-CN"/>
        </w:rPr>
      </w:pPr>
      <w:r>
        <w:rPr>
          <w:rFonts w:hint="eastAsia"/>
          <w:highlight w:val="none"/>
          <w:lang w:val="en-US" w:eastAsia="zh-CN"/>
        </w:rPr>
        <w:t>10.1.3.1生态环保和水土保持措施</w:t>
      </w:r>
    </w:p>
    <w:p w14:paraId="79C073F6">
      <w:pPr>
        <w:numPr>
          <w:ilvl w:val="0"/>
          <w:numId w:val="5"/>
        </w:numPr>
        <w:ind w:firstLine="480" w:firstLineChars="200"/>
        <w:rPr>
          <w:highlight w:val="none"/>
        </w:rPr>
      </w:pPr>
      <w:r>
        <w:rPr>
          <w:highlight w:val="none"/>
        </w:rPr>
        <w:t>维护自然生态平衡的措施</w:t>
      </w:r>
    </w:p>
    <w:p w14:paraId="3DEC67E3">
      <w:pPr>
        <w:bidi w:val="0"/>
        <w:ind w:firstLine="480" w:firstLineChars="200"/>
        <w:rPr>
          <w:highlight w:val="none"/>
        </w:rPr>
      </w:pPr>
      <w:r>
        <w:rPr>
          <w:highlight w:val="none"/>
        </w:rPr>
        <w:t>施工现场生产、生活房屋及生活设施、原材料堆放处和材料加工场均在规划 的区域内进行。修建的施工便道，要结合地方乡镇长远规划，选择线路。弃土场 必须做好防护工作，确保不发生水土流失情况，并进行弃土场绿化。</w:t>
      </w:r>
    </w:p>
    <w:p w14:paraId="4B3121E9">
      <w:pPr>
        <w:bidi w:val="0"/>
        <w:ind w:firstLine="480" w:firstLineChars="200"/>
        <w:rPr>
          <w:highlight w:val="none"/>
        </w:rPr>
      </w:pPr>
      <w:r>
        <w:rPr>
          <w:highlight w:val="none"/>
        </w:rPr>
        <w:t>施工期间对施工人员加强保护自然资源及野生动植物的教育，严禁随意砍伐 和偷猎，限制施工人员和车辆的活动范围。</w:t>
      </w:r>
    </w:p>
    <w:p w14:paraId="2901C3BD">
      <w:pPr>
        <w:bidi w:val="0"/>
        <w:ind w:firstLine="480" w:firstLineChars="200"/>
        <w:rPr>
          <w:highlight w:val="none"/>
        </w:rPr>
      </w:pPr>
      <w:r>
        <w:rPr>
          <w:highlight w:val="none"/>
        </w:rPr>
        <w:t>施工便道选线、生活营地、大型临时设施场地选址尽量少占或绕避林地、耕</w:t>
      </w:r>
    </w:p>
    <w:p w14:paraId="7BC889F3">
      <w:pPr>
        <w:bidi w:val="0"/>
        <w:rPr>
          <w:highlight w:val="none"/>
        </w:rPr>
      </w:pPr>
      <w:r>
        <w:rPr>
          <w:highlight w:val="none"/>
        </w:rPr>
        <w:t>地，保护原有植被。</w:t>
      </w:r>
    </w:p>
    <w:p w14:paraId="4895AB92">
      <w:pPr>
        <w:bidi w:val="0"/>
        <w:ind w:firstLine="480" w:firstLineChars="200"/>
        <w:rPr>
          <w:highlight w:val="none"/>
        </w:rPr>
      </w:pPr>
      <w:r>
        <w:rPr>
          <w:highlight w:val="none"/>
        </w:rPr>
        <w:t>对合同规定的施工界限外的植物、树木等尽力维护，严禁超范围砍伐。工程</w:t>
      </w:r>
    </w:p>
    <w:p w14:paraId="0A456FFB">
      <w:pPr>
        <w:bidi w:val="0"/>
        <w:rPr>
          <w:highlight w:val="none"/>
        </w:rPr>
      </w:pPr>
      <w:r>
        <w:rPr>
          <w:highlight w:val="none"/>
        </w:rPr>
        <w:t>完工后及时进行现场清理，复垦或绿化。</w:t>
      </w:r>
    </w:p>
    <w:p w14:paraId="55C70DDD">
      <w:pPr>
        <w:pStyle w:val="12"/>
        <w:rPr>
          <w:highlight w:val="none"/>
        </w:rPr>
      </w:pPr>
      <w:r>
        <w:rPr>
          <w:highlight w:val="none"/>
        </w:rPr>
        <mc:AlternateContent>
          <mc:Choice Requires="wpg">
            <w:drawing>
              <wp:inline distT="0" distB="0" distL="0" distR="0">
                <wp:extent cx="4855210" cy="4525645"/>
                <wp:effectExtent l="6350" t="6350" r="15240" b="14605"/>
                <wp:docPr id="40" name="Group 2503"/>
                <wp:cNvGraphicFramePr/>
                <a:graphic xmlns:a="http://schemas.openxmlformats.org/drawingml/2006/main">
                  <a:graphicData uri="http://schemas.microsoft.com/office/word/2010/wordprocessingGroup">
                    <wpg:wgp>
                      <wpg:cNvGrpSpPr/>
                      <wpg:grpSpPr>
                        <a:xfrm>
                          <a:off x="0" y="0"/>
                          <a:ext cx="4855210" cy="4525645"/>
                          <a:chOff x="0" y="0"/>
                          <a:chExt cx="7901" cy="5079"/>
                        </a:xfrm>
                      </wpg:grpSpPr>
                      <wps:wsp>
                        <wps:cNvPr id="626"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653F702">
                              <w:pPr>
                                <w:pStyle w:val="52"/>
                                <w:rPr>
                                  <w:rFonts w:hint="eastAsia"/>
                                  <w:lang w:val="en-US" w:eastAsia="zh-CN"/>
                                </w:rPr>
                              </w:pPr>
                              <w:r>
                                <w:rPr>
                                  <w:rFonts w:hint="eastAsia"/>
                                  <w:lang w:val="en-US" w:eastAsia="zh-CN"/>
                                </w:rPr>
                                <w:t>绿色</w:t>
                              </w:r>
                            </w:p>
                            <w:p w14:paraId="2B3EC0DC">
                              <w:pPr>
                                <w:pStyle w:val="52"/>
                              </w:pPr>
                              <w:r>
                                <w:rPr>
                                  <w:rFonts w:hint="eastAsia"/>
                                </w:rPr>
                                <w:t>施工</w:t>
                              </w:r>
                            </w:p>
                            <w:p w14:paraId="39EC98D8">
                              <w:pPr>
                                <w:pStyle w:val="52"/>
                              </w:pPr>
                              <w:r>
                                <w:rPr>
                                  <w:rFonts w:hint="eastAsia"/>
                                </w:rPr>
                                <w:t>保证</w:t>
                              </w:r>
                            </w:p>
                            <w:p w14:paraId="2442F07C">
                              <w:pPr>
                                <w:pStyle w:val="52"/>
                              </w:pPr>
                              <w:r>
                                <w:rPr>
                                  <w:rFonts w:hint="eastAsia"/>
                                </w:rPr>
                                <w:t>体系</w:t>
                              </w:r>
                            </w:p>
                          </w:txbxContent>
                        </wps:txbx>
                        <wps:bodyPr rot="0" vert="horz" wrap="square" lIns="0" tIns="0" rIns="0" bIns="0" anchor="ctr" anchorCtr="0" upright="1">
                          <a:noAutofit/>
                        </wps:bodyPr>
                      </wps:wsp>
                      <wps:wsp>
                        <wps:cNvPr id="627"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628"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629"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3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6F2A6A99">
                              <w:pPr>
                                <w:pStyle w:val="52"/>
                              </w:pPr>
                              <w:r>
                                <w:rPr>
                                  <w:rFonts w:hint="eastAsia"/>
                                </w:rPr>
                                <w:t>思想保证</w:t>
                              </w:r>
                            </w:p>
                          </w:txbxContent>
                        </wps:txbx>
                        <wps:bodyPr rot="0" vert="horz" wrap="square" lIns="0" tIns="0" rIns="0" bIns="0" anchor="ctr" anchorCtr="0" upright="1">
                          <a:noAutofit/>
                        </wps:bodyPr>
                      </wps:wsp>
                      <wps:wsp>
                        <wps:cNvPr id="63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632"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60DF620B">
                              <w:pPr>
                                <w:pStyle w:val="52"/>
                              </w:pPr>
                              <w:r>
                                <w:rPr>
                                  <w:rFonts w:hint="eastAsia"/>
                                </w:rPr>
                                <w:t>组织保证</w:t>
                              </w:r>
                            </w:p>
                          </w:txbxContent>
                        </wps:txbx>
                        <wps:bodyPr rot="0" vert="horz" wrap="square" lIns="0" tIns="0" rIns="0" bIns="0" anchor="ctr" anchorCtr="0" upright="1">
                          <a:noAutofit/>
                        </wps:bodyPr>
                      </wps:wsp>
                      <wps:wsp>
                        <wps:cNvPr id="633"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4"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5388B81E">
                              <w:pPr>
                                <w:pStyle w:val="52"/>
                              </w:pPr>
                              <w:r>
                                <w:rPr>
                                  <w:rFonts w:hint="eastAsia"/>
                                </w:rPr>
                                <w:t>成立</w:t>
                              </w:r>
                              <w:r>
                                <w:rPr>
                                  <w:rFonts w:hint="eastAsia"/>
                                  <w:lang w:val="en-US" w:eastAsia="zh-CN"/>
                                </w:rPr>
                                <w:t>绿色施工</w:t>
                              </w:r>
                              <w:r>
                                <w:rPr>
                                  <w:rFonts w:hint="eastAsia"/>
                                </w:rPr>
                                <w:t>领导小组</w:t>
                              </w:r>
                            </w:p>
                          </w:txbxContent>
                        </wps:txbx>
                        <wps:bodyPr rot="0" vert="horz" wrap="square" lIns="108000" tIns="0" rIns="0" bIns="0" anchor="ctr" anchorCtr="0" upright="1">
                          <a:noAutofit/>
                        </wps:bodyPr>
                      </wps:wsp>
                      <wps:wsp>
                        <wps:cNvPr id="635"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2F287673">
                              <w:pPr>
                                <w:pStyle w:val="52"/>
                              </w:pPr>
                              <w:r>
                                <w:rPr>
                                  <w:rFonts w:hint="eastAsia"/>
                                  <w:lang w:val="en-US" w:eastAsia="zh-CN"/>
                                </w:rPr>
                                <w:t>环保节能</w:t>
                              </w:r>
                              <w:r>
                                <w:rPr>
                                  <w:rFonts w:hint="eastAsia"/>
                                </w:rPr>
                                <w:t>知识宣传教育</w:t>
                              </w:r>
                            </w:p>
                          </w:txbxContent>
                        </wps:txbx>
                        <wps:bodyPr rot="0" vert="horz" wrap="square" lIns="108000" tIns="0" rIns="0" bIns="0" anchor="ctr" anchorCtr="0" upright="1">
                          <a:noAutofit/>
                        </wps:bodyPr>
                      </wps:wsp>
                      <wps:wsp>
                        <wps:cNvPr id="636"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205954D5">
                              <w:pPr>
                                <w:pStyle w:val="52"/>
                                <w:spacing w:line="240" w:lineRule="auto"/>
                              </w:pPr>
                              <w:r>
                                <w:rPr>
                                  <w:rFonts w:hint="eastAsia"/>
                                </w:rPr>
                                <w:t>制定目标责任制</w:t>
                              </w:r>
                            </w:p>
                            <w:p w14:paraId="41FB3821">
                              <w:pPr>
                                <w:pStyle w:val="52"/>
                              </w:pPr>
                            </w:p>
                          </w:txbxContent>
                        </wps:txbx>
                        <wps:bodyPr rot="0" vert="horz" wrap="square" lIns="108000" tIns="0" rIns="0" bIns="0" anchor="ctr" anchorCtr="0" upright="1">
                          <a:noAutofit/>
                        </wps:bodyPr>
                      </wps:wsp>
                      <wps:wsp>
                        <wps:cNvPr id="63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638"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63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640"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641"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3BE9033C">
                              <w:pPr>
                                <w:pStyle w:val="52"/>
                              </w:pPr>
                              <w:r>
                                <w:rPr>
                                  <w:rFonts w:hint="eastAsia"/>
                                </w:rPr>
                                <w:t>技术保证</w:t>
                              </w:r>
                            </w:p>
                          </w:txbxContent>
                        </wps:txbx>
                        <wps:bodyPr rot="0" vert="horz" wrap="square" lIns="0" tIns="0" rIns="0" bIns="0" anchor="ctr" anchorCtr="0" upright="1">
                          <a:noAutofit/>
                        </wps:bodyPr>
                      </wps:wsp>
                      <wps:wsp>
                        <wps:cNvPr id="217"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667"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50C5CED0">
                              <w:pPr>
                                <w:pStyle w:val="52"/>
                                <w:rPr>
                                  <w:rFonts w:hint="eastAsia" w:eastAsia="宋体"/>
                                  <w:lang w:eastAsia="zh-CN"/>
                                </w:rPr>
                              </w:pPr>
                              <w:r>
                                <w:rPr>
                                  <w:rFonts w:hint="eastAsia"/>
                                </w:rPr>
                                <w:t>制定实施</w:t>
                              </w:r>
                              <w:r>
                                <w:rPr>
                                  <w:rFonts w:hint="eastAsia"/>
                                  <w:lang w:val="en-US" w:eastAsia="zh-CN"/>
                                </w:rPr>
                                <w:t>性绿色施工措施</w:t>
                              </w:r>
                            </w:p>
                          </w:txbxContent>
                        </wps:txbx>
                        <wps:bodyPr rot="0" vert="horz" wrap="square" lIns="108000" tIns="0" rIns="0" bIns="0" anchor="ctr" anchorCtr="0" upright="1">
                          <a:noAutofit/>
                        </wps:bodyPr>
                      </wps:wsp>
                      <wps:wsp>
                        <wps:cNvPr id="668"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728CD31B">
                              <w:pPr>
                                <w:pStyle w:val="52"/>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669"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670"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671"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672"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3BA69FC5">
                              <w:pPr>
                                <w:pStyle w:val="52"/>
                              </w:pPr>
                              <w:r>
                                <w:rPr>
                                  <w:rFonts w:hint="eastAsia"/>
                                </w:rPr>
                                <w:t>制度保证</w:t>
                              </w:r>
                            </w:p>
                          </w:txbxContent>
                        </wps:txbx>
                        <wps:bodyPr rot="0" vert="horz" wrap="square" lIns="0" tIns="0" rIns="0" bIns="0" anchor="ctr" anchorCtr="0" upright="1">
                          <a:noAutofit/>
                        </wps:bodyPr>
                      </wps:wsp>
                      <wps:wsp>
                        <wps:cNvPr id="673"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92F0B52">
                              <w:pPr>
                                <w:pStyle w:val="52"/>
                              </w:pPr>
                              <w:r>
                                <w:rPr>
                                  <w:rFonts w:hint="eastAsia"/>
                                </w:rPr>
                                <w:t>公司、项目部相关规章制度</w:t>
                              </w:r>
                            </w:p>
                          </w:txbxContent>
                        </wps:txbx>
                        <wps:bodyPr rot="0" vert="horz" wrap="square" lIns="108000" tIns="0" rIns="0" bIns="0" anchor="ctr" anchorCtr="0" upright="1">
                          <a:noAutofit/>
                        </wps:bodyPr>
                      </wps:wsp>
                      <wps:wsp>
                        <wps:cNvPr id="674"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2FC5EA5F">
                              <w:pPr>
                                <w:pStyle w:val="52"/>
                              </w:pPr>
                              <w:r>
                                <w:rPr>
                                  <w:rFonts w:hint="eastAsia"/>
                                </w:rPr>
                                <w:t>国家、相关部委相关法律、法规</w:t>
                              </w:r>
                            </w:p>
                          </w:txbxContent>
                        </wps:txbx>
                        <wps:bodyPr rot="0" vert="horz" wrap="square" lIns="108000" tIns="0" rIns="0" bIns="0" anchor="ctr" anchorCtr="0" upright="1">
                          <a:noAutofit/>
                        </wps:bodyPr>
                      </wps:wsp>
                      <wps:wsp>
                        <wps:cNvPr id="697"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702"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703"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286927"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72B0B6B3">
                              <w:pPr>
                                <w:pStyle w:val="52"/>
                              </w:pPr>
                              <w:r>
                                <w:rPr>
                                  <w:rFonts w:hint="eastAsia"/>
                                </w:rPr>
                                <w:t>施工保证</w:t>
                              </w:r>
                            </w:p>
                          </w:txbxContent>
                        </wps:txbx>
                        <wps:bodyPr rot="0" vert="horz" wrap="square" lIns="0" tIns="0" rIns="0" bIns="0" anchor="ctr" anchorCtr="0" upright="1">
                          <a:noAutofit/>
                        </wps:bodyPr>
                      </wps:wsp>
                      <wps:wsp>
                        <wps:cNvPr id="286928"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28692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498948D0">
                              <w:pPr>
                                <w:pStyle w:val="52"/>
                              </w:pPr>
                              <w:r>
                                <w:rPr>
                                  <w:rFonts w:hint="eastAsia"/>
                                  <w:lang w:val="en-US" w:eastAsia="zh-CN"/>
                                </w:rPr>
                                <w:t>绿色</w:t>
                              </w:r>
                              <w:r>
                                <w:rPr>
                                  <w:rFonts w:hint="eastAsia"/>
                                </w:rPr>
                                <w:t>施工工艺保证</w:t>
                              </w:r>
                            </w:p>
                          </w:txbxContent>
                        </wps:txbx>
                        <wps:bodyPr rot="0" vert="horz" wrap="square" lIns="108000" tIns="0" rIns="0" bIns="0" anchor="ctr" anchorCtr="0" upright="1">
                          <a:noAutofit/>
                        </wps:bodyPr>
                      </wps:wsp>
                      <wps:wsp>
                        <wps:cNvPr id="28693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26605DA4">
                              <w:pPr>
                                <w:pStyle w:val="52"/>
                              </w:pPr>
                              <w:r>
                                <w:rPr>
                                  <w:rFonts w:hint="eastAsia"/>
                                </w:rPr>
                                <w:t>落实岗位责任制</w:t>
                              </w:r>
                            </w:p>
                          </w:txbxContent>
                        </wps:txbx>
                        <wps:bodyPr rot="0" vert="horz" wrap="square" lIns="108000" tIns="0" rIns="0" bIns="0" anchor="ctr" anchorCtr="0" upright="1">
                          <a:noAutofit/>
                        </wps:bodyPr>
                      </wps:wsp>
                      <wps:wsp>
                        <wps:cNvPr id="286931" name="Text Box 2536"/>
                        <wps:cNvSpPr txBox="1">
                          <a:spLocks noChangeArrowheads="1"/>
                        </wps:cNvSpPr>
                        <wps:spPr bwMode="auto">
                          <a:xfrm>
                            <a:off x="3045" y="4353"/>
                            <a:ext cx="3040" cy="302"/>
                          </a:xfrm>
                          <a:prstGeom prst="rect">
                            <a:avLst/>
                          </a:prstGeom>
                          <a:solidFill>
                            <a:schemeClr val="accent6">
                              <a:lumMod val="40000"/>
                              <a:lumOff val="60000"/>
                            </a:schemeClr>
                          </a:solidFill>
                          <a:ln w="12700">
                            <a:solidFill>
                              <a:srgbClr val="0000C8"/>
                            </a:solidFill>
                            <a:miter lim="800000"/>
                          </a:ln>
                        </wps:spPr>
                        <wps:txbx>
                          <w:txbxContent>
                            <w:p w14:paraId="59662101">
                              <w:pPr>
                                <w:pStyle w:val="52"/>
                              </w:pPr>
                              <w:r>
                                <w:rPr>
                                  <w:rFonts w:hint="eastAsia"/>
                                </w:rPr>
                                <w:t>物资设备保证</w:t>
                              </w:r>
                            </w:p>
                          </w:txbxContent>
                        </wps:txbx>
                        <wps:bodyPr rot="0" vert="horz" wrap="square" lIns="108000" tIns="0" rIns="0" bIns="0" anchor="ctr" anchorCtr="0" upright="1">
                          <a:noAutofit/>
                        </wps:bodyPr>
                      </wps:wsp>
                      <wps:wsp>
                        <wps:cNvPr id="28693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28693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28693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28693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28693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136C8F0">
                              <w:pPr>
                                <w:pStyle w:val="52"/>
                                <w:rPr>
                                  <w:rFonts w:hint="default" w:eastAsia="宋体"/>
                                  <w:lang w:val="en-US" w:eastAsia="zh-CN"/>
                                </w:rPr>
                              </w:pPr>
                              <w:r>
                                <w:rPr>
                                  <w:rFonts w:hint="eastAsia"/>
                                  <w:lang w:val="en-US" w:eastAsia="zh-CN"/>
                                </w:rPr>
                                <w:t>按照设计和施组内容进行落实</w:t>
                              </w:r>
                            </w:p>
                          </w:txbxContent>
                        </wps:txbx>
                        <wps:bodyPr rot="0" vert="horz" wrap="square" lIns="108000" tIns="0" rIns="0" bIns="0" anchor="ctr" anchorCtr="0" upright="1">
                          <a:noAutofit/>
                        </wps:bodyPr>
                      </wps:wsp>
                      <wps:wsp>
                        <wps:cNvPr id="28693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28693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D1F5B1C">
                              <w:pPr>
                                <w:pStyle w:val="52"/>
                              </w:pPr>
                              <w:r>
                                <w:rPr>
                                  <w:rFonts w:hint="eastAsia"/>
                                </w:rPr>
                                <w:t>监督、检查、改进</w:t>
                              </w:r>
                            </w:p>
                          </w:txbxContent>
                        </wps:txbx>
                        <wps:bodyPr rot="0" vert="horz" wrap="square" lIns="108000" tIns="0" rIns="0" bIns="0" anchor="ctr" anchorCtr="0" upright="1">
                          <a:noAutofit/>
                        </wps:bodyPr>
                      </wps:wsp>
                      <wps:wsp>
                        <wps:cNvPr id="286939"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286940"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286941"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286942"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28694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28694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28694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286946"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286947"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286948"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286949"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286950"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286951"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286952"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286953"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286954"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286955"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286956"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286957"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286958"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286959"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28696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286961"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286962"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286963"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7C4CBD63">
                              <w:pPr>
                                <w:pStyle w:val="52"/>
                                <w:rPr>
                                  <w:rFonts w:hint="eastAsia"/>
                                  <w:lang w:val="en-US" w:eastAsia="zh-CN"/>
                                </w:rPr>
                              </w:pPr>
                              <w:r>
                                <w:rPr>
                                  <w:rFonts w:hint="eastAsia"/>
                                  <w:lang w:val="en-US" w:eastAsia="zh-CN"/>
                                </w:rPr>
                                <w:t>绿色</w:t>
                              </w:r>
                            </w:p>
                            <w:p w14:paraId="746D668F">
                              <w:pPr>
                                <w:pStyle w:val="52"/>
                                <w:rPr>
                                  <w:rFonts w:hint="eastAsia"/>
                                </w:rPr>
                              </w:pPr>
                              <w:r>
                                <w:rPr>
                                  <w:rFonts w:hint="eastAsia"/>
                                </w:rPr>
                                <w:t>施工</w:t>
                              </w:r>
                            </w:p>
                            <w:p w14:paraId="7BD70BA3">
                              <w:pPr>
                                <w:pStyle w:val="52"/>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56.35pt;width:382.3pt;" coordsize="7901,5079" o:gfxdata="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CLPUbr1gAAAAUBAAAPAAAAAAAAAAEA&#10;IAAAACIAAABkcnMvZG93bnJldi54bWxQSwECFAAUAAAACACHTuJAGlo/oE4KAAD1iwAADgAAAAAA&#10;AAABACAAAAAlAQAAZHJzL2Uyb0RvYy54bWxQSwUGAAAAAAYABgBZAQAA5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mGbe5L0AAADc&#10;AAAADwAAAGRycy9kb3ducmV2LnhtbEWPT2sCMRTE74V+h/AKvRTNusiiq9GD0tKrdtfzY/PcLCYv&#10;yyb+aT+9EYQeh5n5DbNc35wVFxpC51nBZJyBIG687rhVUP18jmYgQkTWaD2Tgl8KsF69viyx1P7K&#10;O7rsYysShEOJCkyMfSllaAw5DGPfEyfv6AeHMcmhlXrAa4I7K/MsK6TDjtOCwZ42hprT/uwUnKe5&#10;PX3UU1vLvOr+vg52bra1Uu9vk2wBItIt/oef7W+toMg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t7k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653F702">
                        <w:pPr>
                          <w:pStyle w:val="52"/>
                          <w:rPr>
                            <w:rFonts w:hint="eastAsia"/>
                            <w:lang w:val="en-US" w:eastAsia="zh-CN"/>
                          </w:rPr>
                        </w:pPr>
                        <w:r>
                          <w:rPr>
                            <w:rFonts w:hint="eastAsia"/>
                            <w:lang w:val="en-US" w:eastAsia="zh-CN"/>
                          </w:rPr>
                          <w:t>绿色</w:t>
                        </w:r>
                      </w:p>
                      <w:p w14:paraId="2B3EC0DC">
                        <w:pPr>
                          <w:pStyle w:val="52"/>
                        </w:pPr>
                        <w:r>
                          <w:rPr>
                            <w:rFonts w:hint="eastAsia"/>
                          </w:rPr>
                          <w:t>施工</w:t>
                        </w:r>
                      </w:p>
                      <w:p w14:paraId="39EC98D8">
                        <w:pPr>
                          <w:pStyle w:val="52"/>
                        </w:pPr>
                        <w:r>
                          <w:rPr>
                            <w:rFonts w:hint="eastAsia"/>
                          </w:rPr>
                          <w:t>保证</w:t>
                        </w:r>
                      </w:p>
                      <w:p w14:paraId="2442F07C">
                        <w:pPr>
                          <w:pStyle w:val="52"/>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XrjY47wAAADc&#10;AAAADwAAAGRycy9kb3ducmV2LnhtbEWPQYvCMBSE78L+h/AWvGnaHlzpGkUF0ZtY97K3t82zKTYv&#10;JYnV/fcbYcHjMDPfMIvVw3ZiIB9axwryaQaCuHa65UbB13k3mYMIEVlj55gU/FKA1fJttMBSuzuf&#10;aKhiIxKEQ4kKTIx9KWWoDVkMU9cTJ+/ivMWYpG+k9nhPcNvJIstm0mLLacFgT1tD9bW6WQWV+T4N&#10;vP2Ru/Wm8Pvz9RJtflRq/J5nnyAiPeIr/N8+aAWz4g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2OO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LydMkbgAAADc&#10;AAAADwAAAGRycy9kb3ducmV2LnhtbEVPTYvCMBC9C/6HMMLeNG0PsnSNooLoTax72dvYjE2xmZQk&#10;Vv33m4Pg8fG+F6un7cRAPrSOFeSzDARx7XTLjYLf8276DSJEZI2dY1LwogCr5Xi0wFK7B59oqGIj&#10;UgiHEhWYGPtSylAbshhmridO3NV5izFB30jt8ZHCbSeLLJtLiy2nBoM9bQ3Vt+puFVTm7zTw9iJ3&#10;603h9+fbNdr8qNTXJM9+QER6xo/47T5oBfMirU1n0h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dMk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QGvpCrwAAADc&#10;AAAADwAAAGRycy9kb3ducmV2LnhtbEWPQYvCMBSE78L+h/AWvGnaHmTtGkUF0ZtY97K3t82zKTYv&#10;JYnV/fcbYcHjMDPfMIvVw3ZiIB9axwryaQaCuHa65UbB13k3+QARIrLGzjEp+KUAq+XbaIGldnc+&#10;0VDFRiQIhxIVmBj7UspQG7IYpq4nTt7FeYsxSd9I7fGe4LaTRZbNpMWW04LBnraG6mt1swoq830a&#10;ePsjd+tN4ffn6yXa/KjU+D3PPkFEesRX+L990ApmxRy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r6Q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Rp11rsAAADc&#10;AAAADwAAAGRycy9kb3ducmV2LnhtbEVPPW/CMBDdK/EfrKvEUoFDGiGaYhioiro2JZ1P8TWOsM9R&#10;bEjg19dDpY5P73u7n5wVVxpC51nBapmBIG687rhVcPp6X2xAhIis0XomBTcKsN/NHrZYaj/yJ12r&#10;2IoUwqFEBSbGvpQyNIYchqXviRP34weHMcGhlXrAMYU7K/MsW0uHHacGgz0dDDXn6uIUXIrcnp/q&#10;wtYyP3X347d9MW+1UvPHVfYKItIU/8V/7g+tYP2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11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2A6A99">
                        <w:pPr>
                          <w:pStyle w:val="52"/>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O8Rz0bwAAADc&#10;AAAADwAAAGRycy9kb3ducmV2LnhtbEWPQYvCMBSE7wv+h/AEb2taBZFqFBVEb4t1L3t7Ns+m2LyU&#10;JFb995uFBY/DzHzDLNdP24qefGgcK8jHGQjiyumGawXf5/3nHESIyBpbx6TgRQHWq8HHEgvtHnyi&#10;voy1SBAOBSowMXaFlKEyZDGMXUecvKvzFmOSvpba4yPBbSsnWTaTFhtOCwY72hmqbuXdKijNz6nn&#10;3UXuN9uJP5xv12jzL6VGwzxbgIj0jO/wf/uoFcymO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c9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YoROOr0AAADc&#10;AAAADwAAAGRycy9kb3ducmV2LnhtbEWPT2sCMRTE7wW/Q3iCl6JZtyK6Gj0oSq9V1/Nj89wsJi/L&#10;Jv7rp28KhR6HmfkNs1w/nRV36kLjWcF4lIEgrrxuuFZwOu6GMxAhImu0nknBiwKsV723JRbaP/iL&#10;7odYiwThUKACE2NbSBkqQw7DyLfEybv4zmFMsqul7vCR4M7KPMum0mHDacFgSxtD1fVwcwpuk9xe&#10;38uJLWV+ar73Zzs321KpQX+cLUBEesb/8F/7UyuYfuT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E4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0DF620B">
                        <w:pPr>
                          <w:pStyle w:val="52"/>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pFpIPbwAAADc&#10;AAAADwAAAGRycy9kb3ducmV2LnhtbEWPQYvCMBSE78L+h/CEvWlaBVmqUVQQvYnVy97eNs+m2LyU&#10;JFvdf28EYY/DzHzDLFYP24qefGgcK8jHGQjiyumGawWX8270BSJEZI2tY1LwRwFWy4/BAgvt7nyi&#10;voy1SBAOBSowMXaFlKEyZDGMXUecvKvzFmOSvpba4z3BbSsnWTaTFhtOCwY72hqqbuWvVVCa71PP&#10;2x+5W28mfn++XaPNj0p9DvNsDiLSI/6H3+2DVjCbTu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SD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fTRoarwAAADc&#10;AAAADwAAAGRycy9kb3ducmV2LnhtbEWPzYoCMRCE7wu+Q2jBy6KJuoqMRg+Kurd11AdoJj0/OOkM&#10;k4y6b79ZEDwWVfUVtdo8bS3u1PrKsYbxSIEgzpypuNBwveyHCxA+IBusHZOGX/KwWfc+VpgY9+CU&#10;7udQiAhhn6CGMoQmkdJnJVn0I9cQRy93rcUQZVtI0+Ijwm0tJ0rNpcWK40KJDW1Lym7nzmoIs8+8&#10;U8UOqyatvcu6/HQ4/mg96I/VEkSgZ3iHX+1vo2E+/YL/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aG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388B81E">
                        <w:pPr>
                          <w:pStyle w:val="52"/>
                        </w:pPr>
                        <w:r>
                          <w:rPr>
                            <w:rFonts w:hint="eastAsia"/>
                          </w:rPr>
                          <w:t>成立</w:t>
                        </w:r>
                        <w:r>
                          <w:rPr>
                            <w:rFonts w:hint="eastAsia"/>
                            <w:lang w:val="en-US" w:eastAsia="zh-CN"/>
                          </w:rPr>
                          <w:t>绿色施工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EnjN8b0AAADc&#10;AAAADwAAAGRycy9kb3ducmV2LnhtbEWPzW7CMBCE70i8g7VIXFCxoQqqUgwHUFtuJYEHWMWbHzVe&#10;R7ED6dvjSpU4jmbmG812P9pW3Kj3jWMNq6UCQVw403Cl4Xr5eHkD4QOywdYxafglD/vddLLF1Lg7&#10;Z3TLQyUihH2KGuoQulRKX9Rk0S9dRxy90vUWQ5R9JU2P9wi3rVwrtZEWG44LNXZ0qKn4yQerISSL&#10;clDVEZsua70rhvL8+fWt9Xy2Uu8gAo3hGf5vn4yGzWsCf2fi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M3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3mm,0mm,0mm,0mm">
                    <w:txbxContent>
                      <w:p w14:paraId="2F287673">
                        <w:pPr>
                          <w:pStyle w:val="52"/>
                        </w:pPr>
                        <w:r>
                          <w:rPr>
                            <w:rFonts w:hint="eastAsia"/>
                            <w:lang w:val="en-US" w:eastAsia="zh-CN"/>
                          </w:rPr>
                          <w:t>环保节能</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4qpThrwAAADc&#10;AAAADwAAAGRycy9kb3ducmV2LnhtbEWPzYoCMRCE74LvEHphL7ImujjIrNGDou5NR32AZtLzw046&#10;wySj7tsbQfBYVNVX1GJ1t424UudrxxomYwWCOHem5lLD5bz9moPwAdlg45g0/JOH1XI4WGBq3I0z&#10;up5CKSKEfYoaqhDaVEqfV2TRj11LHL3CdRZDlF0pTYe3CLeNnCqVSIs1x4UKW1pXlP+deqshzEZF&#10;r8oN1m3WeJf3xXG3P2j9+TFRPyAC3cM7/Gr/Gg3Jdw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qU4a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05954D5">
                        <w:pPr>
                          <w:pStyle w:val="52"/>
                          <w:spacing w:line="240" w:lineRule="auto"/>
                        </w:pPr>
                        <w:r>
                          <w:rPr>
                            <w:rFonts w:hint="eastAsia"/>
                          </w:rPr>
                          <w:t>制定目标责任制</w:t>
                        </w:r>
                      </w:p>
                      <w:p w14:paraId="41FB3821">
                        <w:pPr>
                          <w:pStyle w:val="52"/>
                        </w:pPr>
                      </w:p>
                    </w:txbxContent>
                  </v:textbox>
                </v:shape>
                <v:line id="Line 2515" o:spid="_x0000_s1026" o:spt="20" style="position:absolute;left:2707;top:158;height:447;width:0;" filled="f" stroked="t" coordsize="21600,21600" o:gfxdata="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Tj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qv7aTLkAAADc&#10;AAAADwAAAGRycy9kb3ducmV2LnhtbEVPTYvCMBC9C/sfwgjebFoFWbpGWQXRm1i9eBubsSk2k5Jk&#10;q/vvNwdhj4/3vVy/bCcG8qF1rKDIchDEtdMtNwou5930E0SIyBo7x6TglwKsVx+jJZbaPflEQxUb&#10;kUI4lKjAxNiXUobakMWQuZ44cXfnLcYEfSO1x2cKt52c5flCWmw5NRjsaWuoflQ/VkFlrqeBtze5&#10;+97M/P78uEdbHJWajIv8C0SkV/wXv90HrWAxT2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2ky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xbJ/17wAAADc&#10;AAAADwAAAGRycy9kb3ducmV2LnhtbEWPQWsCMRSE74L/IbyCN82uguhqlCpIeyuuXrw9N8/N4uZl&#10;SdLV/vumUPA4zMw3zHr7tK3oyYfGsYJ8koEgrpxuuFZwPh3GCxAhImtsHZOCHwqw3QwHayy0e/CR&#10;+jLWIkE4FKjAxNgVUobKkMUwcR1x8m7OW4xJ+lpqj48Et62cZtlcWmw4LRjsaG+oupffVkFpLsee&#10;91d5eN9N/cfpfos2/1Jq9JZnKxCRnvEV/m9/agXz2R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f9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DI6lN7kAAADc&#10;AAAADwAAAGRycy9kb3ducmV2LnhtbEVPTYvCMBC9C/sfwgjebFoRWbpGWQXRm1i9eBubsSk2k5Jk&#10;q/vvNwdhj4/3vVy/bCcG8qF1rKDIchDEtdMtNwou5930E0SIyBo7x6TglwKsVx+jJZbaPflEQxUb&#10;kUI4lKjAxNiXUobakMWQuZ44cXfnLcYEfSO1x2cKt52c5flCWmw5NRjsaWuoflQ/VkFlrqeBtze5&#10;+97M/P78uEdbHJWajIv8C0SkV/wXv90HrWAxT/P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pT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ylCjML0AAADc&#10;AAAADwAAAGRycy9kb3ducmV2LnhtbEWPS2vDMBCE74X+B7GFXEoi25jQuFFySGjJNQ/3vFhby0Ra&#10;GUt5/vqoUMhxmJlvmPny6qw40xA6zwrySQaCuPG641bBYf81/gARIrJG65kU3CjAcvH6MsdK+wtv&#10;6byLrUgQDhUqMDH2lZShMeQwTHxPnLxfPziMSQ6t1ANeEtxZWWTZVDrsOC0Y7GllqDnuTk7BqSzs&#10;8b0ubS2LQ3f//rEzs66VGr3l2SeISNf4DP+3N1rBtMz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KMw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E9033C">
                        <w:pPr>
                          <w:pStyle w:val="52"/>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i1u+R7wAAADc&#10;AAAADwAAAGRycy9kb3ducmV2LnhtbEWPQYvCMBSE7wv+h/AEb2vaHtylGkUF2b0tVi/ens2zKTYv&#10;JYlV/71ZWNjjMDPfMIvVw3ZiIB9axwryaQaCuHa65UbB8bB7/wQRIrLGzjEpeFKA1XL0tsBSuzvv&#10;aahiIxKEQ4kKTIx9KWWoDVkMU9cTJ+/ivMWYpG+k9nhPcNvJIstm0mLLacFgT1tD9bW6WQWVOe0H&#10;3p7lbr0p/Nfheok2/1FqMs6zOYhIj/gf/mt/awVF/gG/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vk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nlXZALwAAADc&#10;AAAADwAAAGRycy9kb3ducmV2LnhtbEWPy4oCMRRE98L8Q7gDbmRMFGyH1uhC8bFzfHzApXP7gZ2b&#10;ppP28fdGEGZZVNUpar582FrcqPWVYw2joQJBnDlTcaHhct78/ILwAdlg7Zg0PMnDcvHVm2Nq3J2P&#10;dDuFQkQI+xQ1lCE0qZQ+K8miH7qGOHq5ay2GKNtCmhbvEW5rOVYqkRYrjgslNrQqKbueOqshTAZ5&#10;p4o1Vs2x9i7r8r/t7qB1/3ukZiACPcJ/+NPeGw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2QC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0C5CED0">
                        <w:pPr>
                          <w:pStyle w:val="52"/>
                          <w:rPr>
                            <w:rFonts w:hint="eastAsia" w:eastAsia="宋体"/>
                            <w:lang w:eastAsia="zh-CN"/>
                          </w:rPr>
                        </w:pPr>
                        <w:r>
                          <w:rPr>
                            <w:rFonts w:hint="eastAsia"/>
                          </w:rPr>
                          <w:t>制定实施</w:t>
                        </w:r>
                        <w:r>
                          <w:rPr>
                            <w:rFonts w:hint="eastAsia"/>
                            <w:lang w:val="en-US" w:eastAsia="zh-CN"/>
                          </w:rPr>
                          <w:t>性绿色施工措施</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78pNcrgAAADc&#10;AAAADwAAAGRycy9kb3ducmV2LnhtbEVPy4rCMBTdC/5DuIIb0UTBItXoQlFn51j9gEtz+8DmpjSp&#10;j783i4FZHs57s3vbRjyp87VjDfOZAkGcO1NzqeF+O05XIHxANtg4Jg0f8rDbDgcbTI178ZWeWShF&#10;DGGfooYqhDaV0ucVWfQz1xJHrnCdxRBhV0rT4SuG20YulEqkxZpjQ4Ut7SvKH1lvNYTlpOhVecC6&#10;vTbe5X3xezpftB6P5moNItA7/Iv/3D9GQ5LEtfFMP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pNc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3mm,0mm,0mm,0mm">
                    <w:txbxContent>
                      <w:p w14:paraId="728CD31B">
                        <w:pPr>
                          <w:pStyle w:val="52"/>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1gFQyr0AAADc&#10;AAAADwAAAGRycy9kb3ducmV2LnhtbEWPQWvCQBSE74X+h+UVvDWbeAg2dZVWEL0Voxdvr9lnNph9&#10;G3bXqP/eLQg9DjPzDTNf3mwvRvKhc6ygyHIQxI3THbcKDvv1+wxEiMgae8ek4E4BlovXlzlW2l15&#10;R2MdW5EgHCpUYGIcKilDY8hiyNxAnLyT8xZjkr6V2uM1wW0vp3leSosdpwWDA60MNef6YhXU5rgb&#10;efUr11/fU7/Zn0/RFj9KTd6K/BNEpFv8Dz/bW62gLD/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VDK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wuJvirkAAADc&#10;AAAADwAAAGRycy9kb3ducmV2LnhtbEVPPW/CMBDdkfofrENiI04YoEoxqCAh2CoCC9sRH3FEfI5s&#10;N8C/rwekjk/ve7l+2k4M5EPrWEGR5SCIa6dbbhScT7vpJ4gQkTV2jknBiwKsVx+jJZbaPfhIQxUb&#10;kUI4lKjAxNiXUobakMWQuZ44cTfnLcYEfSO1x0cKt52c5flcWmw5NRjsaWuovle/VkFlLseBt1e5&#10;+97M/P50v0Vb/Cg1GRf5F4hIz/gvfrsPWsF8kea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ib4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ra7KEbwAAADc&#10;AAAADwAAAGRycy9kb3ducmV2LnhtbEWPQYvCMBSE74L/ITxhb5rWgy5do6gg7k2sXry9bZ5NsXkp&#10;Sazuv98Iwh6HmfmGWayethU9+dA4VpBPMhDEldMN1wrOp934E0SIyBpbx6TglwKslsPBAgvtHnyk&#10;voy1SBAOBSowMXaFlKEyZDFMXEecvKvzFmOSvpba4yPBbSunWTaTFhtOCwY72hqqbuXdKijN5djz&#10;9kfu1pup359u12jzg1Ifozz7AhHpGf/D7/a3VjCb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yh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9O73+r0AAADc&#10;AAAADwAAAGRycy9kb3ducmV2LnhtbEWPzWsCMRTE74L/Q3iFXkSzLuLH1ujBUvFadT0/Ns/NYvKy&#10;bOJH/etNodDjMDO/YZbrh7PiRl1oPCsYjzIQxJXXDdcKjoev4RxEiMgarWdS8EMB1qt+b4mF9nf+&#10;pts+1iJBOBSowMTYFlKGypDDMPItcfLOvnMYk+xqqTu8J7izMs+yqXTYcFow2NLGUHXZX52C6yS3&#10;l0E5saXMj81ze7IL81kq9f42zj5ARHrE//Bfe6cVTGc5/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vf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A69FC5">
                        <w:pPr>
                          <w:pStyle w:val="52"/>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ZLdJ3rwAAADc&#10;AAAADwAAAGRycy9kb3ducmV2LnhtbEWPzYoCMRCE7wu+Q2jBy6KJy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Sd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192F0B52">
                        <w:pPr>
                          <w:pStyle w:val="52"/>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617RqrwAAADc&#10;AAAADwAAAGRycy9kb3ducmV2LnhtbEWPzYoCMRCE7wu+Q2jBy6KJ4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0a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FC5EA5F">
                        <w:pPr>
                          <w:pStyle w:val="52"/>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QcRBL0AAADc&#10;AAAADwAAAGRycy9kb3ducmV2LnhtbEWPQWsCMRSE7wX/Q3gFbzW7HqyuRqmC2Ftx9eLtuXluFjcv&#10;SxJX/fdNoeBxmJlvmMXqYVvRkw+NYwX5KANBXDndcK3geNh+TEGEiKyxdUwKnhRgtRy8LbDQ7s57&#10;6stYiwThUKACE2NXSBkqQxbDyHXEybs4bzEm6WupPd4T3LZynGUTabHhtGCwo42h6lrerILSnPY9&#10;b85y+7Ue+93heok2/1Fq+J5ncxCRHvEV/m9/awWT2Sf8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xEE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c5sohr0AAADc&#10;AAAADwAAAGRycy9kb3ducmV2LnhtbEWPQWsCMRSE7wX/Q3gFbzXZPdiyNUorSHsrrl68PTfPzeLm&#10;ZUniqv/eFAo9DjPzDbNY3VwvRgqx86yhmCkQxI03Hbca9rvNyxuImJAN9p5Jw50irJaTpwVWxl95&#10;S2OdWpEhHCvUYFMaKiljY8lhnPmBOHsnHxymLEMrTcBrhrtelkrNpcOO84LFgdaWmnN9cRpqe9iO&#10;vD7KzcdnGb5251NyxY/W0+dCvYNIdEv/4b/2t9Hwqkr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yiG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HNeNHb0AAADc&#10;AAAADwAAAGRycy9kb3ducmV2LnhtbEWPQWsCMRSE7wX/Q3hCbzVZC1pWo1hB2pu49tLb6+a5Wdy8&#10;LEm62n/fCILHYWa+YZbrq+vEQCG2njUUEwWCuPam5UbD13H38gYiJmSDnWfS8EcR1qvR0xJL4y98&#10;oKFKjcgQjiVqsCn1pZSxtuQwTnxPnL2TDw5TlqGRJuAlw10np0rNpMOW84LFnraW6nP16zRU9vsw&#10;8PZH7jbv0/BxPJ+SK/ZaP48LtQCR6Joe4Xv702iYq1e4nc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40d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EsEIfcAAAADf&#10;AAAADwAAAGRycy9kb3ducmV2LnhtbEWPzWsCMRTE70L/h/AKXqRmDWJ1a/TQ0uLVj+35sXndLCYv&#10;yyZ+9a83QqHHYWZ+wyzXV+/EmfrYBtYwGRcgiOtgWm40HPafL3MQMSEbdIFJw40irFdPgyWWJlx4&#10;S+ddakSGcCxRg02pK6WMtSWPcRw64uz9hN5jyrJvpOnxkuHeSVUUM+mx5bxgsaN3S/Vxd/IaTlPl&#10;jqNq6iqpDu3v17db2I9K6+HzpHgDkeia/sN/7Y3RoOazhXqFx5/8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Qh9&#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2B0B6B3">
                        <w:pPr>
                          <w:pStyle w:val="52"/>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2iKd1bwAAADf&#10;AAAADwAAAGRycy9kb3ducmV2LnhtbEVPPW/CMBDdkfofrKvEBk4yIJpiECAh2BCBhe0aH3FEfI5s&#10;E+i/rwekjk/ve7F62U4M5EPrWEE+zUAQ10633Ci4nHeTOYgQkTV2jknBLwVYLT9GCyy1e/KJhio2&#10;IoVwKFGBibEvpQy1IYth6nrixN2ctxgT9I3UHp8p3HayyLKZtNhyajDY09ZQfa8eVkFlrqeBtz9y&#10;t94Ufn++36LNj0qNP/PsG0SkV/wXv90HraCYz76KNDj9SV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ndW8AAAA&#10;3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pglxl8AAAADf&#10;AAAADwAAAGRycy9kb3ducmV2LnhtbEWPzWrDMBCE74W8g9hALiWRbGhwnCg+pDTprY3bB1is9Q+x&#10;VsaS8/P2VaHQ4zAz3zC74m57caXRd441JCsFgrhypuNGw/fX2zID4QOywd4xaXiQh2I/e9phbtyN&#10;z3QtQyMihH2OGtoQhlxKX7Vk0a/cQBy92o0WQ5RjI82Itwi3vUyVWkuLHceFFgc6tFRdyslqCC/P&#10;9aSaV+yGc+9dNdWfx9OH1ot5orYgAt3Df/iv/W40pNl6k27g90/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XGX&#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498948D0">
                        <w:pPr>
                          <w:pStyle w:val="52"/>
                        </w:pPr>
                        <w:r>
                          <w:rPr>
                            <w:rFonts w:hint="eastAsia"/>
                            <w:lang w:val="en-US" w:eastAsia="zh-CN"/>
                          </w:rPr>
                          <w:t>绿色</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supO174AAADf&#10;AAAADwAAAGRycy9kb3ducmV2LnhtbEWPyW7CMBCG70h9B2sqcUHEhgpE0xgOIJYbWx9gFE8WNR5H&#10;scPy9vhQieOvf9OXrR62ETfqfO1YwyRRIIhzZ2ouNfxet+MFCB+QDTaOScOTPKyWH4MMU+PufKbb&#10;JZQijrBPUUMVQptK6fOKLPrEtcTRK1xnMUTZldJ0eI/jtpFTpebSYs3xocKW1hXlf5feagizUdGr&#10;coN1e268y/vitNsftR5+TtQPiECP8A7/tw9Gw3Qx//6KBJEns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O174A&#10;AADf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3mm,0mm,0mm,0mm">
                    <w:txbxContent>
                      <w:p w14:paraId="26605DA4">
                        <w:pPr>
                          <w:pStyle w:val="52"/>
                        </w:pPr>
                        <w:r>
                          <w:rPr>
                            <w:rFonts w:hint="eastAsia"/>
                          </w:rPr>
                          <w:t>落实岗位责任制</w:t>
                        </w:r>
                      </w:p>
                    </w:txbxContent>
                  </v:textbox>
                </v:shape>
                <v:shape id="Text Box 2536" o:spid="_x0000_s1026" o:spt="202" type="#_x0000_t202" style="position:absolute;left:3045;top:4353;height:302;width:3040;v-text-anchor:middle;" fillcolor="#C5E0B4 [1305]" filled="t" stroked="t" coordsize="21600,21600" o:gfxdata="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60y/&#10;AAAA3w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3mm,0mm,0mm,0mm">
                    <w:txbxContent>
                      <w:p w14:paraId="59662101">
                        <w:pPr>
                          <w:pStyle w:val="52"/>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PhM84r8AAADf&#10;AAAADwAAAGRycy9kb3ducmV2LnhtbEWPQWsCMRSE7wX/Q3iCt5rdLYi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PO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V+Zeb8AAADf&#10;AAAADwAAAGRycy9kb3ducmV2LnhtbEWPQWsCMRSE70L/Q3iF3jS7K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mXm/&#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3rYBDc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EN&#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sfqkls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SW&#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Uk9zOMAAAADf&#10;AAAADwAAAGRycy9kb3ducmV2LnhtbEWPzW7CMBCE75V4B2uRuFRgh6oRBEwOVKW9tVAeYBVvfkS8&#10;jmKHpG9fV6rU42hmvtHs88m24k69bxxrSFYKBHHhTMOVhuvX63IDwgdkg61j0vBNHvLD7GGPmXEj&#10;n+l+CZWIEPYZaqhD6DIpfVGTRb9yHXH0StdbDFH2lTQ9jhFuW7lWKpUWG44LNXZ0rKm4XQarITw/&#10;loOqXrDpzq13xVB+nt4+tF7ME7UDEWgK/+G/9rvRsN6k26cUfv/ELyA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3M4&#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0136C8F0">
                        <w:pPr>
                          <w:pStyle w:val="52"/>
                          <w:rPr>
                            <w:rFonts w:hint="default" w:eastAsia="宋体"/>
                            <w:lang w:val="en-US" w:eastAsia="zh-CN"/>
                          </w:rPr>
                        </w:pPr>
                        <w:r>
                          <w:rPr>
                            <w:rFonts w:hint="eastAsia"/>
                            <w:lang w:val="en-US" w:eastAsia="zh-CN"/>
                          </w:rPr>
                          <w:t>按照设计和施组内容进行落实</w:t>
                        </w:r>
                      </w:p>
                    </w:txbxContent>
                  </v:textbox>
                </v:shape>
                <v:line id="Line 2542" o:spid="_x0000_s1026" o:spt="20" style="position:absolute;left:2707;top:2426;height:0;width:338;" filled="f" stroked="t" coordsize="21600,21600" o:gfxdata="UEsDBAoAAAAAAIdO4kAAAAAAAAAAAAAAAAAEAAAAZHJzL1BLAwQUAAAACACHTuJALmSfesAAAADf&#10;AAAADwAAAGRycy9kb3ducmV2LnhtbEWPQWsCMRSE70L/Q3iF3jS7W1C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J96&#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TJxC0bwAAADf&#10;AAAADwAAAGRycy9kb3ducmV2LnhtbEVPyW7CMBC9I/UfrKnEBREbKhBNYziAWG5s/YBRPFnUeBzF&#10;Dsvf40Mljk9vz1YP24gbdb52rGGSKBDEuTM1lxp+r9vxAoQPyAYbx6ThSR5Wy49Bhqlxdz7T7RJK&#10;EUPYp6ihCqFNpfR5RRZ94lriyBWusxgi7EppOrzHcNvIqVJzabHm2FBhS+uK8r9LbzWE2ajoVbnB&#10;uj033uV9cdrtj1oPPyfqB0SgR3iL/90Ho2G6mH9/xcHxT/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QtG8AAAA&#10;3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D1F5B1C">
                        <w:pPr>
                          <w:pStyle w:val="52"/>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MLeuk78AAADf&#10;AAAADwAAAGRycy9kb3ducmV2LnhtbEWPQWsCMRSE74L/ITyhN83uF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rp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Yt0c78AAADf&#10;AAAADwAAAGRycy9kb3ducmV2LnhtbEWPvWrDMBSF90LfQdxCt0a2K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dH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evDTXMAAAADf&#10;AAAADwAAAGRycy9kb3ducmV2LnhtbEWPzYvCMBTE74L/Q3iCN00ru0W7Rg+Csnja9YO9PprXpti8&#10;lCZ+/vVmQfA4zMxvmPnyZhtxoc7XjhWk4wQEceF0zZWCw349moLwAVlj45gU3MnDctHvzTHX7sq/&#10;dNmFSkQI+xwVmBDaXEpfGLLox64ljl7pOoshyq6SusNrhNtGTpIkkxZrjgsGW1oZKk67s1Xwg4/H&#10;Z3k+NGbztz3OSnnkU7ZWajhIky8QgW7hHX61v7WCyTSbfaTw/yd+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NN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iJNK8AAAADf&#10;AAAADwAAAGRycy9kb3ducmV2LnhtbEWPzYvCMBTE74L/Q3iCN00tu0Wr0cOCy+Jp1w+8PprXpti8&#10;lCZ+/vVmQfA4zMxvmMXqZhtxoc7XjhVMxgkI4sLpmisF+916NAXhA7LGxjEpuJOH1bLfW2Cu3ZX/&#10;6LINlYgQ9jkqMCG0uZS+MGTRj11LHL3SdRZDlF0ldYfXCLeNTJMkkxZrjgsGW/oyVJy2Z6vgFx+P&#10;z/K8b8z3cXOYlfLAp2yt1HAwSeYgAt3CO/xq/2gF6TSbfaTw/yd+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0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CVnqBM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eoE&#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hrBycL8AAADf&#10;AAAADwAAAGRycy9kb3ducmV2LnhtbEWPQWsCMRSE70L/Q3iF3jS7i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cnC/&#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6fzX68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GS5JnMAAAADf&#10;AAAADwAAAGRycy9kb3ducmV2LnhtbEWPwWrDMBBE74H+g9hCb4lsU0z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km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dmLsB8AAAADf&#10;AAAADwAAAGRycy9kb3ducmV2LnhtbEWPQWsCMRSE70L/Q3iF3jS7S1G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uwH&#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14db0AAADf&#10;AAAADwAAAGRycy9kb3ducmV2LnhtbEVPPWvDMBDdC/0P4grdGtmmhN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h1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aLHd7r8AAADf&#10;AAAADwAAAGRycy9kb3ducmV2LnhtbEWPQWsCMRSE74L/ITyhN83uU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x3e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fFLirr8AAADf&#10;AAAADwAAAGRycy9kb3ducmV2LnhtbEWPvWrDMBSF90LfQdxCt0a2o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4q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Ex5HNb8AAADf&#10;AAAADwAAAGRycy9kb3ducmV2LnhtbEWPQWsCMRSE70L/Q3iF3jS7C4pdjWIFsTdx7aW3181zs7h5&#10;WZJ0tf++EQSPw8x8wyzXN9uJgXxoHSvIJxkI4trplhsFX6fdeA4iRGSNnWNS8EcB1quX0RJL7a58&#10;pKGKjUgQDiUqMDH2pZShNmQxTFxPnLyz8xZjkr6R2uM1wW0niyybSYstpwWDPW0N1Zfq1yqozPdx&#10;4O2P3G0+Cr8/Xc7R5gel3l7zbAEi0i0+w4/2p1ZQzGfv0xzuf9IX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RzW/&#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48zZQr8AAADf&#10;AAAADwAAAGRycy9kb3ducmV2LnhtbEWPQWsCMRSE7wX/Q3iCt5rdhYq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2U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jIB82c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HzZ&#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A2nkrc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eSt&#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bCVBNr8AAADf&#10;AAAADwAAAGRycy9kb3ducmV2LnhtbEWPQWsCMRSE70L/Q3iF3jS7C4r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QTa/&#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nPffQcAAAADf&#10;AAAADwAAAGRycy9kb3ducmV2LnhtbEWPwWrDMBBE74H+g9hCb4lsQ03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99B&#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87t62sAAAADf&#10;AAAADwAAAGRycy9kb3ducmV2LnhtbEWPQWsCMRSE70L/Q3iF3jS7C1W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3ra&#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giTuqL0AAADf&#10;AAAADwAAAGRycy9kb3ducmV2LnhtbEVPPWvDMBDdC/0P4grdGtmGht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O6o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7WhLM78AAADf&#10;AAAADwAAAGRycy9kb3ducmV2LnhtbEWPQWsCMRSE74L/ITyhN83uQkV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Sz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sj4oE74AAADf&#10;AAAADwAAAGRycy9kb3ducmV2LnhtbEWPvW7CMBSFd6S+g3UrdSNOMkQ0YBAgoXZDhC7dLvEljoiv&#10;I9sN9O3rAanj0fnTt9o87CAm8qF3rKDIchDErdM9dwq+zof5AkSIyBoHx6TglwJs1i+zFdba3flE&#10;UxM7kUY41KjAxDjWUobWkMWQuZE4eVfnLcYkfSe1x3sat4Ms87ySFntODwZH2htqb82PVdCY79PE&#10;+4s8bHel/zjfrtEWR6XeXot8CSLSI/6Hn+1PraBcVO9VIkg8iQ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4oE74A&#10;AADfAAAADwAAAAAAAAABACAAAAAiAAAAZHJzL2Rvd25yZXYueG1sUEsBAhQAFAAAAAgAh07iQDMv&#10;BZ47AAAAOQAAABAAAAAAAAAAAQAgAAAADQEAAGRycy9zaGFwZXhtbC54bWxQSwUGAAAAAAYABgBb&#10;AQAAtwM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3XKNiL8AAADf&#10;AAAADwAAAGRycy9kb3ducmV2LnhtbEWPQWvCQBSE70L/w/KE3nSTHIKNrqKCtLdi9NLba/aZDWbf&#10;ht1ttP++Kwg9DjPzDbPa3G0vRvKhc6wgn2cgiBunO24VnE+H2QJEiMgae8ek4JcCbNYvkxVW2t34&#10;SGMdW5EgHCpUYGIcKilDY8himLuBOHkX5y3GJH0rtcdbgtteFllWSosdpwWDA+0NNdf6xyqozddx&#10;5P23PGx3hX8/XS/R5p9KvU7zbAki0j3+h5/tD62gWJRvZQ6PP+kL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yjYi/&#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LaAT/78AAADf&#10;AAAADwAAAGRycy9kb3ducmV2LnhtbEWPQWvCQBSE70L/w/IKvekmOQRNXaUVRG/F6KW31+wzG8y+&#10;DbvbaP99VxA8DjPzDbNc32wvRvKhc6wgn2UgiBunO24VnI7b6RxEiMgae8ek4I8CrFcvkyVW2l35&#10;QGMdW5EgHCpUYGIcKilDY8himLmBOHln5y3GJH0rtcdrgtteFllWSosdpwWDA20MNZf61yqozfdh&#10;5M2P3H58Fn53vJyjzb+UenvNs3cQkW7xGX6091pBMS8XZQH3P+kL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E/+/&#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5C3vsAAAADf&#10;AAAADwAAAGRycy9kb3ducmV2LnhtbEWPS2/CMBCE70j9D9ZW6gUVhxRFEDAcQEW98kjPq3iJI+x1&#10;FJtXf32NVKnH0cx8o1ms7s6KK/Wh9axgPMpAENdet9woOB4+36cgQkTWaD2TggcFWC1fBgsstb/x&#10;jq772IgE4VCiAhNjV0oZakMOw8h3xMk7+d5hTLJvpO7xluDOyjzLCumw5bRgsKO1ofq8vzgFl0lu&#10;z8NqYiuZH9uf7bedmU2l1NvrOJuDiHSP/+G/9pdWkE+LWfEBzz/p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Le+&#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C4CBD63">
                        <w:pPr>
                          <w:pStyle w:val="52"/>
                          <w:rPr>
                            <w:rFonts w:hint="eastAsia"/>
                            <w:lang w:val="en-US" w:eastAsia="zh-CN"/>
                          </w:rPr>
                        </w:pPr>
                        <w:r>
                          <w:rPr>
                            <w:rFonts w:hint="eastAsia"/>
                            <w:lang w:val="en-US" w:eastAsia="zh-CN"/>
                          </w:rPr>
                          <w:t>绿色</w:t>
                        </w:r>
                      </w:p>
                      <w:p w14:paraId="746D668F">
                        <w:pPr>
                          <w:pStyle w:val="52"/>
                          <w:rPr>
                            <w:rFonts w:hint="eastAsia"/>
                          </w:rPr>
                        </w:pPr>
                        <w:r>
                          <w:rPr>
                            <w:rFonts w:hint="eastAsia"/>
                          </w:rPr>
                          <w:t>施工</w:t>
                        </w:r>
                      </w:p>
                      <w:p w14:paraId="7BD70BA3">
                        <w:pPr>
                          <w:pStyle w:val="52"/>
                        </w:pPr>
                        <w:r>
                          <w:rPr>
                            <w:rFonts w:hint="eastAsia"/>
                          </w:rPr>
                          <w:t>达标</w:t>
                        </w:r>
                      </w:p>
                    </w:txbxContent>
                  </v:textbox>
                </v:shape>
                <w10:wrap type="none"/>
                <w10:anchorlock/>
              </v:group>
            </w:pict>
          </mc:Fallback>
        </mc:AlternateContent>
      </w:r>
    </w:p>
    <w:p w14:paraId="60CD81EA">
      <w:pPr>
        <w:pStyle w:val="38"/>
        <w:bidi w:val="0"/>
        <w:rPr>
          <w:rFonts w:hint="eastAsia"/>
          <w:highlight w:val="none"/>
        </w:rPr>
      </w:pPr>
      <w:r>
        <w:rPr>
          <w:rFonts w:hint="eastAsia"/>
          <w:highlight w:val="none"/>
          <w:lang w:val="en-US" w:eastAsia="zh-CN"/>
        </w:rPr>
        <w:t>图10</w:t>
      </w:r>
      <w:r>
        <w:rPr>
          <w:highlight w:val="none"/>
        </w:rPr>
        <w:t>.1.</w:t>
      </w:r>
      <w:r>
        <w:rPr>
          <w:rFonts w:hint="eastAsia"/>
          <w:highlight w:val="none"/>
          <w:lang w:val="en-US" w:eastAsia="zh-CN"/>
        </w:rPr>
        <w:t>2-1 绿色施工</w:t>
      </w:r>
      <w:r>
        <w:rPr>
          <w:rFonts w:hint="eastAsia"/>
          <w:highlight w:val="none"/>
        </w:rPr>
        <w:t>保证体系图</w:t>
      </w:r>
    </w:p>
    <w:p w14:paraId="3B646797">
      <w:pPr>
        <w:bidi w:val="0"/>
        <w:ind w:firstLine="480" w:firstLineChars="200"/>
        <w:rPr>
          <w:rFonts w:hint="eastAsia"/>
          <w:highlight w:val="none"/>
          <w:lang w:val="en-US" w:eastAsia="zh-CN"/>
        </w:rPr>
      </w:pPr>
      <w:r>
        <w:rPr>
          <w:rFonts w:hint="eastAsia"/>
          <w:highlight w:val="none"/>
          <w:lang w:val="en-US" w:eastAsia="zh-CN"/>
        </w:rPr>
        <w:t>（2）</w:t>
      </w:r>
      <w:r>
        <w:rPr>
          <w:highlight w:val="none"/>
        </w:rPr>
        <w:t>临时设施环境保护</w:t>
      </w:r>
      <w:r>
        <w:rPr>
          <w:rFonts w:hint="eastAsia"/>
          <w:highlight w:val="none"/>
          <w:lang w:val="en-US" w:eastAsia="zh-CN"/>
        </w:rPr>
        <w:t>措施</w:t>
      </w:r>
    </w:p>
    <w:p w14:paraId="7EF81F60">
      <w:pPr>
        <w:bidi w:val="0"/>
        <w:ind w:firstLine="480" w:firstLineChars="200"/>
        <w:rPr>
          <w:highlight w:val="none"/>
        </w:rPr>
      </w:pPr>
      <w:r>
        <w:rPr>
          <w:highlight w:val="none"/>
        </w:rPr>
        <w:t>便道、砼搅拌站、</w:t>
      </w:r>
      <w:r>
        <w:rPr>
          <w:rFonts w:hint="eastAsia"/>
          <w:highlight w:val="none"/>
          <w:lang w:val="en-US" w:eastAsia="zh-CN"/>
        </w:rPr>
        <w:t>钢筋加工场</w:t>
      </w:r>
      <w:r>
        <w:rPr>
          <w:highlight w:val="none"/>
        </w:rPr>
        <w:t>及施工营地的设置，要合理、紧凑，严禁随意搭建，尽量减少对植被的损坏，不占用乡村道路、阻碍交通。搅拌站等高</w:t>
      </w:r>
      <w:r>
        <w:rPr>
          <w:rFonts w:hint="eastAsia"/>
          <w:highlight w:val="none"/>
          <w:lang w:eastAsia="zh-CN"/>
        </w:rPr>
        <w:t>噪声</w:t>
      </w:r>
      <w:r>
        <w:rPr>
          <w:highlight w:val="none"/>
        </w:rPr>
        <w:t>生产设施 尽可能远离居民区或采取限时作业措施。施工场地周围预先开挖排水沟，做到排 水畅通，场内不得积水、积污，应充分考虑其对原地面排水的影响，以免阻挡地 表径流的排泄，影响当地居民的生产生活。</w:t>
      </w:r>
    </w:p>
    <w:p w14:paraId="0E06D3A8">
      <w:pPr>
        <w:bidi w:val="0"/>
        <w:ind w:firstLine="480" w:firstLineChars="200"/>
        <w:rPr>
          <w:rFonts w:hint="eastAsia"/>
          <w:highlight w:val="none"/>
          <w:lang w:val="en-US" w:eastAsia="zh-CN"/>
        </w:rPr>
      </w:pPr>
      <w:r>
        <w:rPr>
          <w:rFonts w:hint="eastAsia"/>
          <w:highlight w:val="none"/>
          <w:lang w:val="en-US" w:eastAsia="zh-CN"/>
        </w:rPr>
        <w:t>（3）</w:t>
      </w:r>
      <w:r>
        <w:rPr>
          <w:highlight w:val="none"/>
        </w:rPr>
        <w:t>施工中的环保措施</w:t>
      </w:r>
    </w:p>
    <w:p w14:paraId="38AC6365">
      <w:pPr>
        <w:bidi w:val="0"/>
        <w:ind w:firstLine="480" w:firstLineChars="200"/>
        <w:rPr>
          <w:highlight w:val="none"/>
        </w:rPr>
      </w:pPr>
      <w:r>
        <w:rPr>
          <w:highlight w:val="none"/>
        </w:rPr>
        <w:t>做好当地水系、植被的保护工作，在施工时对路基边坡及时进行防护与植被 绿化，施工车辆不得越界行驶，以免碾坏植被、庄稼、乡村道路等。</w:t>
      </w:r>
    </w:p>
    <w:p w14:paraId="5BD22C41">
      <w:pPr>
        <w:bidi w:val="0"/>
        <w:rPr>
          <w:rFonts w:hint="eastAsia"/>
          <w:highlight w:val="none"/>
          <w:lang w:val="en-US" w:eastAsia="zh-CN"/>
        </w:rPr>
      </w:pPr>
      <w:r>
        <w:rPr>
          <w:highlight w:val="none"/>
        </w:rPr>
        <w:t>场地</w:t>
      </w:r>
      <w:r>
        <w:rPr>
          <w:rFonts w:hint="eastAsia"/>
          <w:highlight w:val="none"/>
          <w:lang w:eastAsia="zh-CN"/>
        </w:rPr>
        <w:t>及时</w:t>
      </w:r>
      <w:r>
        <w:rPr>
          <w:highlight w:val="none"/>
        </w:rPr>
        <w:t>进行清扫，以防粉尘被风吹扬。凡对环境有污染的废物,如挖方弃 土、建筑垃圾、生产垃圾、废弃材料等，</w:t>
      </w:r>
      <w:r>
        <w:rPr>
          <w:rFonts w:hint="eastAsia"/>
          <w:highlight w:val="none"/>
          <w:lang w:eastAsia="zh-CN"/>
        </w:rPr>
        <w:t>并</w:t>
      </w:r>
      <w:r>
        <w:rPr>
          <w:highlight w:val="none"/>
        </w:rPr>
        <w:t>在指定地点处理。在桥涵施工时各种 材料、机械不得随意堆放，破坏植被。</w:t>
      </w:r>
    </w:p>
    <w:p w14:paraId="64670EBE">
      <w:pPr>
        <w:bidi w:val="0"/>
        <w:ind w:firstLine="480" w:firstLineChars="200"/>
        <w:rPr>
          <w:rFonts w:hint="eastAsia"/>
          <w:highlight w:val="none"/>
          <w:lang w:val="en-US" w:eastAsia="zh-CN"/>
        </w:rPr>
      </w:pPr>
      <w:r>
        <w:rPr>
          <w:rFonts w:hint="eastAsia"/>
          <w:highlight w:val="none"/>
          <w:lang w:val="en-US" w:eastAsia="zh-CN"/>
        </w:rPr>
        <w:t>（4）</w:t>
      </w:r>
      <w:r>
        <w:rPr>
          <w:highlight w:val="none"/>
        </w:rPr>
        <w:t>防止大气、噪声、水污染的措施</w:t>
      </w:r>
    </w:p>
    <w:p w14:paraId="19CDFCD5">
      <w:pPr>
        <w:bidi w:val="0"/>
        <w:ind w:firstLine="480" w:firstLineChars="200"/>
        <w:rPr>
          <w:highlight w:val="none"/>
        </w:rPr>
      </w:pPr>
      <w:r>
        <w:rPr>
          <w:rFonts w:hint="eastAsia"/>
          <w:highlight w:val="none"/>
          <w:lang w:val="en-US" w:eastAsia="zh-CN"/>
        </w:rPr>
        <w:t>1）</w:t>
      </w:r>
      <w:r>
        <w:rPr>
          <w:highlight w:val="none"/>
        </w:rPr>
        <w:t>防止大气污染措施</w:t>
      </w:r>
    </w:p>
    <w:p w14:paraId="3E6ED31B">
      <w:pPr>
        <w:bidi w:val="0"/>
        <w:ind w:firstLine="480" w:firstLineChars="200"/>
        <w:rPr>
          <w:highlight w:val="none"/>
        </w:rPr>
      </w:pPr>
      <w:r>
        <w:rPr>
          <w:highlight w:val="none"/>
        </w:rPr>
        <w:t>临时运输道路经常洒水湿润，减少道路扬尘。对产生尘埃运输车辆加以覆盖，</w:t>
      </w:r>
    </w:p>
    <w:p w14:paraId="33869607">
      <w:pPr>
        <w:bidi w:val="0"/>
        <w:rPr>
          <w:highlight w:val="none"/>
        </w:rPr>
      </w:pPr>
      <w:r>
        <w:rPr>
          <w:highlight w:val="none"/>
        </w:rPr>
        <w:t>减少对空气污染，生产及生活垃圾定期、专人处理。严禁焚烧有毒废料。</w:t>
      </w:r>
    </w:p>
    <w:p w14:paraId="5A856372">
      <w:pPr>
        <w:bidi w:val="0"/>
        <w:ind w:firstLine="480" w:firstLineChars="200"/>
        <w:rPr>
          <w:highlight w:val="none"/>
        </w:rPr>
      </w:pPr>
      <w:r>
        <w:rPr>
          <w:rFonts w:hint="eastAsia"/>
          <w:highlight w:val="none"/>
          <w:lang w:val="en-US" w:eastAsia="zh-CN"/>
        </w:rPr>
        <w:t>2）</w:t>
      </w:r>
      <w:r>
        <w:rPr>
          <w:highlight w:val="none"/>
        </w:rPr>
        <w:t>防止噪声的措施</w:t>
      </w:r>
    </w:p>
    <w:p w14:paraId="1A0C1DBD">
      <w:pPr>
        <w:bidi w:val="0"/>
        <w:ind w:firstLine="480" w:firstLineChars="200"/>
        <w:rPr>
          <w:highlight w:val="none"/>
        </w:rPr>
      </w:pPr>
      <w:r>
        <w:rPr>
          <w:highlight w:val="none"/>
        </w:rPr>
        <w:t>施工噪声主要包括施工现场、机械作业时和车辆运输时产生的噪声。为减少 噪声影响，机械设备选型配套时优先考虑低噪声设备，尽可能采取液压设备和摩 擦设备代替振动式设备，并采取消声、隔音、安装防震底座等措施。加强机械设 备的维修保养，保证机械设备的完好率，确保施工噪声达到环境保护标准要求。</w:t>
      </w:r>
    </w:p>
    <w:p w14:paraId="656FD694">
      <w:pPr>
        <w:bidi w:val="0"/>
        <w:ind w:firstLine="480" w:firstLineChars="200"/>
        <w:rPr>
          <w:highlight w:val="none"/>
        </w:rPr>
      </w:pPr>
      <w:r>
        <w:rPr>
          <w:highlight w:val="none"/>
        </w:rPr>
        <w:t>合理布置施工和生活区域。进入施工现场的机械车辆少鸣笛、不急刹、不带故障运行，减少噪声。</w:t>
      </w:r>
    </w:p>
    <w:p w14:paraId="544157AD">
      <w:pPr>
        <w:bidi w:val="0"/>
        <w:ind w:firstLine="480" w:firstLineChars="200"/>
        <w:rPr>
          <w:highlight w:val="none"/>
        </w:rPr>
      </w:pPr>
      <w:r>
        <w:rPr>
          <w:rFonts w:hint="eastAsia"/>
          <w:highlight w:val="none"/>
          <w:lang w:val="en-US" w:eastAsia="zh-CN"/>
        </w:rPr>
        <w:t>3）</w:t>
      </w:r>
      <w:r>
        <w:rPr>
          <w:highlight w:val="none"/>
        </w:rPr>
        <w:t>防止水污染的措施</w:t>
      </w:r>
    </w:p>
    <w:p w14:paraId="68D67A74">
      <w:pPr>
        <w:bidi w:val="0"/>
        <w:ind w:firstLine="480" w:firstLineChars="200"/>
        <w:rPr>
          <w:highlight w:val="none"/>
        </w:rPr>
      </w:pPr>
      <w:r>
        <w:rPr>
          <w:highlight w:val="none"/>
        </w:rPr>
        <w:t>施工及生活废水的排放遵循清污分流、雨污分流的原则，各种施工废油、废 液集中储积，集中处理，严禁乱流乱淌，防止污染水源，破坏环境。</w:t>
      </w:r>
    </w:p>
    <w:p w14:paraId="77E4D46D">
      <w:pPr>
        <w:bidi w:val="0"/>
        <w:ind w:firstLine="480" w:firstLineChars="200"/>
        <w:rPr>
          <w:highlight w:val="none"/>
        </w:rPr>
      </w:pPr>
      <w:r>
        <w:rPr>
          <w:highlight w:val="none"/>
        </w:rPr>
        <w:t>施工作业产生的污水必须经过沉淀池沉淀，并经净化处理，符合要求后排放。</w:t>
      </w:r>
    </w:p>
    <w:p w14:paraId="1D9E2253">
      <w:pPr>
        <w:bidi w:val="0"/>
        <w:ind w:firstLine="480" w:firstLineChars="200"/>
        <w:rPr>
          <w:highlight w:val="none"/>
        </w:rPr>
      </w:pPr>
      <w:r>
        <w:rPr>
          <w:highlight w:val="none"/>
        </w:rPr>
        <w:t>食堂的废水处理应设置隔油池，定期清理油污，污水经过必要的处理后排入 污水管道，施工、生活污水严禁排入农田和水源。</w:t>
      </w:r>
    </w:p>
    <w:p w14:paraId="3983D840">
      <w:pPr>
        <w:bidi w:val="0"/>
        <w:ind w:firstLine="480" w:firstLineChars="200"/>
        <w:rPr>
          <w:rFonts w:hint="eastAsia"/>
          <w:highlight w:val="none"/>
          <w:lang w:val="en-US" w:eastAsia="zh-CN"/>
        </w:rPr>
      </w:pPr>
      <w:r>
        <w:rPr>
          <w:highlight w:val="none"/>
        </w:rPr>
        <w:t>废弃物中不得含有有毒有害物质，避免雨水冲刷后对地表、地下水造成污染。</w:t>
      </w:r>
    </w:p>
    <w:p w14:paraId="725FCD51">
      <w:pPr>
        <w:pStyle w:val="5"/>
        <w:bidi w:val="0"/>
        <w:rPr>
          <w:rFonts w:hint="default"/>
          <w:highlight w:val="none"/>
          <w:lang w:val="en-US" w:eastAsia="zh-CN"/>
        </w:rPr>
      </w:pPr>
      <w:r>
        <w:rPr>
          <w:rFonts w:hint="eastAsia"/>
          <w:highlight w:val="none"/>
          <w:lang w:val="en-US" w:eastAsia="zh-CN"/>
        </w:rPr>
        <w:t>10.1.3.2节能减排措施</w:t>
      </w:r>
    </w:p>
    <w:p w14:paraId="302846B7">
      <w:pPr>
        <w:bidi w:val="0"/>
        <w:ind w:firstLine="480" w:firstLineChars="200"/>
        <w:rPr>
          <w:highlight w:val="none"/>
        </w:rPr>
      </w:pPr>
      <w:r>
        <w:rPr>
          <w:rFonts w:hint="eastAsia"/>
          <w:highlight w:val="none"/>
          <w:lang w:val="en-US" w:eastAsia="zh-CN"/>
        </w:rPr>
        <w:t>（1）</w:t>
      </w:r>
      <w:r>
        <w:rPr>
          <w:rFonts w:hint="eastAsia"/>
          <w:highlight w:val="none"/>
        </w:rPr>
        <w:t>节材措施</w:t>
      </w:r>
    </w:p>
    <w:p w14:paraId="6C70AE3F">
      <w:pPr>
        <w:bidi w:val="0"/>
        <w:ind w:firstLine="480" w:firstLineChars="200"/>
        <w:rPr>
          <w:highlight w:val="none"/>
        </w:rPr>
      </w:pPr>
      <w:r>
        <w:rPr>
          <w:highlight w:val="none"/>
          <w:lang w:val="en-US" w:eastAsia="zh-CN"/>
        </w:rPr>
        <w:t>1）加强混凝土浇筑过程中方量的动态复核，每一次混凝土浇筑尽可能做到不超</w:t>
      </w:r>
      <w:r>
        <w:rPr>
          <w:rFonts w:hint="default"/>
          <w:highlight w:val="none"/>
          <w:lang w:val="en-US" w:eastAsia="zh-CN"/>
        </w:rPr>
        <w:t xml:space="preserve">方，若出现超方现象，则多余混凝土用于便道修筑或者其他临时结构施工，减少资源消耗。 </w:t>
      </w:r>
    </w:p>
    <w:p w14:paraId="01D58740">
      <w:pPr>
        <w:bidi w:val="0"/>
        <w:ind w:firstLine="480" w:firstLineChars="200"/>
        <w:rPr>
          <w:highlight w:val="none"/>
        </w:rPr>
      </w:pPr>
      <w:r>
        <w:rPr>
          <w:rFonts w:hint="default"/>
          <w:highlight w:val="none"/>
          <w:lang w:val="en-US" w:eastAsia="zh-CN"/>
        </w:rPr>
        <w:t>2）推广钢筋专业化加工和配送，钢筋制作前应对下料单及样品进行复核，无误后方可批量下料。</w:t>
      </w:r>
    </w:p>
    <w:p w14:paraId="7A8C8E1C">
      <w:pPr>
        <w:bidi w:val="0"/>
        <w:ind w:firstLine="480" w:firstLineChars="200"/>
        <w:rPr>
          <w:rFonts w:hint="eastAsia"/>
          <w:highlight w:val="none"/>
        </w:rPr>
      </w:pPr>
      <w:r>
        <w:rPr>
          <w:rFonts w:hint="eastAsia"/>
          <w:highlight w:val="none"/>
          <w:lang w:val="en-US" w:eastAsia="zh-CN"/>
        </w:rPr>
        <w:t>（2）</w:t>
      </w:r>
      <w:r>
        <w:rPr>
          <w:rFonts w:hint="eastAsia"/>
          <w:highlight w:val="none"/>
        </w:rPr>
        <w:t>节水措施</w:t>
      </w:r>
    </w:p>
    <w:p w14:paraId="4D39B6C9">
      <w:pPr>
        <w:pStyle w:val="156"/>
        <w:ind w:firstLine="480"/>
        <w:rPr>
          <w:rFonts w:hint="eastAsia"/>
          <w:highlight w:val="none"/>
        </w:rPr>
      </w:pPr>
      <w:bookmarkStart w:id="420" w:name="bookMark940"/>
      <w:bookmarkEnd w:id="420"/>
      <w:r>
        <w:rPr>
          <w:rFonts w:hint="eastAsia"/>
          <w:highlight w:val="none"/>
        </w:rPr>
        <w:t>1）现场搅拌用水、养护用水采取有效的节水措施，严禁无措施浇水养护混凝土。</w:t>
      </w:r>
    </w:p>
    <w:p w14:paraId="043D543A">
      <w:pPr>
        <w:pStyle w:val="156"/>
        <w:ind w:firstLine="480"/>
        <w:rPr>
          <w:rFonts w:hint="eastAsia" w:ascii="宋体"/>
          <w:szCs w:val="24"/>
          <w:highlight w:val="none"/>
        </w:rPr>
      </w:pPr>
      <w:r>
        <w:rPr>
          <w:rFonts w:hint="eastAsia" w:ascii="宋体"/>
          <w:szCs w:val="24"/>
          <w:highlight w:val="none"/>
        </w:rPr>
        <w:t>2）现场机具、设备、车辆冲洗用水设立循环用水装置。施工现场办公区、生活区的生活用水采用节水系统和节水器具，提高节水器具配置比率。</w:t>
      </w:r>
    </w:p>
    <w:p w14:paraId="1DC61E23">
      <w:pPr>
        <w:pStyle w:val="156"/>
        <w:ind w:firstLine="480"/>
        <w:rPr>
          <w:rFonts w:hint="eastAsia" w:ascii="宋体"/>
          <w:szCs w:val="24"/>
          <w:highlight w:val="none"/>
        </w:rPr>
      </w:pPr>
      <w:r>
        <w:rPr>
          <w:rFonts w:hint="eastAsia" w:ascii="宋体"/>
          <w:szCs w:val="24"/>
          <w:highlight w:val="none"/>
        </w:rPr>
        <w:t>3）施工现场建立可再利用水的收集处理系统，使水资源得到梯级循环利用。</w:t>
      </w:r>
    </w:p>
    <w:p w14:paraId="58295841">
      <w:pPr>
        <w:pStyle w:val="156"/>
        <w:ind w:firstLine="480"/>
        <w:rPr>
          <w:rFonts w:hint="eastAsia" w:ascii="宋体"/>
          <w:szCs w:val="24"/>
          <w:highlight w:val="none"/>
        </w:rPr>
      </w:pPr>
      <w:r>
        <w:rPr>
          <w:rFonts w:hint="eastAsia" w:ascii="宋体"/>
          <w:szCs w:val="24"/>
          <w:highlight w:val="none"/>
        </w:rPr>
        <w:t>4）施工现场分别对生活用水与工程用水确定用水定额指标，并分别计量管理。</w:t>
      </w:r>
    </w:p>
    <w:p w14:paraId="5EEF93BD">
      <w:pPr>
        <w:bidi w:val="0"/>
        <w:ind w:firstLine="480" w:firstLineChars="200"/>
        <w:rPr>
          <w:rFonts w:hint="eastAsia"/>
          <w:highlight w:val="none"/>
          <w:lang w:val="en-US" w:eastAsia="zh-CN"/>
        </w:rPr>
      </w:pPr>
      <w:r>
        <w:rPr>
          <w:rFonts w:hint="eastAsia" w:ascii="宋体"/>
          <w:szCs w:val="24"/>
          <w:highlight w:val="none"/>
          <w:lang w:val="en-US" w:eastAsia="zh-CN"/>
        </w:rPr>
        <w:t>5</w:t>
      </w:r>
      <w:r>
        <w:rPr>
          <w:rFonts w:hint="eastAsia" w:ascii="宋体"/>
          <w:szCs w:val="24"/>
          <w:highlight w:val="none"/>
        </w:rPr>
        <w:t>）对混凝土搅拌站点等用水集中的区域和工艺点进行专项计量考核。</w:t>
      </w:r>
    </w:p>
    <w:p w14:paraId="506BF31D">
      <w:pPr>
        <w:bidi w:val="0"/>
        <w:ind w:firstLine="480" w:firstLineChars="20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节能措施</w:t>
      </w:r>
    </w:p>
    <w:p w14:paraId="1B04CCDD">
      <w:pPr>
        <w:bidi w:val="0"/>
        <w:ind w:firstLine="480" w:firstLineChars="200"/>
        <w:rPr>
          <w:highlight w:val="none"/>
        </w:rPr>
      </w:pPr>
      <w:r>
        <w:rPr>
          <w:highlight w:val="none"/>
          <w:lang w:val="en-US" w:eastAsia="zh-CN"/>
        </w:rPr>
        <w:t>1）建立施工机械设备管理制度，开展用电、用油计量，完善设备档案，及时做</w:t>
      </w:r>
      <w:r>
        <w:rPr>
          <w:rFonts w:hint="default"/>
          <w:highlight w:val="none"/>
          <w:lang w:val="en-US" w:eastAsia="zh-CN"/>
        </w:rPr>
        <w:t xml:space="preserve">好维修保养工作，使机械设备保持低耗、高效的状态。 </w:t>
      </w:r>
    </w:p>
    <w:p w14:paraId="050BFDC2">
      <w:pPr>
        <w:bidi w:val="0"/>
        <w:ind w:firstLine="480" w:firstLineChars="200"/>
        <w:rPr>
          <w:highlight w:val="none"/>
        </w:rPr>
      </w:pPr>
      <w:r>
        <w:rPr>
          <w:rFonts w:hint="default"/>
          <w:highlight w:val="none"/>
          <w:lang w:val="en-US" w:eastAsia="zh-CN"/>
        </w:rPr>
        <w:t xml:space="preserve">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 </w:t>
      </w:r>
    </w:p>
    <w:p w14:paraId="346E463B">
      <w:pPr>
        <w:bidi w:val="0"/>
        <w:ind w:firstLine="480" w:firstLineChars="200"/>
        <w:rPr>
          <w:highlight w:val="none"/>
        </w:rPr>
      </w:pPr>
      <w:r>
        <w:rPr>
          <w:rFonts w:hint="default"/>
          <w:highlight w:val="none"/>
          <w:lang w:val="en-US" w:eastAsia="zh-CN"/>
        </w:rPr>
        <w:t>3）合理安排工序，提高各种机械的使用率和满载率，降低各种设备的单位耗能。</w:t>
      </w:r>
    </w:p>
    <w:p w14:paraId="4E60704A">
      <w:pPr>
        <w:bidi w:val="0"/>
        <w:ind w:firstLine="480" w:firstLineChars="200"/>
        <w:rPr>
          <w:rFonts w:hint="eastAsia"/>
          <w:highlight w:val="none"/>
        </w:rPr>
      </w:pPr>
      <w:r>
        <w:rPr>
          <w:rFonts w:hint="eastAsia"/>
          <w:highlight w:val="none"/>
          <w:lang w:val="en-US" w:eastAsia="zh-CN"/>
        </w:rPr>
        <w:t>（4）</w:t>
      </w:r>
      <w:r>
        <w:rPr>
          <w:rFonts w:hint="eastAsia"/>
          <w:highlight w:val="none"/>
        </w:rPr>
        <w:t>节地与施工用地保护措施</w:t>
      </w:r>
    </w:p>
    <w:p w14:paraId="582F4229">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bookmarkStart w:id="421" w:name="bookMark944"/>
      <w:bookmarkEnd w:id="421"/>
      <w:bookmarkStart w:id="422" w:name="_Toc16925"/>
      <w:r>
        <w:rPr>
          <w:rFonts w:ascii="CIDFont" w:hAnsi="CIDFont" w:eastAsia="CIDFont" w:cs="CIDFont"/>
          <w:color w:val="000000"/>
          <w:kern w:val="0"/>
          <w:sz w:val="24"/>
          <w:szCs w:val="24"/>
          <w:highlight w:val="none"/>
          <w:lang w:val="en-US" w:eastAsia="zh-CN" w:bidi="ar"/>
        </w:rPr>
        <w:t>挡土墙施工所需要的材料、设备均放置在红线范围内，减少临时用地使用，红线外</w:t>
      </w:r>
      <w:r>
        <w:rPr>
          <w:rFonts w:hint="default" w:ascii="CIDFont" w:hAnsi="CIDFont" w:eastAsia="CIDFont" w:cs="CIDFont"/>
          <w:color w:val="000000"/>
          <w:kern w:val="0"/>
          <w:sz w:val="24"/>
          <w:szCs w:val="24"/>
          <w:highlight w:val="none"/>
          <w:lang w:val="en-US" w:eastAsia="zh-CN" w:bidi="ar"/>
        </w:rPr>
        <w:t>临时占地应尽量使用荒地、废地，少占用农田和耕地，工程完工后，及时对红线外占地恢复原地形、地貌，使施工活动对周边环境的影响降至最低。</w:t>
      </w:r>
    </w:p>
    <w:p w14:paraId="5C0AFC14">
      <w:pPr>
        <w:pStyle w:val="5"/>
        <w:bidi w:val="0"/>
        <w:rPr>
          <w:rFonts w:hint="default"/>
          <w:highlight w:val="none"/>
          <w:lang w:val="en-US" w:eastAsia="zh-CN"/>
        </w:rPr>
      </w:pPr>
      <w:bookmarkStart w:id="423" w:name="_Toc19095"/>
      <w:bookmarkStart w:id="424" w:name="_Toc17202"/>
      <w:bookmarkStart w:id="425" w:name="_Toc10077"/>
      <w:bookmarkStart w:id="426" w:name="_Toc17393"/>
      <w:bookmarkStart w:id="427" w:name="_Toc1240"/>
      <w:bookmarkStart w:id="428" w:name="_Toc24092"/>
      <w:r>
        <w:rPr>
          <w:rFonts w:hint="eastAsia"/>
          <w:highlight w:val="none"/>
          <w:lang w:val="en-US" w:eastAsia="zh-CN"/>
        </w:rPr>
        <w:t>10.1.3.3</w:t>
      </w:r>
      <w:r>
        <w:rPr>
          <w:rFonts w:hint="default"/>
          <w:highlight w:val="none"/>
          <w:lang w:val="en-US" w:eastAsia="zh-CN"/>
        </w:rPr>
        <w:t>环境保护管理</w:t>
      </w:r>
      <w:bookmarkEnd w:id="423"/>
      <w:bookmarkEnd w:id="424"/>
      <w:bookmarkEnd w:id="425"/>
      <w:bookmarkEnd w:id="426"/>
      <w:bookmarkEnd w:id="427"/>
      <w:bookmarkEnd w:id="428"/>
    </w:p>
    <w:p w14:paraId="3F939F41">
      <w:pPr>
        <w:rPr>
          <w:rFonts w:hint="default"/>
          <w:b/>
          <w:bCs/>
          <w:highlight w:val="none"/>
          <w:lang w:val="en-US" w:eastAsia="zh-CN"/>
        </w:rPr>
      </w:pPr>
      <w:r>
        <w:rPr>
          <w:rFonts w:hint="default"/>
          <w:b/>
          <w:bCs/>
          <w:highlight w:val="none"/>
          <w:lang w:val="en-US" w:eastAsia="zh-CN"/>
        </w:rPr>
        <w:t>1、自然生态环境保护措施</w:t>
      </w:r>
    </w:p>
    <w:p w14:paraId="23D779F1">
      <w:pPr>
        <w:rPr>
          <w:rFonts w:hint="default"/>
          <w:highlight w:val="none"/>
          <w:lang w:val="en-US" w:eastAsia="zh-CN"/>
        </w:rPr>
      </w:pPr>
      <w:r>
        <w:rPr>
          <w:rFonts w:hint="default"/>
          <w:highlight w:val="none"/>
          <w:lang w:val="en-US" w:eastAsia="zh-CN"/>
        </w:rPr>
        <w:t>（1）施工现场保护</w:t>
      </w:r>
    </w:p>
    <w:p w14:paraId="0706C11F">
      <w:pPr>
        <w:rPr>
          <w:rFonts w:hint="default"/>
          <w:highlight w:val="none"/>
          <w:lang w:val="en-US" w:eastAsia="zh-CN"/>
        </w:rPr>
      </w:pPr>
      <w:r>
        <w:rPr>
          <w:rFonts w:hint="default"/>
          <w:highlight w:val="none"/>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4A67F175">
      <w:pPr>
        <w:rPr>
          <w:rFonts w:hint="default"/>
          <w:highlight w:val="none"/>
          <w:lang w:val="en-US" w:eastAsia="zh-CN"/>
        </w:rPr>
      </w:pPr>
      <w:r>
        <w:rPr>
          <w:rFonts w:hint="default"/>
          <w:highlight w:val="none"/>
          <w:lang w:val="en-US" w:eastAsia="zh-CN"/>
        </w:rPr>
        <w:t>（2）施工期间保护</w:t>
      </w:r>
    </w:p>
    <w:p w14:paraId="2263C97E">
      <w:pPr>
        <w:rPr>
          <w:rFonts w:hint="default"/>
          <w:highlight w:val="none"/>
          <w:lang w:val="en-US" w:eastAsia="zh-CN"/>
        </w:rPr>
      </w:pPr>
      <w:r>
        <w:rPr>
          <w:rFonts w:hint="default"/>
          <w:highlight w:val="none"/>
          <w:lang w:val="en-US" w:eastAsia="zh-CN"/>
        </w:rPr>
        <w:t>施工期间对施工人员加强保护自然资源及野生动植物的教育，严禁随意砍伐和偷猎，限制施工人员和车辆的活动范围。</w:t>
      </w:r>
    </w:p>
    <w:p w14:paraId="67F3379F">
      <w:pPr>
        <w:rPr>
          <w:rFonts w:hint="default"/>
          <w:highlight w:val="none"/>
          <w:lang w:val="en-US" w:eastAsia="zh-CN"/>
        </w:rPr>
      </w:pPr>
      <w:r>
        <w:rPr>
          <w:rFonts w:hint="default"/>
          <w:highlight w:val="none"/>
          <w:lang w:val="en-US" w:eastAsia="zh-CN"/>
        </w:rPr>
        <w:t>（3）临建选址保护</w:t>
      </w:r>
    </w:p>
    <w:p w14:paraId="2B3BBD78">
      <w:pPr>
        <w:rPr>
          <w:rFonts w:hint="default"/>
          <w:highlight w:val="none"/>
          <w:lang w:val="en-US" w:eastAsia="zh-CN"/>
        </w:rPr>
      </w:pPr>
      <w:r>
        <w:rPr>
          <w:rFonts w:hint="default"/>
          <w:highlight w:val="none"/>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359F86B1">
      <w:pPr>
        <w:rPr>
          <w:rFonts w:hint="default"/>
          <w:b/>
          <w:bCs/>
          <w:highlight w:val="none"/>
          <w:lang w:val="en-US" w:eastAsia="zh-CN"/>
        </w:rPr>
      </w:pPr>
      <w:bookmarkStart w:id="429" w:name="_Toc56438292"/>
      <w:bookmarkStart w:id="430" w:name="_Toc61441675"/>
      <w:r>
        <w:rPr>
          <w:rFonts w:hint="default"/>
          <w:b/>
          <w:bCs/>
          <w:highlight w:val="none"/>
          <w:lang w:val="en-US" w:eastAsia="zh-CN"/>
        </w:rPr>
        <w:t>2、防止大气污染措施</w:t>
      </w:r>
      <w:bookmarkEnd w:id="429"/>
      <w:bookmarkEnd w:id="430"/>
    </w:p>
    <w:p w14:paraId="569DD3DB">
      <w:pPr>
        <w:rPr>
          <w:rFonts w:hint="default"/>
          <w:highlight w:val="none"/>
          <w:lang w:val="en-US" w:eastAsia="zh-CN"/>
        </w:rPr>
      </w:pPr>
      <w:r>
        <w:rPr>
          <w:rFonts w:hint="default"/>
          <w:highlight w:val="none"/>
          <w:lang w:val="en-US" w:eastAsia="zh-CN"/>
        </w:rPr>
        <w:t>（1）洒水降尘</w:t>
      </w:r>
    </w:p>
    <w:p w14:paraId="5E82B1FB">
      <w:pPr>
        <w:rPr>
          <w:rFonts w:hint="default"/>
          <w:highlight w:val="none"/>
          <w:lang w:val="en-US" w:eastAsia="zh-CN"/>
        </w:rPr>
      </w:pPr>
      <w:r>
        <w:rPr>
          <w:rFonts w:hint="default"/>
          <w:highlight w:val="none"/>
          <w:lang w:val="en-US" w:eastAsia="zh-CN"/>
        </w:rPr>
        <w:t>临时运输道路经常洒水湿润，减少道路扬尘。对产生尘埃运输车辆加以覆盖，在居民区等人员密集区域附近采取喷雾降尘措施、配备降尘雾炮以有效避免周边大气的污染。</w:t>
      </w:r>
    </w:p>
    <w:p w14:paraId="0763EDC8">
      <w:pPr>
        <w:rPr>
          <w:rFonts w:hint="default"/>
          <w:highlight w:val="none"/>
          <w:lang w:val="en-US" w:eastAsia="zh-CN"/>
        </w:rPr>
      </w:pPr>
      <w:r>
        <w:rPr>
          <w:rFonts w:hint="default"/>
          <w:highlight w:val="none"/>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5A95EDFC">
      <w:pPr>
        <w:rPr>
          <w:rFonts w:hint="default"/>
          <w:highlight w:val="none"/>
          <w:lang w:val="en-US" w:eastAsia="zh-CN"/>
        </w:rPr>
      </w:pPr>
      <w:r>
        <w:rPr>
          <w:rFonts w:hint="default"/>
          <w:highlight w:val="none"/>
          <w:lang w:val="en-US" w:eastAsia="zh-CN"/>
        </w:rPr>
        <w:t>（2）覆盖防尘</w:t>
      </w:r>
    </w:p>
    <w:p w14:paraId="78277D01">
      <w:pPr>
        <w:rPr>
          <w:rFonts w:hint="default"/>
          <w:highlight w:val="none"/>
          <w:lang w:val="en-US" w:eastAsia="zh-CN"/>
        </w:rPr>
      </w:pPr>
      <w:r>
        <w:rPr>
          <w:rFonts w:hint="default"/>
          <w:highlight w:val="none"/>
          <w:lang w:val="en-US" w:eastAsia="zh-CN"/>
        </w:rPr>
        <w:t>对施工现场裸露时间较长的土体进行绿化、对裸露时间较短的土体利用土工织物进行覆盖，避免在风力的作用下造成项目周边的空气扬尘。</w:t>
      </w:r>
    </w:p>
    <w:p w14:paraId="56264EBA">
      <w:pPr>
        <w:rPr>
          <w:rFonts w:hint="default"/>
          <w:highlight w:val="none"/>
          <w:lang w:val="en-US" w:eastAsia="zh-CN"/>
        </w:rPr>
      </w:pPr>
      <w:r>
        <w:rPr>
          <w:rFonts w:hint="default"/>
          <w:highlight w:val="none"/>
          <w:lang w:val="en-US" w:eastAsia="zh-CN"/>
        </w:rPr>
        <w:t>（3）材料运输防污染</w:t>
      </w:r>
    </w:p>
    <w:p w14:paraId="1A18D5BA">
      <w:pPr>
        <w:rPr>
          <w:rFonts w:hint="default"/>
          <w:highlight w:val="none"/>
          <w:lang w:val="en-US" w:eastAsia="zh-CN"/>
        </w:rPr>
      </w:pPr>
      <w:r>
        <w:rPr>
          <w:rFonts w:hint="default"/>
          <w:highlight w:val="none"/>
          <w:lang w:val="en-US" w:eastAsia="zh-CN"/>
        </w:rPr>
        <w:t>尽量缩短土石料的运输距离，汽车运输砂土、水泥、碎石等易起尘的物料要加盖蓬布、控制车速，防止物料洒落和产生扬尘，卸车时尽量减小落差。</w:t>
      </w:r>
    </w:p>
    <w:p w14:paraId="424A1E49">
      <w:pPr>
        <w:rPr>
          <w:rFonts w:hint="default"/>
          <w:b/>
          <w:bCs/>
          <w:highlight w:val="none"/>
          <w:lang w:val="en-US" w:eastAsia="zh-CN"/>
        </w:rPr>
      </w:pPr>
      <w:bookmarkStart w:id="431" w:name="_Toc56438293"/>
      <w:bookmarkStart w:id="432" w:name="_Toc61441676"/>
      <w:r>
        <w:rPr>
          <w:rFonts w:hint="default"/>
          <w:b/>
          <w:bCs/>
          <w:highlight w:val="none"/>
          <w:lang w:val="en-US" w:eastAsia="zh-CN"/>
        </w:rPr>
        <w:t>3、防止噪声的措施</w:t>
      </w:r>
      <w:bookmarkEnd w:id="431"/>
      <w:bookmarkEnd w:id="432"/>
    </w:p>
    <w:p w14:paraId="231A9EFF">
      <w:pPr>
        <w:rPr>
          <w:rFonts w:hint="default"/>
          <w:highlight w:val="none"/>
          <w:lang w:val="en-US" w:eastAsia="zh-CN"/>
        </w:rPr>
      </w:pPr>
      <w:r>
        <w:rPr>
          <w:rFonts w:hint="default"/>
          <w:highlight w:val="none"/>
          <w:lang w:val="en-US" w:eastAsia="zh-CN"/>
        </w:rPr>
        <w:t>施工噪声主要包括施工现场、机械作业时和车辆运输时产生的噪声。</w:t>
      </w:r>
    </w:p>
    <w:p w14:paraId="591B7930">
      <w:pPr>
        <w:rPr>
          <w:rFonts w:hint="default"/>
          <w:highlight w:val="none"/>
          <w:lang w:val="en-US" w:eastAsia="zh-CN"/>
        </w:rPr>
      </w:pPr>
      <w:r>
        <w:rPr>
          <w:rFonts w:hint="default"/>
          <w:highlight w:val="none"/>
          <w:lang w:val="en-US" w:eastAsia="zh-CN"/>
        </w:rPr>
        <w:t>（1）建立制度、提高意识</w:t>
      </w:r>
    </w:p>
    <w:p w14:paraId="60949270">
      <w:pPr>
        <w:rPr>
          <w:rFonts w:hint="default"/>
          <w:highlight w:val="none"/>
          <w:lang w:val="en-US" w:eastAsia="zh-CN"/>
        </w:rPr>
      </w:pPr>
      <w:r>
        <w:rPr>
          <w:rFonts w:hint="default"/>
          <w:highlight w:val="none"/>
          <w:lang w:val="en-US" w:eastAsia="zh-CN"/>
        </w:rPr>
        <w:t>施工现场提倡文明施工，建立健全控制人为噪声的管理制度。尽量减少人为的大声喧哗，增加全体施工人员防噪声扰民的自觉意识。</w:t>
      </w:r>
    </w:p>
    <w:p w14:paraId="1034ECC5">
      <w:pPr>
        <w:rPr>
          <w:rFonts w:hint="default"/>
          <w:highlight w:val="none"/>
          <w:lang w:val="en-US" w:eastAsia="zh-CN"/>
        </w:rPr>
      </w:pPr>
      <w:r>
        <w:rPr>
          <w:rFonts w:hint="default"/>
          <w:highlight w:val="none"/>
          <w:lang w:val="en-US" w:eastAsia="zh-CN"/>
        </w:rPr>
        <w:t>（2）选择低噪声机械</w:t>
      </w:r>
    </w:p>
    <w:p w14:paraId="5E3CC073">
      <w:pPr>
        <w:rPr>
          <w:rFonts w:hint="default"/>
          <w:highlight w:val="none"/>
          <w:lang w:val="en-US" w:eastAsia="zh-CN"/>
        </w:rPr>
      </w:pPr>
      <w:r>
        <w:rPr>
          <w:rFonts w:hint="default"/>
          <w:highlight w:val="none"/>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04BE98FE">
      <w:pPr>
        <w:rPr>
          <w:rFonts w:hint="default"/>
          <w:highlight w:val="none"/>
          <w:lang w:val="en-US" w:eastAsia="zh-CN"/>
        </w:rPr>
      </w:pPr>
      <w:r>
        <w:rPr>
          <w:rFonts w:hint="default"/>
          <w:highlight w:val="none"/>
          <w:lang w:val="en-US" w:eastAsia="zh-CN"/>
        </w:rPr>
        <w:t>（3）夜间施工降噪</w:t>
      </w:r>
    </w:p>
    <w:p w14:paraId="56BECE4B">
      <w:pPr>
        <w:rPr>
          <w:rFonts w:hint="default"/>
          <w:highlight w:val="none"/>
          <w:lang w:val="en-US" w:eastAsia="zh-CN"/>
        </w:rPr>
      </w:pPr>
      <w:r>
        <w:rPr>
          <w:rFonts w:hint="default"/>
          <w:highlight w:val="none"/>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73E7F520">
      <w:pPr>
        <w:rPr>
          <w:rFonts w:hint="default"/>
          <w:highlight w:val="none"/>
          <w:lang w:val="en-US" w:eastAsia="zh-CN"/>
        </w:rPr>
      </w:pPr>
      <w:r>
        <w:rPr>
          <w:rFonts w:hint="default"/>
          <w:highlight w:val="none"/>
          <w:lang w:val="en-US" w:eastAsia="zh-CN"/>
        </w:rPr>
        <w:t>（4）机械降噪措施</w:t>
      </w:r>
    </w:p>
    <w:p w14:paraId="469C18E4">
      <w:pPr>
        <w:rPr>
          <w:rFonts w:hint="default"/>
          <w:highlight w:val="none"/>
          <w:lang w:val="en-US" w:eastAsia="zh-CN"/>
        </w:rPr>
      </w:pPr>
      <w:r>
        <w:rPr>
          <w:rFonts w:hint="default"/>
          <w:highlight w:val="none"/>
          <w:lang w:val="en-US" w:eastAsia="zh-CN"/>
        </w:rPr>
        <w:t>①产生强噪声的成品、半成品加工、制作作业，应尽量在加工场区完成，减少因施工现场加工制作产生的噪声。</w:t>
      </w:r>
    </w:p>
    <w:p w14:paraId="090A728C">
      <w:pPr>
        <w:rPr>
          <w:rFonts w:hint="default"/>
          <w:highlight w:val="none"/>
          <w:lang w:val="en-US" w:eastAsia="zh-CN"/>
        </w:rPr>
      </w:pPr>
      <w:r>
        <w:rPr>
          <w:rFonts w:hint="default"/>
          <w:highlight w:val="none"/>
          <w:lang w:val="en-US" w:eastAsia="zh-CN"/>
        </w:rPr>
        <w:t>②尽量选用低噪声或备有消声降噪的机械棚，以减少强噪声的扩散。</w:t>
      </w:r>
    </w:p>
    <w:p w14:paraId="03543C0F">
      <w:pPr>
        <w:rPr>
          <w:rFonts w:hint="default"/>
          <w:b/>
          <w:bCs/>
          <w:highlight w:val="none"/>
          <w:lang w:val="en-US" w:eastAsia="zh-CN"/>
        </w:rPr>
      </w:pPr>
      <w:bookmarkStart w:id="433" w:name="_Toc61441677"/>
      <w:bookmarkStart w:id="434" w:name="_Toc56438294"/>
      <w:r>
        <w:rPr>
          <w:rFonts w:hint="default"/>
          <w:b/>
          <w:bCs/>
          <w:highlight w:val="none"/>
          <w:lang w:val="en-US" w:eastAsia="zh-CN"/>
        </w:rPr>
        <w:t>4、防止水污染的措施</w:t>
      </w:r>
      <w:bookmarkEnd w:id="433"/>
      <w:bookmarkEnd w:id="434"/>
    </w:p>
    <w:p w14:paraId="07D99D80">
      <w:pPr>
        <w:rPr>
          <w:rFonts w:hint="default"/>
          <w:highlight w:val="none"/>
          <w:lang w:val="en-US" w:eastAsia="zh-CN"/>
        </w:rPr>
      </w:pPr>
      <w:r>
        <w:rPr>
          <w:rFonts w:hint="default"/>
          <w:highlight w:val="none"/>
          <w:lang w:val="en-US" w:eastAsia="zh-CN"/>
        </w:rPr>
        <w:t>（1）施工过程当中对产生的裸土进行绿化或土工织物覆盖，以免在雨天造成水土流失，将土体冲入河流。</w:t>
      </w:r>
    </w:p>
    <w:p w14:paraId="1354BCBC">
      <w:pPr>
        <w:rPr>
          <w:rFonts w:hint="default"/>
          <w:highlight w:val="none"/>
          <w:lang w:val="en-US" w:eastAsia="zh-CN"/>
        </w:rPr>
      </w:pPr>
      <w:r>
        <w:rPr>
          <w:rFonts w:hint="default"/>
          <w:highlight w:val="none"/>
          <w:lang w:val="en-US" w:eastAsia="zh-CN"/>
        </w:rPr>
        <w:t>（2）施工作业产生的污水必须经过沉淀池沉淀，并经净化处理，符合要求后排放。</w:t>
      </w:r>
    </w:p>
    <w:p w14:paraId="02AE4344">
      <w:pPr>
        <w:rPr>
          <w:rFonts w:hint="default"/>
          <w:highlight w:val="none"/>
          <w:lang w:val="en-US" w:eastAsia="zh-CN"/>
        </w:rPr>
      </w:pPr>
      <w:r>
        <w:rPr>
          <w:rFonts w:hint="default"/>
          <w:highlight w:val="none"/>
          <w:lang w:val="en-US" w:eastAsia="zh-CN"/>
        </w:rPr>
        <w:t>（3）施工现场土方内利用土工织物或防水彩条布进行覆盖，避免造成周边的泥土对水体的污染。</w:t>
      </w:r>
    </w:p>
    <w:p w14:paraId="75BD7FB1">
      <w:pPr>
        <w:rPr>
          <w:rFonts w:hint="default"/>
          <w:b/>
          <w:bCs/>
          <w:highlight w:val="none"/>
          <w:lang w:val="en-US" w:eastAsia="zh-CN"/>
        </w:rPr>
      </w:pPr>
      <w:bookmarkStart w:id="435" w:name="_Toc56438295"/>
      <w:bookmarkStart w:id="436" w:name="_Toc61441678"/>
      <w:r>
        <w:rPr>
          <w:rFonts w:hint="default"/>
          <w:b/>
          <w:bCs/>
          <w:highlight w:val="none"/>
          <w:lang w:val="en-US" w:eastAsia="zh-CN"/>
        </w:rPr>
        <w:t>5、土壤防污染措施</w:t>
      </w:r>
      <w:bookmarkEnd w:id="435"/>
      <w:bookmarkEnd w:id="436"/>
    </w:p>
    <w:p w14:paraId="278C5AEF">
      <w:pPr>
        <w:rPr>
          <w:rFonts w:hint="default"/>
          <w:highlight w:val="none"/>
          <w:lang w:val="en-US" w:eastAsia="zh-CN"/>
        </w:rPr>
      </w:pPr>
      <w:r>
        <w:rPr>
          <w:rFonts w:hint="eastAsia"/>
          <w:highlight w:val="none"/>
          <w:lang w:val="en-US" w:eastAsia="zh-CN"/>
        </w:rPr>
        <w:t>（1）</w:t>
      </w:r>
      <w:r>
        <w:rPr>
          <w:rFonts w:hint="default"/>
          <w:highlight w:val="none"/>
          <w:lang w:val="en-US" w:eastAsia="zh-CN"/>
        </w:rPr>
        <w:t>尽量做到对施工过程中产生的建筑垃圾进行再利用，入无法利用，则要进行无害化处理后按照当地环保部门的批示在指定地点掩埋。</w:t>
      </w:r>
    </w:p>
    <w:p w14:paraId="7550B177">
      <w:pPr>
        <w:rPr>
          <w:rFonts w:hint="default"/>
          <w:highlight w:val="none"/>
          <w:lang w:val="en-US" w:eastAsia="zh-CN"/>
        </w:rPr>
      </w:pPr>
      <w:r>
        <w:rPr>
          <w:rFonts w:hint="eastAsia"/>
          <w:highlight w:val="none"/>
          <w:lang w:val="en-US" w:eastAsia="zh-CN"/>
        </w:rPr>
        <w:t>（2）</w:t>
      </w:r>
      <w:r>
        <w:rPr>
          <w:rFonts w:hint="default"/>
          <w:highlight w:val="none"/>
          <w:lang w:val="en-US" w:eastAsia="zh-CN"/>
        </w:rPr>
        <w:t>施工现场修建的油料存放场地需进行防渗、方漏处理，避免油料等的渗漏对周边土壤造成污染。若发生意外而导致对周边土壤造成污染时需要对被污染土壤进行清理。</w:t>
      </w:r>
    </w:p>
    <w:p w14:paraId="53D2703D">
      <w:pPr>
        <w:rPr>
          <w:rFonts w:hint="default"/>
          <w:highlight w:val="none"/>
          <w:lang w:val="en-US" w:eastAsia="zh-CN"/>
        </w:rPr>
      </w:pPr>
      <w:r>
        <w:rPr>
          <w:rFonts w:hint="eastAsia"/>
          <w:highlight w:val="none"/>
          <w:lang w:val="en-US" w:eastAsia="zh-CN"/>
        </w:rPr>
        <w:t>（3）</w:t>
      </w:r>
      <w:r>
        <w:rPr>
          <w:rFonts w:hint="default"/>
          <w:highlight w:val="none"/>
          <w:lang w:val="en-US" w:eastAsia="zh-CN"/>
        </w:rPr>
        <w:t>在驻地设垃圾池，分类收集，进行集中处理，可降解的实行降解措施，不可降解的集中掩埋，防止污染环境。</w:t>
      </w:r>
    </w:p>
    <w:p w14:paraId="482E518A">
      <w:pPr>
        <w:rPr>
          <w:rFonts w:hint="default"/>
          <w:highlight w:val="none"/>
          <w:lang w:val="en-US" w:eastAsia="zh-CN"/>
        </w:rPr>
      </w:pPr>
      <w:r>
        <w:rPr>
          <w:rFonts w:hint="eastAsia"/>
          <w:highlight w:val="none"/>
          <w:lang w:val="en-US" w:eastAsia="zh-CN"/>
        </w:rPr>
        <w:t>（4）</w:t>
      </w:r>
      <w:r>
        <w:rPr>
          <w:rFonts w:hint="default"/>
          <w:highlight w:val="none"/>
          <w:lang w:val="en-US" w:eastAsia="zh-CN"/>
        </w:rPr>
        <w:t>工程施工完成后，根据环保及设计要求，要对所有生活区、生产区临时设施所占用地进行复耕，拆除建筑物、铲除硬化地面及建筑垃圾。</w:t>
      </w:r>
    </w:p>
    <w:p w14:paraId="0E4EB05C">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p>
    <w:p w14:paraId="0AAD9C7E">
      <w:pPr>
        <w:pStyle w:val="3"/>
        <w:tabs>
          <w:tab w:val="left" w:pos="240"/>
        </w:tabs>
        <w:bidi w:val="0"/>
        <w:rPr>
          <w:rFonts w:hint="default"/>
          <w:highlight w:val="none"/>
          <w:lang w:val="en-US" w:eastAsia="zh-CN"/>
        </w:rPr>
      </w:pPr>
      <w:bookmarkStart w:id="437" w:name="_Toc6314"/>
      <w:bookmarkStart w:id="438" w:name="_Toc2611"/>
      <w:bookmarkStart w:id="439" w:name="_Toc15877"/>
      <w:r>
        <w:rPr>
          <w:rFonts w:hint="eastAsia"/>
          <w:highlight w:val="none"/>
          <w:lang w:val="en-US" w:eastAsia="zh-CN"/>
        </w:rPr>
        <w:t>10.2文明施工</w:t>
      </w:r>
      <w:bookmarkEnd w:id="422"/>
      <w:bookmarkEnd w:id="437"/>
      <w:bookmarkEnd w:id="438"/>
      <w:bookmarkEnd w:id="439"/>
    </w:p>
    <w:p w14:paraId="09F3AC96">
      <w:pPr>
        <w:pStyle w:val="4"/>
        <w:tabs>
          <w:tab w:val="left" w:pos="240"/>
        </w:tabs>
        <w:bidi w:val="0"/>
        <w:rPr>
          <w:rFonts w:hint="default"/>
          <w:highlight w:val="none"/>
          <w:lang w:val="en-US" w:eastAsia="zh-CN"/>
        </w:rPr>
      </w:pPr>
      <w:r>
        <w:rPr>
          <w:rFonts w:hint="eastAsia"/>
          <w:highlight w:val="none"/>
          <w:lang w:val="en-US" w:eastAsia="zh-CN"/>
        </w:rPr>
        <w:t>10.2.1文明施工组织机构</w:t>
      </w:r>
    </w:p>
    <w:p w14:paraId="4DBA950F">
      <w:pPr>
        <w:bidi w:val="0"/>
        <w:ind w:firstLine="480" w:firstLineChars="200"/>
        <w:rPr>
          <w:rFonts w:hint="eastAsia" w:eastAsia="宋体"/>
          <w:highlight w:val="none"/>
          <w:lang w:eastAsia="zh-CN"/>
        </w:rPr>
      </w:pPr>
      <w:r>
        <w:rPr>
          <w:rFonts w:hint="eastAsia" w:ascii="仿宋" w:hAnsi="仿宋"/>
          <w:bCs/>
          <w:kern w:val="44"/>
          <w:szCs w:val="32"/>
          <w:highlight w:val="none"/>
          <w:lang w:val="en-US" w:eastAsia="zh-CN"/>
        </w:rPr>
        <w:t>为</w:t>
      </w:r>
      <w:r>
        <w:rPr>
          <w:rFonts w:hint="eastAsia" w:ascii="仿宋" w:hAnsi="仿宋"/>
          <w:bCs/>
          <w:kern w:val="44"/>
          <w:szCs w:val="32"/>
          <w:highlight w:val="none"/>
        </w:rPr>
        <w:t>实现项目施工标准化管理，规范现场管理，保障安全生产，促进文明施工，按照标准化建设要求，结合项目建设实际，特成立文明</w:t>
      </w:r>
      <w:r>
        <w:rPr>
          <w:rFonts w:hint="eastAsia" w:ascii="仿宋" w:hAnsi="仿宋"/>
          <w:bCs/>
          <w:kern w:val="44"/>
          <w:szCs w:val="32"/>
          <w:highlight w:val="none"/>
          <w:lang w:val="en-US" w:eastAsia="zh-CN"/>
        </w:rPr>
        <w:t>施工</w:t>
      </w:r>
      <w:r>
        <w:rPr>
          <w:rFonts w:hint="eastAsia" w:ascii="仿宋" w:hAnsi="仿宋"/>
          <w:bCs/>
          <w:kern w:val="44"/>
          <w:szCs w:val="32"/>
          <w:highlight w:val="none"/>
        </w:rPr>
        <w:t>领导小组</w:t>
      </w:r>
      <w:r>
        <w:rPr>
          <w:rFonts w:hint="eastAsia" w:ascii="仿宋" w:hAnsi="仿宋"/>
          <w:bCs/>
          <w:kern w:val="44"/>
          <w:szCs w:val="32"/>
          <w:highlight w:val="none"/>
          <w:lang w:eastAsia="zh-CN"/>
        </w:rPr>
        <w:t>。</w:t>
      </w:r>
    </w:p>
    <w:p w14:paraId="2741D9F9">
      <w:pPr>
        <w:bidi w:val="0"/>
        <w:jc w:val="center"/>
        <w:rPr>
          <w:rFonts w:hint="eastAsia" w:eastAsia="宋体"/>
          <w:highlight w:val="none"/>
          <w:lang w:eastAsia="zh-CN"/>
        </w:rPr>
      </w:pPr>
      <w:r>
        <w:rPr>
          <w:rFonts w:hint="eastAsia"/>
          <w:highlight w:val="none"/>
        </w:rPr>
        <w:drawing>
          <wp:inline distT="0" distB="0" distL="114300" distR="114300">
            <wp:extent cx="4884420" cy="3716655"/>
            <wp:effectExtent l="0" t="0" r="0" b="0"/>
            <wp:docPr id="41" name="图片 41" descr="组织流程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织流程图--(2)(3)"/>
                    <pic:cNvPicPr>
                      <a:picLocks noChangeAspect="1"/>
                    </pic:cNvPicPr>
                  </pic:nvPicPr>
                  <pic:blipFill>
                    <a:blip r:embed="rId76"/>
                    <a:stretch>
                      <a:fillRect/>
                    </a:stretch>
                  </pic:blipFill>
                  <pic:spPr>
                    <a:xfrm>
                      <a:off x="0" y="0"/>
                      <a:ext cx="4884420" cy="3716655"/>
                    </a:xfrm>
                    <a:prstGeom prst="rect">
                      <a:avLst/>
                    </a:prstGeom>
                  </pic:spPr>
                </pic:pic>
              </a:graphicData>
            </a:graphic>
          </wp:inline>
        </w:drawing>
      </w:r>
    </w:p>
    <w:p w14:paraId="4F7ADBA8">
      <w:pPr>
        <w:pStyle w:val="38"/>
        <w:bidi w:val="0"/>
        <w:rPr>
          <w:rFonts w:hint="default"/>
          <w:highlight w:val="none"/>
          <w:lang w:val="en-US" w:eastAsia="zh-CN"/>
        </w:rPr>
      </w:pPr>
      <w:r>
        <w:rPr>
          <w:rFonts w:hint="eastAsia"/>
          <w:highlight w:val="none"/>
          <w:lang w:val="en-US" w:eastAsia="zh-CN"/>
        </w:rPr>
        <w:t>图10</w:t>
      </w:r>
      <w:r>
        <w:rPr>
          <w:highlight w:val="none"/>
        </w:rPr>
        <w:t>.</w:t>
      </w:r>
      <w:r>
        <w:rPr>
          <w:rFonts w:hint="eastAsia"/>
          <w:highlight w:val="none"/>
          <w:lang w:val="en-US" w:eastAsia="zh-CN"/>
        </w:rPr>
        <w:t>2</w:t>
      </w:r>
      <w:r>
        <w:rPr>
          <w:highlight w:val="none"/>
        </w:rPr>
        <w:t>.1</w:t>
      </w:r>
      <w:r>
        <w:rPr>
          <w:rFonts w:hint="eastAsia"/>
          <w:highlight w:val="none"/>
          <w:lang w:val="en-US" w:eastAsia="zh-CN"/>
        </w:rPr>
        <w:t xml:space="preserve">-1 </w:t>
      </w:r>
      <w:r>
        <w:rPr>
          <w:rFonts w:hint="eastAsia"/>
          <w:highlight w:val="none"/>
        </w:rPr>
        <w:t>文明施工管理组织机构</w:t>
      </w:r>
    </w:p>
    <w:p w14:paraId="06D99A1C">
      <w:pPr>
        <w:pStyle w:val="4"/>
        <w:tabs>
          <w:tab w:val="left" w:pos="240"/>
        </w:tabs>
        <w:bidi w:val="0"/>
        <w:rPr>
          <w:rFonts w:hint="default"/>
          <w:highlight w:val="none"/>
          <w:lang w:val="en-US" w:eastAsia="zh-CN"/>
        </w:rPr>
      </w:pPr>
      <w:r>
        <w:rPr>
          <w:rFonts w:hint="eastAsia"/>
          <w:highlight w:val="none"/>
          <w:lang w:val="en-US" w:eastAsia="zh-CN"/>
        </w:rPr>
        <w:t>10.2.2</w:t>
      </w:r>
      <w:r>
        <w:rPr>
          <w:rFonts w:hint="eastAsia"/>
          <w:highlight w:val="none"/>
        </w:rPr>
        <w:t>文明施工保证体系</w:t>
      </w:r>
    </w:p>
    <w:p w14:paraId="39896CCA">
      <w:pPr>
        <w:pStyle w:val="40"/>
        <w:rPr>
          <w:highlight w:val="none"/>
        </w:rPr>
      </w:pPr>
      <w:r>
        <w:rPr>
          <w:highlight w:val="none"/>
        </w:rPr>
        <mc:AlternateContent>
          <mc:Choice Requires="wpg">
            <w:drawing>
              <wp:inline distT="0" distB="0" distL="0" distR="0">
                <wp:extent cx="4109085" cy="3856355"/>
                <wp:effectExtent l="6350" t="6350" r="12065" b="10795"/>
                <wp:docPr id="42" name="Group 2503"/>
                <wp:cNvGraphicFramePr/>
                <a:graphic xmlns:a="http://schemas.openxmlformats.org/drawingml/2006/main">
                  <a:graphicData uri="http://schemas.microsoft.com/office/word/2010/wordprocessingGroup">
                    <wpg:wgp>
                      <wpg:cNvGrpSpPr/>
                      <wpg:grpSpPr>
                        <a:xfrm>
                          <a:off x="0" y="0"/>
                          <a:ext cx="4109085" cy="3856355"/>
                          <a:chOff x="0" y="0"/>
                          <a:chExt cx="7901" cy="5079"/>
                        </a:xfrm>
                      </wpg:grpSpPr>
                      <wps:wsp>
                        <wps:cNvPr id="43"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09F85CE">
                              <w:pPr>
                                <w:pStyle w:val="52"/>
                              </w:pPr>
                              <w:r>
                                <w:rPr>
                                  <w:rFonts w:hint="eastAsia"/>
                                </w:rPr>
                                <w:t>文明</w:t>
                              </w:r>
                            </w:p>
                            <w:p w14:paraId="53BA0AD4">
                              <w:pPr>
                                <w:pStyle w:val="52"/>
                              </w:pPr>
                              <w:r>
                                <w:rPr>
                                  <w:rFonts w:hint="eastAsia"/>
                                </w:rPr>
                                <w:t>施工</w:t>
                              </w:r>
                            </w:p>
                            <w:p w14:paraId="77B72A2D">
                              <w:pPr>
                                <w:pStyle w:val="52"/>
                              </w:pPr>
                              <w:r>
                                <w:rPr>
                                  <w:rFonts w:hint="eastAsia"/>
                                </w:rPr>
                                <w:t>保证</w:t>
                              </w:r>
                            </w:p>
                            <w:p w14:paraId="519B8397">
                              <w:pPr>
                                <w:pStyle w:val="52"/>
                              </w:pPr>
                              <w:r>
                                <w:rPr>
                                  <w:rFonts w:hint="eastAsia"/>
                                </w:rPr>
                                <w:t>体系</w:t>
                              </w:r>
                            </w:p>
                          </w:txbxContent>
                        </wps:txbx>
                        <wps:bodyPr rot="0" vert="horz" wrap="square" lIns="0" tIns="0" rIns="0" bIns="0" anchor="ctr" anchorCtr="0" upright="1">
                          <a:noAutofit/>
                        </wps:bodyPr>
                      </wps:wsp>
                      <wps:wsp>
                        <wps:cNvPr id="45"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46"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47"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4EFF3C13">
                              <w:pPr>
                                <w:pStyle w:val="52"/>
                              </w:pPr>
                              <w:r>
                                <w:rPr>
                                  <w:rFonts w:hint="eastAsia"/>
                                </w:rPr>
                                <w:t>思想保证</w:t>
                              </w:r>
                            </w:p>
                          </w:txbxContent>
                        </wps:txbx>
                        <wps:bodyPr rot="0" vert="horz" wrap="square" lIns="0" tIns="0" rIns="0" bIns="0" anchor="ctr" anchorCtr="0" upright="1">
                          <a:noAutofit/>
                        </wps:bodyPr>
                      </wps:wsp>
                      <wps:wsp>
                        <wps:cNvPr id="6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111"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15F6CE71">
                              <w:pPr>
                                <w:pStyle w:val="52"/>
                              </w:pPr>
                              <w:r>
                                <w:rPr>
                                  <w:rFonts w:hint="eastAsia"/>
                                </w:rPr>
                                <w:t>组织保证</w:t>
                              </w:r>
                            </w:p>
                          </w:txbxContent>
                        </wps:txbx>
                        <wps:bodyPr rot="0" vert="horz" wrap="square" lIns="0" tIns="0" rIns="0" bIns="0" anchor="ctr" anchorCtr="0" upright="1">
                          <a:noAutofit/>
                        </wps:bodyPr>
                      </wps:wsp>
                      <wps:wsp>
                        <wps:cNvPr id="62"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4A0724CE">
                              <w:pPr>
                                <w:pStyle w:val="52"/>
                              </w:pPr>
                              <w:r>
                                <w:rPr>
                                  <w:rFonts w:hint="eastAsia"/>
                                </w:rPr>
                                <w:t>成立</w:t>
                              </w:r>
                              <w:r>
                                <w:rPr>
                                  <w:rFonts w:hint="eastAsia"/>
                                  <w:lang w:val="en-US" w:eastAsia="zh-CN"/>
                                </w:rPr>
                                <w:t>文明施工</w:t>
                              </w:r>
                              <w:r>
                                <w:rPr>
                                  <w:rFonts w:hint="eastAsia"/>
                                </w:rPr>
                                <w:t>领导小组</w:t>
                              </w:r>
                            </w:p>
                          </w:txbxContent>
                        </wps:txbx>
                        <wps:bodyPr rot="0" vert="horz" wrap="square" lIns="108000" tIns="0" rIns="0" bIns="0" anchor="ctr" anchorCtr="0" upright="1">
                          <a:noAutofit/>
                        </wps:bodyPr>
                      </wps:wsp>
                      <wps:wsp>
                        <wps:cNvPr id="66"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37ABD7C1">
                              <w:pPr>
                                <w:pStyle w:val="52"/>
                              </w:pPr>
                              <w:r>
                                <w:rPr>
                                  <w:rFonts w:hint="eastAsia"/>
                                  <w:lang w:val="en-US" w:eastAsia="zh-CN"/>
                                </w:rPr>
                                <w:t>文明施工</w:t>
                              </w:r>
                              <w:r>
                                <w:rPr>
                                  <w:rFonts w:hint="eastAsia"/>
                                </w:rPr>
                                <w:t>知识宣传教育</w:t>
                              </w:r>
                            </w:p>
                          </w:txbxContent>
                        </wps:txbx>
                        <wps:bodyPr rot="0" vert="horz" wrap="square" lIns="108000" tIns="0" rIns="0" bIns="0" anchor="ctr" anchorCtr="0" upright="1">
                          <a:noAutofit/>
                        </wps:bodyPr>
                      </wps:wsp>
                      <wps:wsp>
                        <wps:cNvPr id="85"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0F55C4E5">
                              <w:pPr>
                                <w:pStyle w:val="52"/>
                              </w:pPr>
                              <w:r>
                                <w:rPr>
                                  <w:rFonts w:hint="eastAsia"/>
                                </w:rPr>
                                <w:t>制定目标责任制</w:t>
                              </w:r>
                            </w:p>
                            <w:p w14:paraId="5E4A9E50">
                              <w:pPr>
                                <w:pStyle w:val="52"/>
                              </w:pPr>
                            </w:p>
                          </w:txbxContent>
                        </wps:txbx>
                        <wps:bodyPr rot="0" vert="horz" wrap="square" lIns="108000" tIns="0" rIns="0" bIns="0" anchor="ctr" anchorCtr="0" upright="1">
                          <a:noAutofit/>
                        </wps:bodyPr>
                      </wps:wsp>
                      <wps:wsp>
                        <wps:cNvPr id="11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86"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11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87"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122"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7225D39B">
                              <w:pPr>
                                <w:pStyle w:val="52"/>
                              </w:pPr>
                              <w:r>
                                <w:rPr>
                                  <w:rFonts w:hint="eastAsia"/>
                                </w:rPr>
                                <w:t>技术保证</w:t>
                              </w:r>
                            </w:p>
                          </w:txbxContent>
                        </wps:txbx>
                        <wps:bodyPr rot="0" vert="horz" wrap="square" lIns="0" tIns="0" rIns="0" bIns="0" anchor="ctr" anchorCtr="0" upright="1">
                          <a:noAutofit/>
                        </wps:bodyPr>
                      </wps:wsp>
                      <wps:wsp>
                        <wps:cNvPr id="123"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125"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2133FD85">
                              <w:pPr>
                                <w:pStyle w:val="52"/>
                              </w:pPr>
                              <w:r>
                                <w:rPr>
                                  <w:rFonts w:hint="eastAsia"/>
                                </w:rPr>
                                <w:t>制定</w:t>
                              </w:r>
                              <w:r>
                                <w:rPr>
                                  <w:rFonts w:hint="eastAsia"/>
                                  <w:lang w:val="en-US" w:eastAsia="zh-CN"/>
                                </w:rPr>
                                <w:t>文明施工</w:t>
                              </w:r>
                              <w:r>
                                <w:rPr>
                                  <w:rFonts w:hint="eastAsia"/>
                                </w:rPr>
                                <w:t>实施方案</w:t>
                              </w:r>
                            </w:p>
                          </w:txbxContent>
                        </wps:txbx>
                        <wps:bodyPr rot="0" vert="horz" wrap="square" lIns="108000" tIns="0" rIns="0" bIns="0" anchor="ctr" anchorCtr="0" upright="1">
                          <a:noAutofit/>
                        </wps:bodyPr>
                      </wps:wsp>
                      <wps:wsp>
                        <wps:cNvPr id="129"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576668E2">
                              <w:pPr>
                                <w:pStyle w:val="52"/>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131"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133"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134"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135"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1AE9498B">
                              <w:pPr>
                                <w:pStyle w:val="52"/>
                              </w:pPr>
                              <w:r>
                                <w:rPr>
                                  <w:rFonts w:hint="eastAsia"/>
                                </w:rPr>
                                <w:t>制度保证</w:t>
                              </w:r>
                            </w:p>
                          </w:txbxContent>
                        </wps:txbx>
                        <wps:bodyPr rot="0" vert="horz" wrap="square" lIns="0" tIns="0" rIns="0" bIns="0" anchor="ctr" anchorCtr="0" upright="1">
                          <a:noAutofit/>
                        </wps:bodyPr>
                      </wps:wsp>
                      <wps:wsp>
                        <wps:cNvPr id="136"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65EE4CD">
                              <w:pPr>
                                <w:pStyle w:val="52"/>
                              </w:pPr>
                              <w:r>
                                <w:rPr>
                                  <w:rFonts w:hint="eastAsia"/>
                                </w:rPr>
                                <w:t>公司、项目部相关规章制度</w:t>
                              </w:r>
                            </w:p>
                          </w:txbxContent>
                        </wps:txbx>
                        <wps:bodyPr rot="0" vert="horz" wrap="square" lIns="108000" tIns="0" rIns="0" bIns="0" anchor="ctr" anchorCtr="0" upright="1">
                          <a:noAutofit/>
                        </wps:bodyPr>
                      </wps:wsp>
                      <wps:wsp>
                        <wps:cNvPr id="137"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7D045E22">
                              <w:pPr>
                                <w:pStyle w:val="52"/>
                              </w:pPr>
                              <w:r>
                                <w:rPr>
                                  <w:rFonts w:hint="eastAsia"/>
                                </w:rPr>
                                <w:t>国家、相关部委相关法律、法规</w:t>
                              </w:r>
                            </w:p>
                          </w:txbxContent>
                        </wps:txbx>
                        <wps:bodyPr rot="0" vert="horz" wrap="square" lIns="108000" tIns="0" rIns="0" bIns="0" anchor="ctr" anchorCtr="0" upright="1">
                          <a:noAutofit/>
                        </wps:bodyPr>
                      </wps:wsp>
                      <wps:wsp>
                        <wps:cNvPr id="138"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139"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140"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145"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1F87DEFE">
                              <w:pPr>
                                <w:pStyle w:val="52"/>
                              </w:pPr>
                              <w:r>
                                <w:rPr>
                                  <w:rFonts w:hint="eastAsia"/>
                                </w:rPr>
                                <w:t>施工保证</w:t>
                              </w:r>
                            </w:p>
                          </w:txbxContent>
                        </wps:txbx>
                        <wps:bodyPr rot="0" vert="horz" wrap="square" lIns="0" tIns="0" rIns="0" bIns="0" anchor="ctr" anchorCtr="0" upright="1">
                          <a:noAutofit/>
                        </wps:bodyPr>
                      </wps:wsp>
                      <wps:wsp>
                        <wps:cNvPr id="141"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14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682983E1">
                              <w:pPr>
                                <w:pStyle w:val="52"/>
                              </w:pPr>
                              <w:r>
                                <w:rPr>
                                  <w:rFonts w:hint="eastAsia"/>
                                  <w:lang w:val="en-US" w:eastAsia="zh-CN"/>
                                </w:rPr>
                                <w:t>文明</w:t>
                              </w:r>
                              <w:r>
                                <w:rPr>
                                  <w:rFonts w:hint="eastAsia"/>
                                </w:rPr>
                                <w:t>施工工艺保证</w:t>
                              </w:r>
                            </w:p>
                          </w:txbxContent>
                        </wps:txbx>
                        <wps:bodyPr rot="0" vert="horz" wrap="square" lIns="108000" tIns="0" rIns="0" bIns="0" anchor="ctr" anchorCtr="0" upright="1">
                          <a:noAutofit/>
                        </wps:bodyPr>
                      </wps:wsp>
                      <wps:wsp>
                        <wps:cNvPr id="15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4ADEEA52">
                              <w:pPr>
                                <w:pStyle w:val="52"/>
                              </w:pPr>
                              <w:r>
                                <w:rPr>
                                  <w:rFonts w:hint="eastAsia"/>
                                </w:rPr>
                                <w:t>落实岗位责任制</w:t>
                              </w:r>
                            </w:p>
                          </w:txbxContent>
                        </wps:txbx>
                        <wps:bodyPr rot="0" vert="horz" wrap="square" lIns="108000" tIns="0" rIns="0" bIns="0" anchor="ctr" anchorCtr="0" upright="1">
                          <a:noAutofit/>
                        </wps:bodyPr>
                      </wps:wsp>
                      <wps:wsp>
                        <wps:cNvPr id="151" name="Text Box 2536"/>
                        <wps:cNvSpPr txBox="1">
                          <a:spLocks noChangeArrowheads="1"/>
                        </wps:cNvSpPr>
                        <wps:spPr bwMode="auto">
                          <a:xfrm>
                            <a:off x="3045" y="4342"/>
                            <a:ext cx="3040" cy="302"/>
                          </a:xfrm>
                          <a:prstGeom prst="rect">
                            <a:avLst/>
                          </a:prstGeom>
                          <a:solidFill>
                            <a:schemeClr val="accent6">
                              <a:lumMod val="40000"/>
                              <a:lumOff val="60000"/>
                            </a:schemeClr>
                          </a:solidFill>
                          <a:ln w="12700">
                            <a:solidFill>
                              <a:srgbClr val="0000C8"/>
                            </a:solidFill>
                            <a:miter lim="800000"/>
                          </a:ln>
                        </wps:spPr>
                        <wps:txbx>
                          <w:txbxContent>
                            <w:p w14:paraId="2B6A1FF6">
                              <w:pPr>
                                <w:pStyle w:val="52"/>
                              </w:pPr>
                              <w:r>
                                <w:rPr>
                                  <w:rFonts w:hint="eastAsia"/>
                                </w:rPr>
                                <w:t>物资设备保证</w:t>
                              </w:r>
                            </w:p>
                          </w:txbxContent>
                        </wps:txbx>
                        <wps:bodyPr rot="0" vert="horz" wrap="square" lIns="108000" tIns="0" rIns="0" bIns="0" anchor="ctr" anchorCtr="0" upright="1">
                          <a:noAutofit/>
                        </wps:bodyPr>
                      </wps:wsp>
                      <wps:wsp>
                        <wps:cNvPr id="15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15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15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15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15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6439A43">
                              <w:pPr>
                                <w:pStyle w:val="52"/>
                              </w:pPr>
                              <w:r>
                                <w:rPr>
                                  <w:rFonts w:hint="eastAsia"/>
                                </w:rPr>
                                <w:t>制定</w:t>
                              </w:r>
                              <w:r>
                                <w:rPr>
                                  <w:rFonts w:hint="eastAsia"/>
                                  <w:lang w:val="en-US" w:eastAsia="zh-CN"/>
                                </w:rPr>
                                <w:t>文明施工</w:t>
                              </w:r>
                              <w:r>
                                <w:rPr>
                                  <w:rFonts w:hint="eastAsia"/>
                                </w:rPr>
                                <w:t>技术措施</w:t>
                              </w:r>
                            </w:p>
                          </w:txbxContent>
                        </wps:txbx>
                        <wps:bodyPr rot="0" vert="horz" wrap="square" lIns="108000" tIns="0" rIns="0" bIns="0" anchor="ctr" anchorCtr="0" upright="1">
                          <a:noAutofit/>
                        </wps:bodyPr>
                      </wps:wsp>
                      <wps:wsp>
                        <wps:cNvPr id="15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15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0F04E3E">
                              <w:pPr>
                                <w:pStyle w:val="52"/>
                              </w:pPr>
                              <w:r>
                                <w:rPr>
                                  <w:rFonts w:hint="eastAsia"/>
                                </w:rPr>
                                <w:t>监督、检查、改进</w:t>
                              </w:r>
                            </w:p>
                          </w:txbxContent>
                        </wps:txbx>
                        <wps:bodyPr rot="0" vert="horz" wrap="square" lIns="108000" tIns="0" rIns="0" bIns="0" anchor="ctr" anchorCtr="0" upright="1">
                          <a:noAutofit/>
                        </wps:bodyPr>
                      </wps:wsp>
                      <wps:wsp>
                        <wps:cNvPr id="142"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143"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144"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146"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16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16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16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147"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148"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171"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172"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173"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174"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175"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176"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177"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178"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179"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182"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183"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184"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18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186"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185"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188"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1D013502">
                              <w:pPr>
                                <w:pStyle w:val="52"/>
                              </w:pPr>
                              <w:r>
                                <w:rPr>
                                  <w:rFonts w:hint="eastAsia"/>
                                </w:rPr>
                                <w:t>文明</w:t>
                              </w:r>
                            </w:p>
                            <w:p w14:paraId="773A69BC">
                              <w:pPr>
                                <w:pStyle w:val="52"/>
                              </w:pPr>
                              <w:r>
                                <w:rPr>
                                  <w:rFonts w:hint="eastAsia"/>
                                </w:rPr>
                                <w:t>施工</w:t>
                              </w:r>
                            </w:p>
                            <w:p w14:paraId="14511A43">
                              <w:pPr>
                                <w:pStyle w:val="52"/>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03.65pt;width:323.55pt;" coordsize="7901,5079" o:gfxdata="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DWsXF21gAAAAUBAAAP&#10;AAAAAAAAAAEAIAAAACIAAABkcnMvZG93bnJldi54bWxQSwECFAAUAAAACACHTuJAA5YAQR4KAAB6&#10;iwAADgAAAAAAAAABACAAAAAlAQAAZHJzL2Uyb0RvYy54bWxQSwUGAAAAAAYABgBZAQAAt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vdKJ8L0AAADb&#10;AAAADwAAAGRycy9kb3ducmV2LnhtbEWPS2/CMBCE75X4D9YicanAIY1QSTEcWlH1yiM9r+JtHGGv&#10;o9g8yq/HSEgcRzPzjWaxujgrTtSH1rOC6SQDQVx73XKjYL9bj99BhIis0XomBf8UYLUcvCyw1P7M&#10;GzptYyMShEOJCkyMXSllqA05DBPfESfvz/cOY5J9I3WP5wR3VuZZNpMOW04LBjv6NFQftken4Fjk&#10;9vBaFbaS+b69fv/aufmqlBoNp9kHiEiX+Aw/2j9aQfEG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0onwvQAA&#10;ANs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09F85CE">
                        <w:pPr>
                          <w:pStyle w:val="52"/>
                        </w:pPr>
                        <w:r>
                          <w:rPr>
                            <w:rFonts w:hint="eastAsia"/>
                          </w:rPr>
                          <w:t>文明</w:t>
                        </w:r>
                      </w:p>
                      <w:p w14:paraId="53BA0AD4">
                        <w:pPr>
                          <w:pStyle w:val="52"/>
                        </w:pPr>
                        <w:r>
                          <w:rPr>
                            <w:rFonts w:hint="eastAsia"/>
                          </w:rPr>
                          <w:t>施工</w:t>
                        </w:r>
                      </w:p>
                      <w:p w14:paraId="77B72A2D">
                        <w:pPr>
                          <w:pStyle w:val="52"/>
                        </w:pPr>
                        <w:r>
                          <w:rPr>
                            <w:rFonts w:hint="eastAsia"/>
                          </w:rPr>
                          <w:t>保证</w:t>
                        </w:r>
                      </w:p>
                      <w:p w14:paraId="519B8397">
                        <w:pPr>
                          <w:pStyle w:val="52"/>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mXcgtbwAAADb&#10;AAAADwAAAGRycy9kb3ducmV2LnhtbEWPQWsCMRSE74X+h/AKvdXsShVZjaKCtDdx14u35+a5Wdy8&#10;LElc7b9vCgWPw8x8wyxWD9uJgXxoHSvIRxkI4trplhsFx2r3MQMRIrLGzjEp+KEAq+XrywIL7e58&#10;oKGMjUgQDgUqMDH2hZShNmQxjFxPnLyL8xZjkr6R2uM9wW0nx1k2lRZbTgsGe9oaqq/lzSoozekw&#10;8PYsd+vN2H9V10u0+V6p97c8m4OI9IjP8H/7Wyv4nMD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ILW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aaW+wrsAAADb&#10;AAAADwAAAGRycy9kb3ducmV2LnhtbEWPQYvCMBSE7wv+h/AEb2taEZFqFBVEb4t1L3t7Ns+m2LyU&#10;JFb995uFBY/DzHzDLNdP24qefGgcK8jHGQjiyumGawXf5/3nHESIyBpbx6TgRQHWq8HHEgvtHnyi&#10;voy1SBAOBSowMXaFlKEyZDGMXUecvKvzFmOSvpba4yPBbSsnWTaTFhtOCwY72hmqbuXdKijNz6nn&#10;3UXuN9uJP5xv12jzL6VGwzxbgIj0jO/wf/uoFUxn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W+w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BukbWbwAAADb&#10;AAAADwAAAGRycy9kb3ducmV2LnhtbEWPQWsCMRSE74X+h/AKvdXsSlFZjaKCtDdx14u35+a5Wdy8&#10;LElc7b9vCgWPw8x8wyxWD9uJgXxoHSvIRxkI4trplhsFx2r3MQMRIrLGzjEp+KEAq+XrywIL7e58&#10;oKGMjUgQDgUqMDH2hZShNmQxjFxPnLyL8xZjkr6R2uM9wW0nx1k2kRZbTgsGe9oaqq/lzSoozekw&#10;8PYsd+vN2H9V10u0+V6p97c8m4OI9IjP8H/7Wyv4nM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G1m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BrVL57gAAADb&#10;AAAADwAAAGRycy9kb3ducmV2LnhtbEVPy4rCMBTdC/MP4Q7MRjS1iDgdo4sRB7dqO+tLc22KyU1p&#10;4vPrzUJweTjvxermrLhQH1rPCibjDARx7XXLjYLysBnNQYSIrNF6JgV3CrBafgwWWGh/5R1d9rER&#10;KYRDgQpMjF0hZagNOQxj3xEn7uh7hzHBvpG6x2sKd1bmWTaTDltODQY7+jVUn/Znp+A8ze1pWE1t&#10;JfOyffz922+zrpT6+pxkPyAi3eJb/HJvtYJ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VL57gAAADb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4EFF3C13">
                        <w:pPr>
                          <w:pStyle w:val="52"/>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rfl61rsAAADb&#10;AAAADwAAAGRycy9kb3ducmV2LnhtbEWPQYvCMBSE78L+h/AWvGlaDyLdRlFB1ptYvXh72zybYvNS&#10;kmzVf79ZEDwOM/MNU64ethMD+dA6VpBPMxDEtdMtNwrOp91kASJEZI2dY1LwpACr5ceoxEK7Ox9p&#10;qGIjEoRDgQpMjH0hZagNWQxT1xMn7+q8xZikb6T2eE9w28lZls2lxZbTgsGetobqW/VrFVTmchx4&#10;+yN3683Mf59u12jzg1Ljzzz7AhHpEd/hV3uvFcxz+P+Sf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l61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GUlBSLsAAADc&#10;AAAADwAAAGRycy9kb3ducmV2LnhtbEVPS2sCMRC+C/6HMIVeRLO7SNGt0YOlxat21/OwGTeLyWTZ&#10;xEf7641Q6G0+vuesNndnxZWG0HlWkM8yEMSN1x23Cqrvz+kCRIjIGq1nUvBDATbr8WiFpfY33tP1&#10;EFuRQjiUqMDE2JdShsaQwzDzPXHiTn5wGBMcWqkHvKVwZ2WRZW/SYcepwWBPW0PN+XBxCi7zwp4n&#10;9dzWsqi636+jXZqPWqnXlzx7BxHpHv/Ff+6dTvPzHJ7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lBS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5F6CE71">
                        <w:pPr>
                          <w:pStyle w:val="52"/>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XSvkobsAAADb&#10;AAAADwAAAGRycy9kb3ducmV2LnhtbEWPQYvCMBSE7wv7H8Jb2NuatgdZqlFUEL0tVi/ens2zKTYv&#10;JYlV/70RFjwOM/MNM53fbScG8qF1rCAfZSCIa6dbbhQc9uufXxAhImvsHJOCBwWYzz4/plhqd+Md&#10;DVVsRIJwKFGBibEvpQy1IYth5Hri5J2dtxiT9I3UHm8JbjtZZNlYWmw5LRjsaWWovlRXq6Ayx93A&#10;q5NcL5aF3+wv52jzP6W+v/JsAiLSPb7D/+2tVjAu4PUl/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kob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xY6hW7wAAADb&#10;AAAADwAAAGRycy9kb3ducmV2LnhtbEWPzW7CMBCE70h9B2srcUFgQ1WEAoZDEdBbm8ADrOLNjxqv&#10;o9hJ4O1xpUo9jmbmG83ucLeNGKjztWMNy4UCQZw7U3Op4XY9zTcgfEA22DgmDQ/ycNi/THaYGDdy&#10;SkMWShEh7BPUUIXQJlL6vCKLfuFa4ugVrrMYouxKaTocI9w2cqXUWlqsOS5U2NJHRflP1lsN4X1W&#10;9Ko8Yt2mjXd5X3yfL19aT1+Xagsi0D38h//an0bD+g1+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oVu8AAAA&#10;2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0724CE">
                        <w:pPr>
                          <w:pStyle w:val="52"/>
                        </w:pPr>
                        <w:r>
                          <w:rPr>
                            <w:rFonts w:hint="eastAsia"/>
                          </w:rPr>
                          <w:t>成立</w:t>
                        </w:r>
                        <w:r>
                          <w:rPr>
                            <w:rFonts w:hint="eastAsia"/>
                            <w:lang w:val="en-US" w:eastAsia="zh-CN"/>
                          </w:rPr>
                          <w:t>文明施工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1fkCw7sAAADb&#10;AAAADwAAAGRycy9kb3ducmV2LnhtbEWPW4vCMBSE3wX/QzgL+yJrUmGLVGMfVry8edsfcGhOL9ic&#10;lCZV998bYcHHYWa+YZb5w7biRr1vHGtIpgoEceFMw5WG38vmaw7CB2SDrWPS8Ece8tV4tMTMuDuf&#10;6HYOlYgQ9hlqqEPoMil9UZNFP3UdcfRK11sMUfaVND3eI9y2cqZUKi02HBdq7OinpuJ6HqyG8D0p&#10;B1WtselOrXfFUB63u4PWnx+JWoAI9Ajv8H97bzSkK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Cw7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37ABD7C1">
                        <w:pPr>
                          <w:pStyle w:val="52"/>
                        </w:pPr>
                        <w:r>
                          <w:rPr>
                            <w:rFonts w:hint="eastAsia"/>
                            <w:lang w:val="en-US" w:eastAsia="zh-CN"/>
                          </w:rPr>
                          <w:t>文明施工</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lSd6TrsAAADb&#10;AAAADwAAAGRycy9kb3ducmV2LnhtbEWP3YrCMBSE74V9h3AWvBFNXFCkNvViF929U6sPcGhOf7A5&#10;KU3qz9tvBMHLYWa+YdLN3bbiSr1vHGuYzxQI4sKZhisN59N2ugLhA7LB1jFpeJCHTfYxSjEx7sZH&#10;uuahEhHCPkENdQhdIqUvarLoZ64jjl7peoshyr6SpsdbhNtWfim1lBYbjgs1dvRdU3HJB6shLCbl&#10;oKofbLpj610xlIfd717r8edcrUEEuod3+NX+MxpWC3h+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6Tr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0F55C4E5">
                        <w:pPr>
                          <w:pStyle w:val="52"/>
                        </w:pPr>
                        <w:r>
                          <w:rPr>
                            <w:rFonts w:hint="eastAsia"/>
                          </w:rPr>
                          <w:t>制定目标责任制</w:t>
                        </w:r>
                      </w:p>
                      <w:p w14:paraId="5E4A9E50">
                        <w:pPr>
                          <w:pStyle w:val="52"/>
                        </w:pPr>
                      </w:p>
                    </w:txbxContent>
                  </v:textbox>
                </v:shape>
                <v:line id="Line 2515" o:spid="_x0000_s1026" o:spt="20" style="position:absolute;left:2707;top:158;height:447;width:0;" filled="f" stroked="t" coordsize="21600,21600" o:gfxdata="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3z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khwEWLsAAADb&#10;AAAADwAAAGRycy9kb3ducmV2LnhtbEWPQYvCMBSE78L+h/AEb5rWg0i3UVZB9CbWveztbfNsis1L&#10;SbJV/70RhD0OM/MNU67vthMD+dA6VpDPMhDEtdMtNwq+z7vpEkSIyBo7x6TgQQHWq49RiYV2Nz7R&#10;UMVGJAiHAhWYGPtCylAbshhmridO3sV5izFJ30jt8ZbgtpPzLFtIiy2nBYM9bQ3V1+rPKqjMz2ng&#10;7a/cfW3mfn++XqLNj0pNxnn2CSLSPf6H3+2DVrBc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EWL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Tq3u0rkAAADc&#10;AAAADwAAAGRycy9kb3ducmV2LnhtbEVPTYvCMBC9L/gfwgje1rQeZK1GUUF2b4vVi7exGZtiMylJ&#10;rPrvzcKCt3m8z1msHrYVPfnQOFaQjzMQxJXTDdcKjofd5xeIEJE1to5JwZMCrJaDjwUW2t15T30Z&#10;a5FCOBSowMTYFVKGypDFMHYdceIuzluMCfpaao/3FG5bOcmyqbTYcGow2NHWUHUtb1ZBaU77nrdn&#10;uVtvJv77cL1Em/8qNRrm2RxEpEd8i//dPzrNz2f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t7tK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VChw7sAAADb&#10;AAAADwAAAGRycy9kb3ducmV2LnhtbEWPQYvCMBSE7wv+h/AEb2taD65Uo6ggeluse9nbs3k2xeal&#10;JLHqv98sCB6HmfmGWawethU9+dA4VpCPMxDEldMN1wp+TrvPGYgQkTW2jknBkwKsloOPBRba3flI&#10;fRlrkSAcClRgYuwKKUNlyGIYu444eRfnLcYkfS21x3uC21ZOsmwqLTacFgx2tDVUXcubVVCa32PP&#10;27PcrTcTvz9dL9Hm30qNhnk2BxHpEd/hV/ugFcy+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hw7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J/cVgroAAADc&#10;AAAADwAAAGRycy9kb3ducmV2LnhtbEVPS2sCMRC+C/6HMIIXqVmDFF2NHhSl11rX87CZbhaTybKJ&#10;j/bXN4VCb/PxPWe9fXon7tTHNrCG2bQAQVwH03Kj4fxxeFmAiAnZoAtMGr4ownYzHKyxNOHB73Q/&#10;pUbkEI4larApdaWUsbbkMU5DR5y5z9B7TBn2jTQ9PnK4d1IVxav02HJusNjRzlJ9Pd28httcueuk&#10;mrtKqnP7fby4pd1XWo9Hs2IFItEz/Yv/3G8mz1cK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xWC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7225D39B">
                        <w:pPr>
                          <w:pStyle w:val="52"/>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4SkThboAAADc&#10;AAAADwAAAGRycy9kb3ducmV2LnhtbEVPTWvCQBC9C/0PyxS8mU0ilJK6SiuI3sToxduYHbPB7GzY&#10;3Ub777tCobd5vM9ZrB62FyP50DlWUGQ5COLG6Y5bBafjZvYOIkRkjb1jUvBDAVbLl8kCK+3ufKCx&#10;jq1IIRwqVGBiHCopQ2PIYsjcQJy4q/MWY4K+ldrjPYXbXpZ5/iYtdpwaDA60NtTc6m+roDbnw8jr&#10;i9x8fpV+e7xdoy32Sk1fi/wDRKRH/Bf/uXc6zS/n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ROF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VwuWSboAAADc&#10;AAAADwAAAGRycy9kb3ducmV2LnhtbEVP24rCMBB9X9h/CLOwL4smFipSjT4o7vq23j5gaKYXbCal&#10;SW33782C4NscznVWm9E24k6drx1rmE0VCOLcmZpLDdfLfrIA4QOywcYxafgjD5v1+9sKM+MGPtH9&#10;HEoRQ9hnqKEKoc2k9HlFFv3UtcSRK1xnMUTYldJ0OMRw28hEqbm0WHNsqLClbUX57dxbDSH9KnpV&#10;7rBuT413eV8cv39+tf78mKkliEBjeImf7oOJ85MU/p+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5ZJ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133FD85">
                        <w:pPr>
                          <w:pStyle w:val="52"/>
                        </w:pPr>
                        <w:r>
                          <w:rPr>
                            <w:rFonts w:hint="eastAsia"/>
                          </w:rPr>
                          <w:t>制定</w:t>
                        </w:r>
                        <w:r>
                          <w:rPr>
                            <w:rFonts w:hint="eastAsia"/>
                            <w:lang w:val="en-US" w:eastAsia="zh-CN"/>
                          </w:rPr>
                          <w:t>文明施工</w:t>
                        </w:r>
                        <w:r>
                          <w:rPr>
                            <w:rFonts w:hint="eastAsia"/>
                          </w:rPr>
                          <w:t>实施方案</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1kacTLoAAADc&#10;AAAADwAAAGRycy9kb3ducmV2LnhtbEVP24rCMBB9F/yHMMK+iCYKilbTPuyi65uX3Q8YmukFm0lp&#10;UnX/fiMIvs3hXGebPWwjbtT52rGG2VSBIM6dqbnU8Puzm6xA+IBssHFMGv7IQ5YOB1tMjLvzmW6X&#10;UIoYwj5BDVUIbSKlzyuy6KeuJY5c4TqLIcKulKbDewy3jZwrtZQWa44NFbb0WVF+vfRWQ1iMi16V&#10;X1i358a7vC9O+++j1h+jmdqACPQIb/HLfTBx/nwNz2fiB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px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576668E2">
                        <w:pPr>
                          <w:pStyle w:val="52"/>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26+tLkAAADc&#10;AAAADwAAAGRycy9kb3ducmV2LnhtbEVPTYvCMBC9L/gfwgje1rQK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uvr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ZPCFWLkAAADc&#10;AAAADwAAAGRycy9kb3ducmV2LnhtbEVPTYvCMBC9C/6HMMLeNK2C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whVi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6xkdLLsAAADc&#10;AAAADwAAAGRycy9kb3ducmV2LnhtbEVPTWsCMRC9F/ofwhR6q9m1IrIaRQVpb+KuF2/jZtwsbiZL&#10;Elf775tCwds83ucsVg/biYF8aB0ryEcZCOLa6ZYbBcdq9zEDESKyxs4xKfihAKvl68sCC+3ufKCh&#10;jI1IIRwKVGBi7AspQ23IYhi5njhxF+ctxgR9I7XHewq3nRxn2VRabDk1GOxpa6i+ljeroDSnw8Db&#10;s9ytN2P/VV0v0eZ7pd7f8mwOItIjPsX/7m+d5n9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kdL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LccbK7sAAADc&#10;AAAADwAAAGRycy9kb3ducmV2LnhtbEVPS2sCMRC+C/6HMIVeRLNurejW6MFS8Vrreh4242YxmSyb&#10;+Ki/vhEK3ubje85idXNWXKgLjWcF41EGgrjyuuFawf7nazgDESKyRuuZFPxSgNWy31tgof2Vv+my&#10;i7VIIRwKVGBibAspQ2XIYRj5ljhxR985jAl2tdQdXlO4szLPsql02HBqMNjS2lB12p2dgvMkt6dB&#10;ObGlzPfNfXOwc/NZKvX6Ms4+QES6xaf4373Vaf7bOz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cbK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AE9498B">
                        <w:pPr>
                          <w:pStyle w:val="52"/>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IgCe47sAAADc&#10;AAAADwAAAGRycy9kb3ducmV2LnhtbEVPzWrCQBC+F3yHZYReiu5aqUh09WBp9WYTfYAhO/nB7GzI&#10;bhL79m6h4G0+vt/Z7u+2EQN1vnasYTFXIIhzZ2ouNVwvX7M1CB+QDTaOScMvedjvJi9bTIwbOaUh&#10;C6WIIewT1FCF0CZS+rwii37uWuLIFa6zGCLsSmk6HGO4beS7UitpsebYUGFLh4ryW9ZbDeHjrehV&#10;+Yl1mzbe5X3x8308a/06XagNiED38BT/u08mzl+u4O+ZeIH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e4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165EE4CD">
                        <w:pPr>
                          <w:pStyle w:val="52"/>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TUw7eLsAAADc&#10;AAAADwAAAGRycy9kb3ducmV2LnhtbEVPyW7CMBC9I/UfrKnUC2psWkFRiuEA6nKDBD5gFE8WNR5H&#10;sZPA3+NKlXqbp7fOZne1rRip941jDYtEgSAunGm40nA5fzyvQfiAbLB1TBpu5GG3fZhtMDVu4ozG&#10;PFQihrBPUUMdQpdK6YuaLPrEdcSRK11vMUTYV9L0OMVw28oXpVbSYsOxocaO9jUVP/lgNYTlvBxU&#10;dcCmy1rviqE8fX4dtX56XKh3EIGu4V/85/42cf7rG/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7e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7D045E22">
                        <w:pPr>
                          <w:pStyle w:val="52"/>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alQXKb0AAADc&#10;AAAADwAAAGRycy9kb3ducmV2LnhtbEWPQW/CMAyF75P2HyJP2m2kZRJ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Bc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BRiysrsAAADc&#10;AAAADwAAAGRycy9kb3ducmV2LnhtbEVPTWsCMRC9F/ofwhR6q9m1ILoaRQVpb+KuF2/jZtwsbiZL&#10;Elf775tCwds83ucsVg/biYF8aB0ryEcZCOLa6ZYbBcdq9zEFESKyxs4xKfihAKvl68sCC+3ufKCh&#10;jI1IIRwKVGBi7AspQ23IYhi5njhxF+ctxgR9I7XHewq3nRxn2URabDk1GOxpa6i+ljeroDSnw8Db&#10;s9ytN2P/VV0v0eZ7pd7f8mwOItIjPsX/7m+d5n/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ys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zCRoUr0AAADc&#10;AAAADwAAAGRycy9kb3ducmV2LnhtbEWPQW/CMAyF75P2HyJP2m2kRRNCHQEBEtpuiLLLbl5jmorG&#10;qZKssH+PD0jcbL3n9z4vVlffq5Fi6gIbKCcFKOIm2I5bA9/H3dscVMrIFvvAZOCfEqyWz08LrGy4&#10;8IHGOrdKQjhVaMDlPFRap8aRxzQJA7FopxA9Zlljq23Ei4T7Xk+LYqY9diwNDgfaOmrO9Z83ULuf&#10;w8jbX71bb6bx83g+ZV/ujXl9KYsPUJmu+WG+X39ZwX8X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GhS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dcFoVrsAAADc&#10;AAAADwAAAGRycy9kb3ducmV2LnhtbEVPS2sCMRC+C/6HMIIX0azLKnVr9NBi6bXq9jxsppvFZLJs&#10;4qP+elMoeJuP7znr7c1ZcaE+tJ4VzGcZCOLa65YbBcfDbvoCIkRkjdYzKfilANvNcLDGUvsrf9Fl&#10;HxuRQjiUqMDE2JVShtqQwzDzHXHifnzvMCbYN1L3eE3hzso8y5bSYcupwWBHb4bq0/7sFJyL3J4m&#10;VWErmR/b+8e3XZn3SqnxaJ69goh0i0/xv/tTp/nFAv6eSR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FoV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F87DEFE">
                        <w:pPr>
                          <w:pStyle w:val="52"/>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o2jNybkAAADc&#10;AAAADwAAAGRycy9kb3ducmV2LnhtbEVPTYvCMBC9L/gfwgje1rQi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ozcm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C5l57LsAAADc&#10;AAAADwAAAGRycy9kb3ducmV2LnhtbEVPyW7CMBC9I/UfrKnUC2psqoJKiuEA6nKDBD5gFE8WNR5H&#10;sZPA3+NKlXqbp7fOZne1rRip941jDYtEgSAunGm40nA5fzy/gfAB2WDrmDTcyMNu+zDbYGrcxBmN&#10;eahEDGGfooY6hC6V0hc1WfSJ64gjV7reYoiwr6TpcYrhtpUvSq2kxYZjQ40d7WsqfvLBagjLeTmo&#10;6oBNl7XeFUN5+vw6av30uFDvIAJdw7/4z/1t4vzXNf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l57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682983E1">
                        <w:pPr>
                          <w:pStyle w:val="52"/>
                        </w:pPr>
                        <w:r>
                          <w:rPr>
                            <w:rFonts w:hint="eastAsia"/>
                            <w:lang w:val="en-US" w:eastAsia="zh-CN"/>
                          </w:rPr>
                          <w:t>文明</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H3pGrLwAAADc&#10;AAAADwAAAGRycy9kb3ducmV2LnhtbEWPy24CMQxF95X4h8hIbCpIQAKhgcACRNtdeX2ANfE8xMQZ&#10;TTI8/h4vKnVn617fe7zePn2j7tTFOrCF6cSAIs6Dq7m0cL0cxktQMSE7bAKThRdF2G4GH2vMXHjw&#10;ie7nVCoJ4ZihhSqlNtM65hV5jJPQEotWhM5jkrUrtevwIeG+0TNjFtpjzdJQYUu7ivLbufcW0vyz&#10;6E25x7o9NTHkfXH8+v61djScmhWoRM/0b/67/nGCPxd8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6Rqy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DEEA52">
                        <w:pPr>
                          <w:pStyle w:val="52"/>
                        </w:pPr>
                        <w:r>
                          <w:rPr>
                            <w:rFonts w:hint="eastAsia"/>
                          </w:rPr>
                          <w:t>落实岗位责任制</w:t>
                        </w:r>
                      </w:p>
                    </w:txbxContent>
                  </v:textbox>
                </v:shape>
                <v:shape id="Text Box 2536" o:spid="_x0000_s1026" o:spt="202" type="#_x0000_t202" style="position:absolute;left:3045;top:4342;height:302;width:3040;v-text-anchor:middle;" fillcolor="#C5E0B4 [1305]" filled="t" stroked="t" coordsize="21600,21600" o:gfxdata="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uM3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B6A1FF6">
                        <w:pPr>
                          <w:pStyle w:val="52"/>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1mPFY7oAAADc&#10;AAAADwAAAGRycy9kb3ducmV2LnhtbEVPTWvCQBC9C/0PyxS8mU0Clp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8Vj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S9g+LsAAADc&#10;AAAADwAAAGRycy9kb3ducmV2LnhtbEVPTWsCMRC9F/ofwhR6q9m1KL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g+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Nsb4jLsAAADc&#10;AAAADwAAAGRycy9kb3ducmV2LnhtbEVPTWsCMRC9F/ofwhR6q9mVK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b4j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WYpdF7kAAADc&#10;AAAADwAAAGRycy9kb3ducmV2LnhtbEVPTYvCMBC9C/6HMMLeNK2g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XR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997Q7oAAADc&#10;AAAADwAAAGRycy9kb3ducmV2LnhtbEVP24rCMBB9X9h/CLOwL4smLrRINfqgqPu23j5gaKYXbCal&#10;SW39e7Ow4NscznWW69E24k6drx1rmE0VCOLcmZpLDdfLbjIH4QOywcYxaXiQh/Xq/W2JmXEDn+h+&#10;DqWIIewz1FCF0GZS+rwii37qWuLIFa6zGCLsSmk6HGK4beS3Uqm0WHNsqLClTUX57dxbDSH5KnpV&#10;brFuT413eV8c94dfrT8/ZmoBItAYXuJ/94+J85MU/p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tD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06439A43">
                        <w:pPr>
                          <w:pStyle w:val="52"/>
                        </w:pPr>
                        <w:r>
                          <w:rPr>
                            <w:rFonts w:hint="eastAsia"/>
                          </w:rPr>
                          <w:t>制定</w:t>
                        </w:r>
                        <w:r>
                          <w:rPr>
                            <w:rFonts w:hint="eastAsia"/>
                            <w:lang w:val="en-US" w:eastAsia="zh-CN"/>
                          </w:rPr>
                          <w:t>文明施工</w:t>
                        </w:r>
                        <w:r>
                          <w:rPr>
                            <w:rFonts w:hint="eastAsia"/>
                          </w:rPr>
                          <w:t>技术措施</w:t>
                        </w:r>
                      </w:p>
                    </w:txbxContent>
                  </v:textbox>
                </v:shape>
                <v:line id="Line 2542" o:spid="_x0000_s1026" o:spt="20" style="position:absolute;left:2707;top:2426;height:0;width:338;" filled="f" stroked="t" coordsize="21600,21600" o:gfxdata="UEsDBAoAAAAAAIdO4kAAAAAAAAAAAAAAAAAEAAAAZHJzL1BLAwQUAAAACACHTuJAxhRm+7sAAADc&#10;AAAADwAAAGRycy9kb3ducmV2LnhtbEVPTWsCMRC9F/ofwhR6q9kVq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Rm+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4QxKqrwAAADc&#10;AAAADwAAAGRycy9kb3ducmV2LnhtbEWPy24CMQxF95X4h8hIbCpIQAKhgcACRNtdeX2ANfE8xMQZ&#10;TTI8/h4vKnVn617fe7zePn2j7tTFOrCF6cSAIs6Dq7m0cL0cxktQMSE7bAKThRdF2G4GH2vMXHjw&#10;ie7nVCoJ4ZihhSqlNtM65hV5jJPQEotWhM5jkrUrtevwIeG+0TNjFtpjzdJQYUu7ivLbufcW0vyz&#10;6E25x7o9NTHkfXH8+v61djScmhWoRM/0b/67/nGCPxda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Sq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0F04E3E">
                        <w:pPr>
                          <w:pStyle w:val="52"/>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U7pTvroAAADc&#10;AAAADwAAAGRycy9kb3ducmV2LnhtbEVPTWvCQBC9C/0PyxS8mU2ClJ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O+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PPb2JbsAAADc&#10;AAAADwAAAGRycy9kb3ducmV2LnhtbEVPTWsCMRC9F/ofwhR6q9m1I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2Jb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Fc6/c7kAAADc&#10;AAAADwAAAGRycy9kb3ducmV2LnhtbEVPy6rCMBDdC/5DGOHuNPWiotXo4oIirnzidmimTbGZlCY+&#10;rl9vBMHdHM5zZouHrcSNGl86VtDvJSCIM6dLLhQcD8vuGIQPyBorx6Tgnzws5u3WDFPt7ryj2z4U&#10;IoawT1GBCaFOpfSZIYu+52riyOWusRgibAqpG7zHcFvJ3yQZSYslxwaDNf0Zyi77q1WwxedzmF+P&#10;lVmdN6dJLk98GS2V+un0kymIQI/wFX/cax3nDw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Ov3O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lCEn7wAAADc&#10;AAAADwAAAGRycy9kb3ducmV2LnhtbEVPTWvCQBC9F/wPywje6sbShhpdPQiW0lNNFa9DdpINZmdD&#10;djUxv74rFHqbx/uc9XawjbhR52vHChbzBARx4XTNlYLjz/75HYQPyBobx6TgTh62m8nTGjPtej7Q&#10;LQ+ViCHsM1RgQmgzKX1hyKKfu5Y4cqXrLIYIu0rqDvsYbhv5kiSptFhzbDDY0s5QccmvVsE3juNb&#10;eT025uP8dVqW8sSXdK/UbLpIViACDeFf/Of+1HH+awqPZ+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hJ+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d0OqRbkAAADc&#10;AAAADwAAAGRycy9kb3ducmV2LnhtbEVPTYvCMBC9C/sfwizsTdO6IN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DqkW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KoyMbkAAADc&#10;AAAADwAAAGRycy9kb3ducmV2LnhtbEVPTYvCMBC9C/sfwizsTdPKIt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qMjG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l+aXqrkAAADc&#10;AAAADwAAAGRycy9kb3ducmV2LnhtbEVPTYvCMBC9C/sfwizsTdMKK9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ml6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Q83wJrsAAADc&#10;AAAADwAAAGRycy9kb3ducmV2LnhtbEVPTWsCMRC9F/ofwhR6q9mVo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3wJ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MlJkVL0AAADc&#10;AAAADwAAAGRycy9kb3ducmV2LnhtbEWPQW/CMAyF75P2HyJP2m2kRRN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mR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QQHdLkAAADc&#10;AAAADwAAAGRycy9kb3ducmV2LnhtbEVPTYvCMBC9L/gfwgje1rQeXKlGUUF2b4vVi7exGZtiMylJ&#10;rPrvzcKCt3m8z1msHrYVPfnQOFaQjzMQxJXTDdcKjofd5wxEiMgaW8ek4EkBVsvBxwIL7e68p76M&#10;tUghHApUYGLsCilDZchiGLuOOHEX5y3GBH0ttcd7CretnGTZVFpsODUY7GhrqLqWN6ugNKd9z9uz&#10;3K03E/99uF6izX+VGg3zbA4i0iO+xf/uH53mf+X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EB3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ndaZA7sAAADc&#10;AAAADwAAAGRycy9kb3ducmV2LnhtbEVPPW/CMBDdkfofrKvERpxkoFWKQS0Sgg0RWNiO+Igj4nNk&#10;u4H++xqpUrd7ep+3WD1sL0byoXOsoMhyEMSN0x23Ck7HzewdRIjIGnvHpOCHAqyWL5MFVtrd+UBj&#10;HVuRQjhUqMDEOFRShsaQxZC5gThxV+ctxgR9K7XHewq3vSzzfC4tdpwaDA60NtTc6m+roDbnw8jr&#10;i9x8fpV+e7xdoy32Sk1fi/wDRKRH/Bf/uXc6zX8r4fl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aZA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8po8mLsAAADc&#10;AAAADwAAAGRycy9kb3ducmV2LnhtbEVPTWsCMRC9F/ofwhR6q9m1oL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o8m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fXOk7LsAAADc&#10;AAAADwAAAGRycy9kb3ducmV2LnhtbEVPTWsCMRC9F/ofwhR6q9mVo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Ok7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Ej8Bd7sAAADc&#10;AAAADwAAAGRycy9kb3ducmV2LnhtbEVPTWsCMRC9F/ofwhR6q9kVq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8Bd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4u2fALoAAADc&#10;AAAADwAAAGRycy9kb3ducmV2LnhtbEVPTYvCMBC9C/6HMMLeNK0HXbpGUUHcm1i9eJttxqbYTEoS&#10;q/vvN4Kwt3m8z1msnrYVPfnQOFaQTzIQxJXTDdcKzqfd+BNEiMgaW8ek4JcCrJbDwQIL7R58pL6M&#10;tUghHApUYGLsCilDZchimLiOOHFX5y3GBH0ttcdHCretnGbZTFpsODUY7GhrqLqVd6ugNJdjz9sf&#10;uVtvpn5/ul2jzQ9KfYzy7AtEpGf8F7/d3zrNn8/g9Uy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Z8A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jaE6m7oAAADc&#10;AAAADwAAAGRycy9kb3ducmV2LnhtbEVPTYvCMBC9C/sfwizsTdN6WKVrFBXEvYnVi7fZZmyKzaQk&#10;sbr/3giCt3m8z5kt7rYVPfnQOFaQjzIQxJXTDdcKjofNcAoiRGSNrWNS8E8BFvOPwQwL7W68p76M&#10;tUghHApUYGLsCilDZchiGLmOOHFn5y3GBH0ttcdbCretHGfZt7TYcGow2NHaUHUpr1ZBaU77ntd/&#10;crNcjf32cDlHm++U+vrMsx8Qke7xLX65f3WaP5n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Tqb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D6u6b0AAADc&#10;AAAADwAAAGRycy9kb3ducmV2LnhtbEWPQW/CMAyF75P2HyJP2m2k5TBQR0CAhLYbouyym9eYpqJx&#10;qiQr7N/jAxI3W+/5vc+L1dX3aqSYusAGykkBirgJtuPWwPdx9zYHlTKyxT4wGfinBKvl89MCKxsu&#10;fKCxzq2SEE4VGnA5D5XWqXHkMU3CQCzaKUSPWdbYahvxIuG+19OieNceO5YGhwNtHTXn+s8bqN3P&#10;YeTtr96tN9P4eTyfsi/3xry+lMUHqEzX/DDfr7+s4M+EVp6RCf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q7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k3ILcrsAAADc&#10;AAAADwAAAGRycy9kb3ducmV2LnhtbEVPPW/CMBDdK/U/WFepW3HCUCBgECChdkMkLGxHfMQR8Tmy&#10;TaD/vq5Uie2e3uctVg/biYF8aB0ryEcZCOLa6ZYbBcdq9zEFESKyxs4xKfihAKvl68sCC+3ufKCh&#10;jI1IIRwKVGBi7AspQ23IYhi5njhxF+ctxgR9I7XHewq3nRxn2ae02HJqMNjT1lB9LW9WQWlOh4G3&#10;Z7lbb8b+q7peos33Sr2/5dkcRKRHfIr/3d86zZ/M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ILc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qAPpJLkAAADc&#10;AAAADwAAAGRycy9kb3ducmV2LnhtbEVPTYvCMBC9C/6HMII3TduDSNcou4K4N7F68TbbjE2xmZQk&#10;Vvffm4UFb/N4n7PaPG0nBvKhdawgn2cgiGunW24UnE+72RJEiMgaO8ek4JcCbNbj0QpL7R58pKGK&#10;jUghHEpUYGLsSylDbchimLueOHFX5y3GBH0jtcdHCredLLJsIS22nBoM9rQ1VN+qu1VQmctx4O2P&#10;3H1+FX5/ul2jzQ9KTSd59gEi0jO+xf/ub53mLwv4eyZd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D6S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x09Mv7kAAADc&#10;AAAADwAAAGRycy9kb3ducmV2LnhtbEVPTYvCMBC9C/sfwizsTdO6IN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PTL+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SKbUy7kAAADc&#10;AAAADwAAAGRycy9kb3ducmV2LnhtbEVPTYvCMBC9C/sfwizsTdPKIt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1M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N53SyL0AAADc&#10;AAAADwAAAGRycy9kb3ducmV2LnhtbEWPQWvDMAyF74P9B6PCbquTHkbJ6oa2ULbbaLrLbmqsxiGx&#10;HGwv7f79dBjsJvGe3vu0qe9+VDPF1Ac2UC4LUMRtsD13Bj7Px+c1qJSRLY6BycAPJai3jw8brGy4&#10;8YnmJndKQjhVaMDlPFVap9aRx7QME7Fo1xA9Zlljp23Em4T7Ua+K4kV77FkaHE50cNQOzbc30Liv&#10;08yHiz7u9qv4dh6u2ZcfxjwtyuIVVKZ7/jf/Xb9bwV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L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1zjvJ7kAAADc&#10;AAAADwAAAGRycy9kb3ducmV2LnhtbEVPTYvCMBC9C/sfwgjeNK0HkW6jrILoTax72dtsMzbFZlKS&#10;bNV/bwRhb/N4n1Ou77YTA/nQOlaQzzIQxLXTLTcKvs+76RJEiMgaO8ek4EEB1quPUYmFdjc+0VDF&#10;RqQQDgUqMDH2hZShNmQxzFxPnLiL8xZjgr6R2uMthdtOzrNsIS22nBoM9rQ1VF+rP6ugMj+ngbe/&#10;cve1mfv9+XqJNj8qNRnn2SeISPf4L367DzrNXy7g9Uy6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7y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J+pxULkAAADc&#10;AAAADwAAAGRycy9kb3ducmV2LnhtbEVPTYvCMBC9C/sfwizsTdMKK9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cV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YHl9Ur0AAADc&#10;AAAADwAAAGRycy9kb3ducmV2LnhtbEWPT2/CMAzF75P2HSJP4jJBSoUm6AgcQJu4jlHOVuM1FYlT&#10;NeHvp58Pk3az9Z7f+3m5vgWvLjSkLrKB6aQARdxE23Fr4PD9MZ6DShnZoo9MBu6UYL16flpiZeOV&#10;v+iyz62SEE4VGnA595XWqXEUME1iTyzaTxwCZlmHVtsBrxIevC6L4k0H7FgaHPa0cdSc9udg4Dwr&#10;/em1nvlal4fu8Xn0C7etjRm9TIt3UJlu+d/8d72z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X1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D013502">
                        <w:pPr>
                          <w:pStyle w:val="52"/>
                        </w:pPr>
                        <w:r>
                          <w:rPr>
                            <w:rFonts w:hint="eastAsia"/>
                          </w:rPr>
                          <w:t>文明</w:t>
                        </w:r>
                      </w:p>
                      <w:p w14:paraId="773A69BC">
                        <w:pPr>
                          <w:pStyle w:val="52"/>
                        </w:pPr>
                        <w:r>
                          <w:rPr>
                            <w:rFonts w:hint="eastAsia"/>
                          </w:rPr>
                          <w:t>施工</w:t>
                        </w:r>
                      </w:p>
                      <w:p w14:paraId="14511A43">
                        <w:pPr>
                          <w:pStyle w:val="52"/>
                        </w:pPr>
                        <w:r>
                          <w:rPr>
                            <w:rFonts w:hint="eastAsia"/>
                          </w:rPr>
                          <w:t>达标</w:t>
                        </w:r>
                      </w:p>
                    </w:txbxContent>
                  </v:textbox>
                </v:shape>
                <w10:wrap type="none"/>
                <w10:anchorlock/>
              </v:group>
            </w:pict>
          </mc:Fallback>
        </mc:AlternateContent>
      </w:r>
    </w:p>
    <w:p w14:paraId="4BC59E55">
      <w:pPr>
        <w:pStyle w:val="38"/>
        <w:bidi w:val="0"/>
        <w:rPr>
          <w:highlight w:val="none"/>
        </w:rPr>
      </w:pPr>
      <w:r>
        <w:rPr>
          <w:rFonts w:hint="eastAsia"/>
          <w:highlight w:val="none"/>
        </w:rPr>
        <w:t>图9.</w:t>
      </w:r>
      <w:r>
        <w:rPr>
          <w:rFonts w:hint="eastAsia"/>
          <w:highlight w:val="none"/>
          <w:lang w:val="en-US" w:eastAsia="zh-CN"/>
        </w:rPr>
        <w:t>1.</w:t>
      </w:r>
      <w:r>
        <w:rPr>
          <w:rFonts w:hint="eastAsia"/>
          <w:highlight w:val="none"/>
        </w:rPr>
        <w:t>2-1文明施工保证体系框图</w:t>
      </w:r>
    </w:p>
    <w:p w14:paraId="4395DCEE">
      <w:pPr>
        <w:pStyle w:val="4"/>
        <w:tabs>
          <w:tab w:val="left" w:pos="240"/>
        </w:tabs>
        <w:bidi w:val="0"/>
        <w:rPr>
          <w:rFonts w:hint="default"/>
          <w:highlight w:val="none"/>
          <w:lang w:val="en-US" w:eastAsia="zh-CN"/>
        </w:rPr>
      </w:pPr>
      <w:r>
        <w:rPr>
          <w:rFonts w:hint="eastAsia"/>
          <w:highlight w:val="none"/>
          <w:lang w:val="en-US" w:eastAsia="zh-CN"/>
        </w:rPr>
        <w:t>10.2.3文明施工保证措施</w:t>
      </w:r>
    </w:p>
    <w:p w14:paraId="04C24F97">
      <w:pPr>
        <w:pStyle w:val="5"/>
        <w:bidi w:val="0"/>
        <w:rPr>
          <w:highlight w:val="none"/>
        </w:rPr>
      </w:pPr>
      <w:r>
        <w:rPr>
          <w:rFonts w:hint="eastAsia"/>
          <w:highlight w:val="none"/>
          <w:lang w:val="en-US" w:eastAsia="zh-CN"/>
        </w:rPr>
        <w:t>10.2.3.1</w:t>
      </w:r>
      <w:r>
        <w:rPr>
          <w:highlight w:val="none"/>
        </w:rPr>
        <w:t>施工驻地文明施工保证措施</w:t>
      </w:r>
    </w:p>
    <w:p w14:paraId="3C40D638">
      <w:pPr>
        <w:pStyle w:val="39"/>
        <w:bidi w:val="0"/>
        <w:rPr>
          <w:rFonts w:hint="eastAsia"/>
          <w:highlight w:val="none"/>
          <w:lang w:val="en-US" w:eastAsia="zh-CN"/>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-1施工驻地文明施工保证措施</w:t>
      </w:r>
    </w:p>
    <w:tbl>
      <w:tblPr>
        <w:tblStyle w:val="133"/>
        <w:tblpPr w:leftFromText="180" w:rightFromText="180" w:vertAnchor="text" w:tblpXSpec="center" w:tblpY="1"/>
        <w:tblW w:w="83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570"/>
        <w:gridCol w:w="945"/>
        <w:gridCol w:w="6854"/>
      </w:tblGrid>
      <w:tr w14:paraId="72F2627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tblHeader/>
          <w:jc w:val="center"/>
        </w:trPr>
        <w:tc>
          <w:tcPr>
            <w:tcW w:w="570" w:type="dxa"/>
            <w:shd w:val="clear" w:color="auto" w:fill="auto"/>
            <w:vAlign w:val="center"/>
          </w:tcPr>
          <w:p w14:paraId="5075286C">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945" w:type="dxa"/>
            <w:shd w:val="clear" w:color="auto" w:fill="auto"/>
            <w:vAlign w:val="center"/>
          </w:tcPr>
          <w:p w14:paraId="47E73C7A">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720E8608">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6854" w:type="dxa"/>
            <w:shd w:val="clear" w:color="auto" w:fill="auto"/>
            <w:vAlign w:val="center"/>
          </w:tcPr>
          <w:p w14:paraId="49116402">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3B87D96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10139590">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945" w:type="dxa"/>
            <w:shd w:val="clear" w:color="auto" w:fill="auto"/>
            <w:vAlign w:val="center"/>
          </w:tcPr>
          <w:p w14:paraId="6D040025">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w:t>
            </w:r>
          </w:p>
        </w:tc>
        <w:tc>
          <w:tcPr>
            <w:tcW w:w="6854" w:type="dxa"/>
            <w:shd w:val="clear" w:color="auto" w:fill="auto"/>
            <w:vAlign w:val="center"/>
          </w:tcPr>
          <w:p w14:paraId="7674E63B">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7CD74C4C">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0666BF47">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做好生活区场地硬化、绿化；按规范要求建设专项生活办公区水电供应设施及排水设施，严禁电线私拉乱接、使用大功率用电设备，严禁乱排污水；做好安全消防设施。</w:t>
            </w:r>
          </w:p>
          <w:p w14:paraId="0C288839">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1E4C9C2D">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定期进行生活区文明施工检查，开展文明施工宣传。在宣传教育栏中对生活区文明情况进行奖罚公告、督促整改，创造一个和谐、有序、文明的生活环境。</w:t>
            </w:r>
          </w:p>
        </w:tc>
      </w:tr>
      <w:tr w14:paraId="2D26C08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7E292366">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945" w:type="dxa"/>
            <w:shd w:val="clear" w:color="auto" w:fill="auto"/>
            <w:vAlign w:val="center"/>
          </w:tcPr>
          <w:p w14:paraId="3EC2BF27">
            <w:pPr>
              <w:pStyle w:val="52"/>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w:t>
            </w:r>
          </w:p>
        </w:tc>
        <w:tc>
          <w:tcPr>
            <w:tcW w:w="6854" w:type="dxa"/>
            <w:shd w:val="clear" w:color="auto" w:fill="auto"/>
            <w:vAlign w:val="center"/>
          </w:tcPr>
          <w:p w14:paraId="462D7AC2">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按批准的施工组织设计平面布置图，建设规范化、标准化的项目部大门、门卫、围墙、围挡、旗杆、旗帜、宣传教育栏、洗车台、停车场、门厅、会议室、办公室等办公区临建设施。</w:t>
            </w:r>
          </w:p>
          <w:p w14:paraId="495019A4">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6610BE81">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在门厅设立宣传教育栏、办公区平面布置图及其它标识标牌，在办公区周围插设宣传旗，切实起到教育、宣传作用。</w:t>
            </w:r>
          </w:p>
          <w:p w14:paraId="3C670F8C">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办公室或值班室，墙面悬挂现场总平面布置图、施工形象进度图、组织机构、工作职责、工作制度。</w:t>
            </w:r>
          </w:p>
          <w:p w14:paraId="713E1536">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办公区设施设专人维护，办公区（办公室、会议室、门厅等）由专人清洁，做到办公室整洁、物品有序，给员工提供一个良好的办公环境。</w:t>
            </w:r>
          </w:p>
          <w:p w14:paraId="20DB0BB6">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门卫室做好外来人员、车辆登记，并做到车辆停放规范。</w:t>
            </w:r>
          </w:p>
          <w:p w14:paraId="47186CCE">
            <w:pPr>
              <w:pStyle w:val="52"/>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文明施工管理员每天对办公区进行检查，并在宣传教育栏中进行奖罚公告、督促整改，创造一个和谐、有序办公环境。</w:t>
            </w:r>
          </w:p>
          <w:p w14:paraId="30A43D0A">
            <w:pPr>
              <w:pStyle w:val="52"/>
              <w:spacing w:line="240" w:lineRule="auto"/>
              <w:jc w:val="left"/>
              <w:rPr>
                <w:rFonts w:hint="eastAsia" w:ascii="宋体" w:hAnsi="宋体" w:eastAsia="宋体" w:cs="宋体"/>
                <w:b w:val="0"/>
                <w:bCs/>
                <w:spacing w:val="-6"/>
                <w:kern w:val="0"/>
                <w:sz w:val="20"/>
                <w:szCs w:val="20"/>
                <w:highlight w:val="none"/>
              </w:rPr>
            </w:pPr>
            <w:r>
              <w:rPr>
                <w:rFonts w:hint="eastAsia" w:ascii="宋体" w:hAnsi="宋体" w:eastAsia="宋体" w:cs="宋体"/>
                <w:b w:val="0"/>
                <w:bCs/>
                <w:kern w:val="0"/>
                <w:sz w:val="20"/>
                <w:szCs w:val="20"/>
                <w:highlight w:val="none"/>
              </w:rPr>
              <w:t>做好办公区场地硬化、绿化，按规范要求建设专项生活办公区水电供应设施及排水设施，严禁电线私拉乱接、使用大功率用电设备，严禁乱排污水；做好安全消防设施。</w:t>
            </w:r>
          </w:p>
        </w:tc>
      </w:tr>
    </w:tbl>
    <w:p w14:paraId="6A032F74">
      <w:pPr>
        <w:pStyle w:val="5"/>
        <w:bidi w:val="0"/>
        <w:rPr>
          <w:rFonts w:hint="default"/>
          <w:highlight w:val="none"/>
          <w:lang w:val="en-US" w:eastAsia="zh-CN"/>
        </w:rPr>
      </w:pPr>
      <w:r>
        <w:rPr>
          <w:rFonts w:hint="eastAsia"/>
          <w:highlight w:val="none"/>
          <w:lang w:val="en-US" w:eastAsia="zh-CN"/>
        </w:rPr>
        <w:t>10.2.3.2</w:t>
      </w:r>
      <w:r>
        <w:rPr>
          <w:rFonts w:hint="eastAsia"/>
          <w:highlight w:val="none"/>
        </w:rPr>
        <w:t>施工现场文明施工措施</w:t>
      </w:r>
    </w:p>
    <w:p w14:paraId="4526F4C7">
      <w:pPr>
        <w:pStyle w:val="39"/>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w:t>
      </w:r>
      <w:r>
        <w:rPr>
          <w:rFonts w:hint="eastAsia"/>
          <w:highlight w:val="none"/>
          <w:lang w:val="en-US" w:eastAsia="zh-CN"/>
        </w:rPr>
        <w:t>2</w:t>
      </w:r>
      <w:r>
        <w:rPr>
          <w:rFonts w:hint="eastAsia"/>
          <w:highlight w:val="none"/>
        </w:rPr>
        <w:t>施工现场文明施工保证措施</w:t>
      </w:r>
    </w:p>
    <w:tbl>
      <w:tblPr>
        <w:tblStyle w:val="133"/>
        <w:tblpPr w:leftFromText="180" w:rightFromText="180" w:vertAnchor="text" w:tblpXSpec="center" w:tblpY="1"/>
        <w:tblW w:w="8590"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3"/>
        <w:gridCol w:w="872"/>
        <w:gridCol w:w="7075"/>
      </w:tblGrid>
      <w:tr w14:paraId="0E9A433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360" w:hRule="atLeast"/>
          <w:tblHeader/>
          <w:jc w:val="center"/>
        </w:trPr>
        <w:tc>
          <w:tcPr>
            <w:tcW w:w="643" w:type="dxa"/>
            <w:shd w:val="clear" w:color="auto" w:fill="auto"/>
            <w:vAlign w:val="center"/>
          </w:tcPr>
          <w:p w14:paraId="1F08AF7C">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872" w:type="dxa"/>
            <w:shd w:val="clear" w:color="auto" w:fill="auto"/>
            <w:vAlign w:val="center"/>
          </w:tcPr>
          <w:p w14:paraId="69EF7DC5">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14E7B7BF">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7075" w:type="dxa"/>
            <w:shd w:val="clear" w:color="auto" w:fill="auto"/>
            <w:vAlign w:val="center"/>
          </w:tcPr>
          <w:p w14:paraId="13B8259F">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248472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2465F933">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872" w:type="dxa"/>
            <w:shd w:val="clear" w:color="auto" w:fill="auto"/>
            <w:vAlign w:val="center"/>
          </w:tcPr>
          <w:p w14:paraId="14578205">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w:t>
            </w:r>
          </w:p>
        </w:tc>
        <w:tc>
          <w:tcPr>
            <w:tcW w:w="7075" w:type="dxa"/>
            <w:shd w:val="clear" w:color="auto" w:fill="auto"/>
            <w:vAlign w:val="center"/>
          </w:tcPr>
          <w:p w14:paraId="6BA12412">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生产区工地大门、洗车台、钢筋加工区、混凝土生产区、仓库、钢结构及模板加工区、材料堆放区、设备维修车间、试验室、消防通道等临建设施，合理规划设置垃圾箱、废料分类区、吸烟区、流动厕所、饮水休息区。</w:t>
            </w:r>
          </w:p>
          <w:p w14:paraId="54366B4E">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3CEFE6A5">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建立文明施工责任区，划分区域明确责任人，挂牌监督。</w:t>
            </w:r>
          </w:p>
          <w:p w14:paraId="18DCFCAE">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每天设专职文明施工管理员进行巡逻检查，督促日常文明施工工作。</w:t>
            </w:r>
          </w:p>
          <w:p w14:paraId="76897655">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3A554959">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每月召开文明施工例会，对现场文明施工问题及整改落实情况进行通报，并进行各区域的奖罚通告，同时讨论研究下个月文明施工改进措施、实施细则等。</w:t>
            </w:r>
          </w:p>
          <w:p w14:paraId="616C074E">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生产区现场做好文明施工宣传标识牌、安全警示标志标语布置，所有标识标牌要按照规定的材料、式样、颜色、内容等标准格式统一加工制作。</w:t>
            </w:r>
          </w:p>
          <w:p w14:paraId="356604B7">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对进场的材料、机具、标识标牌、配电箱、消防器材等严格按布置图位置进行堆放、设置，堆放设置要做到整齐有序。</w:t>
            </w:r>
          </w:p>
          <w:p w14:paraId="7762AC10">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材料挂设标识牌，注明名称、品种、规格、检验状态，检验合格与不合格材料分别堆放，不合格不入库；半成品、成品要整齐堆放，分别挂设标识牌，注明名称、品种、规格、使用部位、图形等，做好防雨防潮。每天由专职文明施工管理员负责检查。</w:t>
            </w:r>
          </w:p>
          <w:p w14:paraId="6A61BD72">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装运建筑材料、土石方、建筑垃圾过程中，采取覆盖措施，以免发生洒漏；混凝土、砂浆运输车辆要做好封闭工作，以免发生洒漏。</w:t>
            </w:r>
          </w:p>
          <w:p w14:paraId="23DA370D">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生产加工产生的废物材料、建筑垃圾要分类堆放，及时清运到指定地点，不随意倾倒，工具杂物要做到“人走场清”。</w:t>
            </w:r>
          </w:p>
          <w:p w14:paraId="5C1E5C61">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生产区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严禁乱排污水；完善安全消防设施；设专人进行管线设施维护。</w:t>
            </w:r>
          </w:p>
          <w:p w14:paraId="3B0FA117">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做好生产区场地硬化、绿化；作业场地内无积水，废水处理须规范，油、污水未经处理不排放；设专人清洁生产区，保证道路晴天不扬尘，雨天不泥泞。</w:t>
            </w:r>
          </w:p>
          <w:p w14:paraId="3C2A6723">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浇筑混凝土、钻孔桩施工、锚碇施工等过程中，采取相应的措施，减少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、扬尘，减少对周边居民及生态环境的影响。</w:t>
            </w:r>
          </w:p>
          <w:p w14:paraId="497ADEFE">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合理规划化学物品库和易燃易爆物品库，保证化学物品和易燃易爆物品合理存放，严格管理，以免污染环境；化学物品和易燃易爆物品领用时做好登记手续，搬运、装卸、使用时必须符合国家现行有关规定的要求。</w:t>
            </w:r>
          </w:p>
        </w:tc>
      </w:tr>
      <w:tr w14:paraId="23DA56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42A3B489">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872" w:type="dxa"/>
            <w:shd w:val="clear" w:color="auto" w:fill="auto"/>
            <w:vAlign w:val="center"/>
          </w:tcPr>
          <w:p w14:paraId="71FC245E">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施工区</w:t>
            </w:r>
          </w:p>
        </w:tc>
        <w:tc>
          <w:tcPr>
            <w:tcW w:w="7075" w:type="dxa"/>
            <w:shd w:val="clear" w:color="auto" w:fill="auto"/>
            <w:vAlign w:val="center"/>
          </w:tcPr>
          <w:p w14:paraId="341165C0">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按批准的施工组织设计平面布置图，建设施工便桥、操作平台，合理规划设置垃圾箱、废料堆积区、吸烟区、流动厕所、饮水休息区。</w:t>
            </w:r>
          </w:p>
          <w:p w14:paraId="0525476A">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在施工现场设置周正醒目标牌，即工程概况牌、工程责任人牌、安全制度牌、消防保卫制度牌、环境保护制度牌、文明施工牌、工艺流程图。</w:t>
            </w:r>
          </w:p>
          <w:p w14:paraId="4C8CDF19">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施工便桥、周围安装安全警示灯，布置安全警示标识；</w:t>
            </w:r>
          </w:p>
          <w:p w14:paraId="7A66B95F">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生产加工产生的废物材料要分类堆放处理，泥浆、混凝土、土石方等建筑垃圾要及时清运到指定地点，不随意倾倒，工具杂物要做到“人走场清”。</w:t>
            </w:r>
          </w:p>
          <w:p w14:paraId="6DCB2DEE">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装运建筑垃圾过程中，采取覆盖措施，以免发生洒漏；混凝土、砂浆、泥浆运输车辆要做好封闭工作，以免发生洒漏。</w:t>
            </w:r>
          </w:p>
          <w:p w14:paraId="7DEF5941">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施工便桥设置专人维护、洒水、清洁，确保便桥整洁、不扬尘；采取相应的措施，减少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污染，减少对周边生态环境的影响。</w:t>
            </w:r>
          </w:p>
          <w:p w14:paraId="5B5E6D44">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现场做好文明施工宣传标识牌、安全警示标志标语布置，标识牌布置要齐全、美观、整齐，所有标识标牌要按照规定的材料、式样、颜色、内容等标准格式统一加工制作。</w:t>
            </w:r>
          </w:p>
          <w:p w14:paraId="513CE333">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按国家现行有关规定做好现场化学物品和易燃易爆物品的存放、管理工作，以免污染环境；化学物品和易燃易爆物品领用时做好登记手续，搬运、装卸、使用时必须符合国家现行有关规定的要求。</w:t>
            </w:r>
          </w:p>
          <w:p w14:paraId="477E733A">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明确该区域文明施工责任人，挂牌监督；每天设专职文明施工管理员进行巡逻检查，督促日常文明施工工作。</w:t>
            </w:r>
          </w:p>
          <w:p w14:paraId="2962A2D9">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4946719A">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每月召开文明施工例会，对现场文明施工问题及整改落实情况进行通报，并进行各区域的奖罚通告，同时讨论研究下个月文明施工工作细则、实施细则等。</w:t>
            </w:r>
          </w:p>
          <w:p w14:paraId="3B77494A">
            <w:pPr>
              <w:pStyle w:val="157"/>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做到给水不漏，排水顺畅，严禁乱排污水；完善安全消防设施；设专人进行管线设施维护。</w:t>
            </w:r>
          </w:p>
        </w:tc>
      </w:tr>
    </w:tbl>
    <w:p w14:paraId="7F9A171E">
      <w:pPr>
        <w:pStyle w:val="5"/>
        <w:bidi w:val="0"/>
        <w:rPr>
          <w:rFonts w:hint="default"/>
          <w:highlight w:val="none"/>
          <w:lang w:val="en-US" w:eastAsia="zh-CN"/>
        </w:rPr>
      </w:pPr>
      <w:r>
        <w:rPr>
          <w:rFonts w:hint="eastAsia"/>
          <w:highlight w:val="none"/>
          <w:lang w:val="en-US" w:eastAsia="zh-CN"/>
        </w:rPr>
        <w:t>10.2.3.3</w:t>
      </w:r>
      <w:r>
        <w:rPr>
          <w:rFonts w:hint="eastAsia"/>
          <w:highlight w:val="none"/>
        </w:rPr>
        <w:t>现场机械文明施工措施</w:t>
      </w:r>
    </w:p>
    <w:p w14:paraId="22E152E0">
      <w:pPr>
        <w:pStyle w:val="39"/>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w:t>
      </w:r>
      <w:r>
        <w:rPr>
          <w:rFonts w:hint="eastAsia"/>
          <w:highlight w:val="none"/>
          <w:lang w:val="en-US" w:eastAsia="zh-CN"/>
        </w:rPr>
        <w:t>3</w:t>
      </w:r>
      <w:r>
        <w:rPr>
          <w:rFonts w:hint="eastAsia"/>
          <w:highlight w:val="none"/>
        </w:rPr>
        <w:t>现场机械文明施工保证措施</w:t>
      </w:r>
    </w:p>
    <w:tbl>
      <w:tblPr>
        <w:tblStyle w:val="133"/>
        <w:tblpPr w:leftFromText="180" w:rightFromText="180" w:vertAnchor="text" w:tblpXSpec="center" w:tblpY="1"/>
        <w:tblW w:w="84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5"/>
        <w:gridCol w:w="7824"/>
      </w:tblGrid>
      <w:tr w14:paraId="07311F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08" w:hRule="atLeast"/>
          <w:jc w:val="center"/>
        </w:trPr>
        <w:tc>
          <w:tcPr>
            <w:tcW w:w="645" w:type="dxa"/>
            <w:shd w:val="clear" w:color="auto" w:fill="auto"/>
            <w:vAlign w:val="center"/>
          </w:tcPr>
          <w:p w14:paraId="670701C8">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7824" w:type="dxa"/>
            <w:shd w:val="clear" w:color="auto" w:fill="auto"/>
            <w:vAlign w:val="center"/>
          </w:tcPr>
          <w:p w14:paraId="7CF9AF5B">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7CA72C2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48D488A6">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7824" w:type="dxa"/>
            <w:shd w:val="clear" w:color="auto" w:fill="auto"/>
            <w:vAlign w:val="center"/>
          </w:tcPr>
          <w:p w14:paraId="65827205">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配备专职的车辆、机械管理员，负责现场的车辆、机械的管理及调度；</w:t>
            </w:r>
          </w:p>
          <w:p w14:paraId="3809EC9A">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配备专业人员，负责现场的车辆、机械的维修、保养，使车辆、机械保持良好的状况。</w:t>
            </w:r>
          </w:p>
        </w:tc>
      </w:tr>
      <w:tr w14:paraId="1312CCC7">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7F45C911">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7824" w:type="dxa"/>
            <w:shd w:val="clear" w:color="auto" w:fill="auto"/>
            <w:vAlign w:val="center"/>
          </w:tcPr>
          <w:p w14:paraId="5FF2B1A8">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统一车辆、机械的颜色、标记、标识，并制定相应的机械操作规程。</w:t>
            </w:r>
          </w:p>
        </w:tc>
      </w:tr>
      <w:tr w14:paraId="3F6AEF3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5F40B72">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3</w:t>
            </w:r>
          </w:p>
        </w:tc>
        <w:tc>
          <w:tcPr>
            <w:tcW w:w="7824" w:type="dxa"/>
            <w:shd w:val="clear" w:color="auto" w:fill="auto"/>
            <w:vAlign w:val="center"/>
          </w:tcPr>
          <w:p w14:paraId="5275D9F3">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车辆、机械经常清洗，停放有序；</w:t>
            </w:r>
          </w:p>
          <w:p w14:paraId="2A597C90">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定期对驾驶人员进行遵章守纪、交通法规、文明施工教育，保证文明行驶，礼让三先，确保交通安全。</w:t>
            </w:r>
          </w:p>
        </w:tc>
      </w:tr>
      <w:tr w14:paraId="4219135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3B23CF4">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4</w:t>
            </w:r>
          </w:p>
        </w:tc>
        <w:tc>
          <w:tcPr>
            <w:tcW w:w="7824" w:type="dxa"/>
            <w:shd w:val="clear" w:color="auto" w:fill="auto"/>
            <w:vAlign w:val="center"/>
          </w:tcPr>
          <w:p w14:paraId="0BC76CF3">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清洗车辆机械排出的污水有排放措施，不随地流淌；</w:t>
            </w:r>
          </w:p>
          <w:p w14:paraId="6C862B9E">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机械应防止严重漏油，运行中产生的油污水不随意污染道路及水源。</w:t>
            </w:r>
          </w:p>
        </w:tc>
      </w:tr>
      <w:tr w14:paraId="1106D8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2387FC4D">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5</w:t>
            </w:r>
          </w:p>
        </w:tc>
        <w:tc>
          <w:tcPr>
            <w:tcW w:w="7824" w:type="dxa"/>
            <w:shd w:val="clear" w:color="auto" w:fill="auto"/>
            <w:vAlign w:val="center"/>
          </w:tcPr>
          <w:p w14:paraId="18E5F5E1">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拌和站、砂浆机等机械须配备防尘装置，在拌和站旁设置沉淀池，不将污水直接排放。</w:t>
            </w:r>
          </w:p>
        </w:tc>
      </w:tr>
      <w:tr w14:paraId="73F9508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12206ECF">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6</w:t>
            </w:r>
          </w:p>
        </w:tc>
        <w:tc>
          <w:tcPr>
            <w:tcW w:w="7824" w:type="dxa"/>
            <w:shd w:val="clear" w:color="auto" w:fill="auto"/>
            <w:vAlign w:val="center"/>
          </w:tcPr>
          <w:p w14:paraId="14D2736B">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合理规划使用施工场地内各种车辆、机械、设备，减少噪音累加，尽量采用</w:t>
            </w:r>
            <w:r>
              <w:rPr>
                <w:rFonts w:hint="eastAsia" w:cs="宋体"/>
                <w:b w:val="0"/>
                <w:bCs/>
                <w:kern w:val="0"/>
                <w:sz w:val="20"/>
                <w:szCs w:val="20"/>
                <w:highlight w:val="none"/>
                <w:lang w:eastAsia="zh-CN"/>
              </w:rPr>
              <w:t>低噪音</w:t>
            </w:r>
            <w:r>
              <w:rPr>
                <w:rFonts w:hint="eastAsia" w:ascii="宋体" w:hAnsi="宋体" w:eastAsia="宋体" w:cs="宋体"/>
                <w:b w:val="0"/>
                <w:bCs/>
                <w:kern w:val="0"/>
                <w:sz w:val="20"/>
                <w:szCs w:val="20"/>
                <w:highlight w:val="none"/>
              </w:rPr>
              <w:t>设备，控制噪音污染。</w:t>
            </w:r>
          </w:p>
        </w:tc>
      </w:tr>
      <w:tr w14:paraId="76A0C93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6465B5ED">
            <w:pPr>
              <w:pStyle w:val="52"/>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7</w:t>
            </w:r>
          </w:p>
        </w:tc>
        <w:tc>
          <w:tcPr>
            <w:tcW w:w="7824" w:type="dxa"/>
            <w:shd w:val="clear" w:color="auto" w:fill="auto"/>
            <w:vAlign w:val="center"/>
          </w:tcPr>
          <w:p w14:paraId="72D26CF9">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装运材料、土石方、垃圾等车辆，采取覆盖措施，确保行驶途中不污染道路和环境；</w:t>
            </w:r>
          </w:p>
          <w:p w14:paraId="3DF494C1">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混凝土、砂浆运输车辆要做好封闭工作，以免发生洒漏；</w:t>
            </w:r>
          </w:p>
          <w:p w14:paraId="29D64C0A">
            <w:pPr>
              <w:pStyle w:val="52"/>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装运材料、垃圾时，应做好覆盖或封闭工作，确保不污染防城港市地域环境。</w:t>
            </w:r>
          </w:p>
        </w:tc>
      </w:tr>
    </w:tbl>
    <w:p w14:paraId="304BBEDD">
      <w:pPr>
        <w:pStyle w:val="5"/>
        <w:bidi w:val="0"/>
        <w:rPr>
          <w:rFonts w:hint="default"/>
          <w:highlight w:val="none"/>
          <w:lang w:val="en-US" w:eastAsia="zh-CN"/>
        </w:rPr>
      </w:pPr>
      <w:bookmarkStart w:id="440" w:name="_Toc492222637"/>
      <w:bookmarkStart w:id="441" w:name="_Toc502086831"/>
      <w:bookmarkStart w:id="442" w:name="_Toc27527"/>
      <w:bookmarkStart w:id="443" w:name="_Toc26763"/>
      <w:bookmarkStart w:id="444" w:name="_Toc6274"/>
      <w:r>
        <w:rPr>
          <w:rFonts w:hint="eastAsia"/>
          <w:highlight w:val="none"/>
          <w:lang w:val="en-US" w:eastAsia="zh-CN"/>
        </w:rPr>
        <w:t>10</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3.4</w:t>
      </w:r>
      <w:r>
        <w:rPr>
          <w:rFonts w:hint="eastAsia"/>
          <w:highlight w:val="none"/>
        </w:rPr>
        <w:t>施工人员文明施工措施</w:t>
      </w:r>
      <w:bookmarkEnd w:id="440"/>
      <w:bookmarkEnd w:id="441"/>
      <w:bookmarkEnd w:id="442"/>
      <w:bookmarkEnd w:id="443"/>
      <w:bookmarkEnd w:id="444"/>
    </w:p>
    <w:p w14:paraId="05987A57">
      <w:pPr>
        <w:pStyle w:val="39"/>
        <w:bidi w:val="0"/>
        <w:rPr>
          <w:highlight w:val="none"/>
        </w:rPr>
      </w:pPr>
      <w:r>
        <w:rPr>
          <w:rFonts w:hint="eastAsia"/>
          <w:highlight w:val="none"/>
        </w:rPr>
        <w:t>表</w:t>
      </w:r>
      <w:r>
        <w:rPr>
          <w:rFonts w:hint="eastAsia"/>
          <w:highlight w:val="none"/>
          <w:lang w:val="en-US" w:eastAsia="zh-CN"/>
        </w:rPr>
        <w:t xml:space="preserve">10.2.3-4 </w:t>
      </w:r>
      <w:r>
        <w:rPr>
          <w:rFonts w:hint="eastAsia"/>
          <w:highlight w:val="none"/>
        </w:rPr>
        <w:t>施工人员文明施工保证措施</w:t>
      </w:r>
    </w:p>
    <w:tbl>
      <w:tblPr>
        <w:tblStyle w:val="133"/>
        <w:tblpPr w:leftFromText="180" w:rightFromText="180" w:vertAnchor="text" w:tblpXSpec="center" w:tblpY="1"/>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autofit"/>
        <w:tblCellMar>
          <w:top w:w="0" w:type="dxa"/>
          <w:left w:w="108" w:type="dxa"/>
          <w:bottom w:w="0" w:type="dxa"/>
          <w:right w:w="108" w:type="dxa"/>
        </w:tblCellMar>
      </w:tblPr>
      <w:tblGrid>
        <w:gridCol w:w="634"/>
        <w:gridCol w:w="7886"/>
      </w:tblGrid>
      <w:tr w14:paraId="5C80159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470" w:hRule="atLeast"/>
          <w:jc w:val="center"/>
        </w:trPr>
        <w:tc>
          <w:tcPr>
            <w:tcW w:w="372" w:type="pct"/>
            <w:shd w:val="clear" w:color="auto" w:fill="auto"/>
            <w:vAlign w:val="center"/>
          </w:tcPr>
          <w:p w14:paraId="3D4D0724">
            <w:pPr>
              <w:pStyle w:val="52"/>
              <w:rPr>
                <w:b w:val="0"/>
                <w:bCs/>
                <w:kern w:val="0"/>
                <w:highlight w:val="none"/>
              </w:rPr>
            </w:pPr>
            <w:r>
              <w:rPr>
                <w:rFonts w:hint="eastAsia"/>
                <w:b w:val="0"/>
                <w:bCs/>
                <w:kern w:val="0"/>
                <w:highlight w:val="none"/>
              </w:rPr>
              <w:t>序号</w:t>
            </w:r>
          </w:p>
        </w:tc>
        <w:tc>
          <w:tcPr>
            <w:tcW w:w="4627" w:type="pct"/>
            <w:shd w:val="clear" w:color="auto" w:fill="auto"/>
            <w:vAlign w:val="center"/>
          </w:tcPr>
          <w:p w14:paraId="6B9FFE8A">
            <w:pPr>
              <w:pStyle w:val="52"/>
              <w:rPr>
                <w:b w:val="0"/>
                <w:bCs/>
                <w:kern w:val="0"/>
                <w:highlight w:val="none"/>
              </w:rPr>
            </w:pPr>
            <w:r>
              <w:rPr>
                <w:rFonts w:hint="eastAsia"/>
                <w:b w:val="0"/>
                <w:bCs/>
                <w:kern w:val="0"/>
                <w:highlight w:val="none"/>
              </w:rPr>
              <w:t>主要保证措施</w:t>
            </w:r>
          </w:p>
        </w:tc>
      </w:tr>
      <w:tr w14:paraId="2F7A6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E4E6664">
            <w:pPr>
              <w:pStyle w:val="52"/>
              <w:rPr>
                <w:b w:val="0"/>
                <w:bCs/>
                <w:kern w:val="0"/>
                <w:highlight w:val="none"/>
              </w:rPr>
            </w:pPr>
            <w:r>
              <w:rPr>
                <w:rFonts w:hint="eastAsia"/>
                <w:b w:val="0"/>
                <w:bCs/>
                <w:kern w:val="0"/>
                <w:highlight w:val="none"/>
              </w:rPr>
              <w:t>1</w:t>
            </w:r>
          </w:p>
        </w:tc>
        <w:tc>
          <w:tcPr>
            <w:tcW w:w="4627" w:type="pct"/>
            <w:shd w:val="clear" w:color="auto" w:fill="auto"/>
            <w:vAlign w:val="center"/>
          </w:tcPr>
          <w:p w14:paraId="2BEF12BA">
            <w:pPr>
              <w:pStyle w:val="52"/>
              <w:jc w:val="left"/>
              <w:rPr>
                <w:b w:val="0"/>
                <w:bCs/>
                <w:kern w:val="0"/>
                <w:highlight w:val="none"/>
              </w:rPr>
            </w:pPr>
            <w:r>
              <w:rPr>
                <w:rFonts w:hint="eastAsia"/>
                <w:b w:val="0"/>
                <w:bCs/>
                <w:kern w:val="0"/>
                <w:highlight w:val="none"/>
              </w:rPr>
              <w:t>施工人员应按要求分类着装，佩戴安全帽；</w:t>
            </w:r>
          </w:p>
          <w:p w14:paraId="5543A50A">
            <w:pPr>
              <w:pStyle w:val="52"/>
              <w:jc w:val="left"/>
              <w:rPr>
                <w:b w:val="0"/>
                <w:bCs/>
                <w:kern w:val="0"/>
                <w:highlight w:val="none"/>
              </w:rPr>
            </w:pPr>
            <w:r>
              <w:rPr>
                <w:rFonts w:hint="eastAsia"/>
                <w:b w:val="0"/>
                <w:bCs/>
                <w:kern w:val="0"/>
                <w:highlight w:val="none"/>
              </w:rPr>
              <w:t>各种岗位人员佩戴胸卡，质量检查人员、安全监督人员佩戴红色袖标；</w:t>
            </w:r>
          </w:p>
          <w:p w14:paraId="617AB4EB">
            <w:pPr>
              <w:pStyle w:val="52"/>
              <w:jc w:val="left"/>
              <w:rPr>
                <w:b w:val="0"/>
                <w:bCs/>
                <w:kern w:val="0"/>
                <w:highlight w:val="none"/>
              </w:rPr>
            </w:pPr>
            <w:r>
              <w:rPr>
                <w:rFonts w:hint="eastAsia"/>
                <w:b w:val="0"/>
                <w:bCs/>
                <w:kern w:val="0"/>
                <w:highlight w:val="none"/>
              </w:rPr>
              <w:t>坚守岗位，职责清楚。</w:t>
            </w:r>
          </w:p>
        </w:tc>
      </w:tr>
      <w:tr w14:paraId="28E9939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521A28E">
            <w:pPr>
              <w:pStyle w:val="52"/>
              <w:rPr>
                <w:b w:val="0"/>
                <w:bCs/>
                <w:kern w:val="0"/>
                <w:highlight w:val="none"/>
              </w:rPr>
            </w:pPr>
            <w:r>
              <w:rPr>
                <w:rFonts w:hint="eastAsia"/>
                <w:b w:val="0"/>
                <w:bCs/>
                <w:kern w:val="0"/>
                <w:highlight w:val="none"/>
              </w:rPr>
              <w:t>2</w:t>
            </w:r>
          </w:p>
        </w:tc>
        <w:tc>
          <w:tcPr>
            <w:tcW w:w="4627" w:type="pct"/>
            <w:shd w:val="clear" w:color="auto" w:fill="auto"/>
            <w:vAlign w:val="center"/>
          </w:tcPr>
          <w:p w14:paraId="1221220A">
            <w:pPr>
              <w:pStyle w:val="52"/>
              <w:jc w:val="left"/>
              <w:rPr>
                <w:b w:val="0"/>
                <w:bCs/>
                <w:kern w:val="0"/>
                <w:highlight w:val="none"/>
              </w:rPr>
            </w:pPr>
            <w:r>
              <w:rPr>
                <w:rFonts w:hint="eastAsia"/>
                <w:b w:val="0"/>
                <w:bCs/>
                <w:kern w:val="0"/>
                <w:highlight w:val="none"/>
              </w:rPr>
              <w:t>进入场区人员在区域内活动要举止大方、</w:t>
            </w:r>
            <w:r>
              <w:rPr>
                <w:rFonts w:hint="eastAsia"/>
                <w:b w:val="0"/>
                <w:bCs/>
                <w:kern w:val="0"/>
                <w:highlight w:val="none"/>
                <w:lang w:eastAsia="zh-CN"/>
              </w:rPr>
              <w:t>仪容</w:t>
            </w:r>
            <w:r>
              <w:rPr>
                <w:rFonts w:hint="eastAsia"/>
                <w:b w:val="0"/>
                <w:bCs/>
                <w:kern w:val="0"/>
                <w:highlight w:val="none"/>
              </w:rPr>
              <w:t>整洁、文明礼貌；</w:t>
            </w:r>
          </w:p>
          <w:p w14:paraId="77562C54">
            <w:pPr>
              <w:pStyle w:val="52"/>
              <w:jc w:val="left"/>
              <w:rPr>
                <w:b w:val="0"/>
                <w:bCs/>
                <w:kern w:val="0"/>
                <w:highlight w:val="none"/>
              </w:rPr>
            </w:pPr>
            <w:r>
              <w:rPr>
                <w:rFonts w:hint="eastAsia"/>
                <w:b w:val="0"/>
                <w:bCs/>
                <w:kern w:val="0"/>
                <w:highlight w:val="none"/>
              </w:rPr>
              <w:t>定期对全体施工人员进行法律、法规教育，严格遵守社会公德、职业道德、职业纪律；</w:t>
            </w:r>
          </w:p>
          <w:p w14:paraId="3DFE9117">
            <w:pPr>
              <w:pStyle w:val="52"/>
              <w:jc w:val="left"/>
              <w:rPr>
                <w:b w:val="0"/>
                <w:bCs/>
                <w:kern w:val="0"/>
                <w:highlight w:val="none"/>
              </w:rPr>
            </w:pPr>
            <w:r>
              <w:rPr>
                <w:rFonts w:hint="eastAsia"/>
                <w:b w:val="0"/>
                <w:bCs/>
                <w:kern w:val="0"/>
                <w:highlight w:val="none"/>
              </w:rPr>
              <w:t>设专人协调处理好周边的公共关系，发生纠纷按程序逐级追究解决，杜绝打架斗殴。</w:t>
            </w:r>
          </w:p>
        </w:tc>
      </w:tr>
      <w:tr w14:paraId="44BDCD7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46BC3256">
            <w:pPr>
              <w:pStyle w:val="52"/>
              <w:rPr>
                <w:b w:val="0"/>
                <w:bCs/>
                <w:kern w:val="0"/>
                <w:highlight w:val="none"/>
              </w:rPr>
            </w:pPr>
            <w:r>
              <w:rPr>
                <w:rFonts w:hint="eastAsia"/>
                <w:b w:val="0"/>
                <w:bCs/>
                <w:kern w:val="0"/>
                <w:highlight w:val="none"/>
              </w:rPr>
              <w:t>3</w:t>
            </w:r>
          </w:p>
        </w:tc>
        <w:tc>
          <w:tcPr>
            <w:tcW w:w="4627" w:type="pct"/>
            <w:shd w:val="clear" w:color="auto" w:fill="auto"/>
            <w:vAlign w:val="center"/>
          </w:tcPr>
          <w:p w14:paraId="7A3254A0">
            <w:pPr>
              <w:pStyle w:val="52"/>
              <w:jc w:val="left"/>
              <w:rPr>
                <w:b w:val="0"/>
                <w:bCs/>
                <w:kern w:val="0"/>
                <w:highlight w:val="none"/>
              </w:rPr>
            </w:pPr>
            <w:r>
              <w:rPr>
                <w:rFonts w:hint="eastAsia"/>
                <w:b w:val="0"/>
                <w:bCs/>
                <w:kern w:val="0"/>
                <w:highlight w:val="none"/>
              </w:rPr>
              <w:t>工人在上岗前必须经过文明施工教育培训，未经培训的工人，不得使用；</w:t>
            </w:r>
          </w:p>
          <w:p w14:paraId="07BF3903">
            <w:pPr>
              <w:pStyle w:val="52"/>
              <w:jc w:val="left"/>
              <w:rPr>
                <w:b w:val="0"/>
                <w:bCs/>
                <w:kern w:val="0"/>
                <w:highlight w:val="none"/>
              </w:rPr>
            </w:pPr>
            <w:r>
              <w:rPr>
                <w:rFonts w:hint="eastAsia"/>
                <w:b w:val="0"/>
                <w:bCs/>
                <w:kern w:val="0"/>
                <w:highlight w:val="none"/>
              </w:rPr>
              <w:t>所有施工人员每月需要进行施工安全、法纪和文明施工教育，增强文明施工意识，养成良好的作业习惯，如不在吸烟室以外场所吸烟，严禁穿拖鞋、短袖，不酒后作业等。</w:t>
            </w:r>
          </w:p>
        </w:tc>
      </w:tr>
      <w:tr w14:paraId="64B8A10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68FC4BE">
            <w:pPr>
              <w:pStyle w:val="52"/>
              <w:rPr>
                <w:b w:val="0"/>
                <w:bCs/>
                <w:kern w:val="0"/>
                <w:highlight w:val="none"/>
              </w:rPr>
            </w:pPr>
            <w:r>
              <w:rPr>
                <w:rFonts w:hint="eastAsia"/>
                <w:b w:val="0"/>
                <w:bCs/>
                <w:kern w:val="0"/>
                <w:highlight w:val="none"/>
              </w:rPr>
              <w:t>4</w:t>
            </w:r>
          </w:p>
        </w:tc>
        <w:tc>
          <w:tcPr>
            <w:tcW w:w="4627" w:type="pct"/>
            <w:shd w:val="clear" w:color="auto" w:fill="auto"/>
            <w:vAlign w:val="center"/>
          </w:tcPr>
          <w:p w14:paraId="2FAD6DC3">
            <w:pPr>
              <w:pStyle w:val="52"/>
              <w:jc w:val="left"/>
              <w:rPr>
                <w:b w:val="0"/>
                <w:bCs/>
                <w:kern w:val="0"/>
                <w:highlight w:val="none"/>
              </w:rPr>
            </w:pPr>
            <w:r>
              <w:rPr>
                <w:rFonts w:hint="eastAsia"/>
                <w:b w:val="0"/>
                <w:bCs/>
                <w:kern w:val="0"/>
                <w:highlight w:val="none"/>
              </w:rPr>
              <w:t>施工中有计划组织职工学习有关文明施工的规定，争做文明人民；</w:t>
            </w:r>
          </w:p>
          <w:p w14:paraId="0784AAA3">
            <w:pPr>
              <w:pStyle w:val="52"/>
              <w:jc w:val="left"/>
              <w:rPr>
                <w:b w:val="0"/>
                <w:bCs/>
                <w:kern w:val="0"/>
                <w:highlight w:val="none"/>
              </w:rPr>
            </w:pPr>
            <w:r>
              <w:rPr>
                <w:rFonts w:hint="eastAsia"/>
                <w:b w:val="0"/>
                <w:bCs/>
                <w:kern w:val="0"/>
                <w:highlight w:val="none"/>
              </w:rPr>
              <w:t>加强员工文明施工行为考评，并将考评结果纳为月度绩效考核指标。</w:t>
            </w:r>
          </w:p>
        </w:tc>
      </w:tr>
      <w:tr w14:paraId="2801309C">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2C69228F">
            <w:pPr>
              <w:pStyle w:val="52"/>
              <w:rPr>
                <w:b w:val="0"/>
                <w:bCs/>
                <w:kern w:val="0"/>
                <w:highlight w:val="none"/>
              </w:rPr>
            </w:pPr>
            <w:r>
              <w:rPr>
                <w:rFonts w:hint="eastAsia"/>
                <w:b w:val="0"/>
                <w:bCs/>
                <w:kern w:val="0"/>
                <w:highlight w:val="none"/>
              </w:rPr>
              <w:t>5</w:t>
            </w:r>
          </w:p>
        </w:tc>
        <w:tc>
          <w:tcPr>
            <w:tcW w:w="4627" w:type="pct"/>
            <w:shd w:val="clear" w:color="auto" w:fill="auto"/>
            <w:vAlign w:val="center"/>
          </w:tcPr>
          <w:p w14:paraId="5ABDF829">
            <w:pPr>
              <w:pStyle w:val="52"/>
              <w:jc w:val="left"/>
              <w:rPr>
                <w:b w:val="0"/>
                <w:bCs/>
                <w:kern w:val="0"/>
                <w:highlight w:val="none"/>
              </w:rPr>
            </w:pPr>
            <w:r>
              <w:rPr>
                <w:rFonts w:hint="eastAsia"/>
                <w:b w:val="0"/>
                <w:bCs/>
                <w:kern w:val="0"/>
                <w:highlight w:val="none"/>
              </w:rPr>
              <w:t>建立文明施工档案，做好文明施工宣传，对违反文明施工人员进行教育、纠偏、处罚，严重者清除出场；在文明施工中表现优秀的给予褒奖。</w:t>
            </w:r>
          </w:p>
        </w:tc>
      </w:tr>
    </w:tbl>
    <w:p w14:paraId="00A9E778">
      <w:pPr>
        <w:pStyle w:val="5"/>
        <w:bidi w:val="0"/>
        <w:rPr>
          <w:rFonts w:hint="default"/>
          <w:highlight w:val="none"/>
          <w:lang w:val="en-US" w:eastAsia="zh-CN"/>
        </w:rPr>
      </w:pPr>
      <w:r>
        <w:rPr>
          <w:rFonts w:hint="eastAsia"/>
          <w:highlight w:val="none"/>
          <w:lang w:val="en-US" w:eastAsia="zh-CN"/>
        </w:rPr>
        <w:t>10.2.3.5</w:t>
      </w:r>
      <w:r>
        <w:rPr>
          <w:rFonts w:hint="eastAsia"/>
          <w:highlight w:val="none"/>
        </w:rPr>
        <w:t>卫生保洁文明施工措施</w:t>
      </w:r>
    </w:p>
    <w:p w14:paraId="08DC96EB">
      <w:pPr>
        <w:bidi w:val="0"/>
        <w:ind w:firstLine="480" w:firstLineChars="200"/>
        <w:rPr>
          <w:highlight w:val="none"/>
        </w:rPr>
      </w:pPr>
      <w:r>
        <w:rPr>
          <w:highlight w:val="none"/>
        </w:rPr>
        <w:t>1</w:t>
      </w:r>
      <w:r>
        <w:rPr>
          <w:rFonts w:hint="eastAsia"/>
          <w:highlight w:val="none"/>
          <w:lang w:eastAsia="zh-CN"/>
        </w:rPr>
        <w:t>、</w:t>
      </w:r>
      <w:r>
        <w:rPr>
          <w:rFonts w:hint="eastAsia"/>
          <w:highlight w:val="none"/>
        </w:rPr>
        <w:t>保洁人员配置及职责</w:t>
      </w:r>
    </w:p>
    <w:p w14:paraId="30DB7157">
      <w:pPr>
        <w:ind w:firstLine="480"/>
        <w:rPr>
          <w:highlight w:val="none"/>
        </w:rPr>
      </w:pPr>
      <w:r>
        <w:rPr>
          <w:rFonts w:hint="eastAsia"/>
          <w:highlight w:val="none"/>
        </w:rPr>
        <w:t>（1）人员配置：建筑施工现场统一配备专职保洁员，明确卫生职责、健全卫生奖惩体系，实现建筑施工现场“制度健全、设施完备、人员到位、清扫及时”的目标</w:t>
      </w:r>
    </w:p>
    <w:p w14:paraId="6F771A5E">
      <w:pPr>
        <w:ind w:firstLine="480"/>
        <w:rPr>
          <w:highlight w:val="none"/>
        </w:rPr>
      </w:pPr>
      <w:r>
        <w:rPr>
          <w:rFonts w:hint="eastAsia"/>
          <w:highlight w:val="none"/>
        </w:rPr>
        <w:t>（2）主要职责：</w:t>
      </w:r>
    </w:p>
    <w:p w14:paraId="05CAFB85">
      <w:pPr>
        <w:ind w:firstLine="480"/>
        <w:rPr>
          <w:highlight w:val="none"/>
        </w:rPr>
      </w:pPr>
      <w:r>
        <w:rPr>
          <w:rFonts w:hint="eastAsia"/>
          <w:highlight w:val="none"/>
        </w:rPr>
        <w:t>①确保施工现场围墙外5米内以及围墙内场地平整，无积水、无生活垃圾、杂草，废弃物；</w:t>
      </w:r>
    </w:p>
    <w:p w14:paraId="13E15E8B">
      <w:pPr>
        <w:ind w:firstLine="480"/>
        <w:rPr>
          <w:highlight w:val="none"/>
        </w:rPr>
      </w:pPr>
      <w:r>
        <w:rPr>
          <w:rFonts w:hint="eastAsia"/>
          <w:highlight w:val="none"/>
        </w:rPr>
        <w:t>②确保办公区走廊、楼梯、栏杆、楼道、痰盂、垃圾桶清洁，无灰尘、烟头、痰迹、无卫生死角；</w:t>
      </w:r>
    </w:p>
    <w:p w14:paraId="73147760">
      <w:pPr>
        <w:ind w:firstLine="480"/>
        <w:rPr>
          <w:highlight w:val="none"/>
        </w:rPr>
      </w:pPr>
      <w:r>
        <w:rPr>
          <w:rFonts w:hint="eastAsia"/>
          <w:highlight w:val="none"/>
        </w:rPr>
        <w:t>③确保生活区清洁卫生，生活垃圾日产日清；</w:t>
      </w:r>
    </w:p>
    <w:p w14:paraId="443AD20D">
      <w:pPr>
        <w:ind w:firstLine="480"/>
        <w:rPr>
          <w:highlight w:val="none"/>
        </w:rPr>
      </w:pPr>
      <w:r>
        <w:rPr>
          <w:rFonts w:hint="eastAsia"/>
          <w:highlight w:val="none"/>
        </w:rPr>
        <w:t>④确保施工区材料堆放整齐、粉状材料覆盖、建筑垃圾及时清理，无卫生死角；</w:t>
      </w:r>
    </w:p>
    <w:p w14:paraId="63AF7C9A">
      <w:pPr>
        <w:ind w:firstLine="480"/>
        <w:rPr>
          <w:highlight w:val="none"/>
        </w:rPr>
      </w:pPr>
      <w:r>
        <w:rPr>
          <w:rFonts w:hint="eastAsia"/>
          <w:highlight w:val="none"/>
        </w:rPr>
        <w:t>⑤确保宿舍周围干净整洁，无污水、生活垃圾、杂物、无卫生死角。宿舍内物品摆放整齐有序、干净整洁；</w:t>
      </w:r>
    </w:p>
    <w:p w14:paraId="5B214A78">
      <w:pPr>
        <w:ind w:firstLine="480"/>
        <w:rPr>
          <w:highlight w:val="none"/>
        </w:rPr>
      </w:pPr>
      <w:r>
        <w:rPr>
          <w:rFonts w:hint="eastAsia"/>
          <w:highlight w:val="none"/>
        </w:rPr>
        <w:t>⑥确保食堂灶台、室内</w:t>
      </w:r>
      <w:r>
        <w:rPr>
          <w:rFonts w:hint="eastAsia"/>
          <w:highlight w:val="none"/>
          <w:lang w:eastAsia="zh-CN"/>
        </w:rPr>
        <w:t>墙面</w:t>
      </w:r>
      <w:r>
        <w:rPr>
          <w:rFonts w:hint="eastAsia"/>
          <w:highlight w:val="none"/>
        </w:rPr>
        <w:t>瓷砖无油垢，通风口、泔水桶加盖、密闭，泔水桶内外清洁，周边无杂物、积水，餐桌、椅保持整洁，地面保持清洁；</w:t>
      </w:r>
    </w:p>
    <w:p w14:paraId="2E301DE8">
      <w:pPr>
        <w:bidi w:val="0"/>
        <w:ind w:firstLine="480" w:firstLineChars="200"/>
        <w:rPr>
          <w:highlight w:val="none"/>
        </w:rPr>
      </w:pPr>
      <w:r>
        <w:rPr>
          <w:rFonts w:hint="eastAsia"/>
          <w:highlight w:val="none"/>
        </w:rPr>
        <w:t>⑦确保厕所洗手池、地面、便池清洁干净，定期消毒，喷洒药物，厕所内无积水、无尿碱、无污垢、无异味，无蚊蝇、无卫生死角。</w:t>
      </w:r>
    </w:p>
    <w:p w14:paraId="2B3AE8B5">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饮食卫生保障措施</w:t>
      </w:r>
    </w:p>
    <w:p w14:paraId="4EA5B17B">
      <w:pPr>
        <w:ind w:firstLine="480"/>
        <w:rPr>
          <w:highlight w:val="none"/>
        </w:rPr>
      </w:pPr>
      <w:r>
        <w:rPr>
          <w:highlight w:val="none"/>
        </w:rPr>
        <w:t>1</w:t>
      </w:r>
      <w:r>
        <w:rPr>
          <w:rFonts w:hint="eastAsia"/>
          <w:highlight w:val="none"/>
        </w:rPr>
        <w:t>）采购运输</w:t>
      </w:r>
    </w:p>
    <w:p w14:paraId="781FC644">
      <w:pPr>
        <w:ind w:firstLine="480"/>
        <w:rPr>
          <w:highlight w:val="none"/>
        </w:rPr>
      </w:pPr>
      <w:r>
        <w:rPr>
          <w:rFonts w:hint="eastAsia"/>
          <w:highlight w:val="none"/>
        </w:rPr>
        <w:t>①采购外地食品应向供货单位索取县以上食品卫生监督机构开具的检验合格证或检验单。认为必要时，请当地食品卫生监督机构进行复验。</w:t>
      </w:r>
    </w:p>
    <w:p w14:paraId="713F77AA">
      <w:pPr>
        <w:ind w:firstLine="480"/>
        <w:rPr>
          <w:highlight w:val="none"/>
        </w:rPr>
      </w:pPr>
      <w:r>
        <w:rPr>
          <w:rFonts w:hint="eastAsia"/>
          <w:highlight w:val="none"/>
        </w:rPr>
        <w:t>②采购食品用的车辆，容器要清洁卫生，做到生熟分开，防尘、防蝇、防潮。</w:t>
      </w:r>
    </w:p>
    <w:p w14:paraId="54DC30F3">
      <w:pPr>
        <w:ind w:firstLine="480"/>
        <w:rPr>
          <w:highlight w:val="none"/>
        </w:rPr>
      </w:pPr>
      <w:r>
        <w:rPr>
          <w:rFonts w:hint="eastAsia"/>
          <w:highlight w:val="none"/>
        </w:rPr>
        <w:t>③不得采购制售腐败变质、霉变、生虫、有异味或《食品卫生法》规定禁止生产经营的食品。</w:t>
      </w:r>
    </w:p>
    <w:p w14:paraId="11181CA6">
      <w:pPr>
        <w:ind w:firstLine="480"/>
        <w:rPr>
          <w:highlight w:val="none"/>
        </w:rPr>
      </w:pPr>
      <w:r>
        <w:rPr>
          <w:highlight w:val="none"/>
        </w:rPr>
        <w:t>2</w:t>
      </w:r>
      <w:r>
        <w:rPr>
          <w:rFonts w:hint="eastAsia"/>
          <w:highlight w:val="none"/>
        </w:rPr>
        <w:t>）储存、保管</w:t>
      </w:r>
    </w:p>
    <w:p w14:paraId="3BCFDB6D">
      <w:pPr>
        <w:ind w:firstLine="480"/>
        <w:rPr>
          <w:highlight w:val="none"/>
        </w:rPr>
      </w:pPr>
      <w:r>
        <w:rPr>
          <w:rFonts w:hint="eastAsia"/>
          <w:highlight w:val="none"/>
        </w:rPr>
        <w:t>①根据《食品卫生法》的规定，食品不得接触有毒物，不洁物。建筑上用的防冻盐等有害物质，个施工单位要设专人专库存放，严禁防冻盐和食用盐同仓共贮，要建立健全管理制度。</w:t>
      </w:r>
    </w:p>
    <w:p w14:paraId="10BF63B9">
      <w:pPr>
        <w:ind w:firstLine="480"/>
        <w:rPr>
          <w:highlight w:val="none"/>
        </w:rPr>
      </w:pPr>
      <w:r>
        <w:rPr>
          <w:rFonts w:hint="eastAsia"/>
          <w:highlight w:val="none"/>
        </w:rPr>
        <w:t>②贮存食品要隔墙、离地，注意做到通风、防潮、防虫、防鼠，有条件的单位应设冷藏设备。主副食品、原料、半成品、成品要分开存放。</w:t>
      </w:r>
    </w:p>
    <w:p w14:paraId="59DEE388">
      <w:pPr>
        <w:ind w:firstLine="480"/>
        <w:rPr>
          <w:highlight w:val="none"/>
        </w:rPr>
      </w:pPr>
      <w:r>
        <w:rPr>
          <w:rFonts w:hint="eastAsia"/>
          <w:highlight w:val="none"/>
        </w:rPr>
        <w:t>③盛放酱油、盐等副食调料要做到容器物见本色，加盖存放，清洁卫生。</w:t>
      </w:r>
    </w:p>
    <w:p w14:paraId="0E2EA10D">
      <w:pPr>
        <w:ind w:firstLine="480"/>
        <w:rPr>
          <w:highlight w:val="none"/>
        </w:rPr>
      </w:pPr>
      <w:r>
        <w:rPr>
          <w:highlight w:val="none"/>
        </w:rPr>
        <w:t>3</w:t>
      </w:r>
      <w:r>
        <w:rPr>
          <w:rFonts w:hint="eastAsia"/>
          <w:highlight w:val="none"/>
        </w:rPr>
        <w:t>）制售过程卫生</w:t>
      </w:r>
    </w:p>
    <w:p w14:paraId="66095C77">
      <w:pPr>
        <w:ind w:firstLine="480"/>
        <w:rPr>
          <w:highlight w:val="none"/>
        </w:rPr>
      </w:pPr>
      <w:r>
        <w:rPr>
          <w:rFonts w:hint="eastAsia"/>
          <w:highlight w:val="none"/>
        </w:rPr>
        <w:t>①制作食品的原料要新鲜卫生，认真做到不用、不卖腐败变质的食品，各种食品要烧熟煮透，以免食物中毒的发生。</w:t>
      </w:r>
    </w:p>
    <w:p w14:paraId="16356F32">
      <w:pPr>
        <w:ind w:firstLine="480"/>
        <w:rPr>
          <w:highlight w:val="none"/>
        </w:rPr>
      </w:pPr>
      <w:r>
        <w:rPr>
          <w:rFonts w:hint="eastAsia"/>
          <w:highlight w:val="none"/>
        </w:rPr>
        <w:t>②制售过程及刀、墩、案板、盆、筐、水池子、抹布和冰箱等工具要严格做到生熟分开，售饭时要用工具销售直接入口食品，饭票要消毒。</w:t>
      </w:r>
    </w:p>
    <w:p w14:paraId="114AA444">
      <w:pPr>
        <w:ind w:firstLine="480"/>
        <w:rPr>
          <w:highlight w:val="none"/>
        </w:rPr>
      </w:pPr>
      <w:r>
        <w:rPr>
          <w:rFonts w:hint="eastAsia"/>
          <w:highlight w:val="none"/>
        </w:rPr>
        <w:t>③生吃凉拌菜必须洗净消毒，剩饭、菜要回锅彻底加热再食用，一旦发现变质，不得食用。</w:t>
      </w:r>
    </w:p>
    <w:p w14:paraId="54E9F5D1">
      <w:pPr>
        <w:ind w:firstLine="480"/>
        <w:rPr>
          <w:highlight w:val="none"/>
        </w:rPr>
      </w:pPr>
      <w:r>
        <w:rPr>
          <w:rFonts w:hint="eastAsia"/>
          <w:highlight w:val="none"/>
        </w:rPr>
        <w:t>④公共</w:t>
      </w:r>
      <w:r>
        <w:rPr>
          <w:rFonts w:hint="eastAsia"/>
          <w:highlight w:val="none"/>
          <w:lang w:eastAsia="zh-CN"/>
        </w:rPr>
        <w:t>餐具</w:t>
      </w:r>
      <w:r>
        <w:rPr>
          <w:rFonts w:hint="eastAsia"/>
          <w:highlight w:val="none"/>
        </w:rPr>
        <w:t>要消毒洗净，应有上下水洗手和餐具洗涤设备。</w:t>
      </w:r>
    </w:p>
    <w:p w14:paraId="39964736">
      <w:pPr>
        <w:bidi w:val="0"/>
        <w:ind w:firstLine="480" w:firstLineChars="200"/>
        <w:rPr>
          <w:highlight w:val="none"/>
        </w:rPr>
      </w:pPr>
      <w:r>
        <w:rPr>
          <w:rFonts w:hint="eastAsia"/>
          <w:highlight w:val="none"/>
          <w:lang w:val="en-US" w:eastAsia="zh-CN"/>
        </w:rPr>
        <w:t>4）</w:t>
      </w:r>
      <w:r>
        <w:rPr>
          <w:rFonts w:hint="eastAsia"/>
          <w:highlight w:val="none"/>
        </w:rPr>
        <w:t>个人卫生</w:t>
      </w:r>
    </w:p>
    <w:p w14:paraId="54C2EEAC">
      <w:pPr>
        <w:ind w:firstLine="480"/>
        <w:rPr>
          <w:highlight w:val="none"/>
        </w:rPr>
      </w:pPr>
      <w:r>
        <w:rPr>
          <w:rFonts w:hint="eastAsia"/>
          <w:highlight w:val="none"/>
        </w:rPr>
        <w:t>①炊管人员每年要进行一次健康检查，持有健康合格证及卫生知识培训后，方可上岗。凡患有痢疾、肝炎、伤寒、活动性肺结核、渗出性皮肤病及其它有碍食品卫生的疾病，不得参加接触直接入口食品的制售及食品洗涤工作。</w:t>
      </w:r>
    </w:p>
    <w:p w14:paraId="14C3ACAF">
      <w:pPr>
        <w:ind w:firstLine="480"/>
        <w:rPr>
          <w:highlight w:val="none"/>
        </w:rPr>
      </w:pPr>
      <w:r>
        <w:rPr>
          <w:rFonts w:hint="eastAsia"/>
          <w:highlight w:val="none"/>
        </w:rPr>
        <w:t>②炊管人员操作时必须穿戴好工作服、发帽，并保持清洁整齐，做到文明生产，不赤背，不光脚，禁止随地吐痰。</w:t>
      </w:r>
    </w:p>
    <w:p w14:paraId="6C69DF2D">
      <w:pPr>
        <w:ind w:firstLine="480"/>
        <w:rPr>
          <w:highlight w:val="none"/>
        </w:rPr>
      </w:pPr>
      <w:r>
        <w:rPr>
          <w:rFonts w:hint="eastAsia"/>
          <w:highlight w:val="none"/>
        </w:rPr>
        <w:t>③炊管人员必须做好个人卫生，要坚持做到四勤（勤理发、勤洗澡、勤换衣、勤剪指甲）。</w:t>
      </w:r>
    </w:p>
    <w:p w14:paraId="751A141E">
      <w:pPr>
        <w:pStyle w:val="5"/>
        <w:bidi w:val="0"/>
        <w:rPr>
          <w:rFonts w:hint="default"/>
          <w:highlight w:val="none"/>
          <w:lang w:val="en-US" w:eastAsia="zh-CN"/>
        </w:rPr>
      </w:pPr>
      <w:r>
        <w:rPr>
          <w:rFonts w:hint="eastAsia"/>
          <w:highlight w:val="none"/>
          <w:lang w:val="en-US" w:eastAsia="zh-CN"/>
        </w:rPr>
        <w:t>10.2.3.6</w:t>
      </w:r>
      <w:r>
        <w:rPr>
          <w:rFonts w:hint="eastAsia"/>
          <w:highlight w:val="none"/>
        </w:rPr>
        <w:t>便民措施</w:t>
      </w:r>
    </w:p>
    <w:p w14:paraId="6F3317E0">
      <w:pPr>
        <w:pStyle w:val="12"/>
        <w:rPr>
          <w:rFonts w:hint="default"/>
          <w:highlight w:val="none"/>
          <w:lang w:val="en-US" w:eastAsia="zh-CN"/>
        </w:rPr>
      </w:pPr>
      <w:r>
        <w:rPr>
          <w:rFonts w:hint="eastAsia"/>
          <w:highlight w:val="none"/>
        </w:rPr>
        <w:t>在本工程的建设中我</w:t>
      </w:r>
      <w:r>
        <w:rPr>
          <w:rFonts w:hint="eastAsia"/>
          <w:highlight w:val="none"/>
          <w:lang w:val="en-US" w:eastAsia="zh-CN"/>
        </w:rPr>
        <w:t>部</w:t>
      </w:r>
      <w:r>
        <w:rPr>
          <w:rFonts w:hint="eastAsia"/>
          <w:highlight w:val="none"/>
        </w:rPr>
        <w:t>将自觉遵守百姓的监督</w:t>
      </w:r>
      <w:r>
        <w:rPr>
          <w:rFonts w:hint="eastAsia"/>
          <w:highlight w:val="none"/>
          <w:lang w:eastAsia="zh-CN"/>
        </w:rPr>
        <w:t>，</w:t>
      </w:r>
      <w:r>
        <w:rPr>
          <w:rFonts w:hint="eastAsia"/>
          <w:highlight w:val="none"/>
        </w:rPr>
        <w:t>加强与百姓的联系是确保工程施工顺利进行的关键因素；同时也是文明施工，提升</w:t>
      </w:r>
      <w:r>
        <w:rPr>
          <w:rFonts w:hint="eastAsia"/>
          <w:highlight w:val="none"/>
          <w:lang w:val="en-US" w:eastAsia="zh-CN"/>
        </w:rPr>
        <w:t>项目</w:t>
      </w:r>
      <w:r>
        <w:rPr>
          <w:rFonts w:hint="eastAsia"/>
          <w:highlight w:val="none"/>
        </w:rPr>
        <w:t>形象的关键。</w:t>
      </w:r>
    </w:p>
    <w:p w14:paraId="48C86C87">
      <w:pPr>
        <w:bidi w:val="0"/>
        <w:ind w:firstLine="480" w:firstLineChars="200"/>
        <w:rPr>
          <w:highlight w:val="none"/>
        </w:rPr>
      </w:pPr>
      <w:r>
        <w:rPr>
          <w:highlight w:val="none"/>
        </w:rPr>
        <w:t>1</w:t>
      </w:r>
      <w:r>
        <w:rPr>
          <w:rFonts w:hint="eastAsia"/>
          <w:highlight w:val="none"/>
          <w:lang w:eastAsia="zh-CN"/>
        </w:rPr>
        <w:t>、</w:t>
      </w:r>
      <w:r>
        <w:rPr>
          <w:rFonts w:hint="eastAsia"/>
          <w:highlight w:val="none"/>
        </w:rPr>
        <w:t>与周边单位、群众的协调措施</w:t>
      </w:r>
    </w:p>
    <w:p w14:paraId="236496E5">
      <w:pPr>
        <w:ind w:firstLine="480"/>
        <w:rPr>
          <w:highlight w:val="none"/>
        </w:rPr>
      </w:pPr>
      <w:r>
        <w:rPr>
          <w:rFonts w:hint="eastAsia"/>
          <w:highlight w:val="none"/>
        </w:rPr>
        <w:t>（1）客观正确对待地方政府和群众的要求；</w:t>
      </w:r>
    </w:p>
    <w:p w14:paraId="120AA8E3">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）尊重当地风俗习惯。要入乡随俗，在施工前要派人搞好社情、乡俗调查，主动搞好与地方的关系，增进团结。</w:t>
      </w:r>
    </w:p>
    <w:p w14:paraId="5EEACAD6">
      <w:pPr>
        <w:ind w:firstLine="480"/>
        <w:rPr>
          <w:highlight w:val="none"/>
        </w:rPr>
      </w:pPr>
      <w:r>
        <w:rPr>
          <w:rFonts w:hint="eastAsia"/>
          <w:highlight w:val="none"/>
        </w:rPr>
        <w:t>（</w:t>
      </w:r>
      <w:r>
        <w:rPr>
          <w:rFonts w:hint="eastAsia"/>
          <w:highlight w:val="none"/>
          <w:lang w:val="en-US" w:eastAsia="zh-CN"/>
        </w:rPr>
        <w:t>3</w:t>
      </w:r>
      <w:r>
        <w:rPr>
          <w:rFonts w:hint="eastAsia"/>
          <w:highlight w:val="none"/>
        </w:rPr>
        <w:t>）关心当地群众利益。关心体谅当地群众，我</w:t>
      </w:r>
      <w:r>
        <w:rPr>
          <w:rFonts w:hint="eastAsia"/>
          <w:highlight w:val="none"/>
          <w:lang w:val="en-US" w:eastAsia="zh-CN"/>
        </w:rPr>
        <w:t>部</w:t>
      </w:r>
      <w:r>
        <w:rPr>
          <w:rFonts w:hint="eastAsia"/>
          <w:highlight w:val="none"/>
        </w:rPr>
        <w:t>能办到的尽量办；对办不到的事情和无法满足的要求在说明情况的同时，要通过一些必要的形式，利用乡镇、村委和执法人员，沟通和当地群众的关系，创造相互理解的气氛。</w:t>
      </w:r>
    </w:p>
    <w:p w14:paraId="543C6C2D">
      <w:pPr>
        <w:ind w:firstLine="480"/>
        <w:rPr>
          <w:highlight w:val="none"/>
        </w:rPr>
      </w:pPr>
      <w:r>
        <w:rPr>
          <w:rFonts w:hint="eastAsia"/>
          <w:highlight w:val="none"/>
        </w:rPr>
        <w:t>（</w:t>
      </w:r>
      <w:r>
        <w:rPr>
          <w:rFonts w:hint="eastAsia"/>
          <w:highlight w:val="none"/>
          <w:lang w:val="en-US" w:eastAsia="zh-CN"/>
        </w:rPr>
        <w:t>4</w:t>
      </w:r>
      <w:r>
        <w:rPr>
          <w:rFonts w:hint="eastAsia"/>
          <w:highlight w:val="none"/>
        </w:rPr>
        <w:t>）尽量减少施工扰民。在项目</w:t>
      </w:r>
      <w:r>
        <w:rPr>
          <w:rFonts w:hint="eastAsia"/>
          <w:highlight w:val="none"/>
          <w:lang w:val="en-US" w:eastAsia="zh-CN"/>
        </w:rPr>
        <w:t>施工</w:t>
      </w:r>
      <w:r>
        <w:rPr>
          <w:rFonts w:hint="eastAsia"/>
          <w:highlight w:val="none"/>
        </w:rPr>
        <w:t>中，要充分考虑到扰民问题，从源头上减少施工扰民。</w:t>
      </w:r>
    </w:p>
    <w:p w14:paraId="4C84D9C5">
      <w:pPr>
        <w:ind w:firstLine="480"/>
        <w:rPr>
          <w:highlight w:val="none"/>
        </w:rPr>
      </w:pPr>
      <w:r>
        <w:rPr>
          <w:rFonts w:hint="eastAsia"/>
          <w:highlight w:val="none"/>
        </w:rPr>
        <w:t>（</w:t>
      </w:r>
      <w:r>
        <w:rPr>
          <w:rFonts w:hint="eastAsia"/>
          <w:highlight w:val="none"/>
          <w:lang w:val="en-US" w:eastAsia="zh-CN"/>
        </w:rPr>
        <w:t>5</w:t>
      </w:r>
      <w:r>
        <w:rPr>
          <w:rFonts w:hint="eastAsia"/>
          <w:highlight w:val="none"/>
        </w:rPr>
        <w:t>）尊重、相信、依靠政府。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针对难点解决问题，促其目标一致，才能顺利实现施工单位计划。</w:t>
      </w:r>
    </w:p>
    <w:p w14:paraId="3E5A3859">
      <w:pPr>
        <w:bidi w:val="0"/>
        <w:ind w:firstLine="480" w:firstLineChars="200"/>
        <w:rPr>
          <w:highlight w:val="none"/>
        </w:rPr>
      </w:pPr>
      <w:bookmarkStart w:id="445" w:name="_Toc502086837"/>
      <w:r>
        <w:rPr>
          <w:rFonts w:hint="eastAsia"/>
          <w:highlight w:val="none"/>
          <w:lang w:val="en-US" w:eastAsia="zh-CN"/>
        </w:rPr>
        <w:t>2、</w:t>
      </w:r>
      <w:r>
        <w:rPr>
          <w:rFonts w:hint="eastAsia"/>
          <w:highlight w:val="none"/>
        </w:rPr>
        <w:t>方便居民措施</w:t>
      </w:r>
      <w:bookmarkEnd w:id="445"/>
    </w:p>
    <w:p w14:paraId="55D92F8D">
      <w:pPr>
        <w:ind w:firstLine="480"/>
        <w:rPr>
          <w:highlight w:val="none"/>
        </w:rPr>
      </w:pPr>
      <w:r>
        <w:rPr>
          <w:rFonts w:hint="eastAsia"/>
          <w:highlight w:val="none"/>
        </w:rPr>
        <w:t>（1）安民宣传。施工前3至5天搞好安民宣传：公布工程性质、施工工期、安全措施，发放宣传材料，向周围的居民做好解释工作。</w:t>
      </w:r>
    </w:p>
    <w:p w14:paraId="25CAC5A2">
      <w:pPr>
        <w:ind w:firstLine="480"/>
        <w:rPr>
          <w:highlight w:val="none"/>
        </w:rPr>
      </w:pPr>
      <w:r>
        <w:rPr>
          <w:rFonts w:hint="eastAsia"/>
          <w:highlight w:val="none"/>
        </w:rPr>
        <w:t>（2）亮牌施工。进行施工位置要设宣传牌，公示本项目部工地负责人、开工竣工日期、联系电话等，方便群众有扰民现象便于联系。</w:t>
      </w:r>
    </w:p>
    <w:p w14:paraId="2EC2CCB3">
      <w:pPr>
        <w:ind w:firstLine="480"/>
        <w:rPr>
          <w:highlight w:val="none"/>
        </w:rPr>
      </w:pPr>
      <w:r>
        <w:rPr>
          <w:rFonts w:hint="eastAsia"/>
          <w:highlight w:val="none"/>
        </w:rPr>
        <w:t>（3）净场作业。工地渣土、淤泥随挖随运，现场用料随用随进，不得在施工现场搅拌灰土、水泥，以减少扬尘。</w:t>
      </w:r>
    </w:p>
    <w:p w14:paraId="061250AC">
      <w:pPr>
        <w:ind w:firstLine="480"/>
        <w:rPr>
          <w:highlight w:val="none"/>
        </w:rPr>
      </w:pPr>
      <w:r>
        <w:rPr>
          <w:rFonts w:hint="eastAsia"/>
          <w:highlight w:val="none"/>
        </w:rPr>
        <w:t>（</w:t>
      </w:r>
      <w:r>
        <w:rPr>
          <w:rFonts w:hint="eastAsia"/>
          <w:highlight w:val="none"/>
          <w:lang w:val="en-US" w:eastAsia="zh-CN"/>
        </w:rPr>
        <w:t>4</w:t>
      </w:r>
      <w:r>
        <w:rPr>
          <w:rFonts w:hint="eastAsia"/>
          <w:highlight w:val="none"/>
        </w:rPr>
        <w:t>）规范占用。施工现场临时占用及临时驻处设活动板房和简易卫生设施，现场堆放做到条块状物料成垛、粉屑状物料成方、机具整齐有序。</w:t>
      </w:r>
    </w:p>
    <w:p w14:paraId="2163FCD9">
      <w:pPr>
        <w:ind w:firstLine="480"/>
        <w:rPr>
          <w:highlight w:val="none"/>
        </w:rPr>
      </w:pPr>
      <w:r>
        <w:rPr>
          <w:rFonts w:hint="eastAsia"/>
          <w:highlight w:val="none"/>
        </w:rPr>
        <w:t>（</w:t>
      </w:r>
      <w:r>
        <w:rPr>
          <w:rFonts w:hint="eastAsia"/>
          <w:highlight w:val="none"/>
          <w:lang w:val="en-US" w:eastAsia="zh-CN"/>
        </w:rPr>
        <w:t>5</w:t>
      </w:r>
      <w:r>
        <w:rPr>
          <w:rFonts w:hint="eastAsia"/>
          <w:highlight w:val="none"/>
        </w:rPr>
        <w:t>）准时竣工。严格按审批时限完工，竣工后3天内清理完现场。</w:t>
      </w:r>
    </w:p>
    <w:p w14:paraId="5D6F92D1">
      <w:pPr>
        <w:ind w:firstLine="480"/>
        <w:rPr>
          <w:highlight w:val="none"/>
        </w:rPr>
      </w:pPr>
      <w:r>
        <w:rPr>
          <w:rFonts w:hint="eastAsia"/>
          <w:highlight w:val="none"/>
        </w:rPr>
        <w:t>（</w:t>
      </w:r>
      <w:r>
        <w:rPr>
          <w:rFonts w:hint="eastAsia"/>
          <w:highlight w:val="none"/>
          <w:lang w:val="en-US" w:eastAsia="zh-CN"/>
        </w:rPr>
        <w:t>6</w:t>
      </w:r>
      <w:r>
        <w:rPr>
          <w:rFonts w:hint="eastAsia"/>
          <w:highlight w:val="none"/>
        </w:rPr>
        <w:t>）当工程施工可能会对道路交通产生干扰时，在醒目位置设警告信号。</w:t>
      </w:r>
    </w:p>
    <w:p w14:paraId="742BF180">
      <w:pPr>
        <w:ind w:firstLine="480"/>
        <w:rPr>
          <w:highlight w:val="none"/>
        </w:rPr>
      </w:pPr>
      <w:r>
        <w:rPr>
          <w:rFonts w:hint="eastAsia"/>
          <w:highlight w:val="none"/>
        </w:rPr>
        <w:t>（</w:t>
      </w:r>
      <w:r>
        <w:rPr>
          <w:rFonts w:hint="eastAsia"/>
          <w:highlight w:val="none"/>
          <w:lang w:val="en-US" w:eastAsia="zh-CN"/>
        </w:rPr>
        <w:t>7</w:t>
      </w:r>
      <w:r>
        <w:rPr>
          <w:rFonts w:hint="eastAsia"/>
          <w:highlight w:val="none"/>
        </w:rPr>
        <w:t>）施工区域架设临时照明线路，照明灯具使用磨砂玻璃罩，沟槽基坑旁边设置警示标志，保证居民出行安全。</w:t>
      </w:r>
    </w:p>
    <w:p w14:paraId="370C509F">
      <w:pPr>
        <w:bidi w:val="0"/>
        <w:ind w:firstLine="480" w:firstLineChars="200"/>
        <w:rPr>
          <w:highlight w:val="none"/>
        </w:rPr>
      </w:pPr>
      <w:bookmarkStart w:id="446" w:name="_Toc502086838"/>
      <w:r>
        <w:rPr>
          <w:rFonts w:hint="eastAsia"/>
          <w:highlight w:val="none"/>
          <w:lang w:val="en-US" w:eastAsia="zh-CN"/>
        </w:rPr>
        <w:t>3、</w:t>
      </w:r>
      <w:r>
        <w:rPr>
          <w:rFonts w:hint="eastAsia"/>
          <w:highlight w:val="none"/>
        </w:rPr>
        <w:t>减少扰民措施</w:t>
      </w:r>
      <w:bookmarkEnd w:id="446"/>
    </w:p>
    <w:p w14:paraId="7874F353">
      <w:pPr>
        <w:ind w:firstLine="480"/>
        <w:rPr>
          <w:highlight w:val="none"/>
        </w:rPr>
      </w:pPr>
      <w:r>
        <w:rPr>
          <w:rFonts w:hint="eastAsia"/>
          <w:highlight w:val="none"/>
        </w:rPr>
        <w:t>（</w:t>
      </w:r>
      <w:r>
        <w:rPr>
          <w:highlight w:val="none"/>
        </w:rPr>
        <w:t>1</w:t>
      </w:r>
      <w:r>
        <w:rPr>
          <w:rFonts w:hint="eastAsia"/>
          <w:highlight w:val="none"/>
        </w:rPr>
        <w:t>）从声源上控制噪声是防止噪声扰民的最根本的措施。控制使用强噪声、强振动的施工机具，尽量采用低噪声的设备和工艺代替高噪声的设备和工艺，如低噪声振捣器、风机、电动空压机等。</w:t>
      </w:r>
    </w:p>
    <w:p w14:paraId="36D0510B">
      <w:pPr>
        <w:ind w:firstLine="480"/>
        <w:rPr>
          <w:highlight w:val="none"/>
        </w:rPr>
      </w:pPr>
      <w:r>
        <w:rPr>
          <w:rFonts w:hint="eastAsia"/>
          <w:highlight w:val="none"/>
        </w:rPr>
        <w:t>（2）严格控制人为噪声：进入施工现场不得高声喊叫、无故甩打模板、乱吹哨，最大限度地减少扰民噪音。</w:t>
      </w:r>
    </w:p>
    <w:p w14:paraId="2E13F040">
      <w:pPr>
        <w:ind w:firstLine="480"/>
        <w:rPr>
          <w:highlight w:val="none"/>
        </w:rPr>
      </w:pPr>
      <w:r>
        <w:rPr>
          <w:rFonts w:hint="eastAsia"/>
          <w:highlight w:val="none"/>
        </w:rPr>
        <w:t>（3）施工中尽可能避免晚10点到次日早6点之间施工，确系特殊情况必须昼夜施工时将尽量采取降低噪声措施，如确因工期或施工技术要求需要夜间施工的，会同建设单位办理有关许可手续，并告知周边单位、居民，求得群众谅解，并建立友好的睦邻关系。</w:t>
      </w:r>
    </w:p>
    <w:p w14:paraId="5BC56CD6">
      <w:pPr>
        <w:ind w:firstLine="480"/>
        <w:rPr>
          <w:highlight w:val="none"/>
        </w:rPr>
      </w:pPr>
      <w:r>
        <w:rPr>
          <w:rFonts w:hint="eastAsia"/>
          <w:highlight w:val="none"/>
        </w:rPr>
        <w:t>（4）施工作业中环保小组有专人负责对沿线进行保洁，运输车辆必须按规定的行驶路线运输作业，路过居民区时应慢速行驶，尽可能的避免震动和噪声，车辆上面要进行覆盖，保持清洁上路，符合不撒、不漏标准，轮胎要清扫冲洗干净。对沿线道路进行洒水，防止尘土飞扬造成对周围环境的污染。</w:t>
      </w:r>
    </w:p>
    <w:p w14:paraId="1A741A53">
      <w:pPr>
        <w:ind w:firstLine="480" w:firstLineChars="200"/>
        <w:rPr>
          <w:rFonts w:hint="eastAsia"/>
          <w:highlight w:val="none"/>
        </w:rPr>
      </w:pPr>
      <w:r>
        <w:rPr>
          <w:rFonts w:hint="eastAsia"/>
          <w:highlight w:val="none"/>
        </w:rPr>
        <w:t>（5）对发电机等机械要采取简易的防噪措施。机动车在工地行驶通过限速等措施避免产生灰尘，通过经常洒水减少扬尘。现场易生粉尘的细料存放及运输要加以遮盖。</w:t>
      </w:r>
    </w:p>
    <w:p w14:paraId="686F6011">
      <w:pPr>
        <w:pStyle w:val="4"/>
        <w:tabs>
          <w:tab w:val="left" w:pos="240"/>
        </w:tabs>
        <w:bidi w:val="0"/>
        <w:rPr>
          <w:rFonts w:hint="eastAsia"/>
          <w:highlight w:val="none"/>
          <w:lang w:val="en-US" w:eastAsia="zh-CN"/>
        </w:rPr>
      </w:pPr>
      <w:r>
        <w:rPr>
          <w:rFonts w:hint="eastAsia"/>
          <w:highlight w:val="none"/>
          <w:lang w:val="en-US" w:eastAsia="zh-CN"/>
        </w:rPr>
        <w:t>10.2.4 7S管理</w:t>
      </w:r>
    </w:p>
    <w:p w14:paraId="774294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开展“7S”管理活动进行项目质量、安全文明施工的有效控制，总结实践经验，提出创新思路，为项目质量、安全文明施工系统化、标准化的管理服务，提升企业形象与社会效益。</w:t>
      </w:r>
    </w:p>
    <w:p w14:paraId="6D9D0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7S管理要素的实施要求：</w:t>
      </w:r>
    </w:p>
    <w:p w14:paraId="4B0D93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w:t>
      </w:r>
    </w:p>
    <w:p w14:paraId="587C65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整理规则：对施工现场摆放的物品、材料及机械进行分类，从而区分出使用等级。不常用的物品、材料及机械应及时清理出现场或划定区域临时放置。</w:t>
      </w:r>
    </w:p>
    <w:p w14:paraId="7691D3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w:t>
      </w:r>
    </w:p>
    <w:p w14:paraId="0005FD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规则：将施工现场要保留下的物品、材料及机械按照“三定原则”进行科学合理的布置和摆放，并设置明确、有效的标识。（三定原则。定物：就是选择需要的物品、材料保留下来，而将大部分不需要的物品、材料转入库房或进行废弃处理。定位：根据物品、材料的使用频率和使用便利性，决定物品、材料所放置的场地。定量：确定保留在施工场地或其附近的物品、材料的数量。）</w:t>
      </w:r>
    </w:p>
    <w:p w14:paraId="2619D7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3、清扫</w:t>
      </w:r>
    </w:p>
    <w:p w14:paraId="601376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清扫规则：对施工现场进行彻底的清扫，杜绝污染源，及时维修异常的设备将不需要的物品、材料清除掉，或者标识出来放在仓库中。每日清扫时间不少于5~15分钟，每2周至少安排一个清扫日，清扫1小时。</w:t>
      </w:r>
    </w:p>
    <w:p w14:paraId="1B3C8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4、清洁</w:t>
      </w:r>
    </w:p>
    <w:p w14:paraId="2CE01B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清洁规则：在整理、整顿、清扫之后进行认真的维护，重复不间断地保持整理、整顿和清扫，使其制度化。</w:t>
      </w:r>
    </w:p>
    <w:p w14:paraId="00256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5、安全</w:t>
      </w:r>
    </w:p>
    <w:p w14:paraId="43AD71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安全规则：将工作目标充分分解到各部门、各班组、各个人，加强施工组织设计、文明施工、定期安全检查、抽查、安全教育、生产安全施工应急预案的演练、严格落实红袖章三级管控制度和班前五分钟教育培训。</w:t>
      </w:r>
    </w:p>
    <w:p w14:paraId="7687A3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6、节约</w:t>
      </w:r>
    </w:p>
    <w:p w14:paraId="74E8AB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节约规则：提倡节能减排，绿色建筑，推广使用节能材料、设备设施与有利于节能的新工艺、新技术的应用。</w:t>
      </w:r>
    </w:p>
    <w:p w14:paraId="3DB55A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7、素养</w:t>
      </w:r>
    </w:p>
    <w:p w14:paraId="22D2F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素养规则：通过持续开展以上6S的活动，让每个员工都自觉遵守现场文明施工相关管理要求，养成良好的工作习惯、安全意识和爱岗敬业的职业道德。</w:t>
      </w:r>
    </w:p>
    <w:p w14:paraId="29FA1711">
      <w:pPr>
        <w:rPr>
          <w:rFonts w:hint="eastAsia"/>
          <w:highlight w:val="none"/>
        </w:rPr>
      </w:pPr>
      <w:r>
        <w:rPr>
          <w:rFonts w:hint="eastAsia"/>
          <w:highlight w:val="none"/>
        </w:rPr>
        <w:br w:type="page"/>
      </w:r>
    </w:p>
    <w:p w14:paraId="2747FD9E">
      <w:pPr>
        <w:pStyle w:val="2"/>
        <w:numPr>
          <w:ilvl w:val="0"/>
          <w:numId w:val="0"/>
        </w:numPr>
        <w:ind w:leftChars="0"/>
        <w:rPr>
          <w:rFonts w:hint="default"/>
          <w:highlight w:val="none"/>
          <w:lang w:val="en-US"/>
        </w:rPr>
      </w:pPr>
      <w:bookmarkStart w:id="447" w:name="_Toc29950"/>
      <w:r>
        <w:rPr>
          <w:rFonts w:hint="eastAsia"/>
          <w:highlight w:val="none"/>
          <w:lang w:val="en-US" w:eastAsia="zh-CN"/>
        </w:rPr>
        <w:t>11相关附件</w:t>
      </w:r>
      <w:bookmarkEnd w:id="447"/>
    </w:p>
    <w:p w14:paraId="4A42B81E">
      <w:pPr>
        <w:pStyle w:val="3"/>
        <w:tabs>
          <w:tab w:val="left" w:pos="240"/>
        </w:tabs>
        <w:bidi w:val="0"/>
        <w:rPr>
          <w:rFonts w:hint="default" w:ascii="宋体" w:hAnsi="宋体" w:eastAsia="宋体"/>
          <w:highlight w:val="none"/>
          <w:lang w:val="en-US" w:eastAsia="zh-CN"/>
        </w:rPr>
      </w:pPr>
      <w:bookmarkStart w:id="448" w:name="_Toc7495"/>
      <w:bookmarkStart w:id="449" w:name="_Toc5960"/>
      <w:r>
        <w:rPr>
          <w:rFonts w:hint="eastAsia" w:ascii="宋体" w:hAnsi="宋体" w:eastAsia="宋体"/>
          <w:highlight w:val="none"/>
          <w:lang w:val="en-US" w:eastAsia="zh-CN"/>
        </w:rPr>
        <w:t>附件1：</w:t>
      </w:r>
      <w:r>
        <w:rPr>
          <w:rFonts w:hint="eastAsia"/>
          <w:highlight w:val="none"/>
          <w:lang w:val="en-US" w:eastAsia="zh-CN"/>
        </w:rPr>
        <w:t>XGT7525-16</w:t>
      </w:r>
      <w:r>
        <w:rPr>
          <w:rFonts w:hint="eastAsia" w:ascii="宋体" w:hAnsi="宋体" w:eastAsia="宋体"/>
          <w:highlight w:val="none"/>
          <w:lang w:val="en-US" w:eastAsia="zh-CN"/>
        </w:rPr>
        <w:t>塔机立面图</w:t>
      </w:r>
      <w:bookmarkEnd w:id="448"/>
      <w:bookmarkEnd w:id="449"/>
    </w:p>
    <w:p w14:paraId="47CEAEBB">
      <w:pPr>
        <w:rPr>
          <w:highlight w:val="none"/>
        </w:rPr>
      </w:pPr>
      <w:r>
        <w:drawing>
          <wp:inline distT="0" distB="0" distL="114300" distR="114300">
            <wp:extent cx="5143500" cy="6315075"/>
            <wp:effectExtent l="0" t="0" r="0" b="9525"/>
            <wp:docPr id="9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pic:cNvPicPr>
                      <a:picLocks noChangeAspect="1"/>
                    </pic:cNvPicPr>
                  </pic:nvPicPr>
                  <pic:blipFill>
                    <a:blip r:embed="rId77"/>
                    <a:stretch>
                      <a:fillRect/>
                    </a:stretch>
                  </pic:blipFill>
                  <pic:spPr>
                    <a:xfrm>
                      <a:off x="0" y="0"/>
                      <a:ext cx="5143500" cy="6315075"/>
                    </a:xfrm>
                    <a:prstGeom prst="rect">
                      <a:avLst/>
                    </a:prstGeom>
                    <a:noFill/>
                    <a:ln>
                      <a:noFill/>
                    </a:ln>
                  </pic:spPr>
                </pic:pic>
              </a:graphicData>
            </a:graphic>
          </wp:inline>
        </w:drawing>
      </w:r>
    </w:p>
    <w:p w14:paraId="09711EF7">
      <w:pPr>
        <w:jc w:val="center"/>
        <w:rPr>
          <w:rFonts w:hint="default" w:eastAsia="宋体"/>
          <w:highlight w:val="none"/>
          <w:lang w:val="en-US" w:eastAsia="zh-CN"/>
        </w:rPr>
      </w:pPr>
      <w:r>
        <w:rPr>
          <w:rFonts w:hint="eastAsia" w:ascii="Times New Roman"/>
          <w:highlight w:val="none"/>
          <w:lang w:val="en-US" w:eastAsia="zh-CN"/>
        </w:rPr>
        <w:t>新渡坪17#右幅</w:t>
      </w:r>
      <w:r>
        <w:rPr>
          <w:rFonts w:hint="eastAsia" w:ascii="Times New Roman" w:eastAsia="宋体"/>
          <w:highlight w:val="none"/>
          <w:lang w:val="en-US" w:eastAsia="zh-CN"/>
        </w:rPr>
        <w:t>塔机立面图</w:t>
      </w:r>
    </w:p>
    <w:p w14:paraId="62DFE800">
      <w:pPr>
        <w:rPr>
          <w:rFonts w:hint="eastAsia"/>
          <w:highlight w:val="none"/>
          <w:lang w:val="en-US" w:eastAsia="zh-CN"/>
        </w:rPr>
      </w:pPr>
    </w:p>
    <w:p w14:paraId="484E24DF">
      <w:pPr>
        <w:pStyle w:val="3"/>
        <w:keepNext/>
        <w:keepLines/>
        <w:pageBreakBefore w:val="0"/>
        <w:widowControl w:val="0"/>
        <w:tabs>
          <w:tab w:val="left" w:pos="240"/>
        </w:tabs>
        <w:kinsoku/>
        <w:wordWrap/>
        <w:overflowPunct/>
        <w:topLinePunct w:val="0"/>
        <w:autoSpaceDE/>
        <w:autoSpaceDN/>
        <w:bidi w:val="0"/>
        <w:adjustRightInd/>
        <w:snapToGrid/>
        <w:textAlignment w:val="auto"/>
        <w:rPr>
          <w:rFonts w:hint="default" w:ascii="宋体" w:hAnsi="宋体" w:eastAsia="宋体"/>
          <w:highlight w:val="none"/>
          <w:lang w:val="en-US" w:eastAsia="zh-CN"/>
        </w:rPr>
      </w:pPr>
      <w:bookmarkStart w:id="450" w:name="_Toc25604"/>
      <w:bookmarkStart w:id="451" w:name="_Toc533"/>
      <w:r>
        <w:rPr>
          <w:rFonts w:hint="eastAsia" w:ascii="宋体" w:hAnsi="宋体" w:eastAsia="宋体"/>
          <w:highlight w:val="none"/>
          <w:lang w:val="en-US" w:eastAsia="zh-CN"/>
        </w:rPr>
        <w:t>附件2：</w:t>
      </w:r>
      <w:r>
        <w:rPr>
          <w:rFonts w:hint="eastAsia"/>
          <w:highlight w:val="none"/>
          <w:lang w:val="en-US" w:eastAsia="zh-CN"/>
        </w:rPr>
        <w:t>XGT7525-16</w:t>
      </w:r>
      <w:r>
        <w:rPr>
          <w:rFonts w:hint="eastAsia" w:ascii="宋体" w:hAnsi="宋体" w:eastAsia="宋体"/>
          <w:highlight w:val="none"/>
          <w:lang w:val="en-US" w:eastAsia="zh-CN"/>
        </w:rPr>
        <w:t>型塔吊平面布置示意图</w:t>
      </w:r>
      <w:bookmarkEnd w:id="450"/>
      <w:bookmarkEnd w:id="451"/>
    </w:p>
    <w:p w14:paraId="1B1A39F0">
      <w:pPr>
        <w:ind w:left="0" w:leftChars="0" w:firstLine="0" w:firstLineChars="0"/>
        <w:jc w:val="center"/>
        <w:rPr>
          <w:highlight w:val="none"/>
        </w:rPr>
      </w:pPr>
      <w:r>
        <w:drawing>
          <wp:inline distT="0" distB="0" distL="114300" distR="114300">
            <wp:extent cx="4886325" cy="4295775"/>
            <wp:effectExtent l="0" t="0" r="9525" b="9525"/>
            <wp:docPr id="9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8"/>
                    <pic:cNvPicPr>
                      <a:picLocks noChangeAspect="1"/>
                    </pic:cNvPicPr>
                  </pic:nvPicPr>
                  <pic:blipFill>
                    <a:blip r:embed="rId78"/>
                    <a:stretch>
                      <a:fillRect/>
                    </a:stretch>
                  </pic:blipFill>
                  <pic:spPr>
                    <a:xfrm>
                      <a:off x="0" y="0"/>
                      <a:ext cx="4886325" cy="4295775"/>
                    </a:xfrm>
                    <a:prstGeom prst="rect">
                      <a:avLst/>
                    </a:prstGeom>
                    <a:noFill/>
                    <a:ln>
                      <a:noFill/>
                    </a:ln>
                  </pic:spPr>
                </pic:pic>
              </a:graphicData>
            </a:graphic>
          </wp:inline>
        </w:drawing>
      </w:r>
    </w:p>
    <w:p w14:paraId="705DD6D6">
      <w:pPr>
        <w:pStyle w:val="14"/>
        <w:bidi w:val="0"/>
        <w:rPr>
          <w:rFonts w:hint="eastAsia"/>
          <w:highlight w:val="none"/>
          <w:lang w:val="en-US" w:eastAsia="zh-CN"/>
        </w:rPr>
      </w:pPr>
      <w:r>
        <w:rPr>
          <w:rFonts w:hint="eastAsia"/>
          <w:highlight w:val="none"/>
          <w:lang w:val="en-US" w:eastAsia="zh-CN"/>
        </w:rPr>
        <w:t>新渡坪17#右幅塔</w:t>
      </w:r>
      <w:r>
        <w:rPr>
          <w:rFonts w:hint="eastAsia"/>
          <w:b w:val="0"/>
          <w:bCs w:val="0"/>
          <w:i w:val="0"/>
          <w:iCs w:val="0"/>
          <w:highlight w:val="none"/>
          <w:lang w:val="en-US" w:eastAsia="zh-CN"/>
        </w:rPr>
        <w:t>吊施工平面布置示</w:t>
      </w:r>
      <w:r>
        <w:rPr>
          <w:rFonts w:hint="eastAsia"/>
          <w:highlight w:val="none"/>
          <w:lang w:val="en-US" w:eastAsia="zh-CN"/>
        </w:rPr>
        <w:t>意图</w:t>
      </w:r>
    </w:p>
    <w:p w14:paraId="3D325B52">
      <w:pPr>
        <w:rPr>
          <w:rFonts w:hint="eastAsia"/>
          <w:highlight w:val="none"/>
          <w:lang w:val="en-US" w:eastAsia="zh-CN"/>
        </w:rPr>
      </w:pPr>
      <w:r>
        <w:rPr>
          <w:rFonts w:hint="eastAsia"/>
          <w:highlight w:val="none"/>
          <w:lang w:val="en-US" w:eastAsia="zh-CN"/>
        </w:rPr>
        <w:br w:type="page"/>
      </w:r>
    </w:p>
    <w:p w14:paraId="72B0F9B9">
      <w:pPr>
        <w:pStyle w:val="3"/>
        <w:tabs>
          <w:tab w:val="left" w:pos="240"/>
        </w:tabs>
        <w:bidi w:val="0"/>
        <w:rPr>
          <w:rFonts w:hint="default" w:ascii="宋体" w:hAnsi="宋体" w:eastAsia="宋体"/>
          <w:highlight w:val="none"/>
          <w:lang w:val="en-US" w:eastAsia="zh-CN"/>
        </w:rPr>
      </w:pPr>
      <w:bookmarkStart w:id="452" w:name="_Toc22755"/>
      <w:bookmarkStart w:id="453" w:name="_Toc32271"/>
      <w:r>
        <w:rPr>
          <w:rFonts w:hint="eastAsia" w:ascii="宋体" w:hAnsi="宋体" w:eastAsia="宋体"/>
          <w:highlight w:val="none"/>
          <w:lang w:val="en-US" w:eastAsia="zh-CN"/>
        </w:rPr>
        <w:t>附件</w:t>
      </w:r>
      <w:r>
        <w:rPr>
          <w:rFonts w:hint="eastAsia"/>
          <w:highlight w:val="none"/>
          <w:lang w:val="en-US" w:eastAsia="zh-CN"/>
        </w:rPr>
        <w:t>3</w:t>
      </w:r>
      <w:r>
        <w:rPr>
          <w:rFonts w:hint="eastAsia" w:ascii="宋体" w:hAnsi="宋体" w:eastAsia="宋体"/>
          <w:highlight w:val="none"/>
          <w:lang w:val="en-US" w:eastAsia="zh-CN"/>
        </w:rPr>
        <w:t>：相关人员、资质文件</w:t>
      </w:r>
      <w:bookmarkEnd w:id="452"/>
      <w:bookmarkEnd w:id="453"/>
    </w:p>
    <w:p w14:paraId="047AC122">
      <w:pPr>
        <w:rPr>
          <w:rFonts w:hint="eastAsia"/>
          <w:lang w:val="en-US" w:eastAsia="zh-CN"/>
        </w:rPr>
      </w:pPr>
      <w:r>
        <w:rPr>
          <w:rFonts w:hint="default"/>
          <w:lang w:val="en-US" w:eastAsia="zh-CN"/>
        </w:rPr>
        <w:drawing>
          <wp:inline distT="0" distB="0" distL="114300" distR="114300">
            <wp:extent cx="5269865" cy="7452995"/>
            <wp:effectExtent l="0" t="0" r="6985" b="14605"/>
            <wp:docPr id="10" name="图片 10" descr="安装许可证2027.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装许可证2027.12.27"/>
                    <pic:cNvPicPr>
                      <a:picLocks noChangeAspect="1"/>
                    </pic:cNvPicPr>
                  </pic:nvPicPr>
                  <pic:blipFill>
                    <a:blip r:embed="rId79"/>
                    <a:stretch>
                      <a:fillRect/>
                    </a:stretch>
                  </pic:blipFill>
                  <pic:spPr>
                    <a:xfrm>
                      <a:off x="0" y="0"/>
                      <a:ext cx="5269865" cy="7452995"/>
                    </a:xfrm>
                    <a:prstGeom prst="rect">
                      <a:avLst/>
                    </a:prstGeom>
                  </pic:spPr>
                </pic:pic>
              </a:graphicData>
            </a:graphic>
          </wp:inline>
        </w:drawing>
      </w:r>
      <w:r>
        <w:rPr>
          <w:rFonts w:hint="default"/>
          <w:lang w:val="en-US" w:eastAsia="zh-CN"/>
        </w:rPr>
        <w:drawing>
          <wp:inline distT="0" distB="0" distL="114300" distR="114300">
            <wp:extent cx="5271135" cy="3726815"/>
            <wp:effectExtent l="0" t="0" r="5715" b="6985"/>
            <wp:docPr id="13" name="图片 13" descr="营业执照202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营业执照2024.12.5"/>
                    <pic:cNvPicPr>
                      <a:picLocks noChangeAspect="1"/>
                    </pic:cNvPicPr>
                  </pic:nvPicPr>
                  <pic:blipFill>
                    <a:blip r:embed="rId80"/>
                    <a:stretch>
                      <a:fillRect/>
                    </a:stretch>
                  </pic:blipFill>
                  <pic:spPr>
                    <a:xfrm>
                      <a:off x="0" y="0"/>
                      <a:ext cx="5271135" cy="3726815"/>
                    </a:xfrm>
                    <a:prstGeom prst="rect">
                      <a:avLst/>
                    </a:prstGeom>
                  </pic:spPr>
                </pic:pic>
              </a:graphicData>
            </a:graphic>
          </wp:inline>
        </w:drawing>
      </w:r>
      <w:r>
        <w:rPr>
          <w:rFonts w:hint="default"/>
          <w:lang w:val="en-US" w:eastAsia="zh-CN"/>
        </w:rPr>
        <w:drawing>
          <wp:inline distT="0" distB="0" distL="114300" distR="114300">
            <wp:extent cx="5259705" cy="7398385"/>
            <wp:effectExtent l="0" t="0" r="17145" b="12065"/>
            <wp:docPr id="15" name="图片 15" descr="56c34a71c59a457d6f034fd3e974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6c34a71c59a457d6f034fd3e97406d"/>
                    <pic:cNvPicPr>
                      <a:picLocks noChangeAspect="1"/>
                    </pic:cNvPicPr>
                  </pic:nvPicPr>
                  <pic:blipFill>
                    <a:blip r:embed="rId81"/>
                    <a:stretch>
                      <a:fillRect/>
                    </a:stretch>
                  </pic:blipFill>
                  <pic:spPr>
                    <a:xfrm>
                      <a:off x="0" y="0"/>
                      <a:ext cx="5259705" cy="7398385"/>
                    </a:xfrm>
                    <a:prstGeom prst="rect">
                      <a:avLst/>
                    </a:prstGeom>
                  </pic:spPr>
                </pic:pic>
              </a:graphicData>
            </a:graphic>
          </wp:inline>
        </w:drawing>
      </w:r>
      <w:r>
        <w:rPr>
          <w:rFonts w:hint="default"/>
          <w:lang w:val="en-US" w:eastAsia="zh-CN"/>
        </w:rPr>
        <w:drawing>
          <wp:inline distT="0" distB="0" distL="114300" distR="114300">
            <wp:extent cx="5268595" cy="7450455"/>
            <wp:effectExtent l="0" t="0" r="8255" b="17145"/>
            <wp:docPr id="18" name="图片 18" descr="fcdd3d1a0a2f65bde8f9b0f9bc94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cdd3d1a0a2f65bde8f9b0f9bc946bd"/>
                    <pic:cNvPicPr>
                      <a:picLocks noChangeAspect="1"/>
                    </pic:cNvPicPr>
                  </pic:nvPicPr>
                  <pic:blipFill>
                    <a:blip r:embed="rId82"/>
                    <a:stretch>
                      <a:fillRect/>
                    </a:stretch>
                  </pic:blipFill>
                  <pic:spPr>
                    <a:xfrm>
                      <a:off x="0" y="0"/>
                      <a:ext cx="5268595" cy="7450455"/>
                    </a:xfrm>
                    <a:prstGeom prst="rect">
                      <a:avLst/>
                    </a:prstGeom>
                  </pic:spPr>
                </pic:pic>
              </a:graphicData>
            </a:graphic>
          </wp:inline>
        </w:drawing>
      </w:r>
      <w:r>
        <w:rPr>
          <w:rFonts w:hint="default"/>
          <w:lang w:val="en-US" w:eastAsia="zh-CN"/>
        </w:rPr>
        <w:drawing>
          <wp:inline distT="0" distB="0" distL="114300" distR="114300">
            <wp:extent cx="5267325" cy="7454265"/>
            <wp:effectExtent l="0" t="0" r="9525" b="13335"/>
            <wp:docPr id="20" name="图片 20" descr="塔吊安拆-孔令波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塔吊安拆-孔令波2026.5.10"/>
                    <pic:cNvPicPr>
                      <a:picLocks noChangeAspect="1"/>
                    </pic:cNvPicPr>
                  </pic:nvPicPr>
                  <pic:blipFill>
                    <a:blip r:embed="rId83"/>
                    <a:stretch>
                      <a:fillRect/>
                    </a:stretch>
                  </pic:blipFill>
                  <pic:spPr>
                    <a:xfrm>
                      <a:off x="0" y="0"/>
                      <a:ext cx="5267325" cy="7454265"/>
                    </a:xfrm>
                    <a:prstGeom prst="rect">
                      <a:avLst/>
                    </a:prstGeom>
                  </pic:spPr>
                </pic:pic>
              </a:graphicData>
            </a:graphic>
          </wp:inline>
        </w:drawing>
      </w:r>
      <w:r>
        <w:rPr>
          <w:rFonts w:hint="default"/>
          <w:lang w:val="en-US" w:eastAsia="zh-CN"/>
        </w:rPr>
        <w:drawing>
          <wp:inline distT="0" distB="0" distL="114300" distR="114300">
            <wp:extent cx="5267325" cy="7454265"/>
            <wp:effectExtent l="0" t="0" r="9525" b="13335"/>
            <wp:docPr id="21" name="图片 21" descr="塔吊安拆-孔令德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塔吊安拆-孔令德2026.5.10"/>
                    <pic:cNvPicPr>
                      <a:picLocks noChangeAspect="1"/>
                    </pic:cNvPicPr>
                  </pic:nvPicPr>
                  <pic:blipFill>
                    <a:blip r:embed="rId84"/>
                    <a:stretch>
                      <a:fillRect/>
                    </a:stretch>
                  </pic:blipFill>
                  <pic:spPr>
                    <a:xfrm>
                      <a:off x="0" y="0"/>
                      <a:ext cx="5267325" cy="745426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24" name="图片 24" descr="塔吊安拆-熊登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塔吊安拆-熊登2025.1.16"/>
                    <pic:cNvPicPr>
                      <a:picLocks noChangeAspect="1"/>
                    </pic:cNvPicPr>
                  </pic:nvPicPr>
                  <pic:blipFill>
                    <a:blip r:embed="rId85"/>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31" name="图片 31" descr="塔吊安拆-吕仕昌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塔吊安拆-吕仕昌2026.6.29"/>
                    <pic:cNvPicPr>
                      <a:picLocks noChangeAspect="1"/>
                    </pic:cNvPicPr>
                  </pic:nvPicPr>
                  <pic:blipFill>
                    <a:blip r:embed="rId86"/>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66690" cy="8017510"/>
            <wp:effectExtent l="0" t="0" r="10160" b="2540"/>
            <wp:docPr id="48" name="图片 48" descr="塔吊安拆-戴富东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塔吊安拆-戴富东2026.6.29"/>
                    <pic:cNvPicPr>
                      <a:picLocks noChangeAspect="1"/>
                    </pic:cNvPicPr>
                  </pic:nvPicPr>
                  <pic:blipFill>
                    <a:blip r:embed="rId87"/>
                    <a:stretch>
                      <a:fillRect/>
                    </a:stretch>
                  </pic:blipFill>
                  <pic:spPr>
                    <a:xfrm>
                      <a:off x="0" y="0"/>
                      <a:ext cx="5266690" cy="8017510"/>
                    </a:xfrm>
                    <a:prstGeom prst="rect">
                      <a:avLst/>
                    </a:prstGeom>
                  </pic:spPr>
                </pic:pic>
              </a:graphicData>
            </a:graphic>
          </wp:inline>
        </w:drawing>
      </w:r>
      <w:r>
        <w:rPr>
          <w:rFonts w:hint="default"/>
          <w:lang w:val="en-US" w:eastAsia="zh-CN"/>
        </w:rPr>
        <w:drawing>
          <wp:inline distT="0" distB="0" distL="114300" distR="114300">
            <wp:extent cx="5269865" cy="7684135"/>
            <wp:effectExtent l="0" t="0" r="6985" b="12065"/>
            <wp:docPr id="54" name="图片 54" descr="塔吊安拆-冯昌苹20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塔吊安拆-冯昌苹2026.6.28"/>
                    <pic:cNvPicPr>
                      <a:picLocks noChangeAspect="1"/>
                    </pic:cNvPicPr>
                  </pic:nvPicPr>
                  <pic:blipFill>
                    <a:blip r:embed="rId88"/>
                    <a:stretch>
                      <a:fillRect/>
                    </a:stretch>
                  </pic:blipFill>
                  <pic:spPr>
                    <a:xfrm>
                      <a:off x="0" y="0"/>
                      <a:ext cx="5269865" cy="7684135"/>
                    </a:xfrm>
                    <a:prstGeom prst="rect">
                      <a:avLst/>
                    </a:prstGeom>
                  </pic:spPr>
                </pic:pic>
              </a:graphicData>
            </a:graphic>
          </wp:inline>
        </w:drawing>
      </w:r>
      <w:r>
        <w:rPr>
          <w:rFonts w:hint="default"/>
          <w:lang w:val="en-US" w:eastAsia="zh-CN"/>
        </w:rPr>
        <w:drawing>
          <wp:inline distT="0" distB="0" distL="114300" distR="114300">
            <wp:extent cx="5259705" cy="7398385"/>
            <wp:effectExtent l="0" t="0" r="10795" b="5715"/>
            <wp:docPr id="6" name="图片 6" descr="56c34a71c59a457d6f034fd3e974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c34a71c59a457d6f034fd3e97406d"/>
                    <pic:cNvPicPr>
                      <a:picLocks noChangeAspect="1"/>
                    </pic:cNvPicPr>
                  </pic:nvPicPr>
                  <pic:blipFill>
                    <a:blip r:embed="rId81"/>
                    <a:stretch>
                      <a:fillRect/>
                    </a:stretch>
                  </pic:blipFill>
                  <pic:spPr>
                    <a:xfrm>
                      <a:off x="0" y="0"/>
                      <a:ext cx="5259705" cy="7398385"/>
                    </a:xfrm>
                    <a:prstGeom prst="rect">
                      <a:avLst/>
                    </a:prstGeom>
                  </pic:spPr>
                </pic:pic>
              </a:graphicData>
            </a:graphic>
          </wp:inline>
        </w:drawing>
      </w:r>
      <w:r>
        <w:rPr>
          <w:rFonts w:hint="default"/>
          <w:lang w:val="en-US" w:eastAsia="zh-CN"/>
        </w:rPr>
        <w:drawing>
          <wp:inline distT="0" distB="0" distL="114300" distR="114300">
            <wp:extent cx="5268595" cy="7450455"/>
            <wp:effectExtent l="0" t="0" r="1905" b="4445"/>
            <wp:docPr id="8" name="图片 8" descr="fcdd3d1a0a2f65bde8f9b0f9bc94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cdd3d1a0a2f65bde8f9b0f9bc946bd"/>
                    <pic:cNvPicPr>
                      <a:picLocks noChangeAspect="1"/>
                    </pic:cNvPicPr>
                  </pic:nvPicPr>
                  <pic:blipFill>
                    <a:blip r:embed="rId82"/>
                    <a:stretch>
                      <a:fillRect/>
                    </a:stretch>
                  </pic:blipFill>
                  <pic:spPr>
                    <a:xfrm>
                      <a:off x="0" y="0"/>
                      <a:ext cx="5268595" cy="7450455"/>
                    </a:xfrm>
                    <a:prstGeom prst="rect">
                      <a:avLst/>
                    </a:prstGeom>
                  </pic:spPr>
                </pic:pic>
              </a:graphicData>
            </a:graphic>
          </wp:inline>
        </w:drawing>
      </w:r>
      <w:r>
        <w:rPr>
          <w:rFonts w:hint="default"/>
          <w:lang w:val="en-US" w:eastAsia="zh-CN"/>
        </w:rPr>
        <w:drawing>
          <wp:inline distT="0" distB="0" distL="114300" distR="114300">
            <wp:extent cx="5267325" cy="7454265"/>
            <wp:effectExtent l="0" t="0" r="3175" b="635"/>
            <wp:docPr id="16" name="图片 16" descr="塔吊安拆-孔令波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塔吊安拆-孔令波2026.5.10"/>
                    <pic:cNvPicPr>
                      <a:picLocks noChangeAspect="1"/>
                    </pic:cNvPicPr>
                  </pic:nvPicPr>
                  <pic:blipFill>
                    <a:blip r:embed="rId83"/>
                    <a:stretch>
                      <a:fillRect/>
                    </a:stretch>
                  </pic:blipFill>
                  <pic:spPr>
                    <a:xfrm>
                      <a:off x="0" y="0"/>
                      <a:ext cx="5267325" cy="7454265"/>
                    </a:xfrm>
                    <a:prstGeom prst="rect">
                      <a:avLst/>
                    </a:prstGeom>
                  </pic:spPr>
                </pic:pic>
              </a:graphicData>
            </a:graphic>
          </wp:inline>
        </w:drawing>
      </w:r>
      <w:r>
        <w:rPr>
          <w:rFonts w:hint="default"/>
          <w:lang w:val="en-US" w:eastAsia="zh-CN"/>
        </w:rPr>
        <w:drawing>
          <wp:inline distT="0" distB="0" distL="114300" distR="114300">
            <wp:extent cx="5267325" cy="7454265"/>
            <wp:effectExtent l="0" t="0" r="3175" b="635"/>
            <wp:docPr id="17" name="图片 17" descr="塔吊安拆-孔令德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塔吊安拆-孔令德2026.5.10"/>
                    <pic:cNvPicPr>
                      <a:picLocks noChangeAspect="1"/>
                    </pic:cNvPicPr>
                  </pic:nvPicPr>
                  <pic:blipFill>
                    <a:blip r:embed="rId84"/>
                    <a:stretch>
                      <a:fillRect/>
                    </a:stretch>
                  </pic:blipFill>
                  <pic:spPr>
                    <a:xfrm>
                      <a:off x="0" y="0"/>
                      <a:ext cx="5267325" cy="7454265"/>
                    </a:xfrm>
                    <a:prstGeom prst="rect">
                      <a:avLst/>
                    </a:prstGeom>
                  </pic:spPr>
                </pic:pic>
              </a:graphicData>
            </a:graphic>
          </wp:inline>
        </w:drawing>
      </w:r>
      <w:r>
        <w:rPr>
          <w:rFonts w:hint="default"/>
          <w:lang w:val="en-US" w:eastAsia="zh-CN"/>
        </w:rPr>
        <w:drawing>
          <wp:inline distT="0" distB="0" distL="114300" distR="114300">
            <wp:extent cx="5266690" cy="8017510"/>
            <wp:effectExtent l="0" t="0" r="3810" b="8890"/>
            <wp:docPr id="25" name="图片 25" descr="塔吊安拆-戴富东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塔吊安拆-戴富东2026.6.29"/>
                    <pic:cNvPicPr>
                      <a:picLocks noChangeAspect="1"/>
                    </pic:cNvPicPr>
                  </pic:nvPicPr>
                  <pic:blipFill>
                    <a:blip r:embed="rId87"/>
                    <a:stretch>
                      <a:fillRect/>
                    </a:stretch>
                  </pic:blipFill>
                  <pic:spPr>
                    <a:xfrm>
                      <a:off x="0" y="0"/>
                      <a:ext cx="5266690" cy="8017510"/>
                    </a:xfrm>
                    <a:prstGeom prst="rect">
                      <a:avLst/>
                    </a:prstGeom>
                  </pic:spPr>
                </pic:pic>
              </a:graphicData>
            </a:graphic>
          </wp:inline>
        </w:drawing>
      </w:r>
      <w:r>
        <w:rPr>
          <w:rFonts w:hint="default"/>
          <w:lang w:val="en-US" w:eastAsia="zh-CN"/>
        </w:rPr>
        <w:drawing>
          <wp:inline distT="0" distB="0" distL="114300" distR="114300">
            <wp:extent cx="5269865" cy="7684135"/>
            <wp:effectExtent l="0" t="0" r="635" b="12065"/>
            <wp:docPr id="26" name="图片 26" descr="塔吊安拆-冯昌苹20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塔吊安拆-冯昌苹2026.6.28"/>
                    <pic:cNvPicPr>
                      <a:picLocks noChangeAspect="1"/>
                    </pic:cNvPicPr>
                  </pic:nvPicPr>
                  <pic:blipFill>
                    <a:blip r:embed="rId88"/>
                    <a:stretch>
                      <a:fillRect/>
                    </a:stretch>
                  </pic:blipFill>
                  <pic:spPr>
                    <a:xfrm>
                      <a:off x="0" y="0"/>
                      <a:ext cx="5269865" cy="7684135"/>
                    </a:xfrm>
                    <a:prstGeom prst="rect">
                      <a:avLst/>
                    </a:prstGeom>
                  </pic:spPr>
                </pic:pic>
              </a:graphicData>
            </a:graphic>
          </wp:inline>
        </w:drawing>
      </w:r>
      <w:r>
        <w:rPr>
          <w:rFonts w:hint="eastAsia"/>
          <w:lang w:val="en-US" w:eastAsia="zh-CN"/>
        </w:rPr>
        <w:tab/>
      </w:r>
    </w:p>
    <w:p w14:paraId="748C8D8A">
      <w:pPr>
        <w:spacing w:line="360" w:lineRule="auto"/>
        <w:ind w:firstLine="480" w:firstLineChars="200"/>
        <w:rPr>
          <w:rFonts w:ascii="宋体" w:hAnsi="宋体" w:eastAsia="宋体" w:cs="宋体"/>
          <w:sz w:val="24"/>
          <w:szCs w:val="24"/>
          <w:highlight w:val="none"/>
        </w:rPr>
      </w:pPr>
      <w:r>
        <w:rPr>
          <w:rFonts w:hint="default"/>
          <w:lang w:val="en-US" w:eastAsia="zh-CN"/>
        </w:rPr>
        <w:drawing>
          <wp:inline distT="0" distB="0" distL="114300" distR="114300">
            <wp:extent cx="5270500" cy="7358380"/>
            <wp:effectExtent l="0" t="0" r="0" b="7620"/>
            <wp:docPr id="27" name="图片 27" descr="电工-张腾万202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电工-张腾万2024.12.31"/>
                    <pic:cNvPicPr>
                      <a:picLocks noChangeAspect="1"/>
                    </pic:cNvPicPr>
                  </pic:nvPicPr>
                  <pic:blipFill>
                    <a:blip r:embed="rId89"/>
                    <a:stretch>
                      <a:fillRect/>
                    </a:stretch>
                  </pic:blipFill>
                  <pic:spPr>
                    <a:xfrm>
                      <a:off x="0" y="0"/>
                      <a:ext cx="5270500" cy="7358380"/>
                    </a:xfrm>
                    <a:prstGeom prst="rect">
                      <a:avLst/>
                    </a:prstGeom>
                  </pic:spPr>
                </pic:pic>
              </a:graphicData>
            </a:graphic>
          </wp:inline>
        </w:drawing>
      </w:r>
    </w:p>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_GB2312+3+5">
    <w:altName w:val="仿宋"/>
    <w:panose1 w:val="00000000000000000000"/>
    <w:charset w:val="86"/>
    <w:family w:val="auto"/>
    <w:pitch w:val="default"/>
    <w:sig w:usb0="00000000" w:usb1="00000000" w:usb2="00000010" w:usb3="00000000" w:csb0="00040000" w:csb1="00000000"/>
  </w:font>
  <w:font w:name="仿宋_GB2312+3+3">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6">
    <w:altName w:val="仿宋"/>
    <w:panose1 w:val="00000000000000000000"/>
    <w:charset w:val="86"/>
    <w:family w:val="auto"/>
    <w:pitch w:val="default"/>
    <w:sig w:usb0="00000000" w:usb1="00000000" w:usb2="00000010" w:usb3="00000000" w:csb0="00040000" w:csb1="00000000"/>
  </w:font>
  <w:font w:name="仿宋_GB2312+3+7">
    <w:altName w:val="仿宋"/>
    <w:panose1 w:val="00000000000000000000"/>
    <w:charset w:val="86"/>
    <w:family w:val="auto"/>
    <w:pitch w:val="default"/>
    <w:sig w:usb0="00000000" w:usb1="00000000" w:usb2="00000010" w:usb3="00000000" w:csb0="00040000" w:csb1="00000000"/>
  </w:font>
  <w:font w:name="仿宋_GB2312+3+8">
    <w:altName w:val="仿宋"/>
    <w:panose1 w:val="00000000000000000000"/>
    <w:charset w:val="86"/>
    <w:family w:val="auto"/>
    <w:pitch w:val="default"/>
    <w:sig w:usb0="00000000" w:usb1="00000000" w:usb2="00000010" w:usb3="00000000" w:csb0="00040000" w:csb1="00000000"/>
  </w:font>
  <w:font w:name="仿宋_GB2312+3+9">
    <w:altName w:val="仿宋"/>
    <w:panose1 w:val="00000000000000000000"/>
    <w:charset w:val="86"/>
    <w:family w:val="auto"/>
    <w:pitch w:val="default"/>
    <w:sig w:usb0="00000000" w:usb1="00000000" w:usb2="00000010" w:usb3="00000000" w:csb0="00040000" w:csb1="00000000"/>
  </w:font>
  <w:font w:name="仿宋_GB2312+3+10">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9F73">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CECC2">
                          <w:pPr>
                            <w:pStyle w:val="2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D1CECC2">
                    <w:pPr>
                      <w:pStyle w:val="2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CA59">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183A">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8651">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30"/>
      <w:suff w:val="nothing"/>
      <w:lvlText w:val="%1"/>
      <w:lvlJc w:val="left"/>
      <w:pPr>
        <w:tabs>
          <w:tab w:val="left" w:pos="0"/>
        </w:tabs>
        <w:ind w:left="0" w:firstLine="0"/>
      </w:pPr>
      <w:rPr>
        <w:rFonts w:hint="default"/>
      </w:rPr>
    </w:lvl>
  </w:abstractNum>
  <w:abstractNum w:abstractNumId="1">
    <w:nsid w:val="26967546"/>
    <w:multiLevelType w:val="singleLevel"/>
    <w:tmpl w:val="26967546"/>
    <w:lvl w:ilvl="0" w:tentative="0">
      <w:start w:val="1"/>
      <w:numFmt w:val="decimal"/>
      <w:suff w:val="nothing"/>
      <w:lvlText w:val="（%1）"/>
      <w:lvlJc w:val="left"/>
    </w:lvl>
  </w:abstractNum>
  <w:abstractNum w:abstractNumId="2">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27"/>
      <w:suff w:val="space"/>
      <w:lvlText w:val="(%5)"/>
      <w:lvlJc w:val="left"/>
      <w:pPr>
        <w:tabs>
          <w:tab w:val="left" w:pos="420"/>
        </w:tabs>
        <w:ind w:left="0" w:firstLine="510"/>
      </w:pPr>
      <w:rPr>
        <w:rFonts w:hint="default" w:ascii="宋体" w:hAnsi="宋体" w:eastAsia="宋体" w:cs="宋体"/>
      </w:rPr>
    </w:lvl>
    <w:lvl w:ilvl="5" w:tentative="0">
      <w:start w:val="1"/>
      <w:numFmt w:val="decimal"/>
      <w:pStyle w:val="131"/>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28"/>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6"/>
      <w:suff w:val="space"/>
      <w:lvlText w:val="图%1.%2-%9"/>
      <w:lvlJc w:val="left"/>
      <w:pPr>
        <w:tabs>
          <w:tab w:val="left" w:pos="420"/>
        </w:tabs>
        <w:ind w:left="0" w:firstLine="0"/>
      </w:pPr>
      <w:rPr>
        <w:rFonts w:hint="default" w:ascii="宋体" w:hAnsi="宋体" w:eastAsia="宋体" w:cs="宋体"/>
      </w:rPr>
    </w:lvl>
  </w:abstractNum>
  <w:abstractNum w:abstractNumId="3">
    <w:nsid w:val="5B07CCF4"/>
    <w:multiLevelType w:val="singleLevel"/>
    <w:tmpl w:val="5B07CCF4"/>
    <w:lvl w:ilvl="0" w:tentative="0">
      <w:start w:val="1"/>
      <w:numFmt w:val="bullet"/>
      <w:pStyle w:val="119"/>
      <w:suff w:val="space"/>
      <w:lvlText w:val=""/>
      <w:lvlJc w:val="left"/>
      <w:pPr>
        <w:tabs>
          <w:tab w:val="left" w:pos="420"/>
        </w:tabs>
        <w:ind w:left="0" w:firstLine="624"/>
      </w:pPr>
      <w:rPr>
        <w:rFonts w:hint="default" w:ascii="Wingdings" w:hAnsi="Wingdings"/>
      </w:rPr>
    </w:lvl>
  </w:abstractNum>
  <w:abstractNum w:abstractNumId="4">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ODBjZDhlODI0MzFhY2U1ODg0YzczNWIwYmZmODE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C717F"/>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23216F2"/>
    <w:rsid w:val="02405F94"/>
    <w:rsid w:val="028C6A68"/>
    <w:rsid w:val="041A2AEF"/>
    <w:rsid w:val="047C4BE6"/>
    <w:rsid w:val="04C32148"/>
    <w:rsid w:val="05774CAC"/>
    <w:rsid w:val="058B4971"/>
    <w:rsid w:val="05A72447"/>
    <w:rsid w:val="05B3487C"/>
    <w:rsid w:val="05E66441"/>
    <w:rsid w:val="06002DDC"/>
    <w:rsid w:val="06323AB9"/>
    <w:rsid w:val="078E37F4"/>
    <w:rsid w:val="07A169A4"/>
    <w:rsid w:val="08263C5B"/>
    <w:rsid w:val="088A6B37"/>
    <w:rsid w:val="08B91299"/>
    <w:rsid w:val="08E46A38"/>
    <w:rsid w:val="08E75619"/>
    <w:rsid w:val="096940A3"/>
    <w:rsid w:val="0AC46982"/>
    <w:rsid w:val="0BC75A7E"/>
    <w:rsid w:val="0C4F0DDA"/>
    <w:rsid w:val="0CBF197A"/>
    <w:rsid w:val="0D0F01CD"/>
    <w:rsid w:val="0D702283"/>
    <w:rsid w:val="0D716C02"/>
    <w:rsid w:val="0D880067"/>
    <w:rsid w:val="0E4E52A8"/>
    <w:rsid w:val="0E62049E"/>
    <w:rsid w:val="0EE075E5"/>
    <w:rsid w:val="0F1467D4"/>
    <w:rsid w:val="0F9A7A42"/>
    <w:rsid w:val="1016277B"/>
    <w:rsid w:val="10AA5667"/>
    <w:rsid w:val="11311F25"/>
    <w:rsid w:val="11A22912"/>
    <w:rsid w:val="11A41D91"/>
    <w:rsid w:val="11A910BA"/>
    <w:rsid w:val="11C06C72"/>
    <w:rsid w:val="12BA538F"/>
    <w:rsid w:val="12D66B6A"/>
    <w:rsid w:val="13343215"/>
    <w:rsid w:val="1372646B"/>
    <w:rsid w:val="13E30B4C"/>
    <w:rsid w:val="14DB5AA6"/>
    <w:rsid w:val="14DE0AFB"/>
    <w:rsid w:val="15C42E81"/>
    <w:rsid w:val="16806CA1"/>
    <w:rsid w:val="16917B1C"/>
    <w:rsid w:val="16A9014A"/>
    <w:rsid w:val="16F4799C"/>
    <w:rsid w:val="171514DA"/>
    <w:rsid w:val="176747AF"/>
    <w:rsid w:val="17E07B9B"/>
    <w:rsid w:val="18D44D2A"/>
    <w:rsid w:val="18FF7F74"/>
    <w:rsid w:val="190D610B"/>
    <w:rsid w:val="191E7BBA"/>
    <w:rsid w:val="197952B3"/>
    <w:rsid w:val="19A44E9B"/>
    <w:rsid w:val="19A76092"/>
    <w:rsid w:val="1C520F6B"/>
    <w:rsid w:val="1CD756BC"/>
    <w:rsid w:val="1CFC4D2A"/>
    <w:rsid w:val="1D0E36EF"/>
    <w:rsid w:val="1D6F11B3"/>
    <w:rsid w:val="1DD575F2"/>
    <w:rsid w:val="1E1E0A3E"/>
    <w:rsid w:val="1E6A3CB5"/>
    <w:rsid w:val="1ED02A09"/>
    <w:rsid w:val="200D42B2"/>
    <w:rsid w:val="21C428EF"/>
    <w:rsid w:val="22870996"/>
    <w:rsid w:val="22980D40"/>
    <w:rsid w:val="22BA2054"/>
    <w:rsid w:val="242C0807"/>
    <w:rsid w:val="25C5597D"/>
    <w:rsid w:val="25DE7B87"/>
    <w:rsid w:val="26C53EFB"/>
    <w:rsid w:val="27386D9D"/>
    <w:rsid w:val="27D01FA7"/>
    <w:rsid w:val="2831332B"/>
    <w:rsid w:val="2840722C"/>
    <w:rsid w:val="289B1551"/>
    <w:rsid w:val="28BA140C"/>
    <w:rsid w:val="28D87B84"/>
    <w:rsid w:val="29422684"/>
    <w:rsid w:val="29A33021"/>
    <w:rsid w:val="2ABB53C3"/>
    <w:rsid w:val="2B1D7825"/>
    <w:rsid w:val="2B3E411C"/>
    <w:rsid w:val="2BBD2BC9"/>
    <w:rsid w:val="2BCE31D3"/>
    <w:rsid w:val="2BF34B33"/>
    <w:rsid w:val="2C1D1F8F"/>
    <w:rsid w:val="2C9B4519"/>
    <w:rsid w:val="2D8F2D8C"/>
    <w:rsid w:val="2D914BB9"/>
    <w:rsid w:val="2E265B06"/>
    <w:rsid w:val="2EC56D57"/>
    <w:rsid w:val="2F525233"/>
    <w:rsid w:val="306D1AAC"/>
    <w:rsid w:val="30F51354"/>
    <w:rsid w:val="311D75A8"/>
    <w:rsid w:val="31606D41"/>
    <w:rsid w:val="31A510A0"/>
    <w:rsid w:val="31A6792F"/>
    <w:rsid w:val="3354162A"/>
    <w:rsid w:val="339073AE"/>
    <w:rsid w:val="33B06364"/>
    <w:rsid w:val="34AE751F"/>
    <w:rsid w:val="35AA17FB"/>
    <w:rsid w:val="36591D72"/>
    <w:rsid w:val="36B1156E"/>
    <w:rsid w:val="370F4595"/>
    <w:rsid w:val="378064F0"/>
    <w:rsid w:val="37863768"/>
    <w:rsid w:val="37D43BD6"/>
    <w:rsid w:val="37EE37E7"/>
    <w:rsid w:val="383B22E8"/>
    <w:rsid w:val="38F058B8"/>
    <w:rsid w:val="39861813"/>
    <w:rsid w:val="398E7091"/>
    <w:rsid w:val="39A7506D"/>
    <w:rsid w:val="39BB05A7"/>
    <w:rsid w:val="39D17B83"/>
    <w:rsid w:val="3A285D28"/>
    <w:rsid w:val="3A4F322C"/>
    <w:rsid w:val="3A6A181A"/>
    <w:rsid w:val="3AC70F58"/>
    <w:rsid w:val="3AEC61EA"/>
    <w:rsid w:val="3B0F5ADC"/>
    <w:rsid w:val="3B691C52"/>
    <w:rsid w:val="3BEE6312"/>
    <w:rsid w:val="3C910F67"/>
    <w:rsid w:val="3D790732"/>
    <w:rsid w:val="3DD35697"/>
    <w:rsid w:val="3E39568A"/>
    <w:rsid w:val="3EE93BE9"/>
    <w:rsid w:val="3F500C15"/>
    <w:rsid w:val="3F6877DA"/>
    <w:rsid w:val="3FB4100D"/>
    <w:rsid w:val="3FC368EA"/>
    <w:rsid w:val="40321124"/>
    <w:rsid w:val="406132A7"/>
    <w:rsid w:val="40B25AEE"/>
    <w:rsid w:val="420F35B4"/>
    <w:rsid w:val="42BE671D"/>
    <w:rsid w:val="42D347BC"/>
    <w:rsid w:val="43690368"/>
    <w:rsid w:val="43811F71"/>
    <w:rsid w:val="43A93D53"/>
    <w:rsid w:val="43D941B5"/>
    <w:rsid w:val="449D2088"/>
    <w:rsid w:val="44A96B47"/>
    <w:rsid w:val="46192E49"/>
    <w:rsid w:val="46F510E6"/>
    <w:rsid w:val="47077063"/>
    <w:rsid w:val="47550DFF"/>
    <w:rsid w:val="479A6B25"/>
    <w:rsid w:val="47D255EE"/>
    <w:rsid w:val="48612F4D"/>
    <w:rsid w:val="4A6A3D1A"/>
    <w:rsid w:val="4ACB4374"/>
    <w:rsid w:val="4B104CAB"/>
    <w:rsid w:val="4B1101D5"/>
    <w:rsid w:val="4BFC24EE"/>
    <w:rsid w:val="4C0D5206"/>
    <w:rsid w:val="4C6E57AF"/>
    <w:rsid w:val="4C7642AE"/>
    <w:rsid w:val="4D0B3876"/>
    <w:rsid w:val="4DD530AE"/>
    <w:rsid w:val="4E545090"/>
    <w:rsid w:val="4FB80EBC"/>
    <w:rsid w:val="504B489F"/>
    <w:rsid w:val="504C71AF"/>
    <w:rsid w:val="51125403"/>
    <w:rsid w:val="51B1480D"/>
    <w:rsid w:val="5286028E"/>
    <w:rsid w:val="5394300C"/>
    <w:rsid w:val="5411535C"/>
    <w:rsid w:val="54624402"/>
    <w:rsid w:val="54F0316B"/>
    <w:rsid w:val="551A6081"/>
    <w:rsid w:val="56AF69BC"/>
    <w:rsid w:val="56C043EA"/>
    <w:rsid w:val="577A72FF"/>
    <w:rsid w:val="58001828"/>
    <w:rsid w:val="58F8524D"/>
    <w:rsid w:val="596F7962"/>
    <w:rsid w:val="59DD4B1E"/>
    <w:rsid w:val="5A22609C"/>
    <w:rsid w:val="5A491E32"/>
    <w:rsid w:val="5AC90ACD"/>
    <w:rsid w:val="5B8D53A1"/>
    <w:rsid w:val="5BFB3774"/>
    <w:rsid w:val="5C025C75"/>
    <w:rsid w:val="5DE423C4"/>
    <w:rsid w:val="5DEF36EF"/>
    <w:rsid w:val="5E522066"/>
    <w:rsid w:val="5EDD69E1"/>
    <w:rsid w:val="6039692A"/>
    <w:rsid w:val="603D41DA"/>
    <w:rsid w:val="60F53F7E"/>
    <w:rsid w:val="61125609"/>
    <w:rsid w:val="616C2E7B"/>
    <w:rsid w:val="61925E12"/>
    <w:rsid w:val="628A4BAD"/>
    <w:rsid w:val="62B52656"/>
    <w:rsid w:val="63617D35"/>
    <w:rsid w:val="63763539"/>
    <w:rsid w:val="63D95908"/>
    <w:rsid w:val="646F7581"/>
    <w:rsid w:val="65024F8A"/>
    <w:rsid w:val="65892100"/>
    <w:rsid w:val="659A3BB5"/>
    <w:rsid w:val="666D5EA9"/>
    <w:rsid w:val="668B1E81"/>
    <w:rsid w:val="66DD5E8A"/>
    <w:rsid w:val="6A915604"/>
    <w:rsid w:val="6AE451FC"/>
    <w:rsid w:val="6B5D608F"/>
    <w:rsid w:val="6C090214"/>
    <w:rsid w:val="6C273661"/>
    <w:rsid w:val="6C4C3DF0"/>
    <w:rsid w:val="6D241FA6"/>
    <w:rsid w:val="6E4F1275"/>
    <w:rsid w:val="6E674587"/>
    <w:rsid w:val="6F117CE6"/>
    <w:rsid w:val="6F423C93"/>
    <w:rsid w:val="6FA0258C"/>
    <w:rsid w:val="70754611"/>
    <w:rsid w:val="7097261A"/>
    <w:rsid w:val="70FE7DA0"/>
    <w:rsid w:val="71866606"/>
    <w:rsid w:val="718A3FC6"/>
    <w:rsid w:val="71F201E8"/>
    <w:rsid w:val="725270D9"/>
    <w:rsid w:val="72705EF5"/>
    <w:rsid w:val="72F105E7"/>
    <w:rsid w:val="735639FF"/>
    <w:rsid w:val="736A791C"/>
    <w:rsid w:val="73D4718D"/>
    <w:rsid w:val="73E93634"/>
    <w:rsid w:val="742D5F97"/>
    <w:rsid w:val="74EF7ED0"/>
    <w:rsid w:val="74FC2661"/>
    <w:rsid w:val="757C3914"/>
    <w:rsid w:val="75FF12B3"/>
    <w:rsid w:val="7601232C"/>
    <w:rsid w:val="76102D56"/>
    <w:rsid w:val="762A724D"/>
    <w:rsid w:val="76B16156"/>
    <w:rsid w:val="774010E7"/>
    <w:rsid w:val="777E12CB"/>
    <w:rsid w:val="77881EC0"/>
    <w:rsid w:val="799C5B39"/>
    <w:rsid w:val="79F7766A"/>
    <w:rsid w:val="7A053E04"/>
    <w:rsid w:val="7A600049"/>
    <w:rsid w:val="7A8E22CF"/>
    <w:rsid w:val="7B6612E1"/>
    <w:rsid w:val="7BBC37F0"/>
    <w:rsid w:val="7C4B7C00"/>
    <w:rsid w:val="7CA1665A"/>
    <w:rsid w:val="7CD816F8"/>
    <w:rsid w:val="7DC7010A"/>
    <w:rsid w:val="7F0A0FA4"/>
    <w:rsid w:val="7F411A8C"/>
    <w:rsid w:val="7F74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spacing w:line="480" w:lineRule="auto"/>
      <w:jc w:val="center"/>
      <w:outlineLvl w:val="0"/>
    </w:pPr>
    <w:rPr>
      <w:rFonts w:ascii="宋体" w:hAnsi="宋体" w:eastAsia="宋体"/>
      <w:b/>
      <w:color w:val="000000" w:themeColor="text1"/>
      <w:kern w:val="44"/>
      <w:sz w:val="30"/>
      <w14:textFill>
        <w14:solidFill>
          <w14:schemeClr w14:val="tx1"/>
        </w14:solidFill>
      </w14:textFill>
    </w:rPr>
  </w:style>
  <w:style w:type="paragraph" w:styleId="3">
    <w:name w:val="heading 2"/>
    <w:basedOn w:val="1"/>
    <w:next w:val="1"/>
    <w:link w:val="37"/>
    <w:unhideWhenUsed/>
    <w:qFormat/>
    <w:uiPriority w:val="0"/>
    <w:pPr>
      <w:keepNext/>
      <w:keepLines/>
      <w:spacing w:line="360" w:lineRule="auto"/>
      <w:ind w:leftChars="0"/>
      <w:jc w:val="left"/>
      <w:outlineLvl w:val="1"/>
    </w:pPr>
    <w:rPr>
      <w:rFonts w:ascii="宋体" w:hAnsi="宋体" w:eastAsia="宋体"/>
      <w:b/>
      <w:color w:val="000000" w:themeColor="text1"/>
      <w:sz w:val="28"/>
      <w14:textFill>
        <w14:solidFill>
          <w14:schemeClr w14:val="tx1"/>
        </w14:solidFill>
      </w14:textFill>
    </w:rPr>
  </w:style>
  <w:style w:type="paragraph" w:styleId="4">
    <w:name w:val="heading 3"/>
    <w:basedOn w:val="1"/>
    <w:next w:val="1"/>
    <w:unhideWhenUsed/>
    <w:qFormat/>
    <w:uiPriority w:val="0"/>
    <w:pPr>
      <w:keepNext/>
      <w:keepLines/>
      <w:spacing w:line="360" w:lineRule="auto"/>
      <w:ind w:leftChars="0"/>
      <w:outlineLvl w:val="2"/>
    </w:pPr>
    <w:rPr>
      <w:rFonts w:ascii="宋体" w:hAnsi="宋体" w:eastAsia="宋体"/>
      <w:b/>
      <w:color w:val="000000" w:themeColor="text1"/>
      <w14:textFill>
        <w14:solidFill>
          <w14:schemeClr w14:val="tx1"/>
        </w14:solidFill>
      </w14:textFill>
    </w:rPr>
  </w:style>
  <w:style w:type="paragraph" w:styleId="5">
    <w:name w:val="heading 4"/>
    <w:basedOn w:val="1"/>
    <w:next w:val="1"/>
    <w:unhideWhenUsed/>
    <w:qFormat/>
    <w:uiPriority w:val="0"/>
    <w:pPr>
      <w:keepNext/>
      <w:keepLines/>
      <w:spacing w:line="360" w:lineRule="auto"/>
      <w:ind w:leftChars="0"/>
      <w:outlineLvl w:val="3"/>
    </w:pPr>
    <w:rPr>
      <w:rFonts w:ascii="宋体" w:hAnsi="宋体" w:eastAsia="宋体" w:cstheme="majorBidi"/>
      <w:b/>
      <w:bCs/>
      <w:color w:val="000000" w:themeColor="text1"/>
      <w:szCs w:val="28"/>
      <w14:textFill>
        <w14:solidFill>
          <w14:schemeClr w14:val="tx1"/>
        </w14:solidFill>
      </w14:textFill>
    </w:rPr>
  </w:style>
  <w:style w:type="paragraph" w:styleId="6">
    <w:name w:val="heading 5"/>
    <w:basedOn w:val="1"/>
    <w:next w:val="1"/>
    <w:link w:val="108"/>
    <w:unhideWhenUsed/>
    <w:qFormat/>
    <w:uiPriority w:val="0"/>
    <w:pPr>
      <w:keepNext/>
      <w:keepLines/>
      <w:spacing w:line="360" w:lineRule="auto"/>
      <w:ind w:firstLine="200" w:firstLineChars="200"/>
      <w:outlineLvl w:val="4"/>
    </w:pPr>
    <w:rPr>
      <w:b/>
      <w:bCs/>
      <w:sz w:val="24"/>
      <w:szCs w:val="28"/>
    </w:rPr>
  </w:style>
  <w:style w:type="paragraph" w:styleId="7">
    <w:name w:val="heading 6"/>
    <w:basedOn w:val="1"/>
    <w:next w:val="1"/>
    <w:link w:val="109"/>
    <w:unhideWhenUsed/>
    <w:qFormat/>
    <w:uiPriority w:val="0"/>
    <w:pPr>
      <w:keepNext/>
      <w:keepLines/>
      <w:adjustRightInd w:val="0"/>
      <w:snapToGrid w:val="0"/>
      <w:spacing w:before="240" w:after="64" w:line="317" w:lineRule="auto"/>
      <w:ind w:firstLine="562" w:firstLineChars="200"/>
      <w:jc w:val="left"/>
      <w:outlineLvl w:val="5"/>
    </w:pPr>
    <w:rPr>
      <w:rFonts w:ascii="Arial" w:hAnsi="Arial" w:eastAsia="黑体" w:cs="宋体"/>
      <w:b/>
      <w:snapToGrid w:val="0"/>
      <w:kern w:val="0"/>
      <w:sz w:val="24"/>
      <w:szCs w:val="24"/>
    </w:rPr>
  </w:style>
  <w:style w:type="paragraph" w:styleId="8">
    <w:name w:val="heading 7"/>
    <w:basedOn w:val="1"/>
    <w:next w:val="1"/>
    <w:link w:val="111"/>
    <w:unhideWhenUsed/>
    <w:qFormat/>
    <w:uiPriority w:val="0"/>
    <w:pPr>
      <w:keepNext/>
      <w:keepLines/>
      <w:adjustRightInd w:val="0"/>
      <w:snapToGrid w:val="0"/>
      <w:spacing w:before="240" w:after="64" w:line="317" w:lineRule="auto"/>
      <w:ind w:firstLine="562" w:firstLineChars="200"/>
      <w:jc w:val="left"/>
      <w:outlineLvl w:val="6"/>
    </w:pPr>
    <w:rPr>
      <w:rFonts w:ascii="宋体" w:hAnsi="宋体" w:eastAsia="宋体" w:cs="宋体"/>
      <w:b/>
      <w:snapToGrid w:val="0"/>
      <w:kern w:val="0"/>
      <w:sz w:val="24"/>
      <w:szCs w:val="24"/>
    </w:rPr>
  </w:style>
  <w:style w:type="paragraph" w:styleId="9">
    <w:name w:val="heading 8"/>
    <w:basedOn w:val="1"/>
    <w:next w:val="1"/>
    <w:link w:val="112"/>
    <w:unhideWhenUsed/>
    <w:qFormat/>
    <w:uiPriority w:val="0"/>
    <w:pPr>
      <w:tabs>
        <w:tab w:val="left" w:pos="420"/>
      </w:tabs>
      <w:adjustRightInd w:val="0"/>
      <w:snapToGrid w:val="0"/>
      <w:spacing w:after="160" w:line="400" w:lineRule="exact"/>
      <w:jc w:val="center"/>
      <w:outlineLvl w:val="7"/>
    </w:pPr>
    <w:rPr>
      <w:rFonts w:ascii="宋体" w:hAnsi="宋体" w:eastAsia="宋体" w:cs="宋体"/>
      <w:b/>
      <w:bCs/>
      <w:snapToGrid w:val="0"/>
      <w:kern w:val="0"/>
      <w:szCs w:val="21"/>
    </w:rPr>
  </w:style>
  <w:style w:type="paragraph" w:styleId="10">
    <w:name w:val="heading 9"/>
    <w:basedOn w:val="1"/>
    <w:next w:val="1"/>
    <w:link w:val="113"/>
    <w:unhideWhenUsed/>
    <w:qFormat/>
    <w:uiPriority w:val="0"/>
    <w:pPr>
      <w:tabs>
        <w:tab w:val="left" w:pos="420"/>
      </w:tabs>
      <w:adjustRightInd w:val="0"/>
      <w:snapToGrid w:val="0"/>
      <w:jc w:val="center"/>
      <w:outlineLvl w:val="8"/>
    </w:pPr>
    <w:rPr>
      <w:rFonts w:ascii="宋体" w:hAnsi="宋体" w:eastAsia="宋体" w:cs="宋体"/>
      <w:snapToGrid w:val="0"/>
      <w:kern w:val="0"/>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qFormat/>
    <w:uiPriority w:val="0"/>
    <w:pPr>
      <w:spacing w:line="240" w:lineRule="auto"/>
      <w:ind w:firstLine="0" w:firstLineChars="0"/>
      <w:jc w:val="center"/>
    </w:pPr>
    <w:rPr>
      <w:sz w:val="21"/>
    </w:rPr>
  </w:style>
  <w:style w:type="paragraph" w:styleId="12">
    <w:name w:val="Body Text First Indent"/>
    <w:basedOn w:val="13"/>
    <w:next w:val="1"/>
    <w:link w:val="98"/>
    <w:qFormat/>
    <w:uiPriority w:val="99"/>
    <w:pPr>
      <w:ind w:firstLine="420" w:firstLineChars="100"/>
    </w:pPr>
    <w:rPr>
      <w:kern w:val="2"/>
      <w:sz w:val="21"/>
    </w:rPr>
  </w:style>
  <w:style w:type="paragraph" w:styleId="13">
    <w:name w:val="Body Text"/>
    <w:basedOn w:val="1"/>
    <w:next w:val="1"/>
    <w:link w:val="97"/>
    <w:qFormat/>
    <w:uiPriority w:val="0"/>
    <w:pPr>
      <w:spacing w:after="120"/>
    </w:pPr>
    <w:rPr>
      <w:kern w:val="0"/>
      <w:sz w:val="20"/>
    </w:rPr>
  </w:style>
  <w:style w:type="paragraph" w:styleId="14">
    <w:name w:val="caption"/>
    <w:basedOn w:val="1"/>
    <w:next w:val="15"/>
    <w:unhideWhenUsed/>
    <w:qFormat/>
    <w:uiPriority w:val="0"/>
    <w:pPr>
      <w:spacing w:line="360" w:lineRule="auto"/>
      <w:jc w:val="center"/>
    </w:pPr>
    <w:rPr>
      <w:rFonts w:ascii="Times New Roman" w:hAnsi="Times New Roman" w:eastAsia="黑体"/>
      <w:sz w:val="21"/>
      <w:szCs w:val="21"/>
    </w:rPr>
  </w:style>
  <w:style w:type="paragraph" w:customStyle="1" w:styleId="15">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paragraph" w:styleId="16">
    <w:name w:val="annotation text"/>
    <w:basedOn w:val="1"/>
    <w:link w:val="110"/>
    <w:qFormat/>
    <w:uiPriority w:val="0"/>
    <w:pPr>
      <w:jc w:val="left"/>
    </w:pPr>
  </w:style>
  <w:style w:type="paragraph" w:styleId="17">
    <w:name w:val="Body Text Indent"/>
    <w:basedOn w:val="1"/>
    <w:next w:val="1"/>
    <w:qFormat/>
    <w:uiPriority w:val="0"/>
    <w:pPr>
      <w:tabs>
        <w:tab w:val="left" w:pos="360"/>
      </w:tabs>
      <w:ind w:left="600" w:leftChars="257" w:hanging="60" w:hangingChars="25"/>
    </w:pPr>
    <w:rPr>
      <w:rFonts w:ascii="宋体" w:hAnsi="宋体"/>
      <w:kern w:val="0"/>
      <w:sz w:val="24"/>
    </w:rPr>
  </w:style>
  <w:style w:type="paragraph" w:styleId="18">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19">
    <w:name w:val="Plain Text"/>
    <w:basedOn w:val="1"/>
    <w:unhideWhenUsed/>
    <w:qFormat/>
    <w:uiPriority w:val="0"/>
    <w:rPr>
      <w:rFonts w:ascii="宋体" w:hAnsi="Courier New"/>
      <w:sz w:val="19"/>
    </w:rPr>
  </w:style>
  <w:style w:type="paragraph" w:styleId="20">
    <w:name w:val="Balloon Text"/>
    <w:basedOn w:val="1"/>
    <w:link w:val="86"/>
    <w:qFormat/>
    <w:uiPriority w:val="0"/>
    <w:rPr>
      <w:sz w:val="18"/>
      <w:szCs w:val="18"/>
    </w:rPr>
  </w:style>
  <w:style w:type="paragraph" w:styleId="21">
    <w:name w:val="footer"/>
    <w:basedOn w:val="1"/>
    <w:next w:val="1"/>
    <w:link w:val="141"/>
    <w:qFormat/>
    <w:uiPriority w:val="99"/>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qFormat/>
    <w:uiPriority w:val="39"/>
  </w:style>
  <w:style w:type="paragraph" w:styleId="24">
    <w:name w:val="toc 2"/>
    <w:basedOn w:val="1"/>
    <w:next w:val="1"/>
    <w:qFormat/>
    <w:uiPriority w:val="39"/>
    <w:pPr>
      <w:ind w:left="420" w:leftChars="200"/>
    </w:pPr>
  </w:style>
  <w:style w:type="paragraph" w:styleId="25">
    <w:name w:val="Normal (Web)"/>
    <w:basedOn w:val="1"/>
    <w:qFormat/>
    <w:uiPriority w:val="0"/>
    <w:pPr>
      <w:spacing w:beforeAutospacing="1" w:afterAutospacing="1"/>
      <w:jc w:val="left"/>
    </w:pPr>
    <w:rPr>
      <w:kern w:val="0"/>
      <w:sz w:val="24"/>
    </w:rPr>
  </w:style>
  <w:style w:type="paragraph" w:styleId="26">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7">
    <w:name w:val="Body Text First Indent 2"/>
    <w:basedOn w:val="17"/>
    <w:next w:val="19"/>
    <w:qFormat/>
    <w:uiPriority w:val="0"/>
    <w:pPr>
      <w:tabs>
        <w:tab w:val="left" w:pos="964"/>
      </w:tabs>
      <w:spacing w:line="240" w:lineRule="atLeast"/>
      <w:ind w:left="964" w:hanging="425"/>
    </w:pPr>
    <w:rPr>
      <w:sz w:val="28"/>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sz w:val="24"/>
      <w:szCs w:val="24"/>
    </w:rPr>
  </w:style>
  <w:style w:type="character" w:styleId="32">
    <w:name w:val="FollowedHyperlink"/>
    <w:basedOn w:val="30"/>
    <w:qFormat/>
    <w:uiPriority w:val="0"/>
    <w:rPr>
      <w:color w:val="954F72" w:themeColor="followedHyperlink"/>
      <w:u w:val="single"/>
      <w14:textFill>
        <w14:solidFill>
          <w14:schemeClr w14:val="folHlink"/>
        </w14:solidFill>
      </w14:textFill>
    </w:rPr>
  </w:style>
  <w:style w:type="character" w:styleId="33">
    <w:name w:val="Emphasis"/>
    <w:basedOn w:val="30"/>
    <w:qFormat/>
    <w:uiPriority w:val="0"/>
    <w:rPr>
      <w:color w:val="CC0000"/>
      <w:sz w:val="24"/>
      <w:szCs w:val="24"/>
    </w:rPr>
  </w:style>
  <w:style w:type="character" w:styleId="34">
    <w:name w:val="Hyperlink"/>
    <w:basedOn w:val="30"/>
    <w:unhideWhenUsed/>
    <w:qFormat/>
    <w:uiPriority w:val="99"/>
    <w:rPr>
      <w:color w:val="0563C1" w:themeColor="hyperlink"/>
      <w:u w:val="single"/>
      <w14:textFill>
        <w14:solidFill>
          <w14:schemeClr w14:val="hlink"/>
        </w14:solidFill>
      </w14:textFill>
    </w:rPr>
  </w:style>
  <w:style w:type="character" w:styleId="35">
    <w:name w:val="annotation reference"/>
    <w:qFormat/>
    <w:uiPriority w:val="0"/>
    <w:rPr>
      <w:sz w:val="21"/>
      <w:szCs w:val="21"/>
    </w:rPr>
  </w:style>
  <w:style w:type="character" w:styleId="36">
    <w:name w:val="HTML Cite"/>
    <w:basedOn w:val="30"/>
    <w:qFormat/>
    <w:uiPriority w:val="0"/>
    <w:rPr>
      <w:sz w:val="24"/>
      <w:szCs w:val="24"/>
    </w:rPr>
  </w:style>
  <w:style w:type="character" w:customStyle="1" w:styleId="37">
    <w:name w:val="标题 2 字符"/>
    <w:link w:val="3"/>
    <w:qFormat/>
    <w:uiPriority w:val="0"/>
    <w:rPr>
      <w:rFonts w:ascii="宋体" w:hAnsi="宋体" w:eastAsia="宋体"/>
      <w:b/>
      <w:color w:val="000000" w:themeColor="text1"/>
      <w:kern w:val="2"/>
      <w:sz w:val="28"/>
      <w:szCs w:val="22"/>
      <w14:textFill>
        <w14:solidFill>
          <w14:schemeClr w14:val="tx1"/>
        </w14:solidFill>
      </w14:textFill>
    </w:rPr>
  </w:style>
  <w:style w:type="paragraph" w:customStyle="1" w:styleId="38">
    <w:name w:val="图名"/>
    <w:basedOn w:val="39"/>
    <w:qFormat/>
    <w:uiPriority w:val="0"/>
    <w:pPr>
      <w:spacing w:line="240" w:lineRule="auto"/>
      <w:ind w:right="0"/>
    </w:pPr>
  </w:style>
  <w:style w:type="paragraph" w:customStyle="1" w:styleId="39">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 w:type="paragraph" w:customStyle="1" w:styleId="40">
    <w:name w:val="图表标题"/>
    <w:basedOn w:val="1"/>
    <w:next w:val="1"/>
    <w:qFormat/>
    <w:uiPriority w:val="0"/>
    <w:pPr>
      <w:widowControl/>
      <w:ind w:firstLine="0" w:firstLineChars="0"/>
      <w:jc w:val="center"/>
    </w:pPr>
    <w:rPr>
      <w:rFonts w:ascii="Times New Roman" w:hAnsi="Times New Roman" w:eastAsia="宋体" w:cs="Times New Roman"/>
      <w:b/>
      <w:color w:val="C00000"/>
      <w:kern w:val="0"/>
      <w:szCs w:val="22"/>
    </w:rPr>
  </w:style>
  <w:style w:type="paragraph" w:customStyle="1" w:styleId="41">
    <w:name w:val="标题3"/>
    <w:basedOn w:val="42"/>
    <w:qFormat/>
    <w:uiPriority w:val="0"/>
    <w:pPr>
      <w:spacing w:line="360" w:lineRule="auto"/>
      <w:ind w:leftChars="100" w:firstLine="100" w:firstLineChars="100"/>
      <w:outlineLvl w:val="2"/>
    </w:pPr>
    <w:rPr>
      <w:rFonts w:ascii="宋体" w:hAnsi="宋体"/>
      <w:color w:val="0000E3"/>
    </w:rPr>
  </w:style>
  <w:style w:type="paragraph" w:customStyle="1" w:styleId="42">
    <w:name w:val="标题2"/>
    <w:basedOn w:val="1"/>
    <w:qFormat/>
    <w:uiPriority w:val="0"/>
    <w:pPr>
      <w:spacing w:before="40" w:after="40"/>
      <w:jc w:val="left"/>
      <w:outlineLvl w:val="1"/>
    </w:pPr>
    <w:rPr>
      <w:rFonts w:ascii="宋体" w:hAnsi="宋体"/>
      <w:b/>
      <w:bCs/>
      <w:color w:val="000000"/>
      <w:szCs w:val="24"/>
    </w:rPr>
  </w:style>
  <w:style w:type="paragraph" w:styleId="43">
    <w:name w:val="List Paragraph"/>
    <w:basedOn w:val="1"/>
    <w:qFormat/>
    <w:uiPriority w:val="34"/>
    <w:pPr>
      <w:ind w:firstLine="420" w:firstLineChars="200"/>
    </w:pPr>
  </w:style>
  <w:style w:type="paragraph" w:customStyle="1" w:styleId="44">
    <w:name w:val="正文B"/>
    <w:basedOn w:val="1"/>
    <w:link w:val="67"/>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45">
    <w:name w:val="正文C"/>
    <w:basedOn w:val="1"/>
    <w:link w:val="68"/>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6">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47">
    <w:name w:val="正文A"/>
    <w:basedOn w:val="1"/>
    <w:qFormat/>
    <w:uiPriority w:val="0"/>
    <w:pPr>
      <w:spacing w:line="360" w:lineRule="auto"/>
    </w:pPr>
    <w:rPr>
      <w:rFonts w:ascii="宋体" w:hAnsi="宋体" w:eastAsia="宋体" w:cs="宋体"/>
      <w:color w:val="FF0000"/>
      <w:kern w:val="0"/>
      <w:sz w:val="24"/>
      <w:szCs w:val="24"/>
    </w:rPr>
  </w:style>
  <w:style w:type="table" w:customStyle="1" w:styleId="48">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9">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0">
    <w:name w:val="小干表内"/>
    <w:basedOn w:val="1"/>
    <w:qFormat/>
    <w:uiPriority w:val="99"/>
    <w:pPr>
      <w:jc w:val="left"/>
    </w:pPr>
    <w:rPr>
      <w:rFonts w:ascii="宋体" w:hAnsi="宋体" w:cs="黑体" w:eastAsiaTheme="minorEastAsia"/>
    </w:rPr>
  </w:style>
  <w:style w:type="paragraph" w:customStyle="1" w:styleId="51">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52">
    <w:name w:val="表中字"/>
    <w:basedOn w:val="53"/>
    <w:next w:val="1"/>
    <w:qFormat/>
    <w:uiPriority w:val="99"/>
    <w:pPr>
      <w:adjustRightInd w:val="0"/>
      <w:snapToGrid w:val="0"/>
      <w:jc w:val="center"/>
    </w:pPr>
    <w:rPr>
      <w:rFonts w:ascii="Times New Roman" w:hAnsi="Times New Roman" w:eastAsia="宋体"/>
    </w:rPr>
  </w:style>
  <w:style w:type="paragraph" w:customStyle="1" w:styleId="53">
    <w:name w:val="图表题"/>
    <w:basedOn w:val="1"/>
    <w:next w:val="1"/>
    <w:qFormat/>
    <w:uiPriority w:val="0"/>
    <w:pPr>
      <w:ind w:firstLine="0" w:firstLineChars="0"/>
      <w:jc w:val="center"/>
    </w:pPr>
    <w:rPr>
      <w:rFonts w:ascii="Times New Roman" w:hAnsi="Times New Roman"/>
      <w:b/>
    </w:rPr>
  </w:style>
  <w:style w:type="paragraph" w:customStyle="1" w:styleId="54">
    <w:name w:val="表格"/>
    <w:basedOn w:val="1"/>
    <w:qFormat/>
    <w:uiPriority w:val="0"/>
    <w:pPr>
      <w:adjustRightInd w:val="0"/>
      <w:snapToGrid w:val="0"/>
      <w:spacing w:line="500" w:lineRule="exact"/>
      <w:ind w:firstLine="200" w:firstLineChars="200"/>
      <w:jc w:val="center"/>
    </w:pPr>
    <w:rPr>
      <w:rFonts w:ascii="仿宋" w:hAnsi="仿宋" w:eastAsia="黑体"/>
      <w:color w:val="000000" w:themeColor="text1"/>
      <w:sz w:val="21"/>
      <w:szCs w:val="20"/>
      <w14:textFill>
        <w14:solidFill>
          <w14:schemeClr w14:val="tx1"/>
        </w14:solidFill>
      </w14:textFill>
    </w:rPr>
  </w:style>
  <w:style w:type="paragraph" w:customStyle="1" w:styleId="55">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56">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7">
    <w:name w:val="图名z"/>
    <w:basedOn w:val="1"/>
    <w:qFormat/>
    <w:uiPriority w:val="99"/>
    <w:pPr>
      <w:spacing w:beforeLines="50" w:line="360" w:lineRule="auto"/>
      <w:jc w:val="center"/>
    </w:pPr>
    <w:rPr>
      <w:rFonts w:ascii="Calibri" w:hAnsi="Calibri" w:eastAsia="宋体"/>
      <w:sz w:val="24"/>
      <w:szCs w:val="24"/>
    </w:rPr>
  </w:style>
  <w:style w:type="paragraph" w:customStyle="1" w:styleId="58">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59">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60">
    <w:name w:val="7图表"/>
    <w:qFormat/>
    <w:uiPriority w:val="0"/>
    <w:pPr>
      <w:jc w:val="center"/>
    </w:pPr>
    <w:rPr>
      <w:rFonts w:ascii="宋体" w:hAnsi="宋体" w:eastAsia="宋体" w:cs="Times New Roman"/>
      <w:b/>
      <w:sz w:val="24"/>
      <w:szCs w:val="21"/>
      <w:lang w:val="en-US" w:eastAsia="zh-CN" w:bidi="ar-SA"/>
    </w:rPr>
  </w:style>
  <w:style w:type="paragraph" w:customStyle="1" w:styleId="61">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62">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63">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64">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65">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66">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67">
    <w:name w:val="正文B Char"/>
    <w:link w:val="44"/>
    <w:qFormat/>
    <w:uiPriority w:val="0"/>
    <w:rPr>
      <w:rFonts w:ascii="宋体" w:hAnsi="宋体" w:eastAsia="黑体" w:cs="宋体"/>
      <w:color w:val="FF0000"/>
      <w:kern w:val="0"/>
      <w:sz w:val="24"/>
      <w:szCs w:val="24"/>
    </w:rPr>
  </w:style>
  <w:style w:type="character" w:customStyle="1" w:styleId="68">
    <w:name w:val="正文C Char"/>
    <w:link w:val="45"/>
    <w:qFormat/>
    <w:uiPriority w:val="0"/>
    <w:rPr>
      <w:rFonts w:ascii="宋体" w:hAnsi="宋体" w:cs="宋体"/>
      <w:color w:val="535353" w:themeColor="accent3" w:themeShade="80"/>
      <w:sz w:val="24"/>
      <w:szCs w:val="24"/>
    </w:rPr>
  </w:style>
  <w:style w:type="paragraph" w:styleId="69">
    <w:name w:val="No Spacing"/>
    <w:basedOn w:val="1"/>
    <w:next w:val="1"/>
    <w:link w:val="137"/>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70">
    <w:name w:val="comment-number"/>
    <w:basedOn w:val="30"/>
    <w:qFormat/>
    <w:uiPriority w:val="0"/>
    <w:rPr>
      <w:color w:val="FBA222"/>
    </w:rPr>
  </w:style>
  <w:style w:type="character" w:customStyle="1" w:styleId="71">
    <w:name w:val="comment-text-w"/>
    <w:basedOn w:val="30"/>
    <w:qFormat/>
    <w:uiPriority w:val="0"/>
    <w:rPr>
      <w:color w:val="FBA222"/>
    </w:rPr>
  </w:style>
  <w:style w:type="character" w:customStyle="1" w:styleId="72">
    <w:name w:val="comment-link-num"/>
    <w:basedOn w:val="30"/>
    <w:qFormat/>
    <w:uiPriority w:val="0"/>
  </w:style>
  <w:style w:type="character" w:customStyle="1" w:styleId="73">
    <w:name w:val="wrap-name-w"/>
    <w:basedOn w:val="30"/>
    <w:qFormat/>
    <w:uiPriority w:val="0"/>
    <w:rPr>
      <w:rFonts w:ascii="微软雅黑" w:hAnsi="微软雅黑" w:eastAsia="微软雅黑" w:cs="微软雅黑"/>
      <w:color w:val="FBA222"/>
      <w:sz w:val="19"/>
      <w:szCs w:val="19"/>
    </w:rPr>
  </w:style>
  <w:style w:type="character" w:customStyle="1" w:styleId="74">
    <w:name w:val="text-null"/>
    <w:basedOn w:val="30"/>
    <w:qFormat/>
    <w:uiPriority w:val="0"/>
    <w:rPr>
      <w:color w:val="FBA222"/>
    </w:rPr>
  </w:style>
  <w:style w:type="character" w:customStyle="1" w:styleId="75">
    <w:name w:val="prompt-empty-w"/>
    <w:basedOn w:val="30"/>
    <w:qFormat/>
    <w:uiPriority w:val="0"/>
    <w:rPr>
      <w:vanish/>
      <w:color w:val="FBA222"/>
      <w:sz w:val="14"/>
      <w:szCs w:val="14"/>
    </w:rPr>
  </w:style>
  <w:style w:type="character" w:customStyle="1" w:styleId="76">
    <w:name w:val="prop-span"/>
    <w:basedOn w:val="30"/>
    <w:qFormat/>
    <w:uiPriority w:val="0"/>
  </w:style>
  <w:style w:type="character" w:customStyle="1" w:styleId="77">
    <w:name w:val="comment-link-numtext"/>
    <w:basedOn w:val="30"/>
    <w:qFormat/>
    <w:uiPriority w:val="0"/>
  </w:style>
  <w:style w:type="character" w:customStyle="1" w:styleId="78">
    <w:name w:val="cy-number"/>
    <w:basedOn w:val="30"/>
    <w:qFormat/>
    <w:uiPriority w:val="0"/>
    <w:rPr>
      <w:rFonts w:ascii="Impact" w:hAnsi="Impact" w:eastAsia="Impact" w:cs="Impact"/>
      <w:color w:val="FBA222"/>
      <w:sz w:val="24"/>
      <w:szCs w:val="24"/>
    </w:rPr>
  </w:style>
  <w:style w:type="character" w:customStyle="1" w:styleId="79">
    <w:name w:val="prompt-empty-w4"/>
    <w:basedOn w:val="30"/>
    <w:qFormat/>
    <w:uiPriority w:val="0"/>
    <w:rPr>
      <w:color w:val="FBA222"/>
    </w:rPr>
  </w:style>
  <w:style w:type="character" w:customStyle="1" w:styleId="80">
    <w:name w:val="cy-number2"/>
    <w:basedOn w:val="30"/>
    <w:qFormat/>
    <w:uiPriority w:val="0"/>
    <w:rPr>
      <w:color w:val="FBA222"/>
    </w:rPr>
  </w:style>
  <w:style w:type="paragraph" w:customStyle="1" w:styleId="81">
    <w:name w:val="正文标题"/>
    <w:basedOn w:val="1"/>
    <w:qFormat/>
    <w:uiPriority w:val="0"/>
    <w:pPr>
      <w:adjustRightInd w:val="0"/>
      <w:snapToGrid w:val="0"/>
      <w:jc w:val="left"/>
    </w:pPr>
    <w:rPr>
      <w:b/>
      <w:sz w:val="28"/>
      <w:szCs w:val="24"/>
    </w:rPr>
  </w:style>
  <w:style w:type="paragraph" w:customStyle="1" w:styleId="82">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83">
    <w:name w:val="图片"/>
    <w:basedOn w:val="1"/>
    <w:link w:val="84"/>
    <w:qFormat/>
    <w:uiPriority w:val="0"/>
    <w:pPr>
      <w:spacing w:line="360" w:lineRule="auto"/>
      <w:jc w:val="center"/>
    </w:pPr>
    <w:rPr>
      <w:rFonts w:ascii="宋体" w:hAnsi="宋体" w:eastAsia="宋体" w:cs="宋体"/>
      <w:b/>
      <w:color w:val="0766D4"/>
      <w:kern w:val="0"/>
      <w:sz w:val="24"/>
      <w:szCs w:val="20"/>
    </w:rPr>
  </w:style>
  <w:style w:type="character" w:customStyle="1" w:styleId="84">
    <w:name w:val="图片 Char"/>
    <w:link w:val="83"/>
    <w:qFormat/>
    <w:uiPriority w:val="0"/>
    <w:rPr>
      <w:rFonts w:ascii="宋体" w:hAnsi="宋体" w:cs="宋体"/>
      <w:b/>
      <w:color w:val="0766D4"/>
      <w:sz w:val="24"/>
    </w:rPr>
  </w:style>
  <w:style w:type="paragraph" w:customStyle="1" w:styleId="85">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6">
    <w:name w:val="批注框文本 字符"/>
    <w:basedOn w:val="30"/>
    <w:link w:val="20"/>
    <w:qFormat/>
    <w:uiPriority w:val="0"/>
    <w:rPr>
      <w:rFonts w:ascii="等线" w:hAnsi="等线" w:eastAsia="仿宋"/>
      <w:kern w:val="2"/>
      <w:sz w:val="18"/>
      <w:szCs w:val="18"/>
    </w:rPr>
  </w:style>
  <w:style w:type="paragraph" w:customStyle="1" w:styleId="87">
    <w:name w:val="Revision"/>
    <w:hidden/>
    <w:semiHidden/>
    <w:qFormat/>
    <w:uiPriority w:val="99"/>
    <w:rPr>
      <w:rFonts w:ascii="等线" w:hAnsi="等线" w:eastAsia="仿宋" w:cs="Times New Roman"/>
      <w:kern w:val="2"/>
      <w:sz w:val="21"/>
      <w:szCs w:val="22"/>
      <w:lang w:val="en-US" w:eastAsia="zh-CN" w:bidi="ar-SA"/>
    </w:rPr>
  </w:style>
  <w:style w:type="paragraph" w:customStyle="1" w:styleId="88">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89">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90">
    <w:name w:val="40正文(1)"/>
    <w:basedOn w:val="1"/>
    <w:link w:val="95"/>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91">
    <w:name w:val="70标题表格"/>
    <w:basedOn w:val="1"/>
    <w:next w:val="1"/>
    <w:link w:val="96"/>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92">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93">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94">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5">
    <w:name w:val="正文（1） Char"/>
    <w:link w:val="90"/>
    <w:qFormat/>
    <w:uiPriority w:val="0"/>
    <w:rPr>
      <w:rFonts w:ascii="宋体" w:hAnsi="宋体" w:cs="宋体"/>
      <w:snapToGrid w:val="0"/>
      <w:sz w:val="24"/>
      <w:szCs w:val="24"/>
    </w:rPr>
  </w:style>
  <w:style w:type="character" w:customStyle="1" w:styleId="96">
    <w:name w:val="70标题表格 Char"/>
    <w:link w:val="91"/>
    <w:qFormat/>
    <w:uiPriority w:val="0"/>
    <w:rPr>
      <w:rFonts w:ascii="宋体" w:hAnsi="宋体" w:cs="宋体"/>
      <w:b/>
      <w:bCs/>
      <w:snapToGrid w:val="0"/>
      <w:sz w:val="21"/>
      <w:szCs w:val="21"/>
    </w:rPr>
  </w:style>
  <w:style w:type="character" w:customStyle="1" w:styleId="97">
    <w:name w:val="正文文本 字符"/>
    <w:basedOn w:val="30"/>
    <w:link w:val="13"/>
    <w:qFormat/>
    <w:uiPriority w:val="0"/>
    <w:rPr>
      <w:rFonts w:ascii="等线" w:hAnsi="等线" w:eastAsia="仿宋"/>
      <w:szCs w:val="22"/>
    </w:rPr>
  </w:style>
  <w:style w:type="character" w:customStyle="1" w:styleId="98">
    <w:name w:val="正文文本首行缩进 字符"/>
    <w:basedOn w:val="97"/>
    <w:link w:val="12"/>
    <w:qFormat/>
    <w:uiPriority w:val="0"/>
    <w:rPr>
      <w:rFonts w:ascii="等线" w:hAnsi="等线" w:eastAsia="仿宋"/>
      <w:kern w:val="2"/>
      <w:sz w:val="21"/>
      <w:szCs w:val="22"/>
    </w:rPr>
  </w:style>
  <w:style w:type="paragraph" w:customStyle="1" w:styleId="99">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0">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1">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102">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103">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104">
    <w:name w:val="表格五号"/>
    <w:basedOn w:val="1"/>
    <w:qFormat/>
    <w:uiPriority w:val="0"/>
    <w:pPr>
      <w:adjustRightInd w:val="0"/>
      <w:snapToGrid w:val="0"/>
      <w:jc w:val="center"/>
    </w:pPr>
    <w:rPr>
      <w:rFonts w:ascii="宋体" w:hAnsi="宋体" w:eastAsia="宋体" w:cs="宋体"/>
      <w:snapToGrid w:val="0"/>
      <w:kern w:val="0"/>
      <w:sz w:val="21"/>
      <w:szCs w:val="21"/>
    </w:rPr>
  </w:style>
  <w:style w:type="paragraph" w:customStyle="1" w:styleId="105">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6">
    <w:name w:val="正文（1）"/>
    <w:basedOn w:val="1"/>
    <w:next w:val="1"/>
    <w:link w:val="107"/>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07">
    <w:name w:val="正文（1） Char1"/>
    <w:link w:val="106"/>
    <w:qFormat/>
    <w:uiPriority w:val="0"/>
    <w:rPr>
      <w:rFonts w:ascii="宋体" w:hAnsi="宋体" w:cs="宋体"/>
      <w:snapToGrid w:val="0"/>
      <w:sz w:val="24"/>
      <w:szCs w:val="24"/>
    </w:rPr>
  </w:style>
  <w:style w:type="character" w:customStyle="1" w:styleId="108">
    <w:name w:val="标题 5 字符"/>
    <w:basedOn w:val="30"/>
    <w:link w:val="6"/>
    <w:qFormat/>
    <w:uiPriority w:val="0"/>
    <w:rPr>
      <w:rFonts w:ascii="等线" w:hAnsi="等线" w:eastAsia="仿宋"/>
      <w:b/>
      <w:bCs/>
      <w:kern w:val="2"/>
      <w:sz w:val="24"/>
      <w:szCs w:val="28"/>
    </w:rPr>
  </w:style>
  <w:style w:type="character" w:customStyle="1" w:styleId="109">
    <w:name w:val="标题 6 字符"/>
    <w:basedOn w:val="30"/>
    <w:link w:val="7"/>
    <w:qFormat/>
    <w:uiPriority w:val="0"/>
    <w:rPr>
      <w:rFonts w:ascii="Arial" w:hAnsi="Arial" w:eastAsia="黑体" w:cs="宋体"/>
      <w:b/>
      <w:snapToGrid w:val="0"/>
      <w:sz w:val="24"/>
      <w:szCs w:val="24"/>
    </w:rPr>
  </w:style>
  <w:style w:type="character" w:customStyle="1" w:styleId="110">
    <w:name w:val="批注文字 字符"/>
    <w:basedOn w:val="30"/>
    <w:link w:val="16"/>
    <w:qFormat/>
    <w:uiPriority w:val="0"/>
    <w:rPr>
      <w:rFonts w:ascii="等线" w:hAnsi="等线" w:eastAsia="仿宋"/>
      <w:kern w:val="2"/>
      <w:sz w:val="21"/>
      <w:szCs w:val="22"/>
    </w:rPr>
  </w:style>
  <w:style w:type="character" w:customStyle="1" w:styleId="111">
    <w:name w:val="标题 7 字符"/>
    <w:basedOn w:val="30"/>
    <w:link w:val="8"/>
    <w:qFormat/>
    <w:uiPriority w:val="0"/>
    <w:rPr>
      <w:rFonts w:ascii="宋体" w:hAnsi="宋体" w:cs="宋体"/>
      <w:b/>
      <w:snapToGrid w:val="0"/>
      <w:sz w:val="24"/>
      <w:szCs w:val="24"/>
    </w:rPr>
  </w:style>
  <w:style w:type="character" w:customStyle="1" w:styleId="112">
    <w:name w:val="标题 8 字符"/>
    <w:basedOn w:val="30"/>
    <w:link w:val="9"/>
    <w:qFormat/>
    <w:uiPriority w:val="0"/>
    <w:rPr>
      <w:rFonts w:ascii="宋体" w:hAnsi="宋体" w:cs="宋体"/>
      <w:b/>
      <w:bCs/>
      <w:snapToGrid w:val="0"/>
      <w:sz w:val="21"/>
      <w:szCs w:val="21"/>
    </w:rPr>
  </w:style>
  <w:style w:type="character" w:customStyle="1" w:styleId="113">
    <w:name w:val="标题 9 字符"/>
    <w:basedOn w:val="30"/>
    <w:link w:val="10"/>
    <w:qFormat/>
    <w:uiPriority w:val="0"/>
    <w:rPr>
      <w:rFonts w:ascii="宋体" w:hAnsi="宋体" w:cs="宋体"/>
      <w:snapToGrid w:val="0"/>
      <w:sz w:val="21"/>
      <w:szCs w:val="21"/>
    </w:rPr>
  </w:style>
  <w:style w:type="paragraph" w:customStyle="1" w:styleId="114">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5">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6">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17">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18">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19">
    <w:name w:val="91正文 &gt;"/>
    <w:basedOn w:val="1"/>
    <w:qFormat/>
    <w:uiPriority w:val="0"/>
    <w:pPr>
      <w:numPr>
        <w:ilvl w:val="0"/>
        <w:numId w:val="1"/>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0">
    <w:name w:val="插图编号"/>
    <w:basedOn w:val="103"/>
    <w:qFormat/>
    <w:uiPriority w:val="0"/>
    <w:rPr>
      <w:rFonts w:eastAsia="黑体"/>
      <w:sz w:val="21"/>
      <w:szCs w:val="24"/>
    </w:rPr>
  </w:style>
  <w:style w:type="paragraph" w:customStyle="1" w:styleId="121">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22">
    <w:name w:val="插表编号"/>
    <w:basedOn w:val="123"/>
    <w:qFormat/>
    <w:uiPriority w:val="0"/>
    <w:rPr>
      <w:b/>
    </w:rPr>
  </w:style>
  <w:style w:type="paragraph" w:customStyle="1" w:styleId="123">
    <w:name w:val="插表"/>
    <w:basedOn w:val="103"/>
    <w:qFormat/>
    <w:uiPriority w:val="0"/>
    <w:rPr>
      <w:sz w:val="21"/>
      <w:szCs w:val="24"/>
    </w:rPr>
  </w:style>
  <w:style w:type="paragraph" w:customStyle="1" w:styleId="124">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5">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6">
    <w:name w:val="60标题图片"/>
    <w:basedOn w:val="1"/>
    <w:next w:val="1"/>
    <w:qFormat/>
    <w:uiPriority w:val="0"/>
    <w:pPr>
      <w:numPr>
        <w:ilvl w:val="8"/>
        <w:numId w:val="2"/>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27">
    <w:name w:val="10正文（1）"/>
    <w:basedOn w:val="1"/>
    <w:qFormat/>
    <w:uiPriority w:val="0"/>
    <w:pPr>
      <w:numPr>
        <w:ilvl w:val="4"/>
        <w:numId w:val="2"/>
      </w:numPr>
      <w:adjustRightInd w:val="0"/>
      <w:snapToGrid w:val="0"/>
      <w:spacing w:line="430" w:lineRule="exact"/>
      <w:jc w:val="left"/>
    </w:pPr>
    <w:rPr>
      <w:rFonts w:ascii="宋体" w:hAnsi="宋体" w:eastAsia="宋体" w:cs="宋体"/>
      <w:snapToGrid w:val="0"/>
      <w:kern w:val="0"/>
      <w:sz w:val="24"/>
      <w:szCs w:val="24"/>
    </w:rPr>
  </w:style>
  <w:style w:type="paragraph" w:customStyle="1" w:styleId="128">
    <w:name w:val="50标题表格"/>
    <w:basedOn w:val="1"/>
    <w:next w:val="1"/>
    <w:qFormat/>
    <w:uiPriority w:val="0"/>
    <w:pPr>
      <w:numPr>
        <w:ilvl w:val="7"/>
        <w:numId w:val="2"/>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29">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30">
    <w:name w:val="54表格序号"/>
    <w:basedOn w:val="1"/>
    <w:qFormat/>
    <w:uiPriority w:val="0"/>
    <w:pPr>
      <w:numPr>
        <w:ilvl w:val="0"/>
        <w:numId w:val="3"/>
      </w:numPr>
      <w:adjustRightInd w:val="0"/>
      <w:snapToGrid w:val="0"/>
      <w:jc w:val="center"/>
    </w:pPr>
    <w:rPr>
      <w:rFonts w:ascii="宋体" w:hAnsi="宋体" w:eastAsia="宋体" w:cs="宋体"/>
      <w:snapToGrid w:val="0"/>
      <w:kern w:val="0"/>
      <w:szCs w:val="21"/>
    </w:rPr>
  </w:style>
  <w:style w:type="paragraph" w:customStyle="1" w:styleId="131">
    <w:name w:val="20正文1）"/>
    <w:basedOn w:val="1"/>
    <w:qFormat/>
    <w:uiPriority w:val="0"/>
    <w:pPr>
      <w:numPr>
        <w:ilvl w:val="5"/>
        <w:numId w:val="2"/>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32">
    <w:name w:val="流程"/>
    <w:basedOn w:val="1"/>
    <w:qFormat/>
    <w:uiPriority w:val="0"/>
    <w:pPr>
      <w:jc w:val="center"/>
    </w:pPr>
    <w:rPr>
      <w:rFonts w:ascii="宋体" w:hAnsi="宋体" w:eastAsia="宋体" w:cs="宋体"/>
      <w:sz w:val="18"/>
      <w:szCs w:val="24"/>
    </w:rPr>
  </w:style>
  <w:style w:type="table" w:customStyle="1" w:styleId="133">
    <w:name w:val="标准样式"/>
    <w:basedOn w:val="28"/>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5">
    <w:name w:val="图居中、图表标题"/>
    <w:basedOn w:val="1"/>
    <w:next w:val="1"/>
    <w:link w:val="138"/>
    <w:qFormat/>
    <w:uiPriority w:val="0"/>
    <w:pPr>
      <w:spacing w:line="360" w:lineRule="auto"/>
      <w:jc w:val="center"/>
    </w:pPr>
    <w:rPr>
      <w:rFonts w:ascii="Times New Roman" w:hAnsi="Times New Roman" w:eastAsia="宋体" w:cs="宋体"/>
      <w:b/>
      <w:color w:val="0000C8"/>
      <w:kern w:val="0"/>
      <w:sz w:val="24"/>
      <w:szCs w:val="20"/>
    </w:rPr>
  </w:style>
  <w:style w:type="table" w:customStyle="1" w:styleId="136">
    <w:name w:val="样式4"/>
    <w:basedOn w:val="28"/>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37">
    <w:name w:val="无间隔 字符"/>
    <w:basedOn w:val="30"/>
    <w:link w:val="69"/>
    <w:qFormat/>
    <w:uiPriority w:val="0"/>
    <w:rPr>
      <w:rFonts w:ascii="黑体" w:hAnsi="黑体" w:eastAsia="黑体"/>
      <w:sz w:val="21"/>
    </w:rPr>
  </w:style>
  <w:style w:type="character" w:customStyle="1" w:styleId="138">
    <w:name w:val="图居中、图表标题 Char"/>
    <w:basedOn w:val="30"/>
    <w:link w:val="135"/>
    <w:qFormat/>
    <w:uiPriority w:val="0"/>
    <w:rPr>
      <w:rFonts w:ascii="Times New Roman" w:hAnsi="Times New Roman" w:cs="宋体"/>
      <w:b/>
      <w:color w:val="0000C8"/>
      <w:sz w:val="24"/>
    </w:rPr>
  </w:style>
  <w:style w:type="paragraph" w:customStyle="1" w:styleId="139">
    <w:name w:val="正文更改"/>
    <w:basedOn w:val="90"/>
    <w:link w:val="140"/>
    <w:qFormat/>
    <w:uiPriority w:val="0"/>
    <w:pPr>
      <w:spacing w:line="360" w:lineRule="auto"/>
      <w:ind w:left="0" w:firstLine="200" w:firstLineChars="200"/>
    </w:pPr>
  </w:style>
  <w:style w:type="character" w:customStyle="1" w:styleId="140">
    <w:name w:val="正文更改 字符"/>
    <w:basedOn w:val="95"/>
    <w:link w:val="139"/>
    <w:qFormat/>
    <w:uiPriority w:val="0"/>
    <w:rPr>
      <w:rFonts w:ascii="宋体" w:hAnsi="宋体" w:cs="宋体"/>
      <w:snapToGrid w:val="0"/>
      <w:sz w:val="24"/>
      <w:szCs w:val="24"/>
    </w:rPr>
  </w:style>
  <w:style w:type="character" w:customStyle="1" w:styleId="141">
    <w:name w:val="页脚 字符"/>
    <w:basedOn w:val="30"/>
    <w:link w:val="21"/>
    <w:qFormat/>
    <w:uiPriority w:val="99"/>
    <w:rPr>
      <w:rFonts w:ascii="等线" w:hAnsi="等线" w:eastAsia="仿宋"/>
      <w:kern w:val="2"/>
      <w:sz w:val="18"/>
      <w:szCs w:val="22"/>
    </w:rPr>
  </w:style>
  <w:style w:type="paragraph" w:customStyle="1" w:styleId="142">
    <w:name w:val="列出段落1"/>
    <w:basedOn w:val="1"/>
    <w:qFormat/>
    <w:uiPriority w:val="34"/>
    <w:pPr>
      <w:ind w:firstLine="420" w:firstLineChars="200"/>
    </w:pPr>
  </w:style>
  <w:style w:type="character" w:customStyle="1" w:styleId="143">
    <w:name w:val="font01"/>
    <w:basedOn w:val="30"/>
    <w:qFormat/>
    <w:uiPriority w:val="0"/>
    <w:rPr>
      <w:rFonts w:ascii="微软雅黑" w:hAnsi="微软雅黑" w:eastAsia="微软雅黑" w:cs="微软雅黑"/>
      <w:b/>
      <w:bCs/>
      <w:color w:val="000000"/>
      <w:sz w:val="16"/>
      <w:szCs w:val="16"/>
      <w:u w:val="none"/>
    </w:rPr>
  </w:style>
  <w:style w:type="character" w:customStyle="1" w:styleId="144">
    <w:name w:val="font31"/>
    <w:basedOn w:val="30"/>
    <w:qFormat/>
    <w:uiPriority w:val="0"/>
    <w:rPr>
      <w:rFonts w:hint="eastAsia" w:ascii="微软雅黑" w:hAnsi="微软雅黑" w:eastAsia="微软雅黑" w:cs="微软雅黑"/>
      <w:color w:val="000000"/>
      <w:sz w:val="16"/>
      <w:szCs w:val="16"/>
      <w:u w:val="none"/>
    </w:rPr>
  </w:style>
  <w:style w:type="character" w:customStyle="1" w:styleId="145">
    <w:name w:val="font51"/>
    <w:basedOn w:val="30"/>
    <w:qFormat/>
    <w:uiPriority w:val="0"/>
    <w:rPr>
      <w:rFonts w:hint="default" w:ascii="Times New Roman" w:hAnsi="Times New Roman" w:cs="Times New Roman"/>
      <w:b/>
      <w:bCs/>
      <w:color w:val="000000"/>
      <w:sz w:val="16"/>
      <w:szCs w:val="16"/>
      <w:u w:val="none"/>
    </w:rPr>
  </w:style>
  <w:style w:type="character" w:customStyle="1" w:styleId="146">
    <w:name w:val="font61"/>
    <w:basedOn w:val="30"/>
    <w:qFormat/>
    <w:uiPriority w:val="0"/>
    <w:rPr>
      <w:rFonts w:ascii="宋体" w:hAnsi="宋体" w:eastAsia="宋体" w:cs="宋体"/>
      <w:color w:val="000000"/>
      <w:sz w:val="16"/>
      <w:szCs w:val="16"/>
      <w:u w:val="none"/>
    </w:rPr>
  </w:style>
  <w:style w:type="character" w:customStyle="1" w:styleId="147">
    <w:name w:val="font41"/>
    <w:basedOn w:val="30"/>
    <w:qFormat/>
    <w:uiPriority w:val="0"/>
    <w:rPr>
      <w:rFonts w:hint="default" w:ascii="Times New Roman" w:hAnsi="Times New Roman" w:cs="Times New Roman"/>
      <w:color w:val="000000"/>
      <w:sz w:val="16"/>
      <w:szCs w:val="16"/>
      <w:u w:val="none"/>
    </w:rPr>
  </w:style>
  <w:style w:type="character" w:customStyle="1" w:styleId="148">
    <w:name w:val="font11"/>
    <w:basedOn w:val="30"/>
    <w:qFormat/>
    <w:uiPriority w:val="0"/>
    <w:rPr>
      <w:rFonts w:ascii="微软雅黑" w:hAnsi="微软雅黑" w:eastAsia="微软雅黑" w:cs="微软雅黑"/>
      <w:b/>
      <w:bCs/>
      <w:color w:val="000000"/>
      <w:sz w:val="16"/>
      <w:szCs w:val="16"/>
      <w:u w:val="none"/>
    </w:rPr>
  </w:style>
  <w:style w:type="character" w:customStyle="1" w:styleId="149">
    <w:name w:val="font71"/>
    <w:basedOn w:val="30"/>
    <w:qFormat/>
    <w:uiPriority w:val="0"/>
    <w:rPr>
      <w:rFonts w:hint="default" w:ascii="Times New Roman" w:hAnsi="Times New Roman" w:cs="Times New Roman"/>
      <w:b/>
      <w:bCs/>
      <w:color w:val="000000"/>
      <w:sz w:val="16"/>
      <w:szCs w:val="16"/>
      <w:u w:val="none"/>
    </w:rPr>
  </w:style>
  <w:style w:type="character" w:customStyle="1" w:styleId="150">
    <w:name w:val="font81"/>
    <w:basedOn w:val="30"/>
    <w:qFormat/>
    <w:uiPriority w:val="0"/>
    <w:rPr>
      <w:rFonts w:ascii="宋体" w:hAnsi="宋体" w:eastAsia="宋体" w:cs="宋体"/>
      <w:color w:val="000000"/>
      <w:sz w:val="16"/>
      <w:szCs w:val="16"/>
      <w:u w:val="none"/>
    </w:rPr>
  </w:style>
  <w:style w:type="character" w:customStyle="1" w:styleId="151">
    <w:name w:val="font91"/>
    <w:basedOn w:val="30"/>
    <w:qFormat/>
    <w:uiPriority w:val="0"/>
    <w:rPr>
      <w:rFonts w:hint="default" w:ascii="Arial" w:hAnsi="Arial" w:cs="Arial"/>
      <w:color w:val="000000"/>
      <w:sz w:val="7"/>
      <w:szCs w:val="7"/>
      <w:u w:val="none"/>
    </w:rPr>
  </w:style>
  <w:style w:type="character" w:customStyle="1" w:styleId="152">
    <w:name w:val="font101"/>
    <w:basedOn w:val="30"/>
    <w:qFormat/>
    <w:uiPriority w:val="0"/>
    <w:rPr>
      <w:rFonts w:ascii="宋体" w:hAnsi="宋体" w:eastAsia="宋体" w:cs="宋体"/>
      <w:color w:val="000000"/>
      <w:sz w:val="18"/>
      <w:szCs w:val="18"/>
      <w:u w:val="none"/>
    </w:rPr>
  </w:style>
  <w:style w:type="character" w:customStyle="1" w:styleId="153">
    <w:name w:val="font112"/>
    <w:basedOn w:val="30"/>
    <w:qFormat/>
    <w:uiPriority w:val="0"/>
    <w:rPr>
      <w:rFonts w:hint="default" w:ascii="Times New Roman" w:hAnsi="Times New Roman" w:cs="Times New Roman"/>
      <w:color w:val="000000"/>
      <w:sz w:val="18"/>
      <w:szCs w:val="18"/>
      <w:u w:val="none"/>
    </w:rPr>
  </w:style>
  <w:style w:type="paragraph" w:customStyle="1" w:styleId="154">
    <w:name w:val="方案正文"/>
    <w:basedOn w:val="1"/>
    <w:qFormat/>
    <w:uiPriority w:val="0"/>
    <w:pPr>
      <w:ind w:firstLine="480"/>
      <w:jc w:val="left"/>
    </w:pPr>
    <w:rPr>
      <w:rFonts w:cs="Times New Roman"/>
    </w:rPr>
  </w:style>
  <w:style w:type="paragraph" w:customStyle="1" w:styleId="155">
    <w:name w:val="k 正文"/>
    <w:basedOn w:val="1"/>
    <w:qFormat/>
    <w:uiPriority w:val="0"/>
  </w:style>
  <w:style w:type="paragraph" w:customStyle="1" w:styleId="156">
    <w:name w:val="W正文"/>
    <w:basedOn w:val="1"/>
    <w:qFormat/>
    <w:uiPriority w:val="0"/>
    <w:pPr>
      <w:tabs>
        <w:tab w:val="left" w:pos="4320"/>
      </w:tabs>
      <w:ind w:firstLine="480"/>
    </w:pPr>
    <w:rPr>
      <w:rFonts w:cs="Times New Roman"/>
    </w:rPr>
  </w:style>
  <w:style w:type="paragraph" w:customStyle="1" w:styleId="157">
    <w:name w:val="表左字"/>
    <w:basedOn w:val="52"/>
    <w:next w:val="1"/>
    <w:qFormat/>
    <w:uiPriority w:val="0"/>
    <w:pPr>
      <w:jc w:val="left"/>
    </w:pPr>
  </w:style>
  <w:style w:type="paragraph" w:customStyle="1" w:styleId="158">
    <w:name w:val="WPSOffice手动目录 1"/>
    <w:qFormat/>
    <w:uiPriority w:val="0"/>
    <w:pPr>
      <w:ind w:leftChars="0"/>
    </w:pPr>
    <w:rPr>
      <w:rFonts w:ascii="Times New Roman" w:hAnsi="Times New Roman" w:eastAsia="宋体" w:cs="Times New Roman"/>
      <w:sz w:val="20"/>
      <w:szCs w:val="20"/>
    </w:rPr>
  </w:style>
  <w:style w:type="paragraph" w:customStyle="1" w:styleId="159">
    <w:name w:val="WPSOffice手动目录 2"/>
    <w:qFormat/>
    <w:uiPriority w:val="0"/>
    <w:pPr>
      <w:ind w:leftChars="200"/>
    </w:pPr>
    <w:rPr>
      <w:rFonts w:ascii="Times New Roman" w:hAnsi="Times New Roman" w:eastAsia="宋体" w:cs="Times New Roman"/>
      <w:sz w:val="20"/>
      <w:szCs w:val="20"/>
    </w:rPr>
  </w:style>
  <w:style w:type="character" w:customStyle="1" w:styleId="160">
    <w:name w:val="font21"/>
    <w:basedOn w:val="30"/>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header" Target="header3.xml"/><Relationship Id="rId79" Type="http://schemas.openxmlformats.org/officeDocument/2006/relationships/image" Target="media/image70.jpe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166</Pages>
  <Words>10693</Words>
  <Characters>12626</Characters>
  <Lines>551</Lines>
  <Paragraphs>155</Paragraphs>
  <TotalTime>0</TotalTime>
  <ScaleCrop>false</ScaleCrop>
  <LinksUpToDate>false</LinksUpToDate>
  <CharactersWithSpaces>13109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杭州渝港机械施工有限公司</cp:lastModifiedBy>
  <cp:lastPrinted>2023-07-21T09:53:00Z</cp:lastPrinted>
  <dcterms:modified xsi:type="dcterms:W3CDTF">2025-08-01T08:49:33Z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C0D4B3BDD46D48D69C193C9B8D1D2933_13</vt:lpwstr>
  </property>
</Properties>
</file>