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546D">
      <w:pPr>
        <w:keepNext w:val="0"/>
        <w:keepLines w:val="0"/>
        <w:pageBreakBefore w:val="0"/>
        <w:widowControl w:val="0"/>
        <w:kinsoku/>
        <w:wordWrap/>
        <w:overflowPunct/>
        <w:topLinePunct w:val="0"/>
        <w:autoSpaceDE/>
        <w:autoSpaceDN/>
        <w:bidi w:val="0"/>
        <w:adjustRightInd/>
        <w:snapToGrid/>
        <w:spacing w:line="600" w:lineRule="auto"/>
        <w:ind w:left="0" w:leftChars="0" w:firstLine="0" w:firstLineChars="0"/>
        <w:jc w:val="center"/>
        <w:textAlignment w:val="auto"/>
        <w:rPr>
          <w:rFonts w:hint="eastAsia" w:ascii="仿宋" w:hAnsi="仿宋" w:eastAsia="仿宋" w:cs="仿宋"/>
          <w:sz w:val="28"/>
          <w:szCs w:val="28"/>
          <w:lang w:eastAsia="zh-CN"/>
        </w:rPr>
      </w:pPr>
      <w:bookmarkStart w:id="0" w:name="_Toc12146"/>
      <w:bookmarkStart w:id="1" w:name="_Hlk51268067"/>
      <w:r>
        <w:rPr>
          <w:rFonts w:hint="eastAsia" w:ascii="仿宋" w:hAnsi="仿宋" w:eastAsia="仿宋" w:cs="仿宋"/>
          <w:sz w:val="28"/>
          <w:szCs w:val="28"/>
          <w:lang w:eastAsia="zh-CN"/>
        </w:rPr>
        <w:drawing>
          <wp:inline distT="0" distB="0" distL="114300" distR="114300">
            <wp:extent cx="6263640" cy="8858250"/>
            <wp:effectExtent l="0" t="0" r="3810" b="0"/>
            <wp:docPr id="14" name="图片 14" descr="科斗文封面签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科斗文封面签字2"/>
                    <pic:cNvPicPr>
                      <a:picLocks noChangeAspect="1"/>
                    </pic:cNvPicPr>
                  </pic:nvPicPr>
                  <pic:blipFill>
                    <a:blip r:embed="rId11"/>
                    <a:stretch>
                      <a:fillRect/>
                    </a:stretch>
                  </pic:blipFill>
                  <pic:spPr>
                    <a:xfrm>
                      <a:off x="0" y="0"/>
                      <a:ext cx="6263640" cy="8858250"/>
                    </a:xfrm>
                    <a:prstGeom prst="rect">
                      <a:avLst/>
                    </a:prstGeom>
                  </pic:spPr>
                </pic:pic>
              </a:graphicData>
            </a:graphic>
          </wp:inline>
        </w:drawing>
      </w:r>
    </w:p>
    <w:p w14:paraId="070576E0">
      <w:pPr>
        <w:pStyle w:val="1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keepNext w:val="0"/>
            <w:keepLines w:val="0"/>
            <w:pageBreakBefore w:val="0"/>
            <w:widowControl w:val="0"/>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rPr>
              <w:sz w:val="28"/>
              <w:szCs w:val="24"/>
            </w:rPr>
          </w:pPr>
          <w:r>
            <w:rPr>
              <w:rFonts w:ascii="宋体" w:hAnsi="宋体" w:eastAsia="宋体"/>
              <w:sz w:val="22"/>
              <w:szCs w:val="24"/>
            </w:rPr>
            <w:t>目</w:t>
          </w:r>
          <w:r>
            <w:rPr>
              <w:rFonts w:hint="eastAsia" w:ascii="宋体" w:hAnsi="宋体"/>
              <w:sz w:val="22"/>
              <w:szCs w:val="24"/>
              <w:lang w:val="en-US" w:eastAsia="zh-CN"/>
            </w:rPr>
            <w:t xml:space="preserve">  </w:t>
          </w:r>
          <w:r>
            <w:rPr>
              <w:rFonts w:ascii="宋体" w:hAnsi="宋体" w:eastAsia="宋体"/>
              <w:sz w:val="22"/>
              <w:szCs w:val="24"/>
            </w:rPr>
            <w:t>录</w:t>
          </w:r>
        </w:p>
        <w:p w14:paraId="1DA88FCF">
          <w:pPr>
            <w:pStyle w:val="23"/>
            <w:tabs>
              <w:tab w:val="right" w:leader="dot" w:pos="8306"/>
            </w:tabs>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_Toc18635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_Toc18635 \h </w:instrText>
          </w:r>
          <w:r>
            <w:fldChar w:fldCharType="separate"/>
          </w:r>
          <w:r>
            <w:t>4</w:t>
          </w:r>
          <w:r>
            <w:fldChar w:fldCharType="end"/>
          </w:r>
          <w:r>
            <w:rPr>
              <w:rFonts w:hint="default" w:ascii="Times New Roman" w:hAnsi="Times New Roman" w:eastAsia="仿宋" w:cs="Times New Roman"/>
              <w:szCs w:val="24"/>
            </w:rPr>
            <w:fldChar w:fldCharType="end"/>
          </w:r>
        </w:p>
        <w:p w14:paraId="1320542D">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_Toc6509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_Toc6509 \h </w:instrText>
          </w:r>
          <w:r>
            <w:fldChar w:fldCharType="separate"/>
          </w:r>
          <w:r>
            <w:t>4</w:t>
          </w:r>
          <w:r>
            <w:fldChar w:fldCharType="end"/>
          </w:r>
          <w:r>
            <w:rPr>
              <w:rFonts w:hint="default" w:ascii="Times New Roman" w:hAnsi="Times New Roman" w:eastAsia="仿宋" w:cs="Times New Roman"/>
              <w:szCs w:val="24"/>
            </w:rPr>
            <w:fldChar w:fldCharType="end"/>
          </w:r>
        </w:p>
        <w:p w14:paraId="10FD37BB">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_Toc9363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_Toc9363 \h </w:instrText>
          </w:r>
          <w:r>
            <w:fldChar w:fldCharType="separate"/>
          </w:r>
          <w:r>
            <w:t>4</w:t>
          </w:r>
          <w:r>
            <w:fldChar w:fldCharType="end"/>
          </w:r>
          <w:r>
            <w:rPr>
              <w:rFonts w:hint="default" w:ascii="Times New Roman" w:hAnsi="Times New Roman" w:eastAsia="仿宋" w:cs="Times New Roman"/>
              <w:szCs w:val="24"/>
            </w:rPr>
            <w:fldChar w:fldCharType="end"/>
          </w:r>
        </w:p>
        <w:p w14:paraId="14317FB8">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_Toc16686 </w:instrText>
          </w:r>
          <w:r>
            <w:rPr>
              <w:rFonts w:hint="default" w:ascii="Times New Roman" w:hAnsi="Times New Roman" w:eastAsia="仿宋" w:cs="Times New Roman"/>
              <w:szCs w:val="24"/>
            </w:rPr>
            <w:fldChar w:fldCharType="separate"/>
          </w:r>
          <w:r>
            <w:rPr>
              <w:rFonts w:hint="default" w:ascii="宋体" w:hAnsi="宋体" w:eastAsia="宋体"/>
              <w:i w:val="0"/>
              <w:lang w:val="en-US" w:eastAsia="zh-CN"/>
            </w:rPr>
            <w:t xml:space="preserve">2 </w:t>
          </w:r>
          <w:r>
            <w:rPr>
              <w:rFonts w:hint="eastAsia"/>
              <w:lang w:val="en-US" w:eastAsia="zh-CN"/>
            </w:rPr>
            <w:t>施工步骤及要点</w:t>
          </w:r>
          <w:r>
            <w:tab/>
          </w:r>
          <w:r>
            <w:fldChar w:fldCharType="begin"/>
          </w:r>
          <w:r>
            <w:instrText xml:space="preserve"> PAGEREF _Toc16686 \h </w:instrText>
          </w:r>
          <w:r>
            <w:fldChar w:fldCharType="separate"/>
          </w:r>
          <w:r>
            <w:t>9</w:t>
          </w:r>
          <w:r>
            <w:fldChar w:fldCharType="end"/>
          </w:r>
          <w:r>
            <w:rPr>
              <w:rFonts w:hint="default" w:ascii="Times New Roman" w:hAnsi="Times New Roman" w:eastAsia="仿宋" w:cs="Times New Roman"/>
              <w:szCs w:val="24"/>
            </w:rPr>
            <w:fldChar w:fldCharType="end"/>
          </w:r>
        </w:p>
        <w:p w14:paraId="4D5F83C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_Toc20901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 </w:t>
          </w:r>
          <w:r>
            <w:rPr>
              <w:rFonts w:hint="eastAsia" w:ascii="宋体" w:hAnsi="宋体" w:eastAsia="宋体" w:cs="宋体"/>
              <w:lang w:val="en-US" w:eastAsia="zh-CN"/>
            </w:rPr>
            <w:t>安装一节基础节和标准节</w:t>
          </w:r>
          <w:r>
            <w:tab/>
          </w:r>
          <w:r>
            <w:fldChar w:fldCharType="begin"/>
          </w:r>
          <w:r>
            <w:instrText xml:space="preserve"> PAGEREF _Toc20901 \h </w:instrText>
          </w:r>
          <w:r>
            <w:fldChar w:fldCharType="separate"/>
          </w:r>
          <w:r>
            <w:t>9</w:t>
          </w:r>
          <w:r>
            <w:fldChar w:fldCharType="end"/>
          </w:r>
          <w:r>
            <w:rPr>
              <w:rFonts w:hint="default" w:ascii="Times New Roman" w:hAnsi="Times New Roman" w:eastAsia="仿宋" w:cs="Times New Roman"/>
              <w:szCs w:val="24"/>
            </w:rPr>
            <w:fldChar w:fldCharType="end"/>
          </w:r>
        </w:p>
        <w:p w14:paraId="4C757256">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_Toc19482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2.2. </w:t>
          </w:r>
          <w:r>
            <w:rPr>
              <w:rFonts w:hint="eastAsia" w:ascii="宋体" w:hAnsi="宋体" w:eastAsia="宋体" w:cs="宋体"/>
              <w:lang w:val="en-US" w:eastAsia="zh-CN"/>
            </w:rPr>
            <w:t>安装爬升架</w:t>
          </w:r>
          <w:r>
            <w:tab/>
          </w:r>
          <w:r>
            <w:fldChar w:fldCharType="begin"/>
          </w:r>
          <w:r>
            <w:instrText xml:space="preserve"> PAGEREF _Toc19482 \h </w:instrText>
          </w:r>
          <w:r>
            <w:fldChar w:fldCharType="separate"/>
          </w:r>
          <w:r>
            <w:t>10</w:t>
          </w:r>
          <w:r>
            <w:fldChar w:fldCharType="end"/>
          </w:r>
          <w:r>
            <w:rPr>
              <w:rFonts w:hint="default" w:ascii="Times New Roman" w:hAnsi="Times New Roman" w:eastAsia="仿宋" w:cs="Times New Roman"/>
              <w:szCs w:val="24"/>
            </w:rPr>
            <w:fldChar w:fldCharType="end"/>
          </w:r>
        </w:p>
        <w:p w14:paraId="2BA306E4">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_Toc32033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2.3. </w:t>
          </w:r>
          <w:r>
            <w:rPr>
              <w:rFonts w:hint="eastAsia" w:ascii="宋体" w:hAnsi="宋体" w:eastAsia="宋体" w:cs="宋体"/>
              <w:lang w:val="en-US" w:eastAsia="zh-CN"/>
            </w:rPr>
            <w:t>安装特殊节、回转总成</w:t>
          </w:r>
          <w:r>
            <w:tab/>
          </w:r>
          <w:r>
            <w:fldChar w:fldCharType="begin"/>
          </w:r>
          <w:r>
            <w:instrText xml:space="preserve"> PAGEREF _Toc32033 \h </w:instrText>
          </w:r>
          <w:r>
            <w:fldChar w:fldCharType="separate"/>
          </w:r>
          <w:r>
            <w:t>11</w:t>
          </w:r>
          <w:r>
            <w:fldChar w:fldCharType="end"/>
          </w:r>
          <w:r>
            <w:rPr>
              <w:rFonts w:hint="default" w:ascii="Times New Roman" w:hAnsi="Times New Roman" w:eastAsia="仿宋" w:cs="Times New Roman"/>
              <w:szCs w:val="24"/>
            </w:rPr>
            <w:fldChar w:fldCharType="end"/>
          </w:r>
        </w:p>
        <w:p w14:paraId="6A6B383D">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_Toc23814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2.4. </w:t>
          </w:r>
          <w:r>
            <w:rPr>
              <w:rFonts w:hint="eastAsia" w:ascii="宋体" w:hAnsi="宋体" w:eastAsia="宋体" w:cs="宋体"/>
              <w:lang w:val="en-US" w:eastAsia="zh-CN"/>
            </w:rPr>
            <w:t>安装臂根节</w:t>
          </w:r>
          <w:r>
            <w:tab/>
          </w:r>
          <w:r>
            <w:fldChar w:fldCharType="begin"/>
          </w:r>
          <w:r>
            <w:instrText xml:space="preserve"> PAGEREF _Toc23814 \h </w:instrText>
          </w:r>
          <w:r>
            <w:fldChar w:fldCharType="separate"/>
          </w:r>
          <w:r>
            <w:t>12</w:t>
          </w:r>
          <w:r>
            <w:fldChar w:fldCharType="end"/>
          </w:r>
          <w:r>
            <w:rPr>
              <w:rFonts w:hint="default" w:ascii="Times New Roman" w:hAnsi="Times New Roman" w:eastAsia="仿宋" w:cs="Times New Roman"/>
              <w:szCs w:val="24"/>
            </w:rPr>
            <w:fldChar w:fldCharType="end"/>
          </w:r>
        </w:p>
        <w:p w14:paraId="4877A53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_Toc10200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2.5. </w:t>
          </w:r>
          <w:r>
            <w:rPr>
              <w:rFonts w:hint="eastAsia" w:ascii="宋体" w:hAnsi="宋体" w:eastAsia="宋体" w:cs="宋体"/>
              <w:lang w:val="en-US" w:eastAsia="zh-CN"/>
            </w:rPr>
            <w:t>安装平衡臂和平衡臂拉杆</w:t>
          </w:r>
          <w:r>
            <w:tab/>
          </w:r>
          <w:r>
            <w:fldChar w:fldCharType="begin"/>
          </w:r>
          <w:r>
            <w:instrText xml:space="preserve"> PAGEREF _Toc10200 \h </w:instrText>
          </w:r>
          <w:r>
            <w:fldChar w:fldCharType="separate"/>
          </w:r>
          <w:r>
            <w:t>13</w:t>
          </w:r>
          <w:r>
            <w:fldChar w:fldCharType="end"/>
          </w:r>
          <w:r>
            <w:rPr>
              <w:rFonts w:hint="default" w:ascii="Times New Roman" w:hAnsi="Times New Roman" w:eastAsia="仿宋" w:cs="Times New Roman"/>
              <w:szCs w:val="24"/>
            </w:rPr>
            <w:fldChar w:fldCharType="end"/>
          </w:r>
        </w:p>
        <w:p w14:paraId="4B789F4D">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_Toc32143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2.6. </w:t>
          </w:r>
          <w:r>
            <w:rPr>
              <w:rFonts w:hint="eastAsia" w:ascii="宋体" w:hAnsi="宋体" w:eastAsia="宋体" w:cs="宋体"/>
              <w:lang w:val="en-US" w:eastAsia="zh-CN"/>
            </w:rPr>
            <w:t>安装</w:t>
          </w:r>
          <w:r>
            <w:rPr>
              <w:rFonts w:hint="eastAsia" w:cs="宋体"/>
              <w:lang w:val="en-US" w:eastAsia="zh-CN"/>
            </w:rPr>
            <w:t>一</w:t>
          </w:r>
          <w:r>
            <w:rPr>
              <w:rFonts w:hint="eastAsia" w:ascii="宋体" w:hAnsi="宋体" w:eastAsia="宋体" w:cs="宋体"/>
              <w:lang w:val="en-US" w:eastAsia="zh-CN"/>
            </w:rPr>
            <w:t>块3.2t平衡重</w:t>
          </w:r>
          <w:r>
            <w:tab/>
          </w:r>
          <w:r>
            <w:fldChar w:fldCharType="begin"/>
          </w:r>
          <w:r>
            <w:instrText xml:space="preserve"> PAGEREF _Toc32143 \h </w:instrText>
          </w:r>
          <w:r>
            <w:fldChar w:fldCharType="separate"/>
          </w:r>
          <w:r>
            <w:t>15</w:t>
          </w:r>
          <w:r>
            <w:fldChar w:fldCharType="end"/>
          </w:r>
          <w:r>
            <w:rPr>
              <w:rFonts w:hint="default" w:ascii="Times New Roman" w:hAnsi="Times New Roman" w:eastAsia="仿宋" w:cs="Times New Roman"/>
              <w:szCs w:val="24"/>
            </w:rPr>
            <w:fldChar w:fldCharType="end"/>
          </w:r>
        </w:p>
        <w:p w14:paraId="1007277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_Toc14552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2.7. </w:t>
          </w:r>
          <w:r>
            <w:rPr>
              <w:rFonts w:hint="eastAsia" w:ascii="宋体" w:hAnsi="宋体" w:eastAsia="宋体" w:cs="宋体"/>
              <w:lang w:val="en-US" w:eastAsia="zh-CN"/>
            </w:rPr>
            <w:t>安装剩余起重臂</w:t>
          </w:r>
          <w:r>
            <w:tab/>
          </w:r>
          <w:r>
            <w:fldChar w:fldCharType="begin"/>
          </w:r>
          <w:r>
            <w:instrText xml:space="preserve"> PAGEREF _Toc14552 \h </w:instrText>
          </w:r>
          <w:r>
            <w:fldChar w:fldCharType="separate"/>
          </w:r>
          <w:r>
            <w:t>15</w:t>
          </w:r>
          <w:r>
            <w:fldChar w:fldCharType="end"/>
          </w:r>
          <w:r>
            <w:rPr>
              <w:rFonts w:hint="default" w:ascii="Times New Roman" w:hAnsi="Times New Roman" w:eastAsia="仿宋" w:cs="Times New Roman"/>
              <w:szCs w:val="24"/>
            </w:rPr>
            <w:fldChar w:fldCharType="end"/>
          </w:r>
        </w:p>
        <w:p w14:paraId="3247E927">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_Toc29920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2.8. </w:t>
          </w:r>
          <w:r>
            <w:rPr>
              <w:rFonts w:hint="eastAsia" w:ascii="宋体" w:hAnsi="宋体" w:eastAsia="宋体" w:cs="宋体"/>
              <w:lang w:val="en-US" w:eastAsia="zh-CN"/>
            </w:rPr>
            <w:t>安装剩余平衡重</w:t>
          </w:r>
          <w:r>
            <w:tab/>
          </w:r>
          <w:r>
            <w:fldChar w:fldCharType="begin"/>
          </w:r>
          <w:r>
            <w:instrText xml:space="preserve"> PAGEREF _Toc29920 \h </w:instrText>
          </w:r>
          <w:r>
            <w:fldChar w:fldCharType="separate"/>
          </w:r>
          <w:r>
            <w:t>18</w:t>
          </w:r>
          <w:r>
            <w:fldChar w:fldCharType="end"/>
          </w:r>
          <w:r>
            <w:rPr>
              <w:rFonts w:hint="default" w:ascii="Times New Roman" w:hAnsi="Times New Roman" w:eastAsia="仿宋" w:cs="Times New Roman"/>
              <w:szCs w:val="24"/>
            </w:rPr>
            <w:fldChar w:fldCharType="end"/>
          </w:r>
        </w:p>
        <w:p w14:paraId="6117E900">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_Toc19856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2.9. </w:t>
          </w:r>
          <w:r>
            <w:rPr>
              <w:rFonts w:hint="eastAsia" w:ascii="宋体" w:hAnsi="宋体" w:eastAsia="宋体" w:cs="宋体"/>
              <w:lang w:val="en-US" w:eastAsia="zh-CN"/>
            </w:rPr>
            <w:t>穿绕钢丝绳</w:t>
          </w:r>
          <w:r>
            <w:tab/>
          </w:r>
          <w:r>
            <w:fldChar w:fldCharType="begin"/>
          </w:r>
          <w:r>
            <w:instrText xml:space="preserve"> PAGEREF _Toc19856 \h </w:instrText>
          </w:r>
          <w:r>
            <w:fldChar w:fldCharType="separate"/>
          </w:r>
          <w:r>
            <w:t>19</w:t>
          </w:r>
          <w:r>
            <w:fldChar w:fldCharType="end"/>
          </w:r>
          <w:r>
            <w:rPr>
              <w:rFonts w:hint="default" w:ascii="Times New Roman" w:hAnsi="Times New Roman" w:eastAsia="仿宋" w:cs="Times New Roman"/>
              <w:szCs w:val="24"/>
            </w:rPr>
            <w:fldChar w:fldCharType="end"/>
          </w:r>
        </w:p>
        <w:p w14:paraId="0138BD4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_Toc23002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2.10. </w:t>
          </w:r>
          <w:r>
            <w:rPr>
              <w:rFonts w:hint="eastAsia" w:ascii="宋体" w:hAnsi="宋体" w:eastAsia="宋体" w:cs="宋体"/>
              <w:lang w:val="en-US" w:eastAsia="zh-CN"/>
            </w:rPr>
            <w:t>电气系统安装及试运转</w:t>
          </w:r>
          <w:r>
            <w:tab/>
          </w:r>
          <w:r>
            <w:fldChar w:fldCharType="begin"/>
          </w:r>
          <w:r>
            <w:instrText xml:space="preserve"> PAGEREF _Toc23002 \h </w:instrText>
          </w:r>
          <w:r>
            <w:fldChar w:fldCharType="separate"/>
          </w:r>
          <w:r>
            <w:t>22</w:t>
          </w:r>
          <w:r>
            <w:fldChar w:fldCharType="end"/>
          </w:r>
          <w:r>
            <w:rPr>
              <w:rFonts w:hint="default" w:ascii="Times New Roman" w:hAnsi="Times New Roman" w:eastAsia="仿宋" w:cs="Times New Roman"/>
              <w:szCs w:val="24"/>
            </w:rPr>
            <w:fldChar w:fldCharType="end"/>
          </w:r>
        </w:p>
        <w:p w14:paraId="59ED22BF">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_Toc31711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2.11. </w:t>
          </w:r>
          <w:r>
            <w:rPr>
              <w:rFonts w:hint="eastAsia" w:ascii="宋体" w:hAnsi="宋体" w:eastAsia="宋体" w:cs="宋体"/>
              <w:lang w:val="en-US" w:eastAsia="zh-CN"/>
            </w:rPr>
            <w:t>操作系统的调试</w:t>
          </w:r>
          <w:r>
            <w:tab/>
          </w:r>
          <w:r>
            <w:fldChar w:fldCharType="begin"/>
          </w:r>
          <w:r>
            <w:instrText xml:space="preserve"> PAGEREF _Toc31711 \h </w:instrText>
          </w:r>
          <w:r>
            <w:fldChar w:fldCharType="separate"/>
          </w:r>
          <w:r>
            <w:t>22</w:t>
          </w:r>
          <w:r>
            <w:fldChar w:fldCharType="end"/>
          </w:r>
          <w:r>
            <w:rPr>
              <w:rFonts w:hint="default" w:ascii="Times New Roman" w:hAnsi="Times New Roman" w:eastAsia="仿宋" w:cs="Times New Roman"/>
              <w:szCs w:val="24"/>
            </w:rPr>
            <w:fldChar w:fldCharType="end"/>
          </w:r>
        </w:p>
        <w:p w14:paraId="5EF9F4D3">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_Toc25431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2.12. </w:t>
          </w:r>
          <w:r>
            <w:rPr>
              <w:rFonts w:hint="eastAsia" w:ascii="宋体" w:hAnsi="宋体" w:eastAsia="宋体" w:cs="宋体"/>
              <w:lang w:val="en-US" w:eastAsia="zh-CN"/>
            </w:rPr>
            <w:t>塔机顶升加节</w:t>
          </w:r>
          <w:r>
            <w:tab/>
          </w:r>
          <w:r>
            <w:fldChar w:fldCharType="begin"/>
          </w:r>
          <w:r>
            <w:instrText xml:space="preserve"> PAGEREF _Toc25431 \h </w:instrText>
          </w:r>
          <w:r>
            <w:fldChar w:fldCharType="separate"/>
          </w:r>
          <w:r>
            <w:t>23</w:t>
          </w:r>
          <w:r>
            <w:fldChar w:fldCharType="end"/>
          </w:r>
          <w:r>
            <w:rPr>
              <w:rFonts w:hint="default" w:ascii="Times New Roman" w:hAnsi="Times New Roman" w:eastAsia="仿宋" w:cs="Times New Roman"/>
              <w:szCs w:val="24"/>
            </w:rPr>
            <w:fldChar w:fldCharType="end"/>
          </w:r>
        </w:p>
        <w:p w14:paraId="14DA31E0">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_Toc7624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2.13. </w:t>
          </w:r>
          <w:r>
            <w:rPr>
              <w:rFonts w:hint="eastAsia" w:ascii="宋体" w:hAnsi="宋体" w:eastAsia="宋体" w:cs="宋体"/>
              <w:lang w:val="en-US" w:eastAsia="zh-CN"/>
            </w:rPr>
            <w:t>安全装置的调试</w:t>
          </w:r>
          <w:r>
            <w:tab/>
          </w:r>
          <w:r>
            <w:fldChar w:fldCharType="begin"/>
          </w:r>
          <w:r>
            <w:instrText xml:space="preserve"> PAGEREF _Toc7624 \h </w:instrText>
          </w:r>
          <w:r>
            <w:fldChar w:fldCharType="separate"/>
          </w:r>
          <w:r>
            <w:t>27</w:t>
          </w:r>
          <w:r>
            <w:fldChar w:fldCharType="end"/>
          </w:r>
          <w:r>
            <w:rPr>
              <w:rFonts w:hint="default" w:ascii="Times New Roman" w:hAnsi="Times New Roman" w:eastAsia="仿宋" w:cs="Times New Roman"/>
              <w:szCs w:val="24"/>
            </w:rPr>
            <w:fldChar w:fldCharType="end"/>
          </w:r>
        </w:p>
        <w:p w14:paraId="3A7B869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_Toc20378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2.14. </w:t>
          </w:r>
          <w:r>
            <w:rPr>
              <w:rFonts w:hint="eastAsia" w:ascii="宋体" w:hAnsi="宋体" w:eastAsia="宋体" w:cs="宋体"/>
              <w:lang w:val="en-US" w:eastAsia="zh-CN"/>
            </w:rPr>
            <w:t>塔机的维修与保养</w:t>
          </w:r>
          <w:r>
            <w:tab/>
          </w:r>
          <w:r>
            <w:fldChar w:fldCharType="begin"/>
          </w:r>
          <w:r>
            <w:instrText xml:space="preserve"> PAGEREF _Toc20378 \h </w:instrText>
          </w:r>
          <w:r>
            <w:fldChar w:fldCharType="separate"/>
          </w:r>
          <w:r>
            <w:t>28</w:t>
          </w:r>
          <w:r>
            <w:fldChar w:fldCharType="end"/>
          </w:r>
          <w:r>
            <w:rPr>
              <w:rFonts w:hint="default" w:ascii="Times New Roman" w:hAnsi="Times New Roman" w:eastAsia="仿宋" w:cs="Times New Roman"/>
              <w:szCs w:val="24"/>
            </w:rPr>
            <w:fldChar w:fldCharType="end"/>
          </w:r>
        </w:p>
        <w:p w14:paraId="238CDE2C">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_Toc15269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2.15. </w:t>
          </w:r>
          <w:r>
            <w:rPr>
              <w:rFonts w:hint="eastAsia" w:ascii="宋体" w:hAnsi="宋体" w:eastAsia="宋体" w:cs="宋体"/>
              <w:lang w:val="en-US" w:eastAsia="zh-CN"/>
            </w:rPr>
            <w:t>检查要求</w:t>
          </w:r>
          <w:r>
            <w:tab/>
          </w:r>
          <w:r>
            <w:fldChar w:fldCharType="begin"/>
          </w:r>
          <w:r>
            <w:instrText xml:space="preserve"> PAGEREF _Toc15269 \h </w:instrText>
          </w:r>
          <w:r>
            <w:fldChar w:fldCharType="separate"/>
          </w:r>
          <w:r>
            <w:t>30</w:t>
          </w:r>
          <w:r>
            <w:fldChar w:fldCharType="end"/>
          </w:r>
          <w:r>
            <w:rPr>
              <w:rFonts w:hint="default" w:ascii="Times New Roman" w:hAnsi="Times New Roman" w:eastAsia="仿宋" w:cs="Times New Roman"/>
              <w:szCs w:val="24"/>
            </w:rPr>
            <w:fldChar w:fldCharType="end"/>
          </w:r>
        </w:p>
        <w:p w14:paraId="4598E8AB">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_Toc17453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2.17. </w:t>
          </w:r>
          <w:r>
            <w:rPr>
              <w:rFonts w:hint="eastAsia" w:ascii="宋体" w:hAnsi="宋体" w:eastAsia="宋体" w:cs="宋体"/>
              <w:lang w:val="en-US" w:eastAsia="zh-CN"/>
            </w:rPr>
            <w:t>安全装置的调试</w:t>
          </w:r>
          <w:r>
            <w:tab/>
          </w:r>
          <w:r>
            <w:fldChar w:fldCharType="begin"/>
          </w:r>
          <w:r>
            <w:instrText xml:space="preserve"> PAGEREF _Toc17453 \h </w:instrText>
          </w:r>
          <w:r>
            <w:fldChar w:fldCharType="separate"/>
          </w:r>
          <w:r>
            <w:t>32</w:t>
          </w:r>
          <w:r>
            <w:fldChar w:fldCharType="end"/>
          </w:r>
          <w:r>
            <w:rPr>
              <w:rFonts w:hint="default" w:ascii="Times New Roman" w:hAnsi="Times New Roman" w:eastAsia="仿宋" w:cs="Times New Roman"/>
              <w:szCs w:val="24"/>
            </w:rPr>
            <w:fldChar w:fldCharType="end"/>
          </w:r>
        </w:p>
        <w:p w14:paraId="4385C82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_Toc4365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2.18. </w:t>
          </w:r>
          <w:r>
            <w:rPr>
              <w:rFonts w:hint="eastAsia" w:ascii="宋体" w:hAnsi="宋体" w:eastAsia="宋体" w:cs="宋体"/>
              <w:highlight w:val="none"/>
              <w:lang w:val="en-US" w:eastAsia="zh-CN"/>
            </w:rPr>
            <w:t>风险与应对措施</w:t>
          </w:r>
          <w:r>
            <w:tab/>
          </w:r>
          <w:r>
            <w:fldChar w:fldCharType="begin"/>
          </w:r>
          <w:r>
            <w:instrText xml:space="preserve"> PAGEREF _Toc4365 \h </w:instrText>
          </w:r>
          <w:r>
            <w:fldChar w:fldCharType="separate"/>
          </w:r>
          <w:r>
            <w:t>33</w:t>
          </w:r>
          <w:r>
            <w:fldChar w:fldCharType="end"/>
          </w:r>
          <w:r>
            <w:rPr>
              <w:rFonts w:hint="default" w:ascii="Times New Roman" w:hAnsi="Times New Roman" w:eastAsia="仿宋" w:cs="Times New Roman"/>
              <w:szCs w:val="24"/>
            </w:rPr>
            <w:fldChar w:fldCharType="end"/>
          </w:r>
        </w:p>
        <w:p w14:paraId="0A8C9266">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_Toc20919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_Toc20919 \h </w:instrText>
          </w:r>
          <w:r>
            <w:fldChar w:fldCharType="separate"/>
          </w:r>
          <w:r>
            <w:t>43</w:t>
          </w:r>
          <w:r>
            <w:fldChar w:fldCharType="end"/>
          </w:r>
          <w:r>
            <w:rPr>
              <w:rFonts w:hint="default" w:ascii="Times New Roman" w:hAnsi="Times New Roman" w:eastAsia="仿宋" w:cs="Times New Roman"/>
              <w:szCs w:val="24"/>
            </w:rPr>
            <w:fldChar w:fldCharType="end"/>
          </w:r>
        </w:p>
        <w:p w14:paraId="21B6B1C4">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_Toc18888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_Toc18888 \h </w:instrText>
          </w:r>
          <w:r>
            <w:fldChar w:fldCharType="separate"/>
          </w:r>
          <w:r>
            <w:t>44</w:t>
          </w:r>
          <w:r>
            <w:fldChar w:fldCharType="end"/>
          </w:r>
          <w:r>
            <w:rPr>
              <w:rFonts w:hint="default" w:ascii="Times New Roman" w:hAnsi="Times New Roman" w:eastAsia="仿宋" w:cs="Times New Roman"/>
              <w:szCs w:val="24"/>
            </w:rPr>
            <w:fldChar w:fldCharType="end"/>
          </w:r>
        </w:p>
        <w:p w14:paraId="0A295AC3">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_Toc25498 </w:instrText>
          </w:r>
          <w:r>
            <w:rPr>
              <w:rFonts w:hint="default" w:ascii="Times New Roman" w:hAnsi="Times New Roman" w:eastAsia="仿宋" w:cs="Times New Roman"/>
              <w:szCs w:val="24"/>
            </w:rPr>
            <w:fldChar w:fldCharType="separate"/>
          </w:r>
          <w:r>
            <w:rPr>
              <w:rFonts w:hint="eastAsia"/>
              <w:lang w:val="en-US" w:eastAsia="zh-CN"/>
            </w:rPr>
            <w:t>4.1 施工组织机构</w:t>
          </w:r>
          <w:r>
            <w:tab/>
          </w:r>
          <w:r>
            <w:fldChar w:fldCharType="begin"/>
          </w:r>
          <w:r>
            <w:instrText xml:space="preserve"> PAGEREF _Toc25498 \h </w:instrText>
          </w:r>
          <w:r>
            <w:fldChar w:fldCharType="separate"/>
          </w:r>
          <w:r>
            <w:t>44</w:t>
          </w:r>
          <w:r>
            <w:fldChar w:fldCharType="end"/>
          </w:r>
          <w:r>
            <w:rPr>
              <w:rFonts w:hint="default" w:ascii="Times New Roman" w:hAnsi="Times New Roman" w:eastAsia="仿宋" w:cs="Times New Roman"/>
              <w:szCs w:val="24"/>
            </w:rPr>
            <w:fldChar w:fldCharType="end"/>
          </w:r>
        </w:p>
        <w:p w14:paraId="7A7B4059">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_Toc16261 </w:instrText>
          </w:r>
          <w:r>
            <w:rPr>
              <w:rFonts w:hint="default" w:ascii="Times New Roman" w:hAnsi="Times New Roman" w:eastAsia="仿宋" w:cs="Times New Roman"/>
              <w:szCs w:val="24"/>
            </w:rPr>
            <w:fldChar w:fldCharType="separate"/>
          </w:r>
          <w:r>
            <w:rPr>
              <w:rFonts w:hint="eastAsia"/>
              <w:lang w:val="en-US" w:eastAsia="zh-CN"/>
            </w:rPr>
            <w:t>4.2 人员配置</w:t>
          </w:r>
          <w:r>
            <w:tab/>
          </w:r>
          <w:r>
            <w:fldChar w:fldCharType="begin"/>
          </w:r>
          <w:r>
            <w:instrText xml:space="preserve"> PAGEREF _Toc16261 \h </w:instrText>
          </w:r>
          <w:r>
            <w:fldChar w:fldCharType="separate"/>
          </w:r>
          <w:r>
            <w:t>44</w:t>
          </w:r>
          <w:r>
            <w:fldChar w:fldCharType="end"/>
          </w:r>
          <w:r>
            <w:rPr>
              <w:rFonts w:hint="default" w:ascii="Times New Roman" w:hAnsi="Times New Roman" w:eastAsia="仿宋" w:cs="Times New Roman"/>
              <w:szCs w:val="24"/>
            </w:rPr>
            <w:fldChar w:fldCharType="end"/>
          </w:r>
        </w:p>
        <w:p w14:paraId="103A5F98">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_Toc24912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_Toc24912 \h </w:instrText>
          </w:r>
          <w:r>
            <w:fldChar w:fldCharType="separate"/>
          </w:r>
          <w:r>
            <w:t>45</w:t>
          </w:r>
          <w:r>
            <w:fldChar w:fldCharType="end"/>
          </w:r>
          <w:r>
            <w:rPr>
              <w:rFonts w:hint="default" w:ascii="Times New Roman" w:hAnsi="Times New Roman" w:eastAsia="仿宋" w:cs="Times New Roman"/>
              <w:szCs w:val="24"/>
            </w:rPr>
            <w:fldChar w:fldCharType="end"/>
          </w:r>
        </w:p>
        <w:p w14:paraId="1637DB49">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_Toc1590 </w:instrText>
          </w:r>
          <w:r>
            <w:rPr>
              <w:rFonts w:hint="default" w:ascii="Times New Roman" w:hAnsi="Times New Roman" w:eastAsia="仿宋" w:cs="Times New Roman"/>
              <w:szCs w:val="24"/>
            </w:rPr>
            <w:fldChar w:fldCharType="separate"/>
          </w:r>
          <w:r>
            <w:rPr>
              <w:rFonts w:hint="eastAsia"/>
              <w:lang w:val="en-US" w:eastAsia="zh-CN"/>
            </w:rPr>
            <w:t>5.1应急救援组织机构及职责</w:t>
          </w:r>
          <w:r>
            <w:tab/>
          </w:r>
          <w:r>
            <w:fldChar w:fldCharType="begin"/>
          </w:r>
          <w:r>
            <w:instrText xml:space="preserve"> PAGEREF _Toc1590 \h </w:instrText>
          </w:r>
          <w:r>
            <w:fldChar w:fldCharType="separate"/>
          </w:r>
          <w:r>
            <w:t>45</w:t>
          </w:r>
          <w:r>
            <w:fldChar w:fldCharType="end"/>
          </w:r>
          <w:r>
            <w:rPr>
              <w:rFonts w:hint="default" w:ascii="Times New Roman" w:hAnsi="Times New Roman" w:eastAsia="仿宋" w:cs="Times New Roman"/>
              <w:szCs w:val="24"/>
            </w:rPr>
            <w:fldChar w:fldCharType="end"/>
          </w:r>
        </w:p>
        <w:p w14:paraId="4D3815F9">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_Toc14307 </w:instrText>
          </w:r>
          <w:r>
            <w:rPr>
              <w:rFonts w:hint="default" w:ascii="Times New Roman" w:hAnsi="Times New Roman" w:eastAsia="仿宋" w:cs="Times New Roman"/>
              <w:szCs w:val="24"/>
            </w:rPr>
            <w:fldChar w:fldCharType="separate"/>
          </w:r>
          <w:r>
            <w:rPr>
              <w:rFonts w:hint="eastAsia"/>
              <w:lang w:val="en-US" w:eastAsia="zh-CN"/>
            </w:rPr>
            <w:t>5.2专项应急处置措施</w:t>
          </w:r>
          <w:r>
            <w:tab/>
          </w:r>
          <w:r>
            <w:fldChar w:fldCharType="begin"/>
          </w:r>
          <w:r>
            <w:instrText xml:space="preserve"> PAGEREF _Toc14307 \h </w:instrText>
          </w:r>
          <w:r>
            <w:fldChar w:fldCharType="separate"/>
          </w:r>
          <w:r>
            <w:t>46</w:t>
          </w:r>
          <w:r>
            <w:fldChar w:fldCharType="end"/>
          </w:r>
          <w:r>
            <w:rPr>
              <w:rFonts w:hint="default" w:ascii="Times New Roman" w:hAnsi="Times New Roman" w:eastAsia="仿宋" w:cs="Times New Roman"/>
              <w:szCs w:val="24"/>
            </w:rPr>
            <w:fldChar w:fldCharType="end"/>
          </w:r>
        </w:p>
        <w:p w14:paraId="7B233078">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_Toc17457 </w:instrText>
          </w:r>
          <w:r>
            <w:rPr>
              <w:rFonts w:hint="default" w:ascii="Times New Roman" w:hAnsi="Times New Roman" w:eastAsia="仿宋" w:cs="Times New Roman"/>
              <w:szCs w:val="24"/>
            </w:rPr>
            <w:fldChar w:fldCharType="separate"/>
          </w:r>
          <w:r>
            <w:rPr>
              <w:rFonts w:hint="eastAsia"/>
              <w:highlight w:val="none"/>
              <w:lang w:val="en-US" w:eastAsia="zh-CN"/>
            </w:rPr>
            <w:t>5.3紧急救援措施</w:t>
          </w:r>
          <w:r>
            <w:tab/>
          </w:r>
          <w:r>
            <w:fldChar w:fldCharType="begin"/>
          </w:r>
          <w:r>
            <w:instrText xml:space="preserve"> PAGEREF _Toc17457 \h </w:instrText>
          </w:r>
          <w:r>
            <w:fldChar w:fldCharType="separate"/>
          </w:r>
          <w:r>
            <w:t>51</w:t>
          </w:r>
          <w:r>
            <w:fldChar w:fldCharType="end"/>
          </w:r>
          <w:r>
            <w:rPr>
              <w:rFonts w:hint="default" w:ascii="Times New Roman" w:hAnsi="Times New Roman" w:eastAsia="仿宋" w:cs="Times New Roman"/>
              <w:szCs w:val="24"/>
            </w:rPr>
            <w:fldChar w:fldCharType="end"/>
          </w:r>
        </w:p>
        <w:p w14:paraId="09CCA739">
          <w:pPr>
            <w:pStyle w:val="23"/>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_Toc29685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_Toc29685 \h </w:instrText>
          </w:r>
          <w:r>
            <w:fldChar w:fldCharType="separate"/>
          </w:r>
          <w:r>
            <w:t>54</w:t>
          </w:r>
          <w:r>
            <w:fldChar w:fldCharType="end"/>
          </w:r>
          <w:r>
            <w:rPr>
              <w:rFonts w:hint="default" w:ascii="Times New Roman" w:hAnsi="Times New Roman" w:eastAsia="仿宋" w:cs="Times New Roman"/>
              <w:szCs w:val="24"/>
            </w:rPr>
            <w:fldChar w:fldCharType="end"/>
          </w:r>
        </w:p>
        <w:p w14:paraId="423BEF9A">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_Toc31890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_Toc31890 \h </w:instrText>
          </w:r>
          <w:r>
            <w:fldChar w:fldCharType="separate"/>
          </w:r>
          <w:r>
            <w:t>54</w:t>
          </w:r>
          <w:r>
            <w:fldChar w:fldCharType="end"/>
          </w:r>
          <w:r>
            <w:rPr>
              <w:rFonts w:hint="default" w:ascii="Times New Roman" w:hAnsi="Times New Roman" w:eastAsia="仿宋" w:cs="Times New Roman"/>
              <w:szCs w:val="24"/>
            </w:rPr>
            <w:fldChar w:fldCharType="end"/>
          </w:r>
        </w:p>
        <w:p w14:paraId="1751AA00">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_Toc6447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_Toc6447 \h </w:instrText>
          </w:r>
          <w:r>
            <w:fldChar w:fldCharType="separate"/>
          </w:r>
          <w:r>
            <w:t>57</w:t>
          </w:r>
          <w:r>
            <w:fldChar w:fldCharType="end"/>
          </w:r>
          <w:r>
            <w:rPr>
              <w:rFonts w:hint="default" w:ascii="Times New Roman" w:hAnsi="Times New Roman" w:eastAsia="仿宋" w:cs="Times New Roman"/>
              <w:szCs w:val="24"/>
            </w:rPr>
            <w:fldChar w:fldCharType="end"/>
          </w:r>
        </w:p>
        <w:p w14:paraId="3D3D6FDE">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_Toc25967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_Toc25967 \h </w:instrText>
          </w:r>
          <w:r>
            <w:fldChar w:fldCharType="separate"/>
          </w:r>
          <w:r>
            <w:t>57</w:t>
          </w:r>
          <w:r>
            <w:fldChar w:fldCharType="end"/>
          </w:r>
          <w:r>
            <w:rPr>
              <w:rFonts w:hint="default" w:ascii="Times New Roman" w:hAnsi="Times New Roman" w:eastAsia="仿宋" w:cs="Times New Roman"/>
              <w:szCs w:val="24"/>
            </w:rPr>
            <w:fldChar w:fldCharType="end"/>
          </w:r>
        </w:p>
        <w:p w14:paraId="62127082">
          <w:pPr>
            <w:pStyle w:val="25"/>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_Toc2583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_Toc2583 \h </w:instrText>
          </w:r>
          <w:r>
            <w:fldChar w:fldCharType="separate"/>
          </w:r>
          <w:r>
            <w:t>63</w:t>
          </w:r>
          <w:r>
            <w:fldChar w:fldCharType="end"/>
          </w:r>
          <w:r>
            <w:rPr>
              <w:rFonts w:hint="default" w:ascii="Times New Roman" w:hAnsi="Times New Roman" w:eastAsia="仿宋" w:cs="Times New Roman"/>
              <w:szCs w:val="24"/>
            </w:rPr>
            <w:fldChar w:fldCharType="end"/>
          </w:r>
        </w:p>
        <w:p w14:paraId="125C6980">
          <w:pPr>
            <w:pStyle w:val="25"/>
            <w:keepNext w:val="0"/>
            <w:keepLines w:val="0"/>
            <w:pageBreakBefore w:val="0"/>
            <w:widowControl w:val="0"/>
            <w:tabs>
              <w:tab w:val="right" w:leader="dot" w:pos="9746"/>
            </w:tabs>
            <w:kinsoku/>
            <w:wordWrap/>
            <w:overflowPunct/>
            <w:topLinePunct w:val="0"/>
            <w:autoSpaceDE/>
            <w:autoSpaceDN/>
            <w:bidi w:val="0"/>
            <w:adjustRightInd/>
            <w:snapToGrid/>
            <w:textAlignment w:val="auto"/>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50DA1D2">
      <w:pPr>
        <w:pStyle w:val="2"/>
        <w:bidi w:val="0"/>
        <w:rPr>
          <w:rFonts w:hint="eastAsia" w:eastAsia="宋体" w:cs="Times New Roman"/>
          <w:lang w:val="en-US" w:eastAsia="zh-CN"/>
        </w:rPr>
      </w:pPr>
      <w:bookmarkStart w:id="2" w:name="_Toc26055"/>
      <w:bookmarkStart w:id="3" w:name="_Toc24508"/>
      <w:bookmarkStart w:id="4" w:name="_Toc29145"/>
      <w:bookmarkStart w:id="5" w:name="_Toc1686"/>
      <w:bookmarkStart w:id="6" w:name="_Toc18635"/>
      <w:bookmarkStart w:id="7" w:name="_Toc20372"/>
      <w:bookmarkStart w:id="8" w:name="_Toc16744"/>
      <w:bookmarkStart w:id="9" w:name="_Toc764"/>
      <w:bookmarkStart w:id="10" w:name="_Toc23475"/>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安装</w:t>
      </w:r>
      <w:r>
        <w:rPr>
          <w:rFonts w:hint="eastAsia" w:eastAsia="宋体" w:cs="Times New Roman"/>
          <w:lang w:val="en-US" w:eastAsia="zh-CN"/>
        </w:rPr>
        <w:t>施工安全技术交底，塔机型号为</w:t>
      </w:r>
      <w:r>
        <w:rPr>
          <w:rFonts w:hint="eastAsia" w:cs="Times New Roman"/>
          <w:lang w:val="en-US" w:eastAsia="zh-CN"/>
        </w:rPr>
        <w:t>XGT7020-10S1</w:t>
      </w:r>
      <w:r>
        <w:rPr>
          <w:rFonts w:hint="eastAsia" w:eastAsia="宋体" w:cs="Times New Roman"/>
          <w:lang w:val="en-US" w:eastAsia="zh-CN"/>
        </w:rPr>
        <w:t>。</w:t>
      </w:r>
    </w:p>
    <w:p w14:paraId="10296521">
      <w:pPr>
        <w:pStyle w:val="3"/>
        <w:bidi w:val="0"/>
        <w:rPr>
          <w:rFonts w:hint="eastAsia"/>
          <w:lang w:val="en-US" w:eastAsia="zh-CN"/>
        </w:rPr>
      </w:pPr>
      <w:bookmarkStart w:id="11" w:name="_Toc6509"/>
      <w:bookmarkStart w:id="12" w:name="_Toc19760"/>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43903A5">
      <w:pPr>
        <w:bidi w:val="0"/>
        <w:ind w:firstLine="480" w:firstLineChars="200"/>
        <w:rPr>
          <w:rFonts w:hint="eastAsia"/>
          <w:lang w:val="en-US" w:eastAsia="zh-CN"/>
        </w:rPr>
      </w:pPr>
      <w:r>
        <w:rPr>
          <w:rFonts w:hint="eastAsia"/>
          <w:lang w:val="en-US" w:eastAsia="zh-CN"/>
        </w:rPr>
        <w:t>本次交底范围为杨梅冲2号桥右幅3#墩</w:t>
      </w:r>
      <w:r>
        <w:rPr>
          <w:rFonts w:hint="eastAsia" w:cs="Times New Roman"/>
          <w:lang w:val="en-US" w:eastAsia="zh-CN"/>
        </w:rPr>
        <w:t>XGT7020-10S1</w:t>
      </w:r>
      <w:r>
        <w:rPr>
          <w:rFonts w:hint="eastAsia"/>
          <w:lang w:val="en-US" w:eastAsia="zh-CN"/>
        </w:rPr>
        <w:t>塔式起重机安装安全施工作业，具体包括</w:t>
      </w:r>
      <w:r>
        <w:rPr>
          <w:rFonts w:hint="default"/>
          <w:lang w:val="en-US" w:eastAsia="zh-CN"/>
        </w:rPr>
        <w:t>基础施工、部件组装、部件吊装、顶升、调试等</w:t>
      </w:r>
      <w:r>
        <w:rPr>
          <w:rFonts w:hint="eastAsia"/>
          <w:lang w:val="en-US" w:eastAsia="zh-CN"/>
        </w:rPr>
        <w:t>。待现场场地、材料、技术人员到位后，即可开始安装施工。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lang w:val="en-US" w:eastAsia="zh-CN"/>
        </w:rPr>
        <w:t>目前，现场场地已完成平整，具备拼装条件；材料均已运至现场，且经过验收；技术人员已驻场。</w:t>
      </w:r>
      <w:r>
        <w:rPr>
          <w:rFonts w:hint="eastAsia" w:eastAsia="宋体" w:cs="Times New Roman"/>
          <w:lang w:val="en-US" w:eastAsia="zh-CN"/>
        </w:rPr>
        <w:t>已配置一台</w:t>
      </w:r>
      <w:r>
        <w:rPr>
          <w:rFonts w:hint="eastAsia" w:cs="Times New Roman"/>
          <w:lang w:val="en-US" w:eastAsia="zh-CN"/>
        </w:rPr>
        <w:t>50t汽车吊</w:t>
      </w:r>
      <w:r>
        <w:rPr>
          <w:rFonts w:hint="eastAsia" w:eastAsia="宋体" w:cs="Times New Roman"/>
          <w:lang w:val="en-US" w:eastAsia="zh-CN"/>
        </w:rPr>
        <w:t>，满足吊装要求。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34652C9A">
      <w:pPr>
        <w:bidi w:val="0"/>
        <w:ind w:firstLine="480" w:firstLineChars="200"/>
        <w:rPr>
          <w:rFonts w:hint="default"/>
          <w:highlight w:val="none"/>
          <w:lang w:val="en-US" w:eastAsia="zh-CN"/>
        </w:rPr>
      </w:pPr>
      <w:bookmarkStart w:id="13" w:name="_Toc25389"/>
      <w:r>
        <w:rPr>
          <w:rFonts w:hint="eastAsia"/>
          <w:lang w:val="en-US" w:eastAsia="zh-CN"/>
        </w:rPr>
        <w:t>塔机安装的上道工序为基础验收</w:t>
      </w:r>
      <w:r>
        <w:rPr>
          <w:rFonts w:hint="eastAsia"/>
          <w:highlight w:val="none"/>
          <w:lang w:val="en-US" w:eastAsia="zh-CN"/>
        </w:rPr>
        <w:t>，工序衔接过程中必须保证基础混凝土强度达标、预埋件位置的准确性。</w:t>
      </w:r>
    </w:p>
    <w:p w14:paraId="0BEE1A87">
      <w:pPr>
        <w:bidi w:val="0"/>
        <w:ind w:firstLine="480" w:firstLineChars="200"/>
        <w:rPr>
          <w:rFonts w:hint="default"/>
          <w:lang w:val="en-US" w:eastAsia="zh-CN"/>
        </w:rPr>
      </w:pPr>
      <w:r>
        <w:rPr>
          <w:rFonts w:hint="eastAsia"/>
          <w:lang w:val="en-US" w:eastAsia="zh-CN"/>
        </w:rPr>
        <w:t>塔机安装的下道工序为设备调试与验收，</w:t>
      </w:r>
      <w:r>
        <w:rPr>
          <w:rFonts w:hint="eastAsia"/>
          <w:highlight w:val="none"/>
          <w:lang w:val="en-US" w:eastAsia="zh-CN"/>
        </w:rPr>
        <w:t>工序衔接过程中必须保证各机构（起升、变幅、回转）运行正常，限位装置敏感度达标，需在空载、额定载荷试验无异常后，由专业机构验收合格后可进入下阶段使用。</w:t>
      </w:r>
    </w:p>
    <w:p w14:paraId="1CC4852C">
      <w:pPr>
        <w:pStyle w:val="3"/>
        <w:bidi w:val="0"/>
        <w:rPr>
          <w:rFonts w:hint="eastAsia"/>
          <w:lang w:val="en-US" w:eastAsia="zh-CN"/>
        </w:rPr>
      </w:pPr>
      <w:bookmarkStart w:id="14" w:name="_Toc9363"/>
      <w:r>
        <w:rPr>
          <w:rFonts w:hint="eastAsia"/>
          <w:lang w:val="en-US" w:eastAsia="zh-CN"/>
        </w:rPr>
        <w:t>1.2 结构概况</w:t>
      </w:r>
      <w:bookmarkEnd w:id="13"/>
      <w:bookmarkEnd w:id="14"/>
    </w:p>
    <w:p w14:paraId="3B43B38C">
      <w:pPr>
        <w:pStyle w:val="4"/>
        <w:numPr>
          <w:ilvl w:val="0"/>
          <w:numId w:val="0"/>
        </w:numPr>
        <w:ind w:leftChars="0"/>
        <w:rPr>
          <w:rFonts w:hint="eastAsia"/>
          <w:lang w:val="en-US" w:eastAsia="zh-CN"/>
        </w:rPr>
      </w:pPr>
      <w:bookmarkStart w:id="15" w:name="_Toc14282"/>
      <w:bookmarkStart w:id="16" w:name="_Toc791"/>
      <w:bookmarkStart w:id="17" w:name="_Toc24739"/>
      <w:bookmarkStart w:id="18" w:name="_Toc15503"/>
      <w:bookmarkStart w:id="19" w:name="_Toc21233"/>
      <w:bookmarkStart w:id="20" w:name="_Toc18944"/>
      <w:bookmarkStart w:id="21" w:name="_Toc15200"/>
      <w:bookmarkStart w:id="22" w:name="_Toc28464"/>
      <w:r>
        <w:rPr>
          <w:rFonts w:hint="eastAsia"/>
          <w:lang w:val="en-US" w:eastAsia="zh-CN"/>
        </w:rPr>
        <w:t>1.2.1塔式起重机技术参数</w:t>
      </w:r>
    </w:p>
    <w:p w14:paraId="78203933">
      <w:pPr>
        <w:bidi w:val="0"/>
        <w:ind w:firstLine="480" w:firstLineChars="200"/>
        <w:rPr>
          <w:rFonts w:hint="eastAsia"/>
          <w:lang w:val="en-US" w:eastAsia="zh-CN"/>
        </w:rPr>
      </w:pPr>
      <w:r>
        <w:rPr>
          <w:rFonts w:hint="eastAsia" w:cs="Times New Roman"/>
          <w:lang w:val="en-US" w:eastAsia="zh-CN"/>
        </w:rPr>
        <w:t>XGT7020-10S1</w:t>
      </w:r>
      <w:r>
        <w:rPr>
          <w:rFonts w:hint="eastAsia"/>
          <w:lang w:val="en-US" w:eastAsia="zh-CN"/>
        </w:rPr>
        <w:t>塔式起重机为徐工生产的平头塔式起重机，产品最大工作幅度70m,在臂端70m幅度处最大起重量为2t,整机最大起重量为10t。</w:t>
      </w:r>
    </w:p>
    <w:p w14:paraId="0911CB70">
      <w:pPr>
        <w:bidi w:val="0"/>
        <w:jc w:val="center"/>
      </w:pPr>
      <w:r>
        <w:drawing>
          <wp:inline distT="0" distB="0" distL="114300" distR="114300">
            <wp:extent cx="4880610" cy="5874385"/>
            <wp:effectExtent l="0" t="0" r="1524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880610" cy="5874385"/>
                    </a:xfrm>
                    <a:prstGeom prst="rect">
                      <a:avLst/>
                    </a:prstGeom>
                    <a:noFill/>
                    <a:ln>
                      <a:noFill/>
                    </a:ln>
                  </pic:spPr>
                </pic:pic>
              </a:graphicData>
            </a:graphic>
          </wp:inline>
        </w:drawing>
      </w:r>
    </w:p>
    <w:p w14:paraId="476BB767">
      <w:pPr>
        <w:bidi w:val="0"/>
        <w:jc w:val="center"/>
        <w:rPr>
          <w:rFonts w:hint="default"/>
          <w:lang w:val="en-US" w:eastAsia="zh-CN"/>
        </w:rPr>
      </w:pPr>
      <w:r>
        <w:rPr>
          <w:rFonts w:hint="eastAsia"/>
          <w:lang w:val="en-US" w:eastAsia="zh-CN"/>
        </w:rPr>
        <w:t>图1-1 塔机组成示意图</w:t>
      </w:r>
    </w:p>
    <w:p w14:paraId="67B05448">
      <w:pPr>
        <w:pStyle w:val="4"/>
        <w:numPr>
          <w:ilvl w:val="0"/>
          <w:numId w:val="0"/>
        </w:numPr>
        <w:ind w:leftChars="0"/>
        <w:rPr>
          <w:rFonts w:hint="eastAsia"/>
          <w:lang w:val="en-US" w:eastAsia="zh-CN"/>
        </w:rPr>
      </w:pPr>
      <w:r>
        <w:rPr>
          <w:rFonts w:hint="eastAsia"/>
          <w:lang w:val="en-US" w:eastAsia="zh-CN"/>
        </w:rPr>
        <w:t>1.2.2整机外形尺寸</w:t>
      </w:r>
    </w:p>
    <w:p w14:paraId="108FD2F8">
      <w:pPr>
        <w:bidi w:val="0"/>
        <w:jc w:val="center"/>
        <w:rPr>
          <w:rFonts w:hint="default"/>
          <w:lang w:val="en-US" w:eastAsia="zh-CN"/>
        </w:rPr>
      </w:pPr>
      <w:r>
        <w:drawing>
          <wp:inline distT="0" distB="0" distL="114300" distR="114300">
            <wp:extent cx="5267325" cy="4243705"/>
            <wp:effectExtent l="0" t="0" r="9525"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3"/>
                    <a:stretch>
                      <a:fillRect/>
                    </a:stretch>
                  </pic:blipFill>
                  <pic:spPr>
                    <a:xfrm>
                      <a:off x="0" y="0"/>
                      <a:ext cx="5267325" cy="4243705"/>
                    </a:xfrm>
                    <a:prstGeom prst="rect">
                      <a:avLst/>
                    </a:prstGeom>
                    <a:noFill/>
                    <a:ln>
                      <a:noFill/>
                    </a:ln>
                  </pic:spPr>
                </pic:pic>
              </a:graphicData>
            </a:graphic>
          </wp:inline>
        </w:drawing>
      </w:r>
      <w:r>
        <w:rPr>
          <w:rFonts w:hint="eastAsia"/>
          <w:lang w:val="en-US" w:eastAsia="zh-CN"/>
        </w:rPr>
        <w:t>图1-2 整机外形示意图</w:t>
      </w:r>
    </w:p>
    <w:p w14:paraId="210278D7">
      <w:pPr>
        <w:pStyle w:val="4"/>
        <w:numPr>
          <w:ilvl w:val="0"/>
          <w:numId w:val="0"/>
        </w:numPr>
        <w:ind w:leftChars="0"/>
        <w:rPr>
          <w:rFonts w:hint="default"/>
          <w:lang w:val="en-US" w:eastAsia="zh-CN"/>
        </w:rPr>
      </w:pPr>
      <w:r>
        <w:rPr>
          <w:rFonts w:hint="eastAsia"/>
          <w:lang w:val="en-US" w:eastAsia="zh-CN"/>
        </w:rPr>
        <w:t>1.2.3整机主要技术参数</w:t>
      </w:r>
    </w:p>
    <w:p w14:paraId="115C947F">
      <w:pPr>
        <w:pStyle w:val="15"/>
        <w:rPr>
          <w:rFonts w:hint="default"/>
          <w:highlight w:val="none"/>
          <w:lang w:val="en-US" w:eastAsia="zh-CN"/>
        </w:rPr>
      </w:pPr>
      <w:r>
        <w:rPr>
          <w:highlight w:val="none"/>
        </w:rPr>
        <w:t>表</w:t>
      </w:r>
      <w:r>
        <w:rPr>
          <w:rFonts w:hint="eastAsia"/>
          <w:highlight w:val="none"/>
          <w:lang w:val="en-US" w:eastAsia="zh-CN"/>
        </w:rPr>
        <w:t>1</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1135" cy="6987540"/>
            <wp:effectExtent l="0" t="0" r="5715" b="381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4"/>
                    <a:stretch>
                      <a:fillRect/>
                    </a:stretch>
                  </pic:blipFill>
                  <pic:spPr>
                    <a:xfrm>
                      <a:off x="0" y="0"/>
                      <a:ext cx="5271135" cy="6987540"/>
                    </a:xfrm>
                    <a:prstGeom prst="rect">
                      <a:avLst/>
                    </a:prstGeom>
                    <a:noFill/>
                    <a:ln>
                      <a:noFill/>
                    </a:ln>
                  </pic:spPr>
                </pic:pic>
              </a:graphicData>
            </a:graphic>
          </wp:inline>
        </w:drawing>
      </w:r>
      <w:r>
        <w:drawing>
          <wp:inline distT="0" distB="0" distL="114300" distR="114300">
            <wp:extent cx="5273040" cy="2153285"/>
            <wp:effectExtent l="0" t="0" r="3810" b="1841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5"/>
                    <a:stretch>
                      <a:fillRect/>
                    </a:stretch>
                  </pic:blipFill>
                  <pic:spPr>
                    <a:xfrm>
                      <a:off x="0" y="0"/>
                      <a:ext cx="5273040" cy="2153285"/>
                    </a:xfrm>
                    <a:prstGeom prst="rect">
                      <a:avLst/>
                    </a:prstGeom>
                    <a:noFill/>
                    <a:ln>
                      <a:noFill/>
                    </a:ln>
                  </pic:spPr>
                </pic:pic>
              </a:graphicData>
            </a:graphic>
          </wp:inline>
        </w:drawing>
      </w:r>
    </w:p>
    <w:p w14:paraId="67A5DA7B">
      <w:pPr>
        <w:pStyle w:val="15"/>
      </w:pPr>
      <w:r>
        <w:rPr>
          <w:rFonts w:hint="eastAsia"/>
          <w:highlight w:val="none"/>
          <w:lang w:val="en-US" w:eastAsia="zh-CN"/>
        </w:rPr>
        <w:t>表1</w:t>
      </w:r>
      <w:r>
        <w:rPr>
          <w:highlight w:val="none"/>
        </w:rPr>
        <w:t>-</w:t>
      </w:r>
      <w:r>
        <w:rPr>
          <w:rFonts w:hint="eastAsia"/>
          <w:highlight w:val="none"/>
          <w:lang w:val="en-US" w:eastAsia="zh-CN"/>
        </w:rPr>
        <w:t>2起重性能表</w:t>
      </w:r>
    </w:p>
    <w:p w14:paraId="746028F0">
      <w:pPr>
        <w:ind w:left="0" w:leftChars="0" w:firstLine="0" w:firstLineChars="0"/>
        <w:jc w:val="center"/>
        <w:rPr>
          <w:rFonts w:hint="default"/>
          <w:lang w:val="en-US" w:eastAsia="zh-CN"/>
        </w:rPr>
      </w:pPr>
      <w:r>
        <w:drawing>
          <wp:inline distT="0" distB="0" distL="114300" distR="114300">
            <wp:extent cx="5272405" cy="3667760"/>
            <wp:effectExtent l="0" t="0" r="4445" b="8890"/>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16"/>
                    <a:stretch>
                      <a:fillRect/>
                    </a:stretch>
                  </pic:blipFill>
                  <pic:spPr>
                    <a:xfrm>
                      <a:off x="0" y="0"/>
                      <a:ext cx="5272405" cy="3667760"/>
                    </a:xfrm>
                    <a:prstGeom prst="rect">
                      <a:avLst/>
                    </a:prstGeom>
                    <a:noFill/>
                    <a:ln>
                      <a:noFill/>
                    </a:ln>
                  </pic:spPr>
                </pic:pic>
              </a:graphicData>
            </a:graphic>
          </wp:inline>
        </w:drawing>
      </w:r>
    </w:p>
    <w:p w14:paraId="793EB1B8">
      <w:pPr>
        <w:pStyle w:val="2"/>
        <w:numPr>
          <w:ilvl w:val="0"/>
          <w:numId w:val="4"/>
        </w:numPr>
        <w:bidi w:val="0"/>
        <w:ind w:left="0" w:leftChars="0" w:firstLine="0" w:firstLineChars="0"/>
        <w:rPr>
          <w:rFonts w:hint="eastAsia"/>
          <w:lang w:val="en-US" w:eastAsia="zh-CN"/>
        </w:rPr>
      </w:pPr>
      <w:bookmarkStart w:id="23" w:name="_Toc16686"/>
      <w:r>
        <w:rPr>
          <w:rFonts w:hint="eastAsia"/>
          <w:lang w:val="en-US" w:eastAsia="zh-CN"/>
        </w:rPr>
        <w:t>施工步骤及要点</w:t>
      </w:r>
      <w:bookmarkEnd w:id="23"/>
    </w:p>
    <w:p w14:paraId="63E2493F">
      <w:pPr>
        <w:bidi w:val="0"/>
        <w:jc w:val="center"/>
        <w:rPr>
          <w:rFonts w:hint="eastAsia"/>
          <w:lang w:val="en-US" w:eastAsia="zh-CN"/>
        </w:rPr>
      </w:pPr>
      <w:r>
        <w:drawing>
          <wp:inline distT="0" distB="0" distL="114300" distR="114300">
            <wp:extent cx="5272405" cy="2455545"/>
            <wp:effectExtent l="0" t="0" r="444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2405" cy="2455545"/>
                    </a:xfrm>
                    <a:prstGeom prst="rect">
                      <a:avLst/>
                    </a:prstGeom>
                    <a:noFill/>
                    <a:ln>
                      <a:noFill/>
                    </a:ln>
                  </pic:spPr>
                </pic:pic>
              </a:graphicData>
            </a:graphic>
          </wp:inline>
        </w:drawing>
      </w:r>
    </w:p>
    <w:p w14:paraId="6C71DCA1">
      <w:pPr>
        <w:bidi w:val="0"/>
        <w:jc w:val="center"/>
        <w:rPr>
          <w:rFonts w:hint="eastAsia"/>
          <w:lang w:val="en-US" w:eastAsia="zh-CN"/>
        </w:rPr>
      </w:pPr>
      <w:r>
        <w:rPr>
          <w:rFonts w:hint="eastAsia"/>
          <w:lang w:val="en-US" w:eastAsia="zh-CN"/>
        </w:rPr>
        <w:t>图2-1 塔机安装施工步骤图</w:t>
      </w:r>
    </w:p>
    <w:p w14:paraId="14951762">
      <w:pPr>
        <w:pStyle w:val="3"/>
        <w:numPr>
          <w:ilvl w:val="1"/>
          <w:numId w:val="5"/>
        </w:numPr>
        <w:bidi w:val="0"/>
        <w:ind w:left="567" w:leftChars="0" w:hanging="567" w:firstLineChars="0"/>
        <w:rPr>
          <w:rFonts w:hint="default" w:ascii="宋体" w:hAnsi="宋体" w:eastAsia="宋体" w:cs="宋体"/>
          <w:lang w:val="en-US" w:eastAsia="zh-CN"/>
        </w:rPr>
      </w:pPr>
      <w:bookmarkStart w:id="24" w:name="_Toc20901"/>
      <w:bookmarkStart w:id="25" w:name="_Toc32421"/>
      <w:bookmarkStart w:id="26" w:name="_Toc1846"/>
      <w:bookmarkStart w:id="27" w:name="_Toc18449"/>
      <w:r>
        <w:rPr>
          <w:rFonts w:hint="eastAsia" w:ascii="宋体" w:hAnsi="宋体" w:eastAsia="宋体" w:cs="宋体"/>
          <w:lang w:val="en-US" w:eastAsia="zh-CN"/>
        </w:rPr>
        <w:t>安装一节基础节和标准节</w:t>
      </w:r>
      <w:bookmarkEnd w:id="24"/>
    </w:p>
    <w:p w14:paraId="22570E66">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cs="Times New Roman"/>
          <w:szCs w:val="21"/>
          <w:highlight w:val="none"/>
          <w:lang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5BB6E676">
      <w:pPr>
        <w:ind w:left="0" w:leftChars="0" w:firstLine="420" w:firstLineChars="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w:t>
      </w:r>
      <w:r>
        <w:rPr>
          <w:rFonts w:hint="eastAsia" w:ascii="Times New Roman" w:hAnsi="Times New Roman" w:cs="Times New Roman"/>
          <w:szCs w:val="21"/>
          <w:highlight w:val="none"/>
          <w:lang w:eastAsia="zh-CN"/>
        </w:rPr>
        <w:t>塔机</w:t>
      </w:r>
      <w:r>
        <w:rPr>
          <w:rFonts w:hint="eastAsia" w:ascii="Times New Roman" w:hAnsi="Times New Roman" w:eastAsia="宋体" w:cs="Times New Roman"/>
          <w:szCs w:val="21"/>
          <w:highlight w:val="none"/>
        </w:rPr>
        <w:t>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ascii="Times New Roman" w:hAnsi="Times New Roman" w:cs="Times New Roman"/>
          <w:szCs w:val="21"/>
          <w:highlight w:val="none"/>
          <w:lang w:val="en-US" w:eastAsia="zh-CN"/>
        </w:rPr>
        <w:t>采用同样的方法吊装一节标准节，</w:t>
      </w:r>
      <w:r>
        <w:rPr>
          <w:rFonts w:hint="eastAsia" w:ascii="Times New Roman" w:hAnsi="Times New Roman" w:eastAsia="宋体" w:cs="Times New Roman"/>
          <w:szCs w:val="21"/>
          <w:highlight w:val="none"/>
        </w:rPr>
        <w:t>吊装示意如下图所示</w:t>
      </w:r>
    </w:p>
    <w:p w14:paraId="2799C48C">
      <w:pPr>
        <w:ind w:left="0" w:leftChars="0" w:firstLine="420" w:firstLineChars="0"/>
        <w:jc w:val="center"/>
        <w:rPr>
          <w:rFonts w:hint="eastAsia" w:ascii="Times New Roman" w:hAnsi="Times New Roman" w:eastAsia="宋体" w:cs="Times New Roman"/>
          <w:szCs w:val="21"/>
          <w:highlight w:val="none"/>
        </w:rPr>
      </w:pPr>
      <w:r>
        <w:drawing>
          <wp:inline distT="0" distB="0" distL="114300" distR="114300">
            <wp:extent cx="3139440" cy="2573655"/>
            <wp:effectExtent l="0" t="0" r="3810" b="1714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18"/>
                    <a:stretch>
                      <a:fillRect/>
                    </a:stretch>
                  </pic:blipFill>
                  <pic:spPr>
                    <a:xfrm>
                      <a:off x="0" y="0"/>
                      <a:ext cx="3139440" cy="2573655"/>
                    </a:xfrm>
                    <a:prstGeom prst="rect">
                      <a:avLst/>
                    </a:prstGeom>
                    <a:noFill/>
                    <a:ln>
                      <a:noFill/>
                    </a:ln>
                  </pic:spPr>
                </pic:pic>
              </a:graphicData>
            </a:graphic>
          </wp:inline>
        </w:drawing>
      </w:r>
    </w:p>
    <w:p w14:paraId="22F97BE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0"/>
        <w:jc w:val="center"/>
        <w:textAlignment w:val="auto"/>
        <w:rPr>
          <w:rFonts w:hint="eastAsia" w:ascii="Times New Roman" w:hAnsi="Times New Roman" w:eastAsia="宋体" w:cs="Times New Roman"/>
          <w:szCs w:val="21"/>
          <w:highlight w:val="none"/>
        </w:rPr>
      </w:pPr>
      <w:r>
        <w:drawing>
          <wp:inline distT="0" distB="0" distL="114300" distR="114300">
            <wp:extent cx="3436620" cy="2472690"/>
            <wp:effectExtent l="0" t="0" r="11430" b="381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19"/>
                    <a:stretch>
                      <a:fillRect/>
                    </a:stretch>
                  </pic:blipFill>
                  <pic:spPr>
                    <a:xfrm>
                      <a:off x="0" y="0"/>
                      <a:ext cx="3436620" cy="2472690"/>
                    </a:xfrm>
                    <a:prstGeom prst="rect">
                      <a:avLst/>
                    </a:prstGeom>
                    <a:noFill/>
                    <a:ln>
                      <a:noFill/>
                    </a:ln>
                  </pic:spPr>
                </pic:pic>
              </a:graphicData>
            </a:graphic>
          </wp:inline>
        </w:drawing>
      </w:r>
    </w:p>
    <w:p w14:paraId="09DC7847">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0"/>
        <w:jc w:val="center"/>
        <w:textAlignment w:val="auto"/>
      </w:pPr>
      <w:r>
        <w:t xml:space="preserve">图 </w:t>
      </w:r>
      <w:r>
        <w:fldChar w:fldCharType="begin"/>
      </w:r>
      <w:r>
        <w:instrText xml:space="preserve"> STYLEREF 2 \s </w:instrText>
      </w:r>
      <w:r>
        <w:fldChar w:fldCharType="separate"/>
      </w:r>
      <w:r>
        <w:t>2.1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基础节吊装示意图</w:t>
      </w:r>
    </w:p>
    <w:p w14:paraId="306AEB96">
      <w:pPr>
        <w:pStyle w:val="3"/>
        <w:numPr>
          <w:ilvl w:val="1"/>
          <w:numId w:val="5"/>
        </w:numPr>
        <w:bidi w:val="0"/>
        <w:ind w:left="567" w:leftChars="0" w:hanging="567" w:firstLineChars="0"/>
        <w:rPr>
          <w:rFonts w:hint="eastAsia" w:ascii="宋体" w:hAnsi="宋体" w:eastAsia="宋体" w:cs="宋体"/>
          <w:lang w:val="en-US" w:eastAsia="zh-CN"/>
        </w:rPr>
      </w:pPr>
      <w:bookmarkStart w:id="28" w:name="_Toc19482"/>
      <w:r>
        <w:rPr>
          <w:rFonts w:hint="eastAsia" w:ascii="宋体" w:hAnsi="宋体" w:eastAsia="宋体" w:cs="宋体"/>
          <w:lang w:val="en-US" w:eastAsia="zh-CN"/>
        </w:rPr>
        <w:t>安装爬升架</w:t>
      </w:r>
      <w:bookmarkEnd w:id="28"/>
    </w:p>
    <w:p w14:paraId="26ECD40C">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cs="Times New Roman"/>
          <w:szCs w:val="21"/>
          <w:highlight w:val="none"/>
          <w:lang w:eastAsia="zh-CN"/>
        </w:rPr>
        <w:t>的</w:t>
      </w:r>
      <w:r>
        <w:rPr>
          <w:rFonts w:hint="eastAsia" w:ascii="Times New Roman" w:hAnsi="Times New Roman" w:eastAsia="宋体" w:cs="Times New Roman"/>
          <w:szCs w:val="21"/>
          <w:highlight w:val="none"/>
        </w:rPr>
        <w:t>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070A9C0A">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0F2369F1">
      <w:pPr>
        <w:bidi w:val="0"/>
        <w:ind w:left="0" w:leftChars="0" w:firstLine="0" w:firstLineChars="0"/>
        <w:jc w:val="center"/>
      </w:pPr>
      <w:r>
        <w:drawing>
          <wp:inline distT="0" distB="0" distL="114300" distR="114300">
            <wp:extent cx="3528060" cy="2891790"/>
            <wp:effectExtent l="0" t="0" r="15240" b="381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18"/>
                    <a:stretch>
                      <a:fillRect/>
                    </a:stretch>
                  </pic:blipFill>
                  <pic:spPr>
                    <a:xfrm>
                      <a:off x="0" y="0"/>
                      <a:ext cx="3528060" cy="2891790"/>
                    </a:xfrm>
                    <a:prstGeom prst="rect">
                      <a:avLst/>
                    </a:prstGeom>
                    <a:noFill/>
                    <a:ln>
                      <a:noFill/>
                    </a:ln>
                  </pic:spPr>
                </pic:pic>
              </a:graphicData>
            </a:graphic>
          </wp:inline>
        </w:drawing>
      </w:r>
      <w:r>
        <w:drawing>
          <wp:inline distT="0" distB="0" distL="114300" distR="114300">
            <wp:extent cx="1665605" cy="2828925"/>
            <wp:effectExtent l="0" t="0" r="10795" b="9525"/>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20"/>
                    <a:stretch>
                      <a:fillRect/>
                    </a:stretch>
                  </pic:blipFill>
                  <pic:spPr>
                    <a:xfrm>
                      <a:off x="0" y="0"/>
                      <a:ext cx="1665605" cy="2828925"/>
                    </a:xfrm>
                    <a:prstGeom prst="rect">
                      <a:avLst/>
                    </a:prstGeom>
                    <a:noFill/>
                    <a:ln>
                      <a:noFill/>
                    </a:ln>
                  </pic:spPr>
                </pic:pic>
              </a:graphicData>
            </a:graphic>
          </wp:inline>
        </w:drawing>
      </w:r>
    </w:p>
    <w:p w14:paraId="2EDD75D9">
      <w:pPr>
        <w:pStyle w:val="15"/>
        <w:bidi w:val="0"/>
        <w:ind w:left="0" w:leftChars="0" w:firstLine="0" w:firstLineChars="0"/>
        <w:jc w:val="center"/>
      </w:pPr>
      <w:r>
        <w:t xml:space="preserve">图 </w:t>
      </w:r>
      <w:r>
        <w:fldChar w:fldCharType="begin"/>
      </w:r>
      <w:r>
        <w:instrText xml:space="preserve"> STYLEREF 2 \s </w:instrText>
      </w:r>
      <w:r>
        <w:fldChar w:fldCharType="separate"/>
      </w:r>
      <w:r>
        <w:t>2.2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顶升套架总成整体吊装示意图</w:t>
      </w:r>
    </w:p>
    <w:p w14:paraId="2ED7EF8A">
      <w:pPr>
        <w:pStyle w:val="3"/>
        <w:numPr>
          <w:ilvl w:val="1"/>
          <w:numId w:val="5"/>
        </w:numPr>
        <w:bidi w:val="0"/>
        <w:ind w:left="567" w:leftChars="0" w:hanging="567" w:firstLineChars="0"/>
        <w:rPr>
          <w:rFonts w:hint="eastAsia" w:ascii="宋体" w:hAnsi="宋体" w:eastAsia="宋体" w:cs="宋体"/>
          <w:lang w:val="en-US" w:eastAsia="zh-CN"/>
        </w:rPr>
      </w:pPr>
      <w:bookmarkStart w:id="29" w:name="_Toc8128"/>
      <w:bookmarkStart w:id="30" w:name="_Toc7277"/>
      <w:bookmarkStart w:id="31" w:name="_Toc32033"/>
      <w:r>
        <w:rPr>
          <w:rFonts w:hint="eastAsia" w:ascii="宋体" w:hAnsi="宋体" w:eastAsia="宋体" w:cs="宋体"/>
          <w:lang w:val="en-US" w:eastAsia="zh-CN"/>
        </w:rPr>
        <w:t>安装</w:t>
      </w:r>
      <w:bookmarkEnd w:id="29"/>
      <w:bookmarkEnd w:id="30"/>
      <w:r>
        <w:rPr>
          <w:rFonts w:hint="eastAsia" w:ascii="宋体" w:hAnsi="宋体" w:eastAsia="宋体" w:cs="宋体"/>
          <w:lang w:val="en-US" w:eastAsia="zh-CN"/>
        </w:rPr>
        <w:t>特殊节、回转总成</w:t>
      </w:r>
      <w:bookmarkEnd w:id="31"/>
    </w:p>
    <w:p w14:paraId="1CD911F8">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4B1FDA87">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的连接。</w:t>
      </w:r>
    </w:p>
    <w:p w14:paraId="095D4719">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330B1E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3226435" cy="2645410"/>
            <wp:effectExtent l="0" t="0" r="12065" b="254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18"/>
                    <a:stretch>
                      <a:fillRect/>
                    </a:stretch>
                  </pic:blipFill>
                  <pic:spPr>
                    <a:xfrm>
                      <a:off x="0" y="0"/>
                      <a:ext cx="3226435" cy="2645410"/>
                    </a:xfrm>
                    <a:prstGeom prst="rect">
                      <a:avLst/>
                    </a:prstGeom>
                    <a:noFill/>
                    <a:ln>
                      <a:noFill/>
                    </a:ln>
                  </pic:spPr>
                </pic:pic>
              </a:graphicData>
            </a:graphic>
          </wp:inline>
        </w:drawing>
      </w:r>
      <w:r>
        <w:drawing>
          <wp:inline distT="0" distB="0" distL="114300" distR="114300">
            <wp:extent cx="1579880" cy="2605405"/>
            <wp:effectExtent l="0" t="0" r="1270" b="4445"/>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21"/>
                    <a:stretch>
                      <a:fillRect/>
                    </a:stretch>
                  </pic:blipFill>
                  <pic:spPr>
                    <a:xfrm>
                      <a:off x="0" y="0"/>
                      <a:ext cx="1579880" cy="2605405"/>
                    </a:xfrm>
                    <a:prstGeom prst="rect">
                      <a:avLst/>
                    </a:prstGeom>
                    <a:noFill/>
                    <a:ln>
                      <a:noFill/>
                    </a:ln>
                  </pic:spPr>
                </pic:pic>
              </a:graphicData>
            </a:graphic>
          </wp:inline>
        </w:drawing>
      </w:r>
    </w:p>
    <w:p w14:paraId="08C92903">
      <w:pPr>
        <w:pStyle w:val="15"/>
        <w:spacing w:line="360" w:lineRule="auto"/>
        <w:ind w:firstLine="420" w:firstLineChars="200"/>
        <w:jc w:val="center"/>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特殊节整体吊装示意图</w:t>
      </w:r>
    </w:p>
    <w:p w14:paraId="08584AAD">
      <w:pPr>
        <w:keepNext w:val="0"/>
        <w:keepLines w:val="0"/>
        <w:widowControl/>
        <w:suppressLineNumbers w:val="0"/>
        <w:ind w:firstLine="420" w:firstLineChars="0"/>
        <w:jc w:val="left"/>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w:t>
      </w:r>
      <w:r>
        <w:rPr>
          <w:rFonts w:hint="eastAsia" w:cs="宋体"/>
          <w:szCs w:val="21"/>
          <w:highlight w:val="none"/>
          <w:lang w:val="en-US" w:eastAsia="zh-CN"/>
        </w:rPr>
        <w:t xml:space="preserve"> </w:t>
      </w:r>
      <w:r>
        <w:rPr>
          <w:rFonts w:hint="eastAsia" w:ascii="宋体" w:hAnsi="宋体" w:eastAsia="宋体" w:cs="宋体"/>
          <w:szCs w:val="21"/>
          <w:highlight w:val="none"/>
          <w:lang w:val="en-US" w:eastAsia="zh-CN"/>
        </w:rPr>
        <w:t>，先将</w:t>
      </w:r>
      <w:r>
        <w:rPr>
          <w:rFonts w:hint="eastAsia" w:ascii="宋体" w:hAnsi="宋体" w:eastAsia="宋体" w:cs="宋体"/>
          <w:color w:val="000000"/>
          <w:kern w:val="0"/>
          <w:sz w:val="24"/>
          <w:szCs w:val="24"/>
          <w:lang w:val="en-US" w:eastAsia="zh-CN" w:bidi="ar"/>
        </w:rPr>
        <w:t>下支座、回转支承、上支座、回转机构及司机室</w:t>
      </w:r>
      <w:r>
        <w:rPr>
          <w:rFonts w:hint="eastAsia" w:ascii="宋体" w:hAnsi="宋体" w:eastAsia="宋体" w:cs="宋体"/>
          <w:szCs w:val="21"/>
          <w:highlight w:val="none"/>
          <w:lang w:val="en-US" w:eastAsia="zh-CN"/>
        </w:rPr>
        <w:t>等装为一体</w:t>
      </w:r>
      <w:r>
        <w:rPr>
          <w:rFonts w:hint="eastAsia" w:cs="宋体"/>
          <w:szCs w:val="21"/>
          <w:highlight w:val="none"/>
          <w:lang w:val="en-US" w:eastAsia="zh-CN"/>
        </w:rPr>
        <w:t>，</w:t>
      </w:r>
      <w:r>
        <w:rPr>
          <w:rFonts w:hint="eastAsia" w:ascii="宋体" w:hAnsi="宋体" w:eastAsia="宋体" w:cs="宋体"/>
          <w:color w:val="000000"/>
          <w:kern w:val="0"/>
          <w:sz w:val="24"/>
          <w:szCs w:val="24"/>
          <w:lang w:val="en-US" w:eastAsia="zh-CN" w:bidi="ar"/>
        </w:rPr>
        <w:t>同时检查回转支承上的高强螺栓的预紧力矩是否达</w:t>
      </w:r>
      <w:r>
        <w:rPr>
          <w:rFonts w:hint="eastAsia" w:ascii="Times New Roman" w:hAnsi="Times New Roman" w:eastAsia="宋体" w:cs="Times New Roman"/>
          <w:color w:val="000000"/>
          <w:kern w:val="0"/>
          <w:sz w:val="24"/>
          <w:szCs w:val="24"/>
          <w:lang w:val="en-US" w:eastAsia="zh-CN" w:bidi="ar"/>
        </w:rPr>
        <w:t>1350</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且防松螺母的预紧力矩稍大于</w:t>
      </w:r>
      <w:r>
        <w:rPr>
          <w:rFonts w:hint="default" w:ascii="Times New Roman" w:hAnsi="Times New Roman" w:eastAsia="宋体" w:cs="Times New Roman"/>
          <w:color w:val="000000"/>
          <w:kern w:val="0"/>
          <w:sz w:val="24"/>
          <w:szCs w:val="24"/>
          <w:lang w:val="en-US" w:eastAsia="zh-CN" w:bidi="ar"/>
        </w:rPr>
        <w:t>1350N·m</w:t>
      </w:r>
      <w:r>
        <w:rPr>
          <w:rFonts w:hint="eastAsia" w:ascii="宋体" w:hAnsi="宋体" w:eastAsia="宋体" w:cs="宋体"/>
          <w:szCs w:val="21"/>
          <w:highlight w:val="none"/>
          <w:lang w:val="en-US" w:eastAsia="zh-CN"/>
        </w:rPr>
        <w:t>，</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3D948623">
      <w:pPr>
        <w:pStyle w:val="15"/>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3226435" cy="2645410"/>
            <wp:effectExtent l="0" t="0" r="12065" b="254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18"/>
                    <a:stretch>
                      <a:fillRect/>
                    </a:stretch>
                  </pic:blipFill>
                  <pic:spPr>
                    <a:xfrm>
                      <a:off x="0" y="0"/>
                      <a:ext cx="3226435" cy="2645410"/>
                    </a:xfrm>
                    <a:prstGeom prst="rect">
                      <a:avLst/>
                    </a:prstGeom>
                    <a:noFill/>
                    <a:ln>
                      <a:noFill/>
                    </a:ln>
                  </pic:spPr>
                </pic:pic>
              </a:graphicData>
            </a:graphic>
          </wp:inline>
        </w:drawing>
      </w:r>
      <w:r>
        <w:drawing>
          <wp:inline distT="0" distB="0" distL="114300" distR="114300">
            <wp:extent cx="1689100" cy="2867025"/>
            <wp:effectExtent l="0" t="0" r="6350" b="9525"/>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22"/>
                    <a:stretch>
                      <a:fillRect/>
                    </a:stretch>
                  </pic:blipFill>
                  <pic:spPr>
                    <a:xfrm>
                      <a:off x="0" y="0"/>
                      <a:ext cx="1689100" cy="2867025"/>
                    </a:xfrm>
                    <a:prstGeom prst="rect">
                      <a:avLst/>
                    </a:prstGeom>
                    <a:noFill/>
                    <a:ln>
                      <a:noFill/>
                    </a:ln>
                  </pic:spPr>
                </pic:pic>
              </a:graphicData>
            </a:graphic>
          </wp:inline>
        </w:drawing>
      </w:r>
    </w:p>
    <w:p w14:paraId="26C250F6">
      <w:pPr>
        <w:pStyle w:val="15"/>
      </w:pPr>
      <w:r>
        <w:t xml:space="preserve">图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highlight w:val="none"/>
          <w:lang w:val="en-US" w:eastAsia="zh-CN"/>
        </w:rPr>
        <w:t xml:space="preserve"> 回转总成吊装示意图</w:t>
      </w:r>
    </w:p>
    <w:p w14:paraId="13F178DF">
      <w:pPr>
        <w:pStyle w:val="3"/>
        <w:numPr>
          <w:ilvl w:val="1"/>
          <w:numId w:val="5"/>
        </w:numPr>
        <w:bidi w:val="0"/>
        <w:ind w:left="567" w:leftChars="0" w:hanging="567" w:firstLineChars="0"/>
        <w:rPr>
          <w:rFonts w:hint="default" w:ascii="宋体" w:hAnsi="宋体" w:eastAsia="宋体" w:cs="宋体"/>
          <w:lang w:val="en-US" w:eastAsia="zh-CN"/>
        </w:rPr>
      </w:pPr>
      <w:bookmarkStart w:id="32" w:name="_Toc23814"/>
      <w:r>
        <w:rPr>
          <w:rFonts w:hint="eastAsia" w:ascii="宋体" w:hAnsi="宋体" w:eastAsia="宋体" w:cs="宋体"/>
          <w:lang w:val="en-US" w:eastAsia="zh-CN"/>
        </w:rPr>
        <w:t>安装臂根节</w:t>
      </w:r>
      <w:bookmarkEnd w:id="32"/>
    </w:p>
    <w:p w14:paraId="428F3E5B">
      <w:pPr>
        <w:ind w:firstLine="480"/>
        <w:rPr>
          <w:highlight w:val="green"/>
        </w:rPr>
      </w:pPr>
      <w:r>
        <w:rPr>
          <w:rFonts w:hint="eastAsia"/>
          <w:highlight w:val="none"/>
        </w:rPr>
        <w:t>采用吊机配合人工在地面上将臂根节拼装完成，臂根节吊装采用四点吊，以臂根节顶部四个销轴孔作为吊装孔，采用4根</w:t>
      </w:r>
      <w:r>
        <w:rPr>
          <w:rFonts w:hint="eastAsia"/>
          <w:highlight w:val="none"/>
          <w:lang w:eastAsia="zh-CN"/>
        </w:rPr>
        <w:t>18mm6×19W+IWR1870Mpa</w:t>
      </w:r>
      <w:r>
        <w:rPr>
          <w:rFonts w:hint="eastAsia"/>
          <w:highlight w:val="none"/>
        </w:rPr>
        <w:t>的钢丝绳配套</w:t>
      </w:r>
      <w:r>
        <w:rPr>
          <w:rFonts w:hint="eastAsia"/>
          <w:highlight w:val="none"/>
          <w:lang w:eastAsia="zh-CN"/>
        </w:rPr>
        <w:t>GB/T 25854-6-DW5</w:t>
      </w:r>
      <w:r>
        <w:rPr>
          <w:rFonts w:hint="eastAsia"/>
          <w:highlight w:val="none"/>
        </w:rPr>
        <w:t>卸扣进行吊装</w:t>
      </w:r>
      <w:r>
        <w:rPr>
          <w:rFonts w:hint="eastAsia"/>
        </w:rPr>
        <w:t>。</w:t>
      </w:r>
    </w:p>
    <w:p w14:paraId="4B33B0E1">
      <w:pPr>
        <w:ind w:firstLine="480"/>
      </w:pPr>
      <w:r>
        <w:rPr>
          <w:rFonts w:hint="eastAsia"/>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301B868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3165475" cy="2884170"/>
            <wp:effectExtent l="0" t="0" r="15875" b="1143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23"/>
                    <a:stretch>
                      <a:fillRect/>
                    </a:stretch>
                  </pic:blipFill>
                  <pic:spPr>
                    <a:xfrm>
                      <a:off x="0" y="0"/>
                      <a:ext cx="3165475" cy="2884170"/>
                    </a:xfrm>
                    <a:prstGeom prst="rect">
                      <a:avLst/>
                    </a:prstGeom>
                    <a:noFill/>
                    <a:ln>
                      <a:noFill/>
                    </a:ln>
                  </pic:spPr>
                </pic:pic>
              </a:graphicData>
            </a:graphic>
          </wp:inline>
        </w:drawing>
      </w:r>
      <w:r>
        <w:drawing>
          <wp:inline distT="0" distB="0" distL="114300" distR="114300">
            <wp:extent cx="1913890" cy="2807970"/>
            <wp:effectExtent l="0" t="0" r="10160" b="11430"/>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24"/>
                    <a:stretch>
                      <a:fillRect/>
                    </a:stretch>
                  </pic:blipFill>
                  <pic:spPr>
                    <a:xfrm>
                      <a:off x="0" y="0"/>
                      <a:ext cx="1913890" cy="2807970"/>
                    </a:xfrm>
                    <a:prstGeom prst="rect">
                      <a:avLst/>
                    </a:prstGeom>
                    <a:noFill/>
                    <a:ln>
                      <a:noFill/>
                    </a:ln>
                  </pic:spPr>
                </pic:pic>
              </a:graphicData>
            </a:graphic>
          </wp:inline>
        </w:drawing>
      </w:r>
    </w:p>
    <w:p w14:paraId="5A5147F2">
      <w:pPr>
        <w:pStyle w:val="15"/>
        <w:bidi w:val="0"/>
        <w:ind w:left="0" w:leftChars="0" w:firstLine="0" w:firstLineChars="0"/>
        <w:jc w:val="center"/>
      </w:pPr>
      <w:r>
        <w:t xml:space="preserve">图 </w:t>
      </w:r>
      <w:r>
        <w:fldChar w:fldCharType="begin"/>
      </w:r>
      <w:r>
        <w:instrText xml:space="preserve"> STYLEREF 2 \s </w:instrText>
      </w:r>
      <w:r>
        <w:fldChar w:fldCharType="separate"/>
      </w:r>
      <w:r>
        <w:t>2.4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安装臂根节吊装示意图</w:t>
      </w:r>
    </w:p>
    <w:p w14:paraId="33011395">
      <w:pPr>
        <w:pStyle w:val="3"/>
        <w:numPr>
          <w:ilvl w:val="1"/>
          <w:numId w:val="5"/>
        </w:numPr>
        <w:bidi w:val="0"/>
        <w:ind w:left="567" w:leftChars="0" w:hanging="567" w:firstLineChars="0"/>
        <w:rPr>
          <w:rFonts w:hint="eastAsia" w:ascii="宋体" w:hAnsi="宋体" w:eastAsia="宋体" w:cs="宋体"/>
          <w:lang w:val="en-US" w:eastAsia="zh-CN"/>
        </w:rPr>
      </w:pPr>
      <w:bookmarkStart w:id="33" w:name="_Toc10200"/>
      <w:bookmarkStart w:id="34" w:name="_Toc25574"/>
      <w:bookmarkStart w:id="35" w:name="_Toc11593"/>
      <w:r>
        <w:rPr>
          <w:rFonts w:hint="eastAsia" w:ascii="宋体" w:hAnsi="宋体" w:eastAsia="宋体" w:cs="宋体"/>
          <w:lang w:val="en-US" w:eastAsia="zh-CN"/>
        </w:rPr>
        <w:t>安装平衡臂和平衡臂拉杆</w:t>
      </w:r>
      <w:bookmarkEnd w:id="33"/>
    </w:p>
    <w:p w14:paraId="38D28AEF">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w:t>
      </w:r>
      <w:r>
        <w:rPr>
          <w:rFonts w:hint="eastAsia" w:ascii="Times New Roman" w:hAnsi="Times New Roman" w:eastAsia="宋体" w:cs="Times New Roman"/>
          <w:szCs w:val="21"/>
          <w:highlight w:val="none"/>
        </w:rPr>
        <w:t>上弦杆吊耳作为吊装孔，采用4根</w:t>
      </w:r>
      <w:r>
        <w:rPr>
          <w:rFonts w:hint="eastAsia" w:ascii="Times New Roman" w:hAnsi="Times New Roman" w:cs="Times New Roman"/>
          <w:szCs w:val="21"/>
          <w:highlight w:val="none"/>
          <w:lang w:val="en-US" w:eastAsia="zh-CN"/>
        </w:rPr>
        <w:t>18mm6×19W+IWR1870Mpa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3E48B9C8">
      <w:pPr>
        <w:widowControl w:val="0"/>
        <w:adjustRightInd/>
        <w:snapToGrid/>
        <w:ind w:firstLine="480"/>
        <w:rPr>
          <w:rFonts w:hint="eastAsia" w:cs="Times New Roman"/>
          <w:szCs w:val="21"/>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w:t>
      </w:r>
      <w:r>
        <w:rPr>
          <w:rFonts w:hint="eastAsia" w:ascii="Times New Roman" w:hAnsi="Times New Roman" w:eastAsia="宋体" w:cs="Times New Roman"/>
          <w:szCs w:val="21"/>
          <w:highlight w:val="none"/>
        </w:rPr>
        <w:t>至</w:t>
      </w:r>
      <w:r>
        <w:rPr>
          <w:rFonts w:hint="eastAsia"/>
          <w:highlight w:val="none"/>
          <w:lang w:val="en-US" w:eastAsia="zh-CN"/>
        </w:rPr>
        <w:t>起重臂臂根节</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将组装好的平衡臂吊起，对接</w:t>
      </w:r>
      <w:r>
        <w:rPr>
          <w:rFonts w:hint="eastAsia"/>
          <w:highlight w:val="none"/>
          <w:lang w:val="en-US" w:eastAsia="zh-CN"/>
        </w:rPr>
        <w:t>起重臂臂根节</w:t>
      </w:r>
      <w:r>
        <w:rPr>
          <w:rFonts w:hint="eastAsia" w:eastAsia="宋体" w:cs="Times New Roman"/>
          <w:szCs w:val="21"/>
          <w:highlight w:val="none"/>
          <w:lang w:eastAsia="zh-CN"/>
        </w:rPr>
        <w:t>连接耳板，插入销轴、及R形销，缓慢放下。将平衡臂放置一定程度，把安装在</w:t>
      </w:r>
      <w:r>
        <w:rPr>
          <w:rFonts w:hint="eastAsia"/>
          <w:highlight w:val="none"/>
          <w:lang w:val="en-US" w:eastAsia="zh-CN"/>
        </w:rPr>
        <w:t>起重臂臂根节</w:t>
      </w:r>
      <w:r>
        <w:rPr>
          <w:rFonts w:hint="eastAsia" w:eastAsia="宋体" w:cs="Times New Roman"/>
          <w:szCs w:val="21"/>
          <w:highlight w:val="none"/>
          <w:lang w:eastAsia="zh-CN"/>
        </w:rPr>
        <w:t>的短拉杆和平衡臂上的长拉杆对接好后，插入销轴及开口销缓慢放下，直到拉绷紧，平衡水平。</w:t>
      </w:r>
      <w:r>
        <w:rPr>
          <w:rFonts w:hint="eastAsia" w:cs="Times New Roman"/>
          <w:szCs w:val="21"/>
          <w:highlight w:val="none"/>
          <w:lang w:val="en-US" w:eastAsia="zh-CN"/>
        </w:rPr>
        <w:t>安装示意图如下：</w:t>
      </w:r>
    </w:p>
    <w:p w14:paraId="69558EF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szCs w:val="21"/>
          <w:highlight w:val="none"/>
          <w:lang w:val="en-US" w:eastAsia="zh-CN"/>
        </w:rPr>
      </w:pPr>
      <w:r>
        <w:drawing>
          <wp:inline distT="0" distB="0" distL="114300" distR="114300">
            <wp:extent cx="2964180" cy="2700020"/>
            <wp:effectExtent l="0" t="0" r="7620"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5"/>
                    <a:stretch>
                      <a:fillRect/>
                    </a:stretch>
                  </pic:blipFill>
                  <pic:spPr>
                    <a:xfrm>
                      <a:off x="0" y="0"/>
                      <a:ext cx="2964180" cy="2700020"/>
                    </a:xfrm>
                    <a:prstGeom prst="rect">
                      <a:avLst/>
                    </a:prstGeom>
                    <a:noFill/>
                    <a:ln>
                      <a:noFill/>
                    </a:ln>
                  </pic:spPr>
                </pic:pic>
              </a:graphicData>
            </a:graphic>
          </wp:inline>
        </w:drawing>
      </w:r>
    </w:p>
    <w:p w14:paraId="3BF8413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pPr>
      <w:r>
        <w:drawing>
          <wp:inline distT="0" distB="0" distL="114300" distR="114300">
            <wp:extent cx="3058160" cy="3352165"/>
            <wp:effectExtent l="0" t="0" r="8890" b="63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26"/>
                    <a:stretch>
                      <a:fillRect/>
                    </a:stretch>
                  </pic:blipFill>
                  <pic:spPr>
                    <a:xfrm>
                      <a:off x="0" y="0"/>
                      <a:ext cx="3058160" cy="3352165"/>
                    </a:xfrm>
                    <a:prstGeom prst="rect">
                      <a:avLst/>
                    </a:prstGeom>
                    <a:noFill/>
                    <a:ln>
                      <a:noFill/>
                    </a:ln>
                  </pic:spPr>
                </pic:pic>
              </a:graphicData>
            </a:graphic>
          </wp:inline>
        </w:drawing>
      </w:r>
    </w:p>
    <w:p w14:paraId="1DA7EF10">
      <w:pPr>
        <w:pStyle w:val="15"/>
        <w:jc w:val="center"/>
      </w:pPr>
      <w:r>
        <w:t xml:space="preserve">图 </w:t>
      </w:r>
      <w:r>
        <w:fldChar w:fldCharType="begin"/>
      </w:r>
      <w:r>
        <w:instrText xml:space="preserve"> STYLEREF 2 \s </w:instrText>
      </w:r>
      <w:r>
        <w:fldChar w:fldCharType="separate"/>
      </w:r>
      <w:r>
        <w:t>2.5</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安装平衡臂和平衡臂拉杆</w:t>
      </w:r>
    </w:p>
    <w:p w14:paraId="29D2BAD2">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23965EE4">
      <w:pPr>
        <w:widowControl w:val="0"/>
        <w:adjustRightInd/>
        <w:snapToGrid/>
        <w:ind w:firstLine="480"/>
        <w:rPr>
          <w:rFonts w:hint="default"/>
          <w:highlight w:val="none"/>
          <w:lang w:val="en-US" w:eastAsia="zh-CN"/>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74CCFA9F">
      <w:pPr>
        <w:pStyle w:val="3"/>
        <w:numPr>
          <w:ilvl w:val="1"/>
          <w:numId w:val="5"/>
        </w:numPr>
        <w:bidi w:val="0"/>
        <w:ind w:left="567" w:leftChars="0" w:hanging="567" w:firstLineChars="0"/>
        <w:rPr>
          <w:rFonts w:hint="eastAsia" w:ascii="宋体" w:hAnsi="宋体" w:eastAsia="宋体" w:cs="宋体"/>
          <w:lang w:val="en-US" w:eastAsia="zh-CN"/>
        </w:rPr>
      </w:pPr>
      <w:bookmarkStart w:id="36" w:name="_Toc32143"/>
      <w:r>
        <w:rPr>
          <w:rFonts w:hint="eastAsia" w:ascii="宋体" w:hAnsi="宋体" w:eastAsia="宋体" w:cs="宋体"/>
          <w:lang w:val="en-US" w:eastAsia="zh-CN"/>
        </w:rPr>
        <w:t>安装</w:t>
      </w:r>
      <w:r>
        <w:rPr>
          <w:rFonts w:hint="eastAsia" w:cs="宋体"/>
          <w:lang w:val="en-US" w:eastAsia="zh-CN"/>
        </w:rPr>
        <w:t>一</w:t>
      </w:r>
      <w:r>
        <w:rPr>
          <w:rFonts w:hint="eastAsia" w:ascii="宋体" w:hAnsi="宋体" w:eastAsia="宋体" w:cs="宋体"/>
          <w:lang w:val="en-US" w:eastAsia="zh-CN"/>
        </w:rPr>
        <w:t>块3.2t平衡重</w:t>
      </w:r>
      <w:bookmarkEnd w:id="34"/>
      <w:bookmarkEnd w:id="35"/>
      <w:bookmarkEnd w:id="36"/>
    </w:p>
    <w:p w14:paraId="1018CDED">
      <w:pPr>
        <w:bidi w:val="0"/>
        <w:ind w:firstLine="480" w:firstLineChars="200"/>
        <w:rPr>
          <w:rFonts w:hint="eastAsia"/>
          <w:lang w:val="en-US" w:eastAsia="zh-CN"/>
        </w:rPr>
      </w:pPr>
      <w:r>
        <w:drawing>
          <wp:anchor distT="0" distB="0" distL="114300" distR="114300" simplePos="0" relativeHeight="251661312" behindDoc="0" locked="0" layoutInCell="1" allowOverlap="1">
            <wp:simplePos x="0" y="0"/>
            <wp:positionH relativeFrom="column">
              <wp:posOffset>-297815</wp:posOffset>
            </wp:positionH>
            <wp:positionV relativeFrom="paragraph">
              <wp:posOffset>1582420</wp:posOffset>
            </wp:positionV>
            <wp:extent cx="2859405" cy="2603500"/>
            <wp:effectExtent l="0" t="0" r="17145" b="6350"/>
            <wp:wrapTopAndBottom/>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25"/>
                    <a:stretch>
                      <a:fillRect/>
                    </a:stretch>
                  </pic:blipFill>
                  <pic:spPr>
                    <a:xfrm>
                      <a:off x="0" y="0"/>
                      <a:ext cx="2859405" cy="260350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2645410</wp:posOffset>
            </wp:positionH>
            <wp:positionV relativeFrom="paragraph">
              <wp:posOffset>1565275</wp:posOffset>
            </wp:positionV>
            <wp:extent cx="2515235" cy="2624455"/>
            <wp:effectExtent l="0" t="0" r="18415" b="4445"/>
            <wp:wrapNone/>
            <wp:docPr id="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pic:cNvPicPr>
                      <a:picLocks noChangeAspect="1"/>
                    </pic:cNvPicPr>
                  </pic:nvPicPr>
                  <pic:blipFill>
                    <a:blip r:embed="rId27"/>
                    <a:stretch>
                      <a:fillRect/>
                    </a:stretch>
                  </pic:blipFill>
                  <pic:spPr>
                    <a:xfrm>
                      <a:off x="0" y="0"/>
                      <a:ext cx="2515235" cy="2624455"/>
                    </a:xfrm>
                    <a:prstGeom prst="rect">
                      <a:avLst/>
                    </a:prstGeom>
                    <a:noFill/>
                    <a:ln>
                      <a:noFill/>
                    </a:ln>
                  </pic:spPr>
                </pic:pic>
              </a:graphicData>
            </a:graphic>
          </wp:anchor>
        </w:drawing>
      </w: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2D239C68">
      <w:pPr>
        <w:pStyle w:val="15"/>
        <w:bidi w:val="0"/>
        <w:ind w:left="0" w:leftChars="0" w:firstLine="0" w:firstLineChars="0"/>
        <w:jc w:val="center"/>
        <w:rPr>
          <w:rFonts w:hint="default"/>
          <w:lang w:val="en-US" w:eastAsia="zh-CN"/>
        </w:rPr>
      </w:pPr>
      <w:r>
        <w:t xml:space="preserve">图 </w:t>
      </w:r>
      <w:r>
        <w:fldChar w:fldCharType="begin"/>
      </w:r>
      <w:r>
        <w:instrText xml:space="preserve"> STYLEREF 2 \s </w:instrText>
      </w:r>
      <w:r>
        <w:fldChar w:fldCharType="separate"/>
      </w:r>
      <w:r>
        <w:t>2.6</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highlight w:val="none"/>
          <w:lang w:val="en-US" w:eastAsia="zh-CN"/>
        </w:rPr>
        <w:t>平衡重吊装示意图</w:t>
      </w:r>
    </w:p>
    <w:p w14:paraId="0D637757">
      <w:pPr>
        <w:pStyle w:val="3"/>
        <w:numPr>
          <w:ilvl w:val="1"/>
          <w:numId w:val="5"/>
        </w:numPr>
        <w:bidi w:val="0"/>
        <w:ind w:left="567" w:leftChars="0" w:hanging="567" w:firstLineChars="0"/>
        <w:rPr>
          <w:rFonts w:hint="eastAsia" w:ascii="宋体" w:hAnsi="宋体" w:eastAsia="宋体" w:cs="宋体"/>
          <w:lang w:val="en-US" w:eastAsia="zh-CN"/>
        </w:rPr>
      </w:pPr>
      <w:bookmarkStart w:id="37" w:name="_Toc21892"/>
      <w:bookmarkStart w:id="38" w:name="_Toc23299"/>
      <w:bookmarkStart w:id="39" w:name="_Toc14552"/>
      <w:r>
        <w:rPr>
          <w:rFonts w:hint="eastAsia" w:ascii="宋体" w:hAnsi="宋体" w:eastAsia="宋体" w:cs="宋体"/>
          <w:lang w:val="en-US" w:eastAsia="zh-CN"/>
        </w:rPr>
        <w:t>安装剩余起重臂</w:t>
      </w:r>
      <w:bookmarkEnd w:id="37"/>
      <w:bookmarkEnd w:id="38"/>
      <w:bookmarkEnd w:id="39"/>
    </w:p>
    <w:p w14:paraId="15224AA1">
      <w:pPr>
        <w:ind w:firstLine="420" w:firstLineChars="0"/>
        <w:rPr>
          <w:rFonts w:hint="eastAsia"/>
          <w:lang w:val="en-US" w:eastAsia="zh-CN"/>
        </w:rPr>
      </w:pPr>
      <w:r>
        <w:rPr>
          <w:rFonts w:hint="eastAsia"/>
          <w:lang w:val="en-US" w:eastAsia="zh-CN"/>
        </w:rPr>
        <w:t>起重臂组装时，必须严格按照每节臂上的序号标记组装，不允许错位或随意组装。根据施工要求可以将起重臂组装成如下图起重臂臂长组合所示组合。</w:t>
      </w:r>
    </w:p>
    <w:p w14:paraId="47EB4906">
      <w:r>
        <w:drawing>
          <wp:inline distT="0" distB="0" distL="114300" distR="114300">
            <wp:extent cx="5264785" cy="1865630"/>
            <wp:effectExtent l="0" t="0" r="12065" b="127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28"/>
                    <a:stretch>
                      <a:fillRect/>
                    </a:stretch>
                  </pic:blipFill>
                  <pic:spPr>
                    <a:xfrm>
                      <a:off x="0" y="0"/>
                      <a:ext cx="5264785" cy="1865630"/>
                    </a:xfrm>
                    <a:prstGeom prst="rect">
                      <a:avLst/>
                    </a:prstGeom>
                    <a:noFill/>
                    <a:ln>
                      <a:noFill/>
                    </a:ln>
                  </pic:spPr>
                </pic:pic>
              </a:graphicData>
            </a:graphic>
          </wp:inline>
        </w:drawing>
      </w:r>
    </w:p>
    <w:p w14:paraId="59B09B87">
      <w:pPr>
        <w:pStyle w:val="15"/>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Fonts w:hint="eastAsia" w:ascii="Times New Roman" w:hAnsi="Times New Roman" w:cs="Times New Roman"/>
          <w:highlight w:val="none"/>
          <w:lang w:val="en-US" w:eastAsia="zh-CN"/>
        </w:rPr>
        <w:t>起重臂组合图</w:t>
      </w:r>
    </w:p>
    <w:p w14:paraId="5F45E1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130925F3">
      <w:pPr>
        <w:pStyle w:val="14"/>
        <w:keepNext w:val="0"/>
        <w:keepLines w:val="0"/>
        <w:pageBreakBefore w:val="0"/>
        <w:widowControl w:val="0"/>
        <w:kinsoku/>
        <w:wordWrap/>
        <w:overflowPunct/>
        <w:topLinePunct w:val="0"/>
        <w:autoSpaceDE/>
        <w:autoSpaceDN/>
        <w:bidi w:val="0"/>
        <w:adjustRightInd/>
        <w:snapToGrid/>
        <w:spacing w:after="0"/>
        <w:ind w:firstLine="480" w:firstLineChars="200"/>
        <w:textAlignment w:val="auto"/>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以同样的方法安装剩余起重臂。</w:t>
      </w:r>
    </w:p>
    <w:p w14:paraId="524626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ascii="宋体" w:hAnsi="宋体" w:eastAsia="宋体" w:cs="宋体"/>
          <w:bCs/>
          <w:kern w:val="2"/>
          <w:sz w:val="24"/>
          <w:szCs w:val="24"/>
          <w:lang w:val="en-US" w:eastAsia="zh-CN" w:bidi="ar-SA"/>
        </w:rPr>
        <w:t>塔吊起重臂总成安装时设置警戒区，起吊安排专人负责指挥，专人操作，严禁无关人员进入起重作业范围内</w:t>
      </w:r>
      <w:r>
        <w:rPr>
          <w:rFonts w:hint="eastAsia"/>
        </w:rPr>
        <w:t>。</w:t>
      </w:r>
    </w:p>
    <w:p w14:paraId="5F2F6A3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3130550" cy="2944495"/>
            <wp:effectExtent l="0" t="0" r="12700" b="8255"/>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9"/>
                    <a:stretch>
                      <a:fillRect/>
                    </a:stretch>
                  </pic:blipFill>
                  <pic:spPr>
                    <a:xfrm>
                      <a:off x="0" y="0"/>
                      <a:ext cx="3130550" cy="2944495"/>
                    </a:xfrm>
                    <a:prstGeom prst="rect">
                      <a:avLst/>
                    </a:prstGeom>
                    <a:noFill/>
                    <a:ln>
                      <a:noFill/>
                    </a:ln>
                  </pic:spPr>
                </pic:pic>
              </a:graphicData>
            </a:graphic>
          </wp:inline>
        </w:drawing>
      </w:r>
      <w:r>
        <w:drawing>
          <wp:inline distT="0" distB="0" distL="114300" distR="114300">
            <wp:extent cx="3312160" cy="2932430"/>
            <wp:effectExtent l="0" t="0" r="2540" b="127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30"/>
                    <a:stretch>
                      <a:fillRect/>
                    </a:stretch>
                  </pic:blipFill>
                  <pic:spPr>
                    <a:xfrm>
                      <a:off x="0" y="0"/>
                      <a:ext cx="3312160" cy="2932430"/>
                    </a:xfrm>
                    <a:prstGeom prst="rect">
                      <a:avLst/>
                    </a:prstGeom>
                    <a:noFill/>
                    <a:ln>
                      <a:noFill/>
                    </a:ln>
                  </pic:spPr>
                </pic:pic>
              </a:graphicData>
            </a:graphic>
          </wp:inline>
        </w:drawing>
      </w:r>
    </w:p>
    <w:p w14:paraId="1F933D18">
      <w:pPr>
        <w:pStyle w:val="15"/>
        <w:rPr>
          <w:rFonts w:hint="default" w:eastAsia="黑体"/>
          <w:lang w:val="en-US" w:eastAsia="zh-CN"/>
        </w:rPr>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起重臂臂节二吊装示意图</w:t>
      </w:r>
    </w:p>
    <w:p w14:paraId="4E83457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2813050" cy="2695575"/>
            <wp:effectExtent l="0" t="0" r="6350" b="952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31"/>
                    <a:stretch>
                      <a:fillRect/>
                    </a:stretch>
                  </pic:blipFill>
                  <pic:spPr>
                    <a:xfrm>
                      <a:off x="0" y="0"/>
                      <a:ext cx="2813050" cy="2695575"/>
                    </a:xfrm>
                    <a:prstGeom prst="rect">
                      <a:avLst/>
                    </a:prstGeom>
                    <a:noFill/>
                    <a:ln>
                      <a:noFill/>
                    </a:ln>
                  </pic:spPr>
                </pic:pic>
              </a:graphicData>
            </a:graphic>
          </wp:inline>
        </w:drawing>
      </w:r>
      <w:r>
        <w:drawing>
          <wp:inline distT="0" distB="0" distL="114300" distR="114300">
            <wp:extent cx="3232150" cy="2401570"/>
            <wp:effectExtent l="0" t="0" r="6350" b="17780"/>
            <wp:docPr id="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
                    <pic:cNvPicPr>
                      <a:picLocks noChangeAspect="1"/>
                    </pic:cNvPicPr>
                  </pic:nvPicPr>
                  <pic:blipFill>
                    <a:blip r:embed="rId32"/>
                    <a:stretch>
                      <a:fillRect/>
                    </a:stretch>
                  </pic:blipFill>
                  <pic:spPr>
                    <a:xfrm>
                      <a:off x="0" y="0"/>
                      <a:ext cx="3232150" cy="2401570"/>
                    </a:xfrm>
                    <a:prstGeom prst="rect">
                      <a:avLst/>
                    </a:prstGeom>
                    <a:noFill/>
                    <a:ln>
                      <a:noFill/>
                    </a:ln>
                  </pic:spPr>
                </pic:pic>
              </a:graphicData>
            </a:graphic>
          </wp:inline>
        </w:drawing>
      </w:r>
    </w:p>
    <w:p w14:paraId="1B7363DC">
      <w:pPr>
        <w:pStyle w:val="15"/>
        <w:rPr>
          <w:rFonts w:hint="eastAsia" w:eastAsia="黑体"/>
          <w:lang w:val="en-US" w:eastAsia="zh-CN"/>
        </w:rPr>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 xml:space="preserve"> 起重臂臂节三吊装示意图</w:t>
      </w:r>
    </w:p>
    <w:p w14:paraId="64D8CF39">
      <w:pPr>
        <w:pStyle w:val="16"/>
        <w:rPr>
          <w:rFonts w:hint="eastAsia" w:eastAsia="宋体"/>
          <w:lang w:val="en-US" w:eastAsia="zh-CN"/>
        </w:rPr>
      </w:pPr>
      <w:r>
        <w:drawing>
          <wp:inline distT="0" distB="0" distL="114300" distR="114300">
            <wp:extent cx="2717800" cy="2635885"/>
            <wp:effectExtent l="0" t="0" r="6350" b="12065"/>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33"/>
                    <a:stretch>
                      <a:fillRect/>
                    </a:stretch>
                  </pic:blipFill>
                  <pic:spPr>
                    <a:xfrm>
                      <a:off x="0" y="0"/>
                      <a:ext cx="2717800" cy="2635885"/>
                    </a:xfrm>
                    <a:prstGeom prst="rect">
                      <a:avLst/>
                    </a:prstGeom>
                    <a:noFill/>
                    <a:ln>
                      <a:noFill/>
                    </a:ln>
                  </pic:spPr>
                </pic:pic>
              </a:graphicData>
            </a:graphic>
          </wp:inline>
        </w:drawing>
      </w:r>
    </w:p>
    <w:p w14:paraId="41B3C5C7">
      <w:pPr>
        <w:pStyle w:val="16"/>
      </w:pPr>
      <w:r>
        <w:drawing>
          <wp:inline distT="0" distB="0" distL="114300" distR="114300">
            <wp:extent cx="4090670" cy="2919095"/>
            <wp:effectExtent l="0" t="0" r="5080" b="14605"/>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34"/>
                    <a:stretch>
                      <a:fillRect/>
                    </a:stretch>
                  </pic:blipFill>
                  <pic:spPr>
                    <a:xfrm>
                      <a:off x="0" y="0"/>
                      <a:ext cx="4090670" cy="2919095"/>
                    </a:xfrm>
                    <a:prstGeom prst="rect">
                      <a:avLst/>
                    </a:prstGeom>
                    <a:noFill/>
                    <a:ln>
                      <a:noFill/>
                    </a:ln>
                  </pic:spPr>
                </pic:pic>
              </a:graphicData>
            </a:graphic>
          </wp:inline>
        </w:drawing>
      </w:r>
    </w:p>
    <w:p w14:paraId="44C92B5C">
      <w:pPr>
        <w:pStyle w:val="15"/>
        <w:rPr>
          <w:rFonts w:hint="default"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2.7</w:t>
      </w:r>
      <w:r>
        <w:fldChar w:fldCharType="end"/>
      </w:r>
      <w:r>
        <w:rPr>
          <w:rFonts w:hint="eastAsia"/>
          <w:lang w:eastAsia="zh-CN"/>
        </w:rPr>
        <w:t>-</w:t>
      </w:r>
      <w:r>
        <w:fldChar w:fldCharType="begin"/>
      </w:r>
      <w:r>
        <w:instrText xml:space="preserve"> SEQ 图 \* ARABIC \s 2 </w:instrText>
      </w:r>
      <w:r>
        <w:fldChar w:fldCharType="separate"/>
      </w:r>
      <w:r>
        <w:t>4</w:t>
      </w:r>
      <w:r>
        <w:fldChar w:fldCharType="end"/>
      </w:r>
      <w:r>
        <w:rPr>
          <w:rFonts w:hint="eastAsia"/>
          <w:lang w:val="en-US" w:eastAsia="zh-CN"/>
        </w:rPr>
        <w:t xml:space="preserve"> 剩余</w:t>
      </w:r>
      <w:r>
        <w:rPr>
          <w:rFonts w:hint="eastAsia" w:ascii="Times New Roman" w:hAnsi="Times New Roman" w:cs="Times New Roman"/>
          <w:highlight w:val="none"/>
          <w:lang w:val="en-US" w:eastAsia="zh-CN"/>
        </w:rPr>
        <w:t>起重臂吊装示意图</w:t>
      </w:r>
    </w:p>
    <w:p w14:paraId="08BEA0F9">
      <w:pPr>
        <w:pStyle w:val="3"/>
        <w:numPr>
          <w:ilvl w:val="1"/>
          <w:numId w:val="5"/>
        </w:numPr>
        <w:bidi w:val="0"/>
        <w:ind w:left="567" w:leftChars="0" w:hanging="567" w:firstLineChars="0"/>
        <w:rPr>
          <w:rFonts w:hint="eastAsia" w:ascii="宋体" w:hAnsi="宋体" w:eastAsia="宋体" w:cs="宋体"/>
          <w:lang w:val="en-US" w:eastAsia="zh-CN"/>
        </w:rPr>
      </w:pPr>
      <w:bookmarkStart w:id="40" w:name="_Toc29920"/>
      <w:r>
        <w:rPr>
          <w:rFonts w:hint="eastAsia" w:ascii="宋体" w:hAnsi="宋体" w:eastAsia="宋体" w:cs="宋体"/>
          <w:lang w:val="en-US" w:eastAsia="zh-CN"/>
        </w:rPr>
        <w:t>安装剩余平衡重</w:t>
      </w:r>
      <w:bookmarkEnd w:id="40"/>
    </w:p>
    <w:p w14:paraId="519AA727">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7C8C6851">
      <w:pPr>
        <w:bidi w:val="0"/>
        <w:ind w:left="0" w:leftChars="0" w:firstLine="0" w:firstLineChars="0"/>
        <w:jc w:val="center"/>
      </w:pPr>
      <w:r>
        <w:drawing>
          <wp:inline distT="0" distB="0" distL="114300" distR="114300">
            <wp:extent cx="3875405" cy="2158365"/>
            <wp:effectExtent l="0" t="0" r="1079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3875405" cy="2158365"/>
                    </a:xfrm>
                    <a:prstGeom prst="rect">
                      <a:avLst/>
                    </a:prstGeom>
                    <a:noFill/>
                    <a:ln>
                      <a:noFill/>
                    </a:ln>
                  </pic:spPr>
                </pic:pic>
              </a:graphicData>
            </a:graphic>
          </wp:inline>
        </w:drawing>
      </w:r>
    </w:p>
    <w:p w14:paraId="72D81379">
      <w:pPr>
        <w:pStyle w:val="15"/>
        <w:bidi w:val="0"/>
        <w:ind w:left="0" w:leftChars="0" w:firstLine="0" w:firstLineChars="0"/>
        <w:jc w:val="center"/>
        <w:rPr>
          <w:rFonts w:hint="default" w:eastAsia="黑体"/>
          <w:lang w:val="en-US" w:eastAsia="zh-CN"/>
        </w:rPr>
      </w:pPr>
      <w:r>
        <w:t xml:space="preserve">图 </w:t>
      </w:r>
      <w:r>
        <w:fldChar w:fldCharType="begin"/>
      </w:r>
      <w:r>
        <w:instrText xml:space="preserve"> STYLEREF 2 \s </w:instrText>
      </w:r>
      <w:r>
        <w:fldChar w:fldCharType="separate"/>
      </w:r>
      <w:r>
        <w:t>2.8</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平衡重组成示意图</w:t>
      </w:r>
    </w:p>
    <w:p w14:paraId="0CDE59D5">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305C0394">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按从起升机构侧向塔身侧依次吊装平衡重。</w:t>
      </w:r>
    </w:p>
    <w:p w14:paraId="3FADBC3E">
      <w:pPr>
        <w:bidi w:val="0"/>
        <w:ind w:firstLine="480" w:firstLineChars="200"/>
        <w:rPr>
          <w:rFonts w:ascii="Times New Roman" w:hAnsi="Times New Roman" w:eastAsia="宋体" w:cs="Times New Roman"/>
          <w:color w:val="auto"/>
          <w:szCs w:val="21"/>
          <w:highlight w:val="none"/>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59E61241">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cs="Times New Roman"/>
          <w:color w:val="auto"/>
          <w:szCs w:val="21"/>
          <w:highlight w:val="none"/>
          <w:lang w:eastAsia="zh-CN"/>
        </w:rPr>
        <w:t>塔机</w:t>
      </w:r>
      <w:r>
        <w:rPr>
          <w:rFonts w:hint="eastAsia" w:ascii="Times New Roman" w:hAnsi="Times New Roman" w:eastAsia="宋体" w:cs="Times New Roman"/>
          <w:color w:val="auto"/>
          <w:szCs w:val="21"/>
          <w:highlight w:val="none"/>
        </w:rPr>
        <w:t>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62457457">
      <w:pPr>
        <w:bidi w:val="0"/>
        <w:ind w:left="0" w:leftChars="0" w:firstLine="0" w:firstLineChars="0"/>
        <w:jc w:val="center"/>
        <w:rPr>
          <w:highlight w:val="none"/>
        </w:rPr>
      </w:pPr>
      <w:r>
        <w:drawing>
          <wp:inline distT="0" distB="0" distL="114300" distR="114300">
            <wp:extent cx="2811780" cy="3192145"/>
            <wp:effectExtent l="0" t="0" r="7620" b="8255"/>
            <wp:docPr id="10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
                    <pic:cNvPicPr>
                      <a:picLocks noChangeAspect="1"/>
                    </pic:cNvPicPr>
                  </pic:nvPicPr>
                  <pic:blipFill>
                    <a:blip r:embed="rId36"/>
                    <a:stretch>
                      <a:fillRect/>
                    </a:stretch>
                  </pic:blipFill>
                  <pic:spPr>
                    <a:xfrm>
                      <a:off x="0" y="0"/>
                      <a:ext cx="2811780" cy="3192145"/>
                    </a:xfrm>
                    <a:prstGeom prst="rect">
                      <a:avLst/>
                    </a:prstGeom>
                    <a:noFill/>
                    <a:ln>
                      <a:noFill/>
                    </a:ln>
                  </pic:spPr>
                </pic:pic>
              </a:graphicData>
            </a:graphic>
          </wp:inline>
        </w:drawing>
      </w:r>
    </w:p>
    <w:p w14:paraId="0EC01357">
      <w:pPr>
        <w:pStyle w:val="15"/>
      </w:pPr>
      <w:r>
        <w:drawing>
          <wp:inline distT="0" distB="0" distL="114300" distR="114300">
            <wp:extent cx="5090160" cy="2767330"/>
            <wp:effectExtent l="0" t="0" r="15240" b="13970"/>
            <wp:docPr id="1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
                    <pic:cNvPicPr>
                      <a:picLocks noChangeAspect="1"/>
                    </pic:cNvPicPr>
                  </pic:nvPicPr>
                  <pic:blipFill>
                    <a:blip r:embed="rId37"/>
                    <a:stretch>
                      <a:fillRect/>
                    </a:stretch>
                  </pic:blipFill>
                  <pic:spPr>
                    <a:xfrm>
                      <a:off x="0" y="0"/>
                      <a:ext cx="5090160" cy="2767330"/>
                    </a:xfrm>
                    <a:prstGeom prst="rect">
                      <a:avLst/>
                    </a:prstGeom>
                    <a:noFill/>
                    <a:ln>
                      <a:noFill/>
                    </a:ln>
                  </pic:spPr>
                </pic:pic>
              </a:graphicData>
            </a:graphic>
          </wp:inline>
        </w:drawing>
      </w:r>
    </w:p>
    <w:p w14:paraId="1793C6A0">
      <w:pPr>
        <w:pStyle w:val="15"/>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2.8</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Fonts w:hint="eastAsia" w:ascii="Times New Roman" w:hAnsi="Times New Roman" w:cs="Times New Roman"/>
          <w:highlight w:val="none"/>
          <w:lang w:val="en-US" w:eastAsia="zh-CN"/>
        </w:rPr>
        <w:t>剩余平衡重吊装示意图</w:t>
      </w:r>
    </w:p>
    <w:p w14:paraId="412C8BC4">
      <w:pPr>
        <w:pStyle w:val="3"/>
        <w:numPr>
          <w:ilvl w:val="1"/>
          <w:numId w:val="5"/>
        </w:numPr>
        <w:bidi w:val="0"/>
        <w:ind w:left="567" w:leftChars="0" w:hanging="567" w:firstLineChars="0"/>
        <w:rPr>
          <w:rFonts w:hint="eastAsia" w:ascii="宋体" w:hAnsi="宋体" w:eastAsia="宋体" w:cs="宋体"/>
          <w:lang w:val="en-US" w:eastAsia="zh-CN"/>
        </w:rPr>
      </w:pPr>
      <w:bookmarkStart w:id="41" w:name="_Toc19856"/>
      <w:r>
        <w:rPr>
          <w:rFonts w:hint="eastAsia" w:ascii="宋体" w:hAnsi="宋体" w:eastAsia="宋体" w:cs="宋体"/>
          <w:lang w:val="en-US" w:eastAsia="zh-CN"/>
        </w:rPr>
        <w:t>穿绕钢丝绳</w:t>
      </w:r>
      <w:bookmarkEnd w:id="41"/>
    </w:p>
    <w:p w14:paraId="4C7A903F">
      <w:pPr>
        <w:bidi w:val="0"/>
      </w:pPr>
      <w:r>
        <w:rPr>
          <w:rFonts w:hint="eastAsia"/>
          <w:lang w:val="en-US" w:eastAsia="zh-CN"/>
        </w:rPr>
        <w:t>1.</w:t>
      </w:r>
      <w:r>
        <w:rPr>
          <w:rFonts w:hint="eastAsia"/>
        </w:rPr>
        <w:t>穿绕变幅钢丝绳</w:t>
      </w:r>
    </w:p>
    <w:p w14:paraId="07583179">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1563D7D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467A7A7">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66979AA7">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00D2A2D7">
      <w:pPr>
        <w:keepNext w:val="0"/>
        <w:keepLines w:val="0"/>
        <w:pageBreakBefore w:val="0"/>
        <w:widowControl w:val="0"/>
        <w:kinsoku/>
        <w:wordWrap/>
        <w:overflowPunct/>
        <w:topLinePunct w:val="0"/>
        <w:autoSpaceDE/>
        <w:autoSpaceDN/>
        <w:bidi w:val="0"/>
        <w:adjustRightInd/>
        <w:snapToGrid/>
        <w:ind w:firstLine="0"/>
        <w:jc w:val="center"/>
        <w:textAlignment w:val="auto"/>
      </w:pPr>
      <w:r>
        <w:drawing>
          <wp:inline distT="0" distB="0" distL="114300" distR="114300">
            <wp:extent cx="5756275" cy="2272030"/>
            <wp:effectExtent l="0" t="0" r="15875" b="13970"/>
            <wp:docPr id="2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1"/>
                    <pic:cNvPicPr>
                      <a:picLocks noChangeAspect="1"/>
                    </pic:cNvPicPr>
                  </pic:nvPicPr>
                  <pic:blipFill>
                    <a:blip r:embed="rId38"/>
                    <a:stretch>
                      <a:fillRect/>
                    </a:stretch>
                  </pic:blipFill>
                  <pic:spPr>
                    <a:xfrm>
                      <a:off x="0" y="0"/>
                      <a:ext cx="5756275" cy="2272030"/>
                    </a:xfrm>
                    <a:prstGeom prst="rect">
                      <a:avLst/>
                    </a:prstGeom>
                    <a:noFill/>
                    <a:ln>
                      <a:noFill/>
                    </a:ln>
                  </pic:spPr>
                </pic:pic>
              </a:graphicData>
            </a:graphic>
          </wp:inline>
        </w:drawing>
      </w:r>
    </w:p>
    <w:p w14:paraId="429857B8">
      <w:pPr>
        <w:widowControl w:val="0"/>
        <w:adjustRightInd/>
        <w:snapToGrid/>
        <w:ind w:firstLine="480"/>
        <w:jc w:val="center"/>
        <w:rPr>
          <w:rFonts w:hint="eastAsia" w:ascii="Times New Roman" w:hAnsi="Times New Roman" w:eastAsia="黑体" w:cs="Times New Roman"/>
          <w:kern w:val="2"/>
          <w:sz w:val="21"/>
          <w:szCs w:val="21"/>
          <w:highlight w:val="none"/>
          <w:lang w:val="en-US" w:eastAsia="zh-CN" w:bidi="ar-SA"/>
        </w:rPr>
      </w:pPr>
      <w:r>
        <w:t xml:space="preserve">图 </w:t>
      </w:r>
      <w:r>
        <w:fldChar w:fldCharType="begin"/>
      </w:r>
      <w:r>
        <w:instrText xml:space="preserve"> STYLEREF 2 \s </w:instrText>
      </w:r>
      <w:r>
        <w:fldChar w:fldCharType="separate"/>
      </w:r>
      <w:r>
        <w:t>2.9</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eastAsia="黑体" w:cs="Times New Roman"/>
          <w:kern w:val="2"/>
          <w:sz w:val="21"/>
          <w:szCs w:val="21"/>
          <w:highlight w:val="none"/>
          <w:lang w:val="en-US" w:eastAsia="zh-CN" w:bidi="ar-SA"/>
        </w:rPr>
        <w:t xml:space="preserve"> 变幅钢丝绳穿绕示意图</w:t>
      </w:r>
    </w:p>
    <w:p w14:paraId="23118DDF">
      <w:pPr>
        <w:bidi w:val="0"/>
      </w:pPr>
      <w:r>
        <w:rPr>
          <w:rFonts w:hint="eastAsia"/>
          <w:lang w:val="en-US" w:eastAsia="zh-CN"/>
        </w:rPr>
        <w:t>2.</w:t>
      </w:r>
      <w:r>
        <w:rPr>
          <w:rFonts w:hint="eastAsia"/>
        </w:rPr>
        <w:t>穿绕起升钢丝绳</w:t>
      </w:r>
    </w:p>
    <w:p w14:paraId="387D7DEE">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钢丝绳从起升机构（1）卷筒上端出绳，穿过起重臂臂根节上托绳轮（2），再穿过起重臂臂根节上起重量限制器滑轮（3），再穿过起重臂臂根部滑轮（4），然后钢丝绳伸出连接小车。</w:t>
      </w:r>
    </w:p>
    <w:p w14:paraId="5E0D967F">
      <w:pPr>
        <w:widowControl w:val="0"/>
        <w:adjustRightInd/>
        <w:snapToGrid/>
        <w:ind w:firstLine="480"/>
        <w:rPr>
          <w:rFonts w:hint="eastAsia" w:ascii="Times New Roman" w:hAnsi="Times New Roman" w:eastAsia="宋体" w:cs="Times New Roman"/>
          <w:szCs w:val="21"/>
          <w:lang w:eastAsia="zh-CN"/>
        </w:rPr>
      </w:pPr>
      <w:r>
        <w:drawing>
          <wp:inline distT="0" distB="0" distL="114300" distR="114300">
            <wp:extent cx="5758180" cy="3295650"/>
            <wp:effectExtent l="0" t="0" r="13970" b="0"/>
            <wp:docPr id="20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2"/>
                    <pic:cNvPicPr>
                      <a:picLocks noChangeAspect="1"/>
                    </pic:cNvPicPr>
                  </pic:nvPicPr>
                  <pic:blipFill>
                    <a:blip r:embed="rId39"/>
                    <a:stretch>
                      <a:fillRect/>
                    </a:stretch>
                  </pic:blipFill>
                  <pic:spPr>
                    <a:xfrm>
                      <a:off x="0" y="0"/>
                      <a:ext cx="5758180" cy="3295650"/>
                    </a:xfrm>
                    <a:prstGeom prst="rect">
                      <a:avLst/>
                    </a:prstGeom>
                    <a:noFill/>
                    <a:ln>
                      <a:noFill/>
                    </a:ln>
                  </pic:spPr>
                </pic:pic>
              </a:graphicData>
            </a:graphic>
          </wp:inline>
        </w:drawing>
      </w:r>
    </w:p>
    <w:p w14:paraId="7647C2F0">
      <w:pPr>
        <w:keepNext w:val="0"/>
        <w:keepLines w:val="0"/>
        <w:widowControl w:val="0"/>
        <w:suppressLineNumbers w:val="0"/>
        <w:ind w:firstLine="480"/>
        <w:jc w:val="left"/>
        <w:rPr>
          <w:rFonts w:hint="eastAsia" w:ascii="Times New Roman" w:hAnsi="Times New Roman" w:eastAsia="宋体" w:cs="Times New Roman"/>
          <w:kern w:val="2"/>
          <w:sz w:val="24"/>
          <w:szCs w:val="21"/>
          <w:lang w:val="en-US" w:eastAsia="zh-CN" w:bidi="ar"/>
        </w:rPr>
      </w:pPr>
      <w:r>
        <w:rPr>
          <w:rFonts w:hint="eastAsia" w:ascii="Times New Roman" w:hAnsi="Times New Roman" w:eastAsia="宋体" w:cs="Times New Roman"/>
          <w:color w:val="auto"/>
          <w:kern w:val="2"/>
          <w:sz w:val="24"/>
          <w:szCs w:val="21"/>
          <w:lang w:val="en-US" w:eastAsia="zh-CN" w:bidi="ar"/>
        </w:rPr>
        <w:t>穿绕变幅小车上起升钢丝绳。由于本小车和吊钩为自动变倍率方式，变倍率时通过吊 钩上上下滑轮组自动断开方式实现，因此起升钢丝绳的绕绳方式不变。</w:t>
      </w:r>
    </w:p>
    <w:p w14:paraId="37557EF5">
      <w:pPr>
        <w:keepNext w:val="0"/>
        <w:keepLines w:val="0"/>
        <w:widowControl w:val="0"/>
        <w:suppressLineNumbers w:val="0"/>
        <w:ind w:firstLine="0" w:firstLineChars="0"/>
        <w:jc w:val="center"/>
      </w:pPr>
      <w:r>
        <w:drawing>
          <wp:inline distT="0" distB="0" distL="114300" distR="114300">
            <wp:extent cx="3038475" cy="2628900"/>
            <wp:effectExtent l="0" t="0" r="9525" b="0"/>
            <wp:docPr id="20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3"/>
                    <pic:cNvPicPr>
                      <a:picLocks noChangeAspect="1"/>
                    </pic:cNvPicPr>
                  </pic:nvPicPr>
                  <pic:blipFill>
                    <a:blip r:embed="rId40"/>
                    <a:stretch>
                      <a:fillRect/>
                    </a:stretch>
                  </pic:blipFill>
                  <pic:spPr>
                    <a:xfrm>
                      <a:off x="0" y="0"/>
                      <a:ext cx="3038475" cy="2628900"/>
                    </a:xfrm>
                    <a:prstGeom prst="rect">
                      <a:avLst/>
                    </a:prstGeom>
                    <a:noFill/>
                    <a:ln>
                      <a:noFill/>
                    </a:ln>
                  </pic:spPr>
                </pic:pic>
              </a:graphicData>
            </a:graphic>
          </wp:inline>
        </w:drawing>
      </w:r>
    </w:p>
    <w:p w14:paraId="07BB8646">
      <w:pPr>
        <w:keepNext w:val="0"/>
        <w:keepLines w:val="0"/>
        <w:widowControl/>
        <w:suppressLineNumbers w:val="0"/>
        <w:ind w:firstLine="480"/>
        <w:jc w:val="left"/>
        <w:rPr>
          <w:rFonts w:hint="default" w:ascii="Times New Roman" w:hAnsi="Times New Roman" w:eastAsia="宋体" w:cs="Times New Roman"/>
          <w:kern w:val="2"/>
          <w:sz w:val="24"/>
          <w:szCs w:val="21"/>
          <w:lang w:val="en-US" w:eastAsia="zh-CN" w:bidi="ar"/>
        </w:rPr>
      </w:pPr>
      <w:r>
        <w:rPr>
          <w:rFonts w:hint="default" w:ascii="Times New Roman" w:hAnsi="Times New Roman" w:eastAsia="宋体" w:cs="Times New Roman"/>
          <w:color w:val="auto"/>
          <w:kern w:val="2"/>
          <w:sz w:val="24"/>
          <w:szCs w:val="21"/>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25915C15">
      <w:pPr>
        <w:keepNext w:val="0"/>
        <w:keepLines w:val="0"/>
        <w:widowControl/>
        <w:suppressLineNumbers w:val="0"/>
        <w:ind w:firstLine="0" w:firstLineChars="0"/>
        <w:jc w:val="center"/>
        <w:rPr>
          <w:rFonts w:hint="eastAsia"/>
          <w:lang w:bidi="ar"/>
        </w:rPr>
      </w:pPr>
      <w:r>
        <w:drawing>
          <wp:inline distT="0" distB="0" distL="114300" distR="114300">
            <wp:extent cx="5758815" cy="2462530"/>
            <wp:effectExtent l="0" t="0" r="13335" b="13970"/>
            <wp:docPr id="20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4"/>
                    <pic:cNvPicPr>
                      <a:picLocks noChangeAspect="1"/>
                    </pic:cNvPicPr>
                  </pic:nvPicPr>
                  <pic:blipFill>
                    <a:blip r:embed="rId41"/>
                    <a:stretch>
                      <a:fillRect/>
                    </a:stretch>
                  </pic:blipFill>
                  <pic:spPr>
                    <a:xfrm>
                      <a:off x="0" y="0"/>
                      <a:ext cx="5758815" cy="2462530"/>
                    </a:xfrm>
                    <a:prstGeom prst="rect">
                      <a:avLst/>
                    </a:prstGeom>
                    <a:noFill/>
                    <a:ln>
                      <a:noFill/>
                    </a:ln>
                  </pic:spPr>
                </pic:pic>
              </a:graphicData>
            </a:graphic>
          </wp:inline>
        </w:drawing>
      </w:r>
    </w:p>
    <w:p w14:paraId="2577DF4C">
      <w:pPr>
        <w:pStyle w:val="3"/>
        <w:numPr>
          <w:ilvl w:val="1"/>
          <w:numId w:val="5"/>
        </w:numPr>
        <w:bidi w:val="0"/>
        <w:ind w:left="567" w:leftChars="0" w:hanging="567" w:firstLineChars="0"/>
        <w:rPr>
          <w:rFonts w:hint="eastAsia" w:ascii="宋体" w:hAnsi="宋体" w:eastAsia="宋体" w:cs="宋体"/>
          <w:lang w:val="en-US" w:eastAsia="zh-CN"/>
        </w:rPr>
      </w:pPr>
      <w:bookmarkStart w:id="42" w:name="_Toc23002"/>
      <w:r>
        <w:rPr>
          <w:rFonts w:hint="eastAsia" w:ascii="宋体" w:hAnsi="宋体" w:eastAsia="宋体" w:cs="宋体"/>
          <w:lang w:val="en-US" w:eastAsia="zh-CN"/>
        </w:rPr>
        <w:t>电气系统安装及试运转</w:t>
      </w:r>
      <w:bookmarkEnd w:id="42"/>
    </w:p>
    <w:p w14:paraId="6C03B9C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6B61816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5B395719">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782C40D2">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7893708">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w:t>
      </w:r>
      <w:r>
        <w:rPr>
          <w:rFonts w:hint="eastAsia" w:ascii="Times New Roman" w:hAnsi="Times New Roman" w:cs="Times New Roman"/>
          <w:szCs w:val="21"/>
          <w:lang w:eastAsia="zh-CN"/>
        </w:rPr>
        <w:t>塔机</w:t>
      </w:r>
      <w:r>
        <w:rPr>
          <w:rFonts w:hint="eastAsia" w:ascii="Times New Roman" w:hAnsi="Times New Roman" w:eastAsia="宋体" w:cs="Times New Roman"/>
          <w:szCs w:val="21"/>
        </w:rPr>
        <w:t>接通电源，试运转各机构，检查各机构运转是否正常，同时检查各钢丝绳是否处于正常工作状态，是否与各机构有干扰。</w:t>
      </w:r>
    </w:p>
    <w:p w14:paraId="38F91921">
      <w:pPr>
        <w:pStyle w:val="3"/>
        <w:numPr>
          <w:ilvl w:val="1"/>
          <w:numId w:val="5"/>
        </w:numPr>
        <w:bidi w:val="0"/>
        <w:ind w:left="567" w:leftChars="0" w:hanging="567" w:firstLineChars="0"/>
        <w:rPr>
          <w:rFonts w:hint="eastAsia" w:ascii="宋体" w:hAnsi="宋体" w:eastAsia="宋体" w:cs="宋体"/>
          <w:lang w:val="en-US" w:eastAsia="zh-CN"/>
        </w:rPr>
      </w:pPr>
      <w:bookmarkStart w:id="43" w:name="_Toc31711"/>
      <w:r>
        <w:rPr>
          <w:rFonts w:hint="eastAsia" w:ascii="宋体" w:hAnsi="宋体" w:eastAsia="宋体" w:cs="宋体"/>
          <w:lang w:val="en-US" w:eastAsia="zh-CN"/>
        </w:rPr>
        <w:t>操作系统的调试</w:t>
      </w:r>
      <w:bookmarkEnd w:id="43"/>
    </w:p>
    <w:p w14:paraId="439D61BB">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37A92C32">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2AB6EA9B">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0DAD9C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7B014A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6BD7E4B8">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717CD798">
      <w:pPr>
        <w:pStyle w:val="3"/>
        <w:numPr>
          <w:ilvl w:val="1"/>
          <w:numId w:val="5"/>
        </w:numPr>
        <w:bidi w:val="0"/>
        <w:ind w:left="567" w:leftChars="0" w:hanging="567" w:firstLineChars="0"/>
        <w:rPr>
          <w:rFonts w:hint="eastAsia" w:ascii="宋体" w:hAnsi="宋体" w:eastAsia="宋体" w:cs="宋体"/>
          <w:lang w:val="en-US" w:eastAsia="zh-CN"/>
        </w:rPr>
      </w:pPr>
      <w:bookmarkStart w:id="44" w:name="_Toc25431"/>
      <w:r>
        <w:rPr>
          <w:rFonts w:hint="eastAsia" w:ascii="宋体" w:hAnsi="宋体" w:eastAsia="宋体" w:cs="宋体"/>
          <w:lang w:val="en-US" w:eastAsia="zh-CN"/>
        </w:rPr>
        <w:t>塔机顶升加节</w:t>
      </w:r>
      <w:bookmarkEnd w:id="44"/>
    </w:p>
    <w:p w14:paraId="1A4116DD">
      <w:pPr>
        <w:pStyle w:val="4"/>
        <w:numPr>
          <w:ilvl w:val="2"/>
          <w:numId w:val="5"/>
        </w:numPr>
        <w:bidi w:val="0"/>
        <w:ind w:left="0" w:leftChars="0" w:firstLine="0" w:firstLineChars="0"/>
      </w:pPr>
      <w:r>
        <w:rPr>
          <w:rFonts w:hint="eastAsia"/>
        </w:rPr>
        <w:t>顶升前准备工作</w:t>
      </w:r>
    </w:p>
    <w:p w14:paraId="41875588">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69BC00B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0710671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2F0DA4A1">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27CB014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爬升架平台上准备好塔身</w:t>
      </w:r>
      <w:r>
        <w:rPr>
          <w:rFonts w:hint="eastAsia" w:ascii="宋体" w:hAnsi="宋体" w:cs="宋体"/>
          <w:color w:val="000000"/>
          <w:kern w:val="0"/>
          <w:sz w:val="24"/>
          <w:szCs w:val="24"/>
          <w:lang w:val="en-US" w:eastAsia="zh-CN" w:bidi="ar"/>
        </w:rPr>
        <w:t>销轴</w:t>
      </w:r>
      <w:r>
        <w:rPr>
          <w:rFonts w:hint="eastAsia" w:ascii="宋体" w:hAnsi="宋体" w:eastAsia="宋体" w:cs="宋体"/>
          <w:color w:val="000000"/>
          <w:kern w:val="0"/>
          <w:sz w:val="24"/>
          <w:szCs w:val="24"/>
          <w:lang w:val="en-US" w:eastAsia="zh-CN" w:bidi="ar"/>
        </w:rPr>
        <w:t xml:space="preserve">； </w:t>
      </w:r>
    </w:p>
    <w:p w14:paraId="624D3C1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174271F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575E7C8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15695EFD">
      <w:pPr>
        <w:pStyle w:val="4"/>
        <w:numPr>
          <w:ilvl w:val="2"/>
          <w:numId w:val="5"/>
        </w:numPr>
        <w:bidi w:val="0"/>
        <w:ind w:left="0" w:leftChars="0" w:firstLine="0" w:firstLineChars="0"/>
        <w:rPr>
          <w:rFonts w:hint="default"/>
          <w:lang w:val="en-US" w:eastAsia="zh-CN"/>
        </w:rPr>
      </w:pPr>
      <w:r>
        <w:rPr>
          <w:rFonts w:hint="eastAsia"/>
          <w:lang w:val="en-US" w:eastAsia="zh-CN"/>
        </w:rPr>
        <w:t>顶升作业注意事项</w:t>
      </w:r>
    </w:p>
    <w:p w14:paraId="5961D7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2805593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53241CD">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683AC061">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136A2F2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667CD6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76D43A08">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7056DAAC">
      <w:pPr>
        <w:bidi w:val="0"/>
        <w:ind w:firstLine="420" w:firstLineChars="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2E32C13B">
      <w:pPr>
        <w:keepNext w:val="0"/>
        <w:keepLines w:val="0"/>
        <w:widowControl/>
        <w:suppressLineNumbers w:val="0"/>
        <w:ind w:firstLine="420" w:firstLineChars="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4C78E89D">
      <w:pPr>
        <w:pStyle w:val="4"/>
        <w:numPr>
          <w:ilvl w:val="2"/>
          <w:numId w:val="5"/>
        </w:numPr>
        <w:bidi w:val="0"/>
        <w:ind w:left="0" w:leftChars="0" w:firstLine="0" w:firstLineChars="0"/>
        <w:rPr>
          <w:rFonts w:hint="eastAsia"/>
        </w:rPr>
      </w:pPr>
      <w:r>
        <w:rPr>
          <w:rFonts w:hint="eastAsia"/>
        </w:rPr>
        <w:t>顶升时的配平</w:t>
      </w:r>
    </w:p>
    <w:p w14:paraId="24768F06">
      <w:pPr>
        <w:spacing w:line="240" w:lineRule="auto"/>
        <w:jc w:val="left"/>
        <w:rPr>
          <w:rFonts w:hint="eastAsia"/>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42"/>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43"/>
                    <a:stretch>
                      <a:fillRect/>
                    </a:stretch>
                  </pic:blipFill>
                  <pic:spPr>
                    <a:xfrm>
                      <a:off x="0" y="0"/>
                      <a:ext cx="1999615" cy="3013075"/>
                    </a:xfrm>
                    <a:prstGeom prst="rect">
                      <a:avLst/>
                    </a:prstGeom>
                  </pic:spPr>
                </pic:pic>
              </a:graphicData>
            </a:graphic>
          </wp:inline>
        </w:drawing>
      </w:r>
    </w:p>
    <w:p w14:paraId="383CBB43">
      <w:pPr>
        <w:pStyle w:val="15"/>
        <w:bidi w:val="0"/>
        <w:rPr>
          <w:rFonts w:hint="eastAsia" w:ascii="Times New Roman" w:hAnsi="Times New Roman" w:cs="Times New Roman"/>
          <w:highlight w:val="none"/>
          <w:lang w:val="en-US" w:eastAsia="zh-CN"/>
        </w:rPr>
      </w:pPr>
      <w:r>
        <w:t xml:space="preserve">图 </w:t>
      </w:r>
      <w:r>
        <w:fldChar w:fldCharType="begin"/>
      </w:r>
      <w:r>
        <w:instrText xml:space="preserve"> STYLEREF 2 \s </w:instrText>
      </w:r>
      <w:r>
        <w:fldChar w:fldCharType="separate"/>
      </w:r>
      <w:r>
        <w:t>2.12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ascii="Times New Roman" w:hAnsi="Times New Roman" w:cs="Times New Roman"/>
          <w:highlight w:val="none"/>
          <w:lang w:val="en-US" w:eastAsia="zh-CN"/>
        </w:rPr>
        <w:t xml:space="preserve"> 标准节引进示意图</w:t>
      </w:r>
    </w:p>
    <w:p w14:paraId="4755FE48">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63BF95BE">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1CD2484B">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个导轮与塔身主弦杆间隙是否基本相同来检查塔机是否平衡。略微调整载重小车的配平位置，直至平衡。记录实际配平位置，以后顶升或降节时使用。必须使得塔机上部重心落在顶升油缸梁的位置上。</w:t>
      </w:r>
    </w:p>
    <w:p w14:paraId="1FFC5C0C">
      <w:pPr>
        <w:pStyle w:val="15"/>
        <w:bidi w:val="0"/>
      </w:pPr>
      <w:r>
        <w:drawing>
          <wp:inline distT="0" distB="0" distL="114300" distR="114300">
            <wp:extent cx="5273040" cy="1391285"/>
            <wp:effectExtent l="0" t="0" r="3810" b="1841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44"/>
                    <a:stretch>
                      <a:fillRect/>
                    </a:stretch>
                  </pic:blipFill>
                  <pic:spPr>
                    <a:xfrm>
                      <a:off x="0" y="0"/>
                      <a:ext cx="5273040" cy="1391285"/>
                    </a:xfrm>
                    <a:prstGeom prst="rect">
                      <a:avLst/>
                    </a:prstGeom>
                    <a:noFill/>
                    <a:ln>
                      <a:noFill/>
                    </a:ln>
                  </pic:spPr>
                </pic:pic>
              </a:graphicData>
            </a:graphic>
          </wp:inline>
        </w:drawing>
      </w:r>
      <w:r>
        <w:drawing>
          <wp:inline distT="0" distB="0" distL="114300" distR="114300">
            <wp:extent cx="5271135" cy="2621280"/>
            <wp:effectExtent l="0" t="0" r="5715" b="762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45"/>
                    <a:stretch>
                      <a:fillRect/>
                    </a:stretch>
                  </pic:blipFill>
                  <pic:spPr>
                    <a:xfrm>
                      <a:off x="0" y="0"/>
                      <a:ext cx="5271135" cy="2621280"/>
                    </a:xfrm>
                    <a:prstGeom prst="rect">
                      <a:avLst/>
                    </a:prstGeom>
                    <a:noFill/>
                    <a:ln>
                      <a:noFill/>
                    </a:ln>
                  </pic:spPr>
                </pic:pic>
              </a:graphicData>
            </a:graphic>
          </wp:inline>
        </w:drawing>
      </w:r>
    </w:p>
    <w:p w14:paraId="327F4570">
      <w:pPr>
        <w:pStyle w:val="15"/>
        <w:bidi w:val="0"/>
        <w:rPr>
          <w:rFonts w:hint="default" w:ascii="Times New Roman" w:hAnsi="Times New Roman" w:cs="Times New Roman"/>
          <w:highlight w:val="none"/>
          <w:lang w:val="en-US" w:eastAsia="zh-CN"/>
        </w:rPr>
      </w:pPr>
      <w:r>
        <w:t xml:space="preserve">图 </w:t>
      </w:r>
      <w:r>
        <w:fldChar w:fldCharType="begin"/>
      </w:r>
      <w:r>
        <w:instrText xml:space="preserve"> STYLEREF 3 \s </w:instrText>
      </w:r>
      <w:r>
        <w:fldChar w:fldCharType="separate"/>
      </w:r>
      <w:r>
        <w:t>2.12.3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ascii="Times New Roman" w:hAnsi="Times New Roman" w:cs="Times New Roman"/>
          <w:highlight w:val="none"/>
          <w:lang w:val="en-US" w:eastAsia="zh-CN"/>
        </w:rPr>
        <w:t xml:space="preserve"> 顶升前配平示意图</w:t>
      </w:r>
    </w:p>
    <w:p w14:paraId="76032002">
      <w:pPr>
        <w:pStyle w:val="4"/>
        <w:numPr>
          <w:ilvl w:val="2"/>
          <w:numId w:val="5"/>
        </w:numPr>
        <w:bidi w:val="0"/>
        <w:ind w:left="0" w:leftChars="0" w:firstLine="0" w:firstLineChars="0"/>
        <w:rPr>
          <w:rFonts w:hint="eastAsia"/>
        </w:rPr>
      </w:pPr>
      <w:r>
        <w:rPr>
          <w:rFonts w:hint="eastAsia"/>
        </w:rPr>
        <w:t>顶升作业</w:t>
      </w:r>
    </w:p>
    <w:p w14:paraId="732ED98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1D8760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3DBA505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再吊配平标准节，将载重小车开至顶升平衡位置，塔机处于配平状态。</w:t>
      </w:r>
    </w:p>
    <w:p w14:paraId="554EFDC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使用回转机构上的回转制动器，将塔机上部机构处于制动状态；</w:t>
      </w:r>
    </w:p>
    <w:p w14:paraId="0BF4B51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E988F6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1E4EEA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~m 时停止。</w:t>
      </w:r>
    </w:p>
    <w:p w14:paraId="5034AB0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2C5EFC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4100C0A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7B7DAA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336496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6320B27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3638D964">
      <w:pPr>
        <w:pStyle w:val="4"/>
        <w:numPr>
          <w:ilvl w:val="2"/>
          <w:numId w:val="5"/>
        </w:numPr>
        <w:bidi w:val="0"/>
        <w:ind w:left="0" w:leftChars="0" w:firstLine="0" w:firstLineChars="0"/>
        <w:rPr>
          <w:rFonts w:hint="eastAsia"/>
        </w:rPr>
      </w:pPr>
      <w:r>
        <w:rPr>
          <w:rFonts w:hint="eastAsia"/>
        </w:rPr>
        <w:t>引进标准节作业</w:t>
      </w:r>
    </w:p>
    <w:p w14:paraId="46F538D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3B6993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481BCC7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367D10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79FD42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3822264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62F3D51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6A2F1AB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326F46D0">
      <w:pPr>
        <w:pStyle w:val="4"/>
        <w:numPr>
          <w:ilvl w:val="2"/>
          <w:numId w:val="5"/>
        </w:numPr>
        <w:bidi w:val="0"/>
        <w:ind w:left="0" w:leftChars="0" w:firstLine="0" w:firstLineChars="0"/>
        <w:rPr>
          <w:rFonts w:hint="eastAsia"/>
          <w:lang w:val="en-US" w:eastAsia="zh-CN"/>
        </w:rPr>
      </w:pPr>
      <w:r>
        <w:rPr>
          <w:rFonts w:hint="eastAsia"/>
          <w:lang w:val="en-US" w:eastAsia="zh-CN"/>
        </w:rPr>
        <w:t>顶升过程的注意事项</w:t>
      </w:r>
    </w:p>
    <w:p w14:paraId="78F56A30">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61F9A112">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30210476">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3B0B61FA">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7673FCC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在下支座与塔身没有用销轴连接好之前，严禁起重臂回转、载重小车变幅和吊装作业；</w:t>
      </w:r>
    </w:p>
    <w:p w14:paraId="1AB5B29D">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5CE3AC88">
      <w:pPr>
        <w:pStyle w:val="4"/>
        <w:numPr>
          <w:ilvl w:val="2"/>
          <w:numId w:val="5"/>
        </w:numPr>
        <w:bidi w:val="0"/>
        <w:ind w:left="0" w:leftChars="0" w:firstLine="0" w:firstLineChars="0"/>
        <w:rPr>
          <w:rFonts w:hint="eastAsia"/>
          <w:lang w:val="en-US" w:eastAsia="zh-CN"/>
        </w:rPr>
      </w:pPr>
      <w:r>
        <w:rPr>
          <w:rFonts w:hint="eastAsia"/>
          <w:lang w:val="en-US" w:eastAsia="zh-CN"/>
        </w:rPr>
        <w:t>顶升作业完成后注意事项</w:t>
      </w:r>
    </w:p>
    <w:p w14:paraId="39CD0D95">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376600D2">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22B5AE0B">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D8D74B5">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57D1C262">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4569C095">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整个塔机安装完毕后，将套架降到塔身最底部，固定牢固，以降低风载；</w:t>
      </w:r>
    </w:p>
    <w:p w14:paraId="02EC2423">
      <w:pPr>
        <w:pStyle w:val="3"/>
        <w:numPr>
          <w:ilvl w:val="1"/>
          <w:numId w:val="5"/>
        </w:numPr>
        <w:bidi w:val="0"/>
        <w:ind w:left="567" w:leftChars="0" w:hanging="567" w:firstLineChars="0"/>
        <w:rPr>
          <w:rFonts w:hint="eastAsia" w:ascii="宋体" w:hAnsi="宋体" w:eastAsia="宋体" w:cs="宋体"/>
          <w:lang w:val="en-US" w:eastAsia="zh-CN"/>
        </w:rPr>
      </w:pPr>
      <w:bookmarkStart w:id="45" w:name="_Toc7624"/>
      <w:r>
        <w:rPr>
          <w:rFonts w:hint="eastAsia" w:ascii="宋体" w:hAnsi="宋体" w:eastAsia="宋体" w:cs="宋体"/>
          <w:lang w:val="en-US" w:eastAsia="zh-CN"/>
        </w:rPr>
        <w:t>安全装置的调试</w:t>
      </w:r>
      <w:bookmarkEnd w:id="45"/>
    </w:p>
    <w:p w14:paraId="19E569AB">
      <w:pPr>
        <w:ind w:firstLine="482" w:firstLineChars="200"/>
        <w:rPr>
          <w:rFonts w:hint="eastAsia"/>
          <w:b/>
          <w:bCs/>
          <w:highlight w:val="none"/>
          <w:lang w:val="en-US" w:eastAsia="zh-CN"/>
        </w:rPr>
      </w:pPr>
      <w:r>
        <w:rPr>
          <w:rFonts w:hint="eastAsia"/>
          <w:b/>
          <w:bCs/>
          <w:highlight w:val="none"/>
          <w:lang w:val="en-US" w:eastAsia="zh-CN"/>
        </w:rPr>
        <w:t>1、起升高度限位器</w:t>
      </w:r>
    </w:p>
    <w:p w14:paraId="7BCA3DF5">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68C7658">
      <w:pPr>
        <w:ind w:firstLine="482" w:firstLineChars="200"/>
        <w:rPr>
          <w:rFonts w:hint="eastAsia"/>
          <w:b/>
          <w:bCs/>
          <w:highlight w:val="none"/>
          <w:lang w:val="en-US" w:eastAsia="zh-CN"/>
        </w:rPr>
      </w:pPr>
      <w:r>
        <w:rPr>
          <w:rFonts w:hint="eastAsia"/>
          <w:b/>
          <w:bCs/>
          <w:highlight w:val="none"/>
          <w:lang w:val="en-US" w:eastAsia="zh-CN"/>
        </w:rPr>
        <w:t>2、回转限位器</w:t>
      </w:r>
    </w:p>
    <w:p w14:paraId="0FD33A6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076C25B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679921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m或超出最小幅度0m时，限位开关分别被触发，切断变幅电机电源，使小车不能再向外（或向内）运行，只能向内（或向外）变幅。</w:t>
      </w:r>
    </w:p>
    <w:p w14:paraId="2B618F4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372C21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703503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67C44E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57DECC8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3BD955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0339CB26">
      <w:pPr>
        <w:pStyle w:val="3"/>
        <w:numPr>
          <w:ilvl w:val="1"/>
          <w:numId w:val="5"/>
        </w:numPr>
        <w:bidi w:val="0"/>
        <w:ind w:left="567" w:leftChars="0" w:hanging="567" w:firstLineChars="0"/>
        <w:rPr>
          <w:rFonts w:hint="eastAsia" w:ascii="宋体" w:hAnsi="宋体" w:eastAsia="宋体" w:cs="宋体"/>
          <w:lang w:val="en-US" w:eastAsia="zh-CN"/>
        </w:rPr>
      </w:pPr>
      <w:bookmarkStart w:id="46" w:name="_Toc10267"/>
      <w:bookmarkStart w:id="47" w:name="_Toc13697"/>
      <w:bookmarkStart w:id="48" w:name="_Toc20378"/>
      <w:bookmarkStart w:id="49" w:name="_Toc26099"/>
      <w:r>
        <w:rPr>
          <w:rFonts w:hint="eastAsia" w:ascii="宋体" w:hAnsi="宋体" w:eastAsia="宋体" w:cs="宋体"/>
          <w:lang w:val="en-US" w:eastAsia="zh-CN"/>
        </w:rPr>
        <w:t>塔机的维修与保养</w:t>
      </w:r>
      <w:bookmarkEnd w:id="46"/>
      <w:bookmarkEnd w:id="47"/>
      <w:bookmarkEnd w:id="48"/>
      <w:bookmarkEnd w:id="49"/>
    </w:p>
    <w:p w14:paraId="701F80FC">
      <w:pPr>
        <w:pStyle w:val="4"/>
        <w:numPr>
          <w:ilvl w:val="2"/>
          <w:numId w:val="5"/>
        </w:numPr>
        <w:bidi w:val="0"/>
        <w:ind w:left="0" w:leftChars="0" w:firstLine="0" w:firstLineChars="0"/>
        <w:rPr>
          <w:rFonts w:hint="eastAsia"/>
          <w:lang w:val="en-US" w:eastAsia="zh-CN"/>
        </w:rPr>
      </w:pPr>
      <w:r>
        <w:rPr>
          <w:rFonts w:hint="eastAsia"/>
          <w:lang w:val="en-US" w:eastAsia="zh-CN"/>
        </w:rPr>
        <w:t>日常保养</w:t>
      </w:r>
    </w:p>
    <w:p w14:paraId="58CF26E1">
      <w:pPr>
        <w:ind w:firstLine="480" w:firstLineChars="200"/>
        <w:rPr>
          <w:rFonts w:hint="eastAsia"/>
          <w:highlight w:val="none"/>
          <w:lang w:val="en-US" w:eastAsia="zh-CN"/>
        </w:rPr>
      </w:pPr>
      <w:r>
        <w:rPr>
          <w:rFonts w:hint="eastAsia"/>
          <w:highlight w:val="none"/>
          <w:lang w:val="en-US" w:eastAsia="zh-CN"/>
        </w:rPr>
        <w:t>每班前进行检查，并做好检查记录。</w:t>
      </w:r>
    </w:p>
    <w:p w14:paraId="47103B17">
      <w:pPr>
        <w:ind w:firstLine="480" w:firstLineChars="200"/>
        <w:rPr>
          <w:rFonts w:hint="eastAsia"/>
          <w:highlight w:val="none"/>
          <w:lang w:val="en-US" w:eastAsia="zh-CN"/>
        </w:rPr>
      </w:pPr>
      <w:r>
        <w:rPr>
          <w:rFonts w:hint="eastAsia"/>
          <w:highlight w:val="none"/>
          <w:lang w:val="en-US" w:eastAsia="zh-CN"/>
        </w:rPr>
        <w:t>（1）检查各减速机油量，如低于规定油面高度时，应及时加油，油质必须纯净，不得含有腐蚀剂或有不清洁的油混入，加油时应使用过滤网进行过滤。</w:t>
      </w:r>
    </w:p>
    <w:p w14:paraId="7CCB5E6A">
      <w:pPr>
        <w:ind w:firstLine="480" w:firstLineChars="200"/>
        <w:rPr>
          <w:rFonts w:hint="eastAsia"/>
          <w:highlight w:val="none"/>
          <w:lang w:val="en-US" w:eastAsia="zh-CN"/>
        </w:rPr>
      </w:pPr>
      <w:r>
        <w:rPr>
          <w:rFonts w:hint="eastAsia"/>
          <w:highlight w:val="none"/>
          <w:lang w:val="en-US" w:eastAsia="zh-CN"/>
        </w:rPr>
        <w:t>（2）检查电源电缆线有无损坏、各连接处有无松动与磨损，消除电器设备的灰尘。检查各接触器、控制器的触头接触情况及腐蚀程度。</w:t>
      </w:r>
    </w:p>
    <w:p w14:paraId="5339EB72">
      <w:pPr>
        <w:ind w:firstLine="480" w:firstLineChars="200"/>
        <w:rPr>
          <w:rFonts w:hint="eastAsia"/>
          <w:highlight w:val="none"/>
          <w:lang w:val="en-US" w:eastAsia="zh-CN"/>
        </w:rPr>
      </w:pPr>
      <w:r>
        <w:rPr>
          <w:rFonts w:hint="eastAsia"/>
          <w:highlight w:val="none"/>
          <w:lang w:val="en-US" w:eastAsia="zh-CN"/>
        </w:rPr>
        <w:t>（3）检查各连接螺栓是否有松动或脱落，如有松动或脱落现象应及时拧紧或添补。</w:t>
      </w:r>
    </w:p>
    <w:p w14:paraId="6F4D50A3">
      <w:pPr>
        <w:ind w:firstLine="480" w:firstLineChars="200"/>
        <w:rPr>
          <w:rFonts w:hint="eastAsia"/>
          <w:highlight w:val="none"/>
          <w:lang w:val="en-US" w:eastAsia="zh-CN"/>
        </w:rPr>
      </w:pPr>
      <w:r>
        <w:rPr>
          <w:rFonts w:hint="eastAsia"/>
          <w:highlight w:val="none"/>
          <w:lang w:val="en-US" w:eastAsia="zh-CN"/>
        </w:rPr>
        <w:t>（4）检查各其重钢丝绳及牵引钢丝绳，如发现有断股或名义直径磨损超过5%的，应及时更换新钢丝绳。检查钢丝绳固定处是否牢固，绳卡螺栓是否松动，并及时进行处理。</w:t>
      </w:r>
    </w:p>
    <w:p w14:paraId="1A944430">
      <w:pPr>
        <w:ind w:firstLine="480" w:firstLineChars="200"/>
        <w:rPr>
          <w:rFonts w:hint="eastAsia"/>
          <w:highlight w:val="none"/>
          <w:lang w:val="en-US" w:eastAsia="zh-CN"/>
        </w:rPr>
      </w:pPr>
      <w:r>
        <w:rPr>
          <w:rFonts w:hint="eastAsia"/>
          <w:highlight w:val="none"/>
          <w:lang w:val="en-US" w:eastAsia="zh-CN"/>
        </w:rPr>
        <w:t>（5）检查各安全装置有无失灵，尤其是起重力矩和起重量限位器，如发现有可疑现象时，必须进行调整维修，确保其工作可靠性。检查起升和回转机构的制动效能，如不十分灵敏可靠，应及时进行维修调整。</w:t>
      </w:r>
    </w:p>
    <w:p w14:paraId="4E7F1942">
      <w:pPr>
        <w:pStyle w:val="4"/>
        <w:numPr>
          <w:ilvl w:val="2"/>
          <w:numId w:val="5"/>
        </w:numPr>
        <w:bidi w:val="0"/>
        <w:ind w:left="0" w:leftChars="0" w:firstLine="0" w:firstLineChars="0"/>
        <w:rPr>
          <w:rFonts w:hint="eastAsia"/>
          <w:lang w:val="en-US" w:eastAsia="zh-CN"/>
        </w:rPr>
      </w:pPr>
      <w:r>
        <w:rPr>
          <w:rFonts w:hint="eastAsia"/>
          <w:lang w:val="en-US" w:eastAsia="zh-CN"/>
        </w:rPr>
        <w:t>定期保养</w:t>
      </w:r>
    </w:p>
    <w:p w14:paraId="664AEC0A">
      <w:pPr>
        <w:ind w:firstLine="480" w:firstLineChars="200"/>
        <w:rPr>
          <w:rFonts w:hint="eastAsia"/>
          <w:highlight w:val="none"/>
          <w:lang w:val="en-US" w:eastAsia="zh-CN"/>
        </w:rPr>
      </w:pPr>
      <w:r>
        <w:rPr>
          <w:rFonts w:hint="eastAsia"/>
          <w:highlight w:val="none"/>
          <w:lang w:val="en-US" w:eastAsia="zh-CN"/>
        </w:rPr>
        <w:t>每半月一次，并做好检查保养记录。</w:t>
      </w:r>
    </w:p>
    <w:p w14:paraId="6FD2C3FD">
      <w:pPr>
        <w:ind w:firstLine="480" w:firstLineChars="200"/>
        <w:rPr>
          <w:rFonts w:hint="eastAsia"/>
          <w:highlight w:val="none"/>
          <w:lang w:val="en-US" w:eastAsia="zh-CN"/>
        </w:rPr>
      </w:pPr>
      <w:r>
        <w:rPr>
          <w:rFonts w:hint="eastAsia"/>
          <w:highlight w:val="none"/>
          <w:lang w:val="en-US" w:eastAsia="zh-CN"/>
        </w:rPr>
        <w:t>（1）对起升导向滑轮及拉杆与支座配合处、变幅小车滑轮及车轮吊钩组滑轮、回转支承等处压注4#钙基润滑脂。</w:t>
      </w:r>
    </w:p>
    <w:p w14:paraId="263B52F7">
      <w:pPr>
        <w:ind w:firstLine="480" w:firstLineChars="200"/>
        <w:rPr>
          <w:rFonts w:hint="eastAsia"/>
          <w:highlight w:val="none"/>
          <w:lang w:val="en-US" w:eastAsia="zh-CN"/>
        </w:rPr>
      </w:pPr>
      <w:r>
        <w:rPr>
          <w:rFonts w:hint="eastAsia"/>
          <w:highlight w:val="none"/>
          <w:lang w:val="en-US" w:eastAsia="zh-CN"/>
        </w:rPr>
        <w:t>（2）因钢丝绳在经过一段时间使用后，长度拉长，应重新调整起升和变幅钢丝绳，并重新调整起升高度限位器及变幅限位器。</w:t>
      </w:r>
    </w:p>
    <w:p w14:paraId="4D225BC9">
      <w:pPr>
        <w:ind w:firstLine="480" w:firstLineChars="200"/>
        <w:rPr>
          <w:rFonts w:hint="eastAsia"/>
          <w:highlight w:val="none"/>
          <w:lang w:val="en-US" w:eastAsia="zh-CN"/>
        </w:rPr>
      </w:pPr>
      <w:r>
        <w:rPr>
          <w:rFonts w:hint="eastAsia"/>
          <w:highlight w:val="none"/>
          <w:lang w:val="en-US" w:eastAsia="zh-CN"/>
        </w:rPr>
        <w:t>（3）对各零部件的连接螺栓、钢丝绳压板及绳卡处的螺栓或螺母应重新紧固一次，必要时应更换，对各用电或输电设备的绝缘性进行检查，不得有漏电现象。</w:t>
      </w:r>
    </w:p>
    <w:p w14:paraId="1D33E76A">
      <w:pPr>
        <w:pStyle w:val="4"/>
        <w:numPr>
          <w:ilvl w:val="2"/>
          <w:numId w:val="5"/>
        </w:numPr>
        <w:bidi w:val="0"/>
        <w:ind w:left="0" w:leftChars="0" w:firstLine="0" w:firstLineChars="0"/>
        <w:rPr>
          <w:rFonts w:hint="eastAsia"/>
          <w:lang w:val="en-US" w:eastAsia="zh-CN"/>
        </w:rPr>
      </w:pPr>
      <w:r>
        <w:rPr>
          <w:rFonts w:hint="eastAsia"/>
          <w:lang w:val="en-US" w:eastAsia="zh-CN"/>
        </w:rPr>
        <w:t>定期检查</w:t>
      </w:r>
    </w:p>
    <w:p w14:paraId="69DA70CF">
      <w:pPr>
        <w:ind w:firstLine="480" w:firstLineChars="200"/>
        <w:rPr>
          <w:rFonts w:hint="eastAsia"/>
          <w:highlight w:val="none"/>
          <w:lang w:val="en-US" w:eastAsia="zh-CN"/>
        </w:rPr>
      </w:pPr>
      <w:r>
        <w:rPr>
          <w:rFonts w:hint="eastAsia"/>
          <w:highlight w:val="none"/>
          <w:lang w:val="en-US" w:eastAsia="zh-CN"/>
        </w:rPr>
        <w:t>半年进行一次定期检查，并做好检查处理记录。</w:t>
      </w:r>
    </w:p>
    <w:p w14:paraId="4A9AD57A">
      <w:pPr>
        <w:ind w:firstLine="480" w:firstLineChars="200"/>
        <w:rPr>
          <w:rFonts w:hint="eastAsia"/>
          <w:highlight w:val="none"/>
          <w:lang w:val="en-US" w:eastAsia="zh-CN"/>
        </w:rPr>
      </w:pPr>
      <w:r>
        <w:rPr>
          <w:rFonts w:hint="eastAsia"/>
          <w:highlight w:val="none"/>
          <w:lang w:val="en-US" w:eastAsia="zh-CN"/>
        </w:rPr>
        <w:t>（1）在经过运输或存放过程后，应防止损坏金属结构件，并防止结构件变形。如有碰损、整体扭曲或变形，未经修复时，不得使用。</w:t>
      </w:r>
    </w:p>
    <w:p w14:paraId="35D7C50A">
      <w:pPr>
        <w:ind w:firstLine="480" w:firstLineChars="200"/>
        <w:rPr>
          <w:rFonts w:hint="eastAsia"/>
          <w:highlight w:val="none"/>
          <w:lang w:val="en-US" w:eastAsia="zh-CN"/>
        </w:rPr>
      </w:pPr>
      <w:r>
        <w:rPr>
          <w:rFonts w:hint="eastAsia"/>
          <w:highlight w:val="none"/>
          <w:lang w:val="en-US" w:eastAsia="zh-CN"/>
        </w:rPr>
        <w:t>（2）检查各结构件和部件机构有无在材料焊接区出现裂纹、腐蚀等情况，如有可疑现象，必须进行修复，未经修复不得使用。</w:t>
      </w:r>
    </w:p>
    <w:p w14:paraId="37DA6A29">
      <w:pPr>
        <w:ind w:firstLine="480" w:firstLineChars="200"/>
        <w:rPr>
          <w:rFonts w:hint="eastAsia"/>
          <w:highlight w:val="none"/>
          <w:lang w:val="en-US" w:eastAsia="zh-CN"/>
        </w:rPr>
      </w:pPr>
      <w:r>
        <w:rPr>
          <w:rFonts w:hint="eastAsia"/>
          <w:highlight w:val="none"/>
          <w:lang w:val="en-US" w:eastAsia="zh-CN"/>
        </w:rPr>
        <w:t>（3）对各连接螺栓、销轴，如发现有过度磨损或变形，应予更换。</w:t>
      </w:r>
    </w:p>
    <w:p w14:paraId="28091E3E">
      <w:pPr>
        <w:ind w:firstLine="480" w:firstLineChars="200"/>
        <w:rPr>
          <w:rFonts w:hint="eastAsia"/>
          <w:highlight w:val="none"/>
          <w:lang w:val="en-US" w:eastAsia="zh-CN"/>
        </w:rPr>
      </w:pPr>
      <w:r>
        <w:rPr>
          <w:rFonts w:hint="eastAsia"/>
          <w:highlight w:val="none"/>
          <w:lang w:val="en-US" w:eastAsia="zh-CN"/>
        </w:rPr>
        <w:t>（4）清洗各减速器，并加注润滑油，拆卸后清洗滚动轴承和滑动轴承，装配时加注润滑脂。</w:t>
      </w:r>
    </w:p>
    <w:p w14:paraId="0894EE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（5）对回转齿轮涂抹润滑脂。</w:t>
      </w:r>
    </w:p>
    <w:p w14:paraId="04574B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（6）检查调整各制动器和安全装置。</w:t>
      </w:r>
    </w:p>
    <w:p w14:paraId="003AEF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（7）检修或更换磨损较大的零部件，如小车行走轮、各滑轮及滑动轴承、回转机械小齿轮等。</w:t>
      </w:r>
    </w:p>
    <w:p w14:paraId="019E0D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（8）检修或更换起重及变幅钢丝绳。</w:t>
      </w:r>
    </w:p>
    <w:p w14:paraId="252621B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（9）检修各电器操纵控制系统，清除各电器元件上的尘土污垢及锈斑，并检测线圈绝缘情况，检修或更换电线电缆。</w:t>
      </w:r>
    </w:p>
    <w:p w14:paraId="4A9B3D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（10）塔机应每半年油漆一次，工程结束后，必须对各部件喷刷漆一次。</w:t>
      </w:r>
    </w:p>
    <w:p w14:paraId="2140E586">
      <w:pPr>
        <w:pStyle w:val="4"/>
        <w:numPr>
          <w:ilvl w:val="2"/>
          <w:numId w:val="5"/>
        </w:numPr>
        <w:bidi w:val="0"/>
        <w:ind w:left="0" w:leftChars="0" w:firstLine="0" w:firstLineChars="0"/>
        <w:rPr>
          <w:rFonts w:hint="eastAsia"/>
          <w:lang w:val="en-US" w:eastAsia="zh-CN"/>
        </w:rPr>
      </w:pPr>
      <w:r>
        <w:rPr>
          <w:rFonts w:hint="eastAsia"/>
          <w:lang w:val="en-US" w:eastAsia="zh-CN"/>
        </w:rPr>
        <w:t>液压顶升系统的维护保养</w:t>
      </w:r>
    </w:p>
    <w:p w14:paraId="3D88B1C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（1）液压泵站使用的液压油，应严格按照使用说明书的规定进行加注或更换，并定期清洗油箱。</w:t>
      </w:r>
    </w:p>
    <w:p w14:paraId="5F1A75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（2）溢流阀压力调整后，不得随意变动，每次顶升前，应用油压表检查其压力是否正常。</w:t>
      </w:r>
    </w:p>
    <w:p w14:paraId="666B74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（3）检查各油管接头是否紧固严密，不得有漏油现象。</w:t>
      </w:r>
    </w:p>
    <w:p w14:paraId="67C0D6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（4）定期检查滤油器是否堵塞、安全阀调整值是否改变。</w:t>
      </w:r>
    </w:p>
    <w:p w14:paraId="368F6C5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（5）发现油泵、油缸、控制阀有渗漏，应及时进行检修或更换。</w:t>
      </w:r>
    </w:p>
    <w:p w14:paraId="36FB87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（6）在冬季启动时，应开开停停，反复数次，待油温上升，控制阀动作灵敏后，再正常使用。</w:t>
      </w:r>
    </w:p>
    <w:p w14:paraId="23618D9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（7）总装和大修后，每一次启动油泵，应先检查出入口是否接反、电机转动方向是否正确、吸油管道是否漏气，然后用手盘动试转，最后按规定转向起动和试车。</w:t>
      </w:r>
    </w:p>
    <w:p w14:paraId="1ED56527">
      <w:pPr>
        <w:pStyle w:val="4"/>
        <w:numPr>
          <w:ilvl w:val="2"/>
          <w:numId w:val="5"/>
        </w:numPr>
        <w:bidi w:val="0"/>
        <w:ind w:left="0" w:leftChars="0" w:firstLine="0" w:firstLineChars="0"/>
        <w:rPr>
          <w:rFonts w:hint="eastAsia"/>
          <w:lang w:val="en-US" w:eastAsia="zh-CN"/>
        </w:rPr>
      </w:pPr>
      <w:r>
        <w:rPr>
          <w:rFonts w:hint="eastAsia"/>
          <w:lang w:val="en-US" w:eastAsia="zh-CN"/>
        </w:rPr>
        <w:t>其他</w:t>
      </w:r>
    </w:p>
    <w:p w14:paraId="3191921D">
      <w:pPr>
        <w:ind w:firstLine="480" w:firstLineChars="200"/>
        <w:rPr>
          <w:rFonts w:hint="eastAsia"/>
          <w:highlight w:val="none"/>
          <w:lang w:val="en-US" w:eastAsia="zh-CN"/>
        </w:rPr>
      </w:pPr>
      <w:r>
        <w:rPr>
          <w:rFonts w:hint="eastAsia"/>
          <w:highlight w:val="none"/>
          <w:lang w:val="en-US" w:eastAsia="zh-CN"/>
        </w:rPr>
        <w:t>电机、起升制动器及其他部件的维护保养详见使用说明书。</w:t>
      </w:r>
    </w:p>
    <w:p w14:paraId="398A3FB3">
      <w:pPr>
        <w:pStyle w:val="3"/>
        <w:numPr>
          <w:ilvl w:val="1"/>
          <w:numId w:val="5"/>
        </w:numPr>
        <w:bidi w:val="0"/>
        <w:ind w:left="567" w:leftChars="0" w:hanging="567" w:firstLineChars="0"/>
        <w:rPr>
          <w:rFonts w:hint="default" w:ascii="宋体" w:hAnsi="宋体" w:eastAsia="宋体" w:cs="宋体"/>
          <w:lang w:val="en-US" w:eastAsia="zh-CN"/>
        </w:rPr>
      </w:pPr>
      <w:bookmarkStart w:id="50" w:name="_Toc23487"/>
      <w:bookmarkStart w:id="51" w:name="_Toc4092"/>
      <w:bookmarkStart w:id="52" w:name="_Toc3677"/>
      <w:bookmarkStart w:id="53" w:name="_Toc4173"/>
      <w:bookmarkStart w:id="54" w:name="_Toc15269"/>
      <w:bookmarkStart w:id="55" w:name="_Toc7966"/>
      <w:r>
        <w:rPr>
          <w:rFonts w:hint="eastAsia" w:ascii="宋体" w:hAnsi="宋体" w:eastAsia="宋体" w:cs="宋体"/>
          <w:lang w:val="en-US" w:eastAsia="zh-CN"/>
        </w:rPr>
        <w:t>检查要求</w:t>
      </w:r>
      <w:bookmarkEnd w:id="50"/>
      <w:bookmarkEnd w:id="51"/>
      <w:bookmarkEnd w:id="52"/>
      <w:bookmarkEnd w:id="53"/>
      <w:bookmarkEnd w:id="54"/>
      <w:bookmarkEnd w:id="55"/>
    </w:p>
    <w:p w14:paraId="469C9D9B">
      <w:pPr>
        <w:ind w:firstLine="480" w:firstLineChars="200"/>
        <w:rPr>
          <w:rFonts w:hint="eastAsia"/>
          <w:highlight w:val="none"/>
          <w:lang w:val="en-US" w:eastAsia="zh-CN"/>
        </w:rPr>
      </w:pPr>
      <w:r>
        <w:rPr>
          <w:rFonts w:hint="eastAsia"/>
          <w:highlight w:val="none"/>
          <w:lang w:val="en-US" w:eastAsia="zh-CN"/>
        </w:rPr>
        <w:t>在试运转之前，必须检查金属结构、各动力设备、传动机构、电气设备、安全装置、钢丝绳吊钩及液压油管等是否完好；确认合格后，才可进行试运转。</w:t>
      </w:r>
    </w:p>
    <w:p w14:paraId="36566555">
      <w:pPr>
        <w:pStyle w:val="4"/>
        <w:numPr>
          <w:ilvl w:val="1"/>
          <w:numId w:val="5"/>
        </w:numPr>
        <w:tabs>
          <w:tab w:val="left" w:pos="240"/>
          <w:tab w:val="clear" w:pos="312"/>
        </w:tabs>
        <w:bidi w:val="0"/>
        <w:ind w:left="567" w:leftChars="0" w:hanging="567" w:firstLineChars="0"/>
        <w:rPr>
          <w:rFonts w:hint="default" w:ascii="宋体" w:hAnsi="宋体" w:eastAsia="宋体" w:cs="宋体"/>
          <w:lang w:val="en-US" w:eastAsia="zh-CN"/>
        </w:rPr>
      </w:pPr>
      <w:bookmarkStart w:id="56" w:name="_Toc15680"/>
      <w:bookmarkStart w:id="57" w:name="_Toc29217"/>
      <w:bookmarkStart w:id="58" w:name="_Toc18866"/>
      <w:r>
        <w:rPr>
          <w:rFonts w:hint="eastAsia" w:ascii="宋体" w:hAnsi="宋体" w:eastAsia="宋体" w:cs="宋体"/>
          <w:lang w:val="en-US" w:eastAsia="zh-CN"/>
        </w:rPr>
        <w:t>检查内容</w:t>
      </w:r>
      <w:bookmarkEnd w:id="56"/>
      <w:bookmarkEnd w:id="57"/>
      <w:bookmarkEnd w:id="58"/>
    </w:p>
    <w:p w14:paraId="6131B8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吊装过程主要材料、机械设备进场质量检查、抽检；</w:t>
      </w:r>
    </w:p>
    <w:p w14:paraId="54CED7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试吊作业方案及试吊前对照专项施工方案有关工序、工艺、工法安全质量检查内容；</w:t>
      </w:r>
    </w:p>
    <w:p w14:paraId="54539A1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金属机构有无变形、缺损，焊缝有无裂纹，螺栓是否拧紧、上齐；</w:t>
      </w:r>
    </w:p>
    <w:p w14:paraId="01A00A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w:t>
      </w:r>
      <w:r>
        <w:rPr>
          <w:rFonts w:hint="default"/>
          <w:highlight w:val="none"/>
          <w:lang w:val="en-US" w:eastAsia="zh-CN"/>
        </w:rPr>
        <w:t>零部件是否齐全，转动机构是否能正常转动，转动时有无异响；</w:t>
      </w:r>
    </w:p>
    <w:p w14:paraId="42B80F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w:t>
      </w:r>
      <w:r>
        <w:rPr>
          <w:rFonts w:hint="default"/>
          <w:highlight w:val="none"/>
          <w:lang w:val="en-US" w:eastAsia="zh-CN"/>
        </w:rPr>
        <w:t>钢丝绳的穿绕是否正确；绳头固定是否正确、牢固、可靠；</w:t>
      </w:r>
    </w:p>
    <w:p w14:paraId="707BD5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w:t>
      </w:r>
      <w:r>
        <w:rPr>
          <w:rFonts w:hint="default"/>
          <w:highlight w:val="none"/>
          <w:lang w:val="en-US" w:eastAsia="zh-CN"/>
        </w:rPr>
        <w:t>各限位开关、幅度检测、吨位传感器、风速仪、航空安全灯等电器元件及其线路是否完好并联接正确；连接是否可靠；</w:t>
      </w:r>
    </w:p>
    <w:p w14:paraId="4919FD4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w:t>
      </w:r>
      <w:r>
        <w:rPr>
          <w:rFonts w:hint="default"/>
          <w:highlight w:val="none"/>
          <w:lang w:val="en-US" w:eastAsia="zh-CN"/>
        </w:rPr>
        <w:t>部件上应安装的附件是否均已安装，且安装正确；</w:t>
      </w:r>
    </w:p>
    <w:p w14:paraId="5CD1D1F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w:t>
      </w:r>
      <w:r>
        <w:rPr>
          <w:rFonts w:hint="default"/>
          <w:highlight w:val="none"/>
          <w:lang w:val="en-US" w:eastAsia="zh-CN"/>
        </w:rPr>
        <w:t>核查平衡重的连接方式及重量是否正确无误；</w:t>
      </w:r>
    </w:p>
    <w:p w14:paraId="6370A01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）塔机</w:t>
      </w:r>
      <w:r>
        <w:rPr>
          <w:rFonts w:hint="default"/>
          <w:highlight w:val="none"/>
          <w:lang w:val="en-US" w:eastAsia="zh-CN"/>
        </w:rPr>
        <w:t>试验分为空负荷试验、静负荷试验和动负荷试验三个部分。</w:t>
      </w:r>
    </w:p>
    <w:p w14:paraId="4C146DE3">
      <w:pPr>
        <w:pStyle w:val="4"/>
        <w:numPr>
          <w:ilvl w:val="2"/>
          <w:numId w:val="5"/>
        </w:numPr>
        <w:bidi w:val="0"/>
        <w:ind w:left="0" w:leftChars="0" w:firstLine="0" w:firstLineChars="0"/>
        <w:rPr>
          <w:rFonts w:hint="default"/>
          <w:lang w:val="en-US" w:eastAsia="zh-CN"/>
        </w:rPr>
      </w:pPr>
      <w:bookmarkStart w:id="59" w:name="_Toc25780"/>
      <w:bookmarkStart w:id="60" w:name="_Toc8784"/>
      <w:bookmarkStart w:id="61" w:name="_Toc9762"/>
      <w:r>
        <w:rPr>
          <w:rFonts w:hint="eastAsia"/>
          <w:lang w:val="en-US" w:eastAsia="zh-CN"/>
        </w:rPr>
        <w:t>空负荷试验</w:t>
      </w:r>
      <w:bookmarkEnd w:id="59"/>
      <w:bookmarkEnd w:id="60"/>
      <w:bookmarkEnd w:id="61"/>
    </w:p>
    <w:p w14:paraId="79E3B9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空负荷试验的目的是检验电气设备控制动作的正确性，各机构工作的准确性，并调整各安全限位指示装置。空负荷试验的内容是在不悬挂重物的状态下，试验各机构的操作系统。</w:t>
      </w:r>
    </w:p>
    <w:p w14:paraId="67A0D3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（1）各</w:t>
      </w:r>
      <w:r>
        <w:rPr>
          <w:rFonts w:hint="eastAsia"/>
          <w:highlight w:val="none"/>
          <w:lang w:val="en-US" w:eastAsia="zh-CN"/>
        </w:rPr>
        <w:t>塔机</w:t>
      </w:r>
      <w:r>
        <w:rPr>
          <w:rFonts w:hint="default"/>
          <w:highlight w:val="none"/>
          <w:lang w:val="en-US" w:eastAsia="zh-CN"/>
        </w:rPr>
        <w:t>在其各自有效的工作幅度之间以额定速度行走全程，空钩提升、下降各3次；</w:t>
      </w:r>
    </w:p>
    <w:p w14:paraId="2EBEC41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（2）使吊钩处于</w:t>
      </w:r>
      <w:r>
        <w:rPr>
          <w:rFonts w:hint="eastAsia"/>
          <w:highlight w:val="none"/>
          <w:lang w:val="en-US" w:eastAsia="zh-CN"/>
        </w:rPr>
        <w:t>最大</w:t>
      </w:r>
      <w:r>
        <w:rPr>
          <w:rFonts w:hint="default"/>
          <w:highlight w:val="none"/>
          <w:lang w:val="en-US" w:eastAsia="zh-CN"/>
        </w:rPr>
        <w:t>幅度，左、右向回转；</w:t>
      </w:r>
    </w:p>
    <w:p w14:paraId="098FCDC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在不同时起、制动的条件下，作起升和回转机构的任两种机构的联合动作10分钟。运行过程中各机构不得发生任何异常现象，各机构制动器、操作系统、控制系统、联锁装置及各限位器、限制器应动作准确、可靠，否则应及时排除故障。</w:t>
      </w:r>
    </w:p>
    <w:p w14:paraId="18999CFD">
      <w:pPr>
        <w:pStyle w:val="4"/>
        <w:numPr>
          <w:ilvl w:val="2"/>
          <w:numId w:val="5"/>
        </w:numPr>
        <w:bidi w:val="0"/>
        <w:ind w:left="0" w:leftChars="0" w:firstLine="0" w:firstLineChars="0"/>
        <w:rPr>
          <w:rFonts w:hint="default"/>
          <w:lang w:val="en-US" w:eastAsia="zh-CN"/>
        </w:rPr>
      </w:pPr>
      <w:bookmarkStart w:id="62" w:name="_Toc18760"/>
      <w:bookmarkStart w:id="63" w:name="_Toc9906"/>
      <w:bookmarkStart w:id="64" w:name="_Toc921"/>
      <w:r>
        <w:rPr>
          <w:rFonts w:hint="eastAsia"/>
          <w:lang w:val="en-US" w:eastAsia="zh-CN"/>
        </w:rPr>
        <w:t>静负荷试验</w:t>
      </w:r>
      <w:bookmarkEnd w:id="62"/>
      <w:bookmarkEnd w:id="63"/>
      <w:bookmarkEnd w:id="64"/>
    </w:p>
    <w:p w14:paraId="0B1C68ED">
      <w:pPr>
        <w:ind w:firstLine="480" w:firstLineChars="200"/>
        <w:rPr>
          <w:rFonts w:hint="default"/>
          <w:highlight w:val="none"/>
          <w:lang w:val="en-US" w:eastAsia="zh-CN"/>
        </w:rPr>
      </w:pPr>
      <w:r>
        <w:rPr>
          <w:rFonts w:hint="default"/>
          <w:highlight w:val="none"/>
          <w:lang w:val="en-US" w:eastAsia="zh-CN"/>
        </w:rPr>
        <w:t>在空负荷试验及调整完成后，进行静负荷试验，以检验各部钢结构、机构的强度、刚度及制动的可靠性、起重机静态的稳定性；在最大幅度处分别吊对应额定起重量的25％，50％，75％，100％，按空载试验要求进行试验。运行过程中不得发生任何异常现象，各机构制动器、操作系统、控制系统、联锁装置及各限位器、限制器应动作准确、可靠。</w:t>
      </w:r>
    </w:p>
    <w:p w14:paraId="1B9A5459">
      <w:pPr>
        <w:pStyle w:val="4"/>
        <w:numPr>
          <w:ilvl w:val="2"/>
          <w:numId w:val="5"/>
        </w:numPr>
        <w:bidi w:val="0"/>
        <w:ind w:left="0" w:leftChars="0" w:firstLine="0" w:firstLineChars="0"/>
        <w:rPr>
          <w:rFonts w:hint="default"/>
          <w:lang w:val="en-US" w:eastAsia="zh-CN"/>
        </w:rPr>
      </w:pPr>
      <w:bookmarkStart w:id="65" w:name="_Toc29119"/>
      <w:bookmarkStart w:id="66" w:name="_Toc969"/>
      <w:bookmarkStart w:id="67" w:name="_Toc9563"/>
      <w:r>
        <w:rPr>
          <w:rFonts w:hint="eastAsia"/>
          <w:lang w:val="en-US" w:eastAsia="zh-CN"/>
        </w:rPr>
        <w:t>动负荷试验</w:t>
      </w:r>
      <w:bookmarkEnd w:id="65"/>
      <w:bookmarkEnd w:id="66"/>
      <w:bookmarkEnd w:id="67"/>
    </w:p>
    <w:p w14:paraId="5DAE574F">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超载25%静态</w:t>
      </w:r>
      <w:r>
        <w:rPr>
          <w:rFonts w:hint="eastAsia" w:ascii="宋体" w:hAnsi="宋体" w:eastAsia="宋体" w:cs="宋体"/>
          <w:color w:val="000000"/>
          <w:sz w:val="24"/>
          <w:szCs w:val="24"/>
          <w:highlight w:val="none"/>
          <w:lang w:val="en-US" w:eastAsia="zh-CN"/>
        </w:rPr>
        <w:t>试验</w:t>
      </w:r>
      <w:r>
        <w:rPr>
          <w:rFonts w:hint="eastAsia" w:ascii="宋体" w:hAnsi="宋体" w:eastAsia="宋体" w:cs="宋体"/>
          <w:color w:val="000000"/>
          <w:sz w:val="24"/>
          <w:szCs w:val="24"/>
          <w:highlight w:val="none"/>
        </w:rPr>
        <w:t>（四倍率）</w:t>
      </w:r>
    </w:p>
    <w:p w14:paraId="14F6AFE2">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空载试验、负荷试验合格后，进行静态超载实验。根据不同起重臂长，静态超载实验载荷如表下表所示。</w:t>
      </w:r>
    </w:p>
    <w:p w14:paraId="6015A5FE">
      <w:pPr>
        <w:pStyle w:val="15"/>
        <w:rPr>
          <w:rFonts w:hint="default" w:eastAsia="黑体"/>
          <w:highlight w:val="none"/>
          <w:lang w:val="en-US" w:eastAsia="zh-CN"/>
        </w:rPr>
      </w:pPr>
      <w:r>
        <w:t xml:space="preserve">表 </w:t>
      </w:r>
      <w:r>
        <w:fldChar w:fldCharType="begin"/>
      </w:r>
      <w:r>
        <w:instrText xml:space="preserve"> STYLEREF 2 \s </w:instrText>
      </w:r>
      <w:r>
        <w:fldChar w:fldCharType="separate"/>
      </w:r>
      <w:r>
        <w:t>2.15</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Times New Roman" w:hAnsi="Times New Roman" w:cs="Times New Roman"/>
          <w:highlight w:val="none"/>
          <w:lang w:val="en-US" w:eastAsia="zh-CN"/>
        </w:rPr>
        <w:t>静态试验</w:t>
      </w:r>
      <w:r>
        <w:rPr>
          <w:rFonts w:hint="eastAsia"/>
          <w:highlight w:val="none"/>
          <w:lang w:val="en-US" w:eastAsia="zh-CN"/>
        </w:rPr>
        <w:t>荷载表</w:t>
      </w:r>
    </w:p>
    <w:tbl>
      <w:tblPr>
        <w:tblStyle w:val="28"/>
        <w:tblW w:w="8438"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3C15E5A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4F4F1" w:themeFill="accent5" w:themeFillTint="32"/>
            <w:noWrap w:val="0"/>
            <w:vAlign w:val="top"/>
            <mc:AlternateContent>
              <mc:Choice Requires="wpsCustomData">
                <wpsCustomData:diagonals>
                  <wpsCustomData:diagonal from="30000" to="10000">
                    <wpsCustomData:border w:val="single" w:color="238F86" w:themeColor="accent5" w:themeShade="BF" w:sz="4" w:space="0"/>
                  </wpsCustomData:diagonal>
                </wpsCustomData:diagonals>
              </mc:Choice>
            </mc:AlternateContent>
          </w:tcPr>
          <w:p w14:paraId="3BB3AE35">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19B4CFC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4F4F1" w:themeFill="accent5" w:themeFillTint="32"/>
            <w:noWrap w:val="0"/>
            <w:vAlign w:val="center"/>
          </w:tcPr>
          <w:p w14:paraId="4926FE1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4F4F1" w:themeFill="accent5" w:themeFillTint="32"/>
            <w:noWrap w:val="0"/>
            <w:vAlign w:val="center"/>
          </w:tcPr>
          <w:p w14:paraId="382BD6A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4F4F1" w:themeFill="accent5" w:themeFillTint="32"/>
            <w:noWrap w:val="0"/>
            <w:vAlign w:val="center"/>
          </w:tcPr>
          <w:p w14:paraId="6FC8421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4F4F1" w:themeFill="accent5" w:themeFillTint="32"/>
            <w:noWrap w:val="0"/>
            <w:vAlign w:val="center"/>
          </w:tcPr>
          <w:p w14:paraId="338CEC0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097C6F4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439C64F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45m</w:t>
            </w:r>
          </w:p>
        </w:tc>
        <w:tc>
          <w:tcPr>
            <w:tcW w:w="1641" w:type="dxa"/>
            <w:tcBorders>
              <w:tl2br w:val="nil"/>
              <w:tr2bl w:val="nil"/>
            </w:tcBorders>
            <w:noWrap w:val="0"/>
            <w:vAlign w:val="center"/>
          </w:tcPr>
          <w:p w14:paraId="615EE4B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20.9</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5C7E2AB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12.5</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1C4BDBA2">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45m</w:t>
            </w:r>
          </w:p>
        </w:tc>
        <w:tc>
          <w:tcPr>
            <w:tcW w:w="1674" w:type="dxa"/>
            <w:tcBorders>
              <w:tl2br w:val="nil"/>
              <w:tr2bl w:val="nil"/>
            </w:tcBorders>
            <w:noWrap w:val="0"/>
            <w:vAlign w:val="center"/>
          </w:tcPr>
          <w:p w14:paraId="35ECC92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5.03</w:t>
            </w:r>
            <w:r>
              <w:rPr>
                <w:rFonts w:hint="eastAsia" w:ascii="宋体" w:hAnsi="宋体" w:eastAsia="宋体" w:cs="宋体"/>
                <w:color w:val="000000"/>
                <w:sz w:val="21"/>
                <w:szCs w:val="21"/>
                <w:highlight w:val="none"/>
              </w:rPr>
              <w:t>t</w:t>
            </w:r>
          </w:p>
        </w:tc>
      </w:tr>
    </w:tbl>
    <w:p w14:paraId="443A9BA8">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在以上幅度Ⅰ、幅度Ⅱ处以最低安全速度将对应的吊重吊离地面100</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200mm处，并在吊钩上逐次增加重</w:t>
      </w:r>
      <w:bookmarkStart w:id="164" w:name="_GoBack"/>
      <w:bookmarkEnd w:id="164"/>
      <w:r>
        <w:rPr>
          <w:rFonts w:hint="eastAsia" w:ascii="宋体" w:hAnsi="宋体" w:cs="宋体"/>
          <w:color w:val="000000"/>
          <w:sz w:val="24"/>
          <w:szCs w:val="24"/>
          <w:highlight w:val="none"/>
        </w:rPr>
        <w:t>量至</w:t>
      </w:r>
      <w:r>
        <w:rPr>
          <w:rFonts w:hint="eastAsia" w:ascii="宋体" w:hAnsi="宋体" w:cs="宋体"/>
          <w:color w:val="000000"/>
          <w:sz w:val="24"/>
          <w:szCs w:val="24"/>
          <w:highlight w:val="none"/>
          <w:lang w:val="en-US" w:eastAsia="zh-CN"/>
        </w:rPr>
        <w:t>1.2</w:t>
      </w:r>
      <w:r>
        <w:rPr>
          <w:rFonts w:hint="eastAsia" w:ascii="宋体" w:hAnsi="宋体" w:cs="宋体"/>
          <w:color w:val="000000"/>
          <w:sz w:val="24"/>
          <w:szCs w:val="24"/>
          <w:highlight w:val="none"/>
        </w:rPr>
        <w:t>5倍，停留10min，卸载后检查金属结构及焊缝是否出现可见裂纹，永久变形、连接松动。（注意：静态超载实验不允许进行变幅及回转）</w:t>
      </w:r>
    </w:p>
    <w:p w14:paraId="09D2EF68">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超载10%动态实验（四倍率）</w:t>
      </w:r>
    </w:p>
    <w:p w14:paraId="2FC24C0C">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将100%重量限制、100%力矩限制继电器临时短接屏蔽，对各机构对应的全程范围内进行3次动作，各机构应动作灵活，制动器动作可靠。机构及结构各部件无异常现象，连接无松动和破坏。</w:t>
      </w:r>
    </w:p>
    <w:p w14:paraId="23171B8C">
      <w:pPr>
        <w:pStyle w:val="15"/>
      </w:pPr>
      <w:r>
        <w:t xml:space="preserve">表 </w:t>
      </w:r>
      <w:r>
        <w:fldChar w:fldCharType="begin"/>
      </w:r>
      <w:r>
        <w:instrText xml:space="preserve"> STYLEREF 2 \s </w:instrText>
      </w:r>
      <w:r>
        <w:fldChar w:fldCharType="separate"/>
      </w:r>
      <w:r>
        <w:t>2.15</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rPr>
          <w:rFonts w:hint="eastAsia"/>
          <w:lang w:val="en-US" w:eastAsia="zh-CN"/>
        </w:rPr>
        <w:t xml:space="preserve"> </w:t>
      </w:r>
      <w:r>
        <w:rPr>
          <w:rFonts w:hint="eastAsia" w:ascii="Times New Roman" w:hAnsi="Times New Roman" w:cs="Times New Roman"/>
          <w:highlight w:val="none"/>
          <w:lang w:val="en-US" w:eastAsia="zh-CN"/>
        </w:rPr>
        <w:t>动态试验</w:t>
      </w:r>
      <w:r>
        <w:rPr>
          <w:rFonts w:hint="eastAsia"/>
          <w:highlight w:val="none"/>
          <w:lang w:val="en-US" w:eastAsia="zh-CN"/>
        </w:rPr>
        <w:t>荷载表</w:t>
      </w:r>
    </w:p>
    <w:tbl>
      <w:tblPr>
        <w:tblStyle w:val="28"/>
        <w:tblW w:w="8438" w:type="dxa"/>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758D7EC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4F4F1" w:themeFill="accent5" w:themeFillTint="32"/>
            <w:noWrap w:val="0"/>
            <w:vAlign w:val="top"/>
            <mc:AlternateContent>
              <mc:Choice Requires="wpsCustomData">
                <wpsCustomData:diagonals>
                  <wpsCustomData:diagonal from="30000" to="10000">
                    <wpsCustomData:border w:val="single" w:color="238F86" w:themeColor="accent5" w:themeShade="BF" w:sz="4" w:space="0"/>
                  </wpsCustomData:diagonal>
                </wpsCustomData:diagonals>
              </mc:Choice>
            </mc:AlternateContent>
          </w:tcPr>
          <w:p w14:paraId="5133EB09">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233BAEE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4F4F1" w:themeFill="accent5" w:themeFillTint="32"/>
            <w:noWrap w:val="0"/>
            <w:vAlign w:val="center"/>
          </w:tcPr>
          <w:p w14:paraId="645ECEB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4F4F1" w:themeFill="accent5" w:themeFillTint="32"/>
            <w:noWrap w:val="0"/>
            <w:vAlign w:val="center"/>
          </w:tcPr>
          <w:p w14:paraId="40C501A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4F4F1" w:themeFill="accent5" w:themeFillTint="32"/>
            <w:noWrap w:val="0"/>
            <w:vAlign w:val="center"/>
          </w:tcPr>
          <w:p w14:paraId="0735472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4F4F1" w:themeFill="accent5" w:themeFillTint="32"/>
            <w:noWrap w:val="0"/>
            <w:vAlign w:val="center"/>
          </w:tcPr>
          <w:p w14:paraId="0E14FD4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417ECADE">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51D3688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45m</w:t>
            </w:r>
          </w:p>
        </w:tc>
        <w:tc>
          <w:tcPr>
            <w:tcW w:w="1641" w:type="dxa"/>
            <w:tcBorders>
              <w:tl2br w:val="nil"/>
              <w:tr2bl w:val="nil"/>
            </w:tcBorders>
            <w:noWrap w:val="0"/>
            <w:vAlign w:val="center"/>
          </w:tcPr>
          <w:p w14:paraId="51B321A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20.9</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463F422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11</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777C173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45m</w:t>
            </w:r>
          </w:p>
        </w:tc>
        <w:tc>
          <w:tcPr>
            <w:tcW w:w="1674" w:type="dxa"/>
            <w:tcBorders>
              <w:tl2br w:val="nil"/>
              <w:tr2bl w:val="nil"/>
            </w:tcBorders>
            <w:noWrap w:val="0"/>
            <w:vAlign w:val="center"/>
          </w:tcPr>
          <w:p w14:paraId="6DF7414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4.42</w:t>
            </w:r>
            <w:r>
              <w:rPr>
                <w:rFonts w:hint="eastAsia" w:ascii="宋体" w:hAnsi="宋体" w:eastAsia="宋体" w:cs="宋体"/>
                <w:color w:val="000000"/>
                <w:sz w:val="21"/>
                <w:szCs w:val="21"/>
                <w:highlight w:val="none"/>
              </w:rPr>
              <w:t>t</w:t>
            </w:r>
          </w:p>
        </w:tc>
      </w:tr>
    </w:tbl>
    <w:p w14:paraId="3B050524">
      <w:pPr>
        <w:pStyle w:val="3"/>
        <w:numPr>
          <w:ilvl w:val="1"/>
          <w:numId w:val="5"/>
        </w:numPr>
        <w:bidi w:val="0"/>
        <w:ind w:left="567" w:leftChars="0" w:hanging="567" w:firstLineChars="0"/>
        <w:rPr>
          <w:rFonts w:hint="eastAsia" w:ascii="宋体" w:hAnsi="宋体" w:eastAsia="宋体" w:cs="宋体"/>
          <w:lang w:val="en-US" w:eastAsia="zh-CN"/>
        </w:rPr>
      </w:pPr>
      <w:bookmarkStart w:id="68" w:name="_Toc17453"/>
      <w:r>
        <w:rPr>
          <w:rFonts w:hint="eastAsia" w:ascii="宋体" w:hAnsi="宋体" w:eastAsia="宋体" w:cs="宋体"/>
          <w:lang w:val="en-US" w:eastAsia="zh-CN"/>
        </w:rPr>
        <w:t>安全装置的调试</w:t>
      </w:r>
      <w:bookmarkEnd w:id="25"/>
      <w:bookmarkEnd w:id="26"/>
      <w:bookmarkEnd w:id="27"/>
      <w:bookmarkEnd w:id="68"/>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m或超出最小幅度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53860D0C">
      <w:pPr>
        <w:pStyle w:val="3"/>
        <w:numPr>
          <w:ilvl w:val="1"/>
          <w:numId w:val="5"/>
        </w:numPr>
        <w:bidi w:val="0"/>
        <w:ind w:left="567" w:leftChars="0" w:hanging="567" w:firstLineChars="0"/>
        <w:rPr>
          <w:rFonts w:hint="default" w:ascii="宋体" w:hAnsi="宋体" w:eastAsia="宋体" w:cs="宋体"/>
          <w:highlight w:val="none"/>
          <w:lang w:val="en-US" w:eastAsia="zh-CN"/>
        </w:rPr>
      </w:pPr>
      <w:bookmarkStart w:id="69" w:name="_Toc4365"/>
      <w:r>
        <w:rPr>
          <w:rFonts w:hint="eastAsia" w:ascii="宋体" w:hAnsi="宋体" w:eastAsia="宋体" w:cs="宋体"/>
          <w:highlight w:val="none"/>
          <w:lang w:val="en-US" w:eastAsia="zh-CN"/>
        </w:rPr>
        <w:t>风险与应对措施</w:t>
      </w:r>
      <w:bookmarkEnd w:id="69"/>
    </w:p>
    <w:p w14:paraId="21C6C25E">
      <w:pPr>
        <w:pStyle w:val="4"/>
        <w:numPr>
          <w:ilvl w:val="2"/>
          <w:numId w:val="5"/>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51"/>
        <w:ind w:firstLine="480"/>
        <w:rPr>
          <w:rFonts w:ascii="宋体" w:hAnsi="宋体"/>
          <w:highlight w:val="none"/>
        </w:rPr>
      </w:pPr>
      <w:r>
        <w:rPr>
          <w:rFonts w:ascii="宋体" w:hAnsi="宋体"/>
          <w:highlight w:val="none"/>
        </w:rPr>
        <w:t>（1）风险估测方法选择</w:t>
      </w:r>
    </w:p>
    <w:p w14:paraId="739D2572">
      <w:pPr>
        <w:pStyle w:val="51"/>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51"/>
        <w:ind w:firstLine="480"/>
        <w:rPr>
          <w:rFonts w:ascii="宋体" w:hAnsi="宋体"/>
          <w:highlight w:val="none"/>
        </w:rPr>
      </w:pPr>
      <w:r>
        <w:rPr>
          <w:rFonts w:ascii="宋体" w:hAnsi="宋体"/>
          <w:highlight w:val="none"/>
        </w:rPr>
        <w:t>（2）量化分值标准</w:t>
      </w:r>
    </w:p>
    <w:p w14:paraId="4BD18095">
      <w:pPr>
        <w:pStyle w:val="51"/>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51"/>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51"/>
        <w:ind w:firstLine="480"/>
        <w:rPr>
          <w:rFonts w:ascii="宋体" w:hAnsi="宋体"/>
          <w:highlight w:val="none"/>
        </w:rPr>
      </w:pPr>
      <w:r>
        <w:rPr>
          <w:rFonts w:ascii="宋体" w:hAnsi="宋体"/>
          <w:highlight w:val="none"/>
        </w:rPr>
        <w:t>C一发生事故造成的后果。</w:t>
      </w:r>
    </w:p>
    <w:p w14:paraId="547723C5">
      <w:pPr>
        <w:pStyle w:val="51"/>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51"/>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-1</w:t>
      </w:r>
      <w:r>
        <w:rPr>
          <w:rFonts w:ascii="宋体" w:hAnsi="宋体"/>
          <w:highlight w:val="none"/>
        </w:rPr>
        <w:t>所示：</w:t>
      </w:r>
    </w:p>
    <w:p w14:paraId="3ACE3AB5">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t>发生事故的可能性（L）</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highlight w:val="none"/>
                <w:lang w:eastAsia="zh-CN"/>
              </w:rPr>
            </w:pP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51"/>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51"/>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w:t>
      </w:r>
      <w:r>
        <w:t>暴露于危险环境的频繁程度（E）</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highlight w:val="none"/>
                <w:lang w:eastAsia="zh-CN"/>
              </w:rPr>
            </w:pP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51"/>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51"/>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15"/>
        <w:bidi w:val="0"/>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3</w:t>
      </w:r>
      <w:r>
        <w:fldChar w:fldCharType="end"/>
      </w:r>
      <w:r>
        <w:t>发生事故造成的后果（C）</w:t>
      </w:r>
    </w:p>
    <w:tbl>
      <w:tblPr>
        <w:tblStyle w:val="28"/>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5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51"/>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51"/>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15"/>
        <w:bidi w:val="0"/>
        <w:rPr>
          <w:highlight w:val="none"/>
        </w:rPr>
      </w:pPr>
      <w:r>
        <w:t xml:space="preserve">表 </w:t>
      </w:r>
      <w:r>
        <w:fldChar w:fldCharType="begin"/>
      </w:r>
      <w:r>
        <w:instrText xml:space="preserve"> STYLEREF 2 \s </w:instrText>
      </w:r>
      <w:r>
        <w:fldChar w:fldCharType="separate"/>
      </w:r>
      <w:r>
        <w:t>2.16</w:t>
      </w:r>
      <w:r>
        <w:fldChar w:fldCharType="end"/>
      </w:r>
      <w:r>
        <w:rPr>
          <w:rFonts w:hint="eastAsia"/>
          <w:lang w:eastAsia="zh-CN"/>
        </w:rPr>
        <w:t>-</w:t>
      </w:r>
      <w:r>
        <w:fldChar w:fldCharType="begin"/>
      </w:r>
      <w:r>
        <w:instrText xml:space="preserve"> SEQ 表 \* ARABIC \s 2 </w:instrText>
      </w:r>
      <w:r>
        <w:fldChar w:fldCharType="separate"/>
      </w:r>
      <w:r>
        <w:t>4</w:t>
      </w:r>
      <w:r>
        <w:fldChar w:fldCharType="end"/>
      </w:r>
      <w:r>
        <w:t>风险等级划分（D）</w:t>
      </w:r>
    </w:p>
    <w:tbl>
      <w:tblPr>
        <w:tblStyle w:val="28"/>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5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5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5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5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5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5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5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5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5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5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5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5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5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5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52"/>
              <w:rPr>
                <w:rFonts w:hint="eastAsia" w:ascii="宋体" w:hAnsi="宋体" w:eastAsia="黑体"/>
                <w:highlight w:val="none"/>
                <w:lang w:eastAsia="zh-CN"/>
              </w:rPr>
            </w:pPr>
            <w:r>
              <w:rPr>
                <w:rFonts w:hint="eastAsia" w:ascii="宋体" w:hAnsi="宋体"/>
                <w:highlight w:val="none"/>
                <w:lang w:val="en-US" w:eastAsia="zh-CN"/>
              </w:rPr>
              <w:t>Ⅰ</w:t>
            </w:r>
          </w:p>
        </w:tc>
      </w:tr>
    </w:tbl>
    <w:p w14:paraId="1B61E0A9">
      <w:pPr>
        <w:pStyle w:val="4"/>
        <w:numPr>
          <w:ilvl w:val="2"/>
          <w:numId w:val="5"/>
        </w:num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危险源辨识与评价</w:t>
      </w:r>
    </w:p>
    <w:p w14:paraId="1013EA33">
      <w:pPr>
        <w:pStyle w:val="15"/>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hAnsi="宋体" w:eastAsia="宋体" w:cs="Times New Roman"/>
          <w:kern w:val="2"/>
          <w:sz w:val="24"/>
          <w:szCs w:val="22"/>
          <w:highlight w:val="none"/>
          <w:lang w:val="en-US" w:eastAsia="zh-CN" w:bidi="ar-SA"/>
        </w:rPr>
        <w:t>根据以上风险估测方法，对</w:t>
      </w:r>
      <w:r>
        <w:rPr>
          <w:rFonts w:hint="eastAsia" w:ascii="宋体" w:hAnsi="宋体" w:eastAsia="宋体" w:cs="Times New Roman"/>
          <w:kern w:val="2"/>
          <w:sz w:val="24"/>
          <w:szCs w:val="22"/>
          <w:highlight w:val="none"/>
          <w:lang w:val="en-US" w:eastAsia="zh-CN" w:bidi="ar-SA"/>
        </w:rPr>
        <w:t>塔机安拆</w:t>
      </w:r>
      <w:r>
        <w:rPr>
          <w:rFonts w:ascii="宋体" w:hAnsi="宋体" w:eastAsia="宋体" w:cs="Times New Roman"/>
          <w:kern w:val="2"/>
          <w:sz w:val="24"/>
          <w:szCs w:val="22"/>
          <w:highlight w:val="none"/>
          <w:lang w:val="en-US" w:eastAsia="zh-CN" w:bidi="ar-SA"/>
        </w:rPr>
        <w:t>施工过程主要危险源进行分析和估算，从而得出相关估测结果见</w:t>
      </w:r>
      <w:r>
        <w:rPr>
          <w:rFonts w:hint="eastAsia" w:ascii="宋体" w:hAnsi="宋体" w:eastAsia="宋体" w:cs="Times New Roman"/>
          <w:kern w:val="2"/>
          <w:sz w:val="24"/>
          <w:szCs w:val="22"/>
          <w:highlight w:val="none"/>
          <w:lang w:val="en-US" w:eastAsia="zh-CN" w:bidi="ar-SA"/>
        </w:rPr>
        <w:t>下表</w:t>
      </w:r>
      <w:r>
        <w:rPr>
          <w:rFonts w:hint="eastAsia"/>
          <w:lang w:val="en-US" w:eastAsia="zh-CN"/>
        </w:rPr>
        <w:t xml:space="preserve">    </w:t>
      </w:r>
    </w:p>
    <w:p w14:paraId="73348C4E">
      <w:pPr>
        <w:pStyle w:val="16"/>
        <w:rPr>
          <w:rFonts w:hint="default"/>
          <w:lang w:val="en-US" w:eastAsia="zh-CN"/>
        </w:rPr>
      </w:pPr>
    </w:p>
    <w:tbl>
      <w:tblPr>
        <w:tblStyle w:val="28"/>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397"/>
        <w:gridCol w:w="397"/>
        <w:gridCol w:w="397"/>
        <w:gridCol w:w="2995"/>
        <w:gridCol w:w="521"/>
        <w:gridCol w:w="396"/>
        <w:gridCol w:w="396"/>
        <w:gridCol w:w="396"/>
        <w:gridCol w:w="486"/>
        <w:gridCol w:w="397"/>
        <w:gridCol w:w="888"/>
        <w:gridCol w:w="851"/>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9FDB69D">
      <w:pPr>
        <w:pStyle w:val="4"/>
        <w:numPr>
          <w:ilvl w:val="2"/>
          <w:numId w:val="5"/>
        </w:num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w:t>
      </w:r>
      <w:r>
        <w:rPr>
          <w:rFonts w:hint="eastAsia" w:cs="宋体"/>
          <w:color w:val="000000"/>
          <w:kern w:val="0"/>
          <w:sz w:val="24"/>
          <w:szCs w:val="24"/>
          <w:highlight w:val="none"/>
          <w:lang w:val="en-US" w:eastAsia="zh-CN" w:bidi="ar"/>
        </w:rPr>
        <w:t>塔机</w:t>
      </w:r>
      <w:r>
        <w:rPr>
          <w:rFonts w:hint="eastAsia" w:ascii="宋体" w:hAnsi="宋体" w:eastAsia="宋体" w:cs="宋体"/>
          <w:color w:val="000000"/>
          <w:kern w:val="0"/>
          <w:sz w:val="24"/>
          <w:szCs w:val="24"/>
          <w:highlight w:val="none"/>
          <w:lang w:val="en-US" w:eastAsia="zh-CN" w:bidi="ar"/>
        </w:rPr>
        <w:t>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59E34546">
      <w:pPr>
        <w:pStyle w:val="51"/>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Style w:val="37"/>
        </w:rPr>
        <w:t xml:space="preserve">表 </w:t>
      </w:r>
      <w:r>
        <w:rPr>
          <w:rStyle w:val="37"/>
        </w:rPr>
        <w:fldChar w:fldCharType="begin"/>
      </w:r>
      <w:r>
        <w:rPr>
          <w:rStyle w:val="37"/>
        </w:rPr>
        <w:instrText xml:space="preserve"> STYLEREF 2 \s </w:instrText>
      </w:r>
      <w:r>
        <w:rPr>
          <w:rStyle w:val="37"/>
        </w:rPr>
        <w:fldChar w:fldCharType="separate"/>
      </w:r>
      <w:r>
        <w:rPr>
          <w:rStyle w:val="37"/>
        </w:rPr>
        <w:t>2.16</w:t>
      </w:r>
      <w:r>
        <w:rPr>
          <w:rStyle w:val="37"/>
        </w:rPr>
        <w:fldChar w:fldCharType="end"/>
      </w:r>
      <w:r>
        <w:rPr>
          <w:rStyle w:val="37"/>
          <w:rFonts w:hint="eastAsia"/>
          <w:lang w:eastAsia="zh-CN"/>
        </w:rPr>
        <w:t>-</w:t>
      </w:r>
      <w:r>
        <w:rPr>
          <w:rStyle w:val="37"/>
        </w:rPr>
        <w:fldChar w:fldCharType="begin"/>
      </w:r>
      <w:r>
        <w:rPr>
          <w:rStyle w:val="37"/>
        </w:rPr>
        <w:instrText xml:space="preserve"> SEQ 表 \* ARABIC \s 2 </w:instrText>
      </w:r>
      <w:r>
        <w:rPr>
          <w:rStyle w:val="37"/>
        </w:rPr>
        <w:fldChar w:fldCharType="separate"/>
      </w:r>
      <w:r>
        <w:rPr>
          <w:rStyle w:val="37"/>
        </w:rPr>
        <w:t>5</w:t>
      </w:r>
      <w:r>
        <w:rPr>
          <w:rStyle w:val="37"/>
        </w:rPr>
        <w:fldChar w:fldCharType="end"/>
      </w:r>
      <w:r>
        <w:rPr>
          <w:rStyle w:val="37"/>
          <w:rFonts w:hint="eastAsia"/>
          <w:lang w:val="en-US" w:eastAsia="zh-CN"/>
        </w:rPr>
        <w:t xml:space="preserve"> 塔机安装施工显著危害因素清单</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及控制措施表</w:t>
      </w:r>
    </w:p>
    <w:tbl>
      <w:tblPr>
        <w:tblStyle w:val="28"/>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w:t>
            </w:r>
            <w:r>
              <w:rPr>
                <w:rFonts w:hint="eastAsia" w:cs="宋体"/>
                <w:i w:val="0"/>
                <w:iCs w:val="0"/>
                <w:color w:val="000000"/>
                <w:kern w:val="0"/>
                <w:sz w:val="18"/>
                <w:szCs w:val="18"/>
                <w:highlight w:val="none"/>
                <w:u w:val="none"/>
                <w:lang w:val="en-US" w:eastAsia="zh-CN" w:bidi="ar"/>
              </w:rPr>
              <w:t>塔机</w:t>
            </w:r>
            <w:r>
              <w:rPr>
                <w:rFonts w:hint="eastAsia" w:ascii="宋体" w:hAnsi="宋体" w:eastAsia="宋体" w:cs="宋体"/>
                <w:i w:val="0"/>
                <w:iCs w:val="0"/>
                <w:color w:val="000000"/>
                <w:kern w:val="0"/>
                <w:sz w:val="18"/>
                <w:szCs w:val="18"/>
                <w:highlight w:val="none"/>
                <w:u w:val="none"/>
                <w:lang w:val="en-US" w:eastAsia="zh-CN" w:bidi="ar"/>
              </w:rPr>
              <w:t>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bookmarkEnd w:id="15"/>
      <w:bookmarkEnd w:id="16"/>
      <w:bookmarkEnd w:id="17"/>
      <w:bookmarkEnd w:id="18"/>
      <w:bookmarkEnd w:id="19"/>
      <w:bookmarkEnd w:id="20"/>
      <w:bookmarkEnd w:id="21"/>
      <w:bookmarkEnd w:id="22"/>
    </w:tbl>
    <w:p w14:paraId="772A14E9">
      <w:pPr>
        <w:pStyle w:val="2"/>
        <w:bidi w:val="0"/>
        <w:rPr>
          <w:rFonts w:hint="default"/>
          <w:lang w:val="en-US" w:eastAsia="zh-CN"/>
        </w:rPr>
      </w:pPr>
      <w:bookmarkStart w:id="70" w:name="_Toc30716"/>
      <w:bookmarkStart w:id="71" w:name="_Toc9485"/>
      <w:bookmarkStart w:id="72" w:name="_Toc31520"/>
      <w:bookmarkStart w:id="73" w:name="_Toc11726"/>
      <w:bookmarkStart w:id="74" w:name="_Toc31164"/>
      <w:bookmarkStart w:id="75" w:name="_Toc27309"/>
      <w:bookmarkStart w:id="76" w:name="_Toc21041"/>
      <w:bookmarkStart w:id="77" w:name="_Toc7330"/>
      <w:bookmarkStart w:id="78" w:name="_Toc6988"/>
      <w:bookmarkStart w:id="79" w:name="_Toc20919"/>
      <w:r>
        <w:rPr>
          <w:rFonts w:hint="eastAsia"/>
          <w:lang w:val="en-US" w:eastAsia="zh-CN"/>
        </w:rPr>
        <w:t xml:space="preserve">3 </w:t>
      </w:r>
      <w:bookmarkEnd w:id="70"/>
      <w:bookmarkEnd w:id="71"/>
      <w:bookmarkEnd w:id="72"/>
      <w:bookmarkEnd w:id="73"/>
      <w:bookmarkEnd w:id="74"/>
      <w:bookmarkEnd w:id="75"/>
      <w:bookmarkEnd w:id="76"/>
      <w:bookmarkEnd w:id="77"/>
      <w:bookmarkEnd w:id="78"/>
      <w:bookmarkStart w:id="80" w:name="_Toc29719"/>
      <w:bookmarkStart w:id="81" w:name="_Toc29111"/>
      <w:bookmarkStart w:id="82" w:name="_Toc15366"/>
      <w:bookmarkStart w:id="83" w:name="_Toc31245"/>
      <w:bookmarkStart w:id="84" w:name="_Toc24962"/>
      <w:bookmarkStart w:id="85" w:name="_Toc16131"/>
      <w:bookmarkStart w:id="86" w:name="_Toc20022"/>
      <w:bookmarkStart w:id="87" w:name="_Toc23915"/>
      <w:bookmarkStart w:id="88" w:name="_Toc30796"/>
      <w:r>
        <w:rPr>
          <w:rFonts w:hint="eastAsia"/>
          <w:lang w:val="en-US" w:eastAsia="zh-CN"/>
        </w:rPr>
        <w:t>质量安全环保要求</w:t>
      </w:r>
      <w:bookmarkEnd w:id="79"/>
      <w:bookmarkEnd w:id="80"/>
    </w:p>
    <w:p w14:paraId="1302DAAF">
      <w:pPr>
        <w:bidi w:val="0"/>
        <w:jc w:val="center"/>
        <w:rPr>
          <w:rFonts w:hint="eastAsia"/>
          <w:lang w:val="en-US" w:eastAsia="zh-CN"/>
        </w:rPr>
      </w:pPr>
      <w:r>
        <w:rPr>
          <w:rFonts w:hint="eastAsia"/>
          <w:lang w:val="en-US" w:eastAsia="zh-CN"/>
        </w:rPr>
        <w:t>表3-1 质量、安全、环保注意事项</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33"/>
        <w:gridCol w:w="6023"/>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jc w:val="center"/>
        </w:trPr>
        <w:tc>
          <w:tcPr>
            <w:tcW w:w="920" w:type="dxa"/>
            <w:shd w:val="clear" w:color="auto" w:fill="auto"/>
            <w:vAlign w:val="center"/>
          </w:tcPr>
          <w:p w14:paraId="44697E09">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1A1E8EB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（1）地基承载力需符合设计文件要求，混凝土强度等级、钢筋配置及预埋件位置偏差需严格把控，基础验收合格后方可进行塔机安装。</w:t>
            </w:r>
          </w:p>
          <w:p w14:paraId="7F247D5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2</w:t>
            </w:r>
            <w:r>
              <w:rPr>
                <w:rFonts w:hint="eastAsia" w:ascii="Calibri" w:hAnsi="Calibri" w:eastAsia="宋体" w:cs="Times New Roman"/>
                <w:kern w:val="2"/>
                <w:sz w:val="21"/>
                <w:szCs w:val="20"/>
                <w:lang w:val="en-US" w:eastAsia="zh-CN" w:bidi="ar-SA"/>
              </w:rPr>
              <w:t>）塔身、起重臂、平衡臂等构件的连接螺栓需按规定扭矩紧固，销轴安装到位并固定，构件安装垂直度偏差应在规范允许范围内（如塔身垂直度≤1/1000）。</w:t>
            </w:r>
          </w:p>
          <w:p w14:paraId="46A2273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3</w:t>
            </w:r>
            <w:r>
              <w:rPr>
                <w:rFonts w:hint="eastAsia" w:ascii="Calibri" w:hAnsi="Calibri" w:eastAsia="宋体" w:cs="Times New Roman"/>
                <w:kern w:val="2"/>
                <w:sz w:val="21"/>
                <w:szCs w:val="20"/>
                <w:lang w:val="en-US" w:eastAsia="zh-CN" w:bidi="ar-SA"/>
              </w:rPr>
              <w:t>）起升、变幅、回转、顶升等机构运行需平稳，无卡滞、异响，制动系统灵敏可靠，各限位开关（高度、幅度、重量等）安装准确且功能正常。</w:t>
            </w:r>
          </w:p>
          <w:p w14:paraId="506DFAD2">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4</w:t>
            </w:r>
            <w:r>
              <w:rPr>
                <w:rFonts w:hint="eastAsia" w:ascii="Calibri" w:hAnsi="Calibri" w:eastAsia="宋体" w:cs="Times New Roman"/>
                <w:kern w:val="2"/>
                <w:sz w:val="21"/>
                <w:szCs w:val="20"/>
                <w:lang w:val="en-US" w:eastAsia="zh-CN" w:bidi="ar-SA"/>
              </w:rPr>
              <w:t>）电气线路连接正确、绝缘良好，接地电阻符合要求（≤4Ω），控制柜、操作台等设备运行正常，照明及信号装置齐全有效。</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31B940E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（1）安装人员需持有效特种作业操作证上岗，作业前进行安全技术交底，明确岗位职责及风险防控措施。</w:t>
            </w:r>
          </w:p>
          <w:p w14:paraId="03B79EDF">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（2）安装区域设置警戒线及警示标志，禁止无关人员进入；高空作业人员需系好安全带，佩戴安全帽，作业平台及临边防护符合安全标准。</w:t>
            </w:r>
          </w:p>
          <w:p w14:paraId="4F310C4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（3）安装前对塔机构件、钢丝绳、吊钩、滑轮等进行检查，确保无变形、裂纹、磨损超标等缺陷，起重机械性能完好。</w:t>
            </w:r>
          </w:p>
          <w:p w14:paraId="2DDF318B">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（4）严格按照安装方案及操作规程作业，避免超载、斜拉歪吊等违规操作；遇大风、暴雨、浓雾等恶劣天气，停止安装作业。</w:t>
            </w:r>
          </w:p>
          <w:p w14:paraId="0D0302A9">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（5）安装完成后需经第三方检测机构检测合格，取得使用登记证书后方可投入使用，定期进行维护保养和安全检查。</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6DDA2FFD">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（1）安装过程中选用低噪声设备，合理安排作业时间，避免夜间施工（特殊情况需办理夜间施工许可），减少对周边环境的噪声污染。</w:t>
            </w:r>
          </w:p>
          <w:p w14:paraId="3CBDC31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（2）施工现场场地平整，对裸露地面进行覆盖或洒水降尘；构件运输及堆放过程中避免扬尘，车辆出场前冲洗轮胎，防止带泥上路。</w:t>
            </w:r>
          </w:p>
          <w:p w14:paraId="35A70D8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（3）安装过程中产生的废螺栓、废钢丝绳、废包装物等废弃物需分类收集，交由专业机构处理，禁止随意丢弃。</w:t>
            </w:r>
          </w:p>
          <w:p w14:paraId="2301EAFE">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（4）对塔机液压系统、润滑系统等可能产生油污泄漏的部位进行检查和防护，避免油污污染土壤和水体，泄漏油污及时清理收集。</w:t>
            </w:r>
          </w:p>
        </w:tc>
      </w:tr>
    </w:tbl>
    <w:p w14:paraId="034053BA">
      <w:pPr>
        <w:bidi w:val="0"/>
        <w:rPr>
          <w:rFonts w:hint="default"/>
          <w:lang w:val="en-US" w:eastAsia="zh-CN"/>
        </w:rPr>
      </w:pPr>
    </w:p>
    <w:p w14:paraId="1D624AD7">
      <w:pPr>
        <w:pStyle w:val="2"/>
        <w:tabs>
          <w:tab w:val="left" w:pos="420"/>
        </w:tabs>
        <w:bidi w:val="0"/>
        <w:rPr>
          <w:rFonts w:hint="default"/>
          <w:lang w:val="en-US" w:eastAsia="zh-CN"/>
        </w:rPr>
      </w:pPr>
      <w:bookmarkStart w:id="89" w:name="_Toc18888"/>
      <w:r>
        <w:rPr>
          <w:rFonts w:hint="eastAsia"/>
          <w:lang w:val="en-US" w:eastAsia="zh-CN"/>
        </w:rPr>
        <w:t xml:space="preserve">4 </w:t>
      </w:r>
      <w:bookmarkStart w:id="90" w:name="_Toc8800"/>
      <w:bookmarkStart w:id="91" w:name="_Toc4123"/>
      <w:bookmarkStart w:id="92" w:name="_Toc17113"/>
      <w:r>
        <w:rPr>
          <w:rFonts w:hint="eastAsia"/>
          <w:lang w:val="en-US" w:eastAsia="zh-CN"/>
        </w:rPr>
        <w:t>施工管理及作业人员配备和分工</w:t>
      </w:r>
      <w:bookmarkEnd w:id="89"/>
      <w:bookmarkEnd w:id="90"/>
      <w:bookmarkEnd w:id="91"/>
      <w:bookmarkEnd w:id="92"/>
    </w:p>
    <w:bookmarkEnd w:id="81"/>
    <w:bookmarkEnd w:id="82"/>
    <w:bookmarkEnd w:id="83"/>
    <w:bookmarkEnd w:id="84"/>
    <w:bookmarkEnd w:id="85"/>
    <w:bookmarkEnd w:id="86"/>
    <w:bookmarkEnd w:id="87"/>
    <w:bookmarkEnd w:id="88"/>
    <w:p w14:paraId="3E012C69">
      <w:pPr>
        <w:pStyle w:val="3"/>
        <w:bidi w:val="0"/>
        <w:rPr>
          <w:rFonts w:hint="eastAsia"/>
          <w:lang w:val="en-US" w:eastAsia="zh-CN"/>
        </w:rPr>
      </w:pPr>
      <w:bookmarkStart w:id="93" w:name="_Toc15688"/>
      <w:bookmarkStart w:id="94" w:name="_Toc19396"/>
      <w:bookmarkStart w:id="95" w:name="_Toc28760"/>
      <w:bookmarkStart w:id="96" w:name="_Toc25098"/>
      <w:bookmarkStart w:id="97" w:name="_Toc15900"/>
      <w:bookmarkStart w:id="98" w:name="_Toc16617"/>
      <w:bookmarkStart w:id="99" w:name="_Toc21160"/>
      <w:bookmarkStart w:id="100" w:name="_Toc25139"/>
      <w:bookmarkStart w:id="101" w:name="_Toc19965"/>
      <w:bookmarkStart w:id="102" w:name="_Toc25498"/>
      <w:bookmarkStart w:id="103" w:name="_Toc29051"/>
      <w:bookmarkStart w:id="104" w:name="_Toc2793"/>
      <w:bookmarkStart w:id="105" w:name="_Toc26638"/>
      <w:bookmarkStart w:id="106" w:name="_Toc9611"/>
      <w:bookmarkStart w:id="107" w:name="_Toc27413"/>
      <w:bookmarkStart w:id="108" w:name="_Toc20398"/>
      <w:bookmarkStart w:id="109" w:name="_Toc19188"/>
      <w:bookmarkStart w:id="110" w:name="_Toc11245"/>
      <w:bookmarkStart w:id="111" w:name="_Toc11753"/>
      <w:bookmarkStart w:id="112" w:name="_Toc9260"/>
      <w:bookmarkStart w:id="113" w:name="_Toc15633"/>
      <w:bookmarkStart w:id="114" w:name="_Toc15920"/>
      <w:r>
        <w:rPr>
          <w:rFonts w:hint="eastAsia"/>
          <w:lang w:val="en-US" w:eastAsia="zh-CN"/>
        </w:rPr>
        <w:t xml:space="preserve">4.1 </w:t>
      </w:r>
      <w:bookmarkEnd w:id="93"/>
      <w:bookmarkEnd w:id="94"/>
      <w:bookmarkEnd w:id="95"/>
      <w:bookmarkEnd w:id="96"/>
      <w:bookmarkEnd w:id="97"/>
      <w:bookmarkEnd w:id="98"/>
      <w:bookmarkEnd w:id="99"/>
      <w:bookmarkEnd w:id="100"/>
      <w:r>
        <w:rPr>
          <w:rFonts w:hint="eastAsia"/>
          <w:lang w:val="en-US" w:eastAsia="zh-CN"/>
        </w:rPr>
        <w:t>施工组织机构</w:t>
      </w:r>
      <w:bookmarkEnd w:id="101"/>
      <w:bookmarkEnd w:id="102"/>
    </w:p>
    <w:p w14:paraId="21BB1141">
      <w:pPr>
        <w:pStyle w:val="46"/>
        <w:spacing w:before="156"/>
        <w:ind w:left="0" w:leftChars="0" w:firstLine="0" w:firstLineChars="0"/>
        <w:jc w:val="both"/>
        <w:rPr>
          <w:highlight w:val="none"/>
        </w:rPr>
      </w:pPr>
      <w:r>
        <w:rPr>
          <w:highlight w:val="none"/>
        </w:rPr>
        <w:drawing>
          <wp:inline distT="0" distB="0" distL="0" distR="0">
            <wp:extent cx="5168900" cy="2413635"/>
            <wp:effectExtent l="0" t="0" r="12700" b="5715"/>
            <wp:docPr id="18" name="图片 1124"/>
            <wp:cNvGraphicFramePr/>
            <a:graphic xmlns:a="http://schemas.openxmlformats.org/drawingml/2006/main">
              <a:graphicData uri="http://schemas.openxmlformats.org/drawingml/2006/picture">
                <pic:pic xmlns:pic="http://schemas.openxmlformats.org/drawingml/2006/picture">
                  <pic:nvPicPr>
                    <pic:cNvPr id="18" name="图片 1124"/>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图4.1-1 施工组织机构图</w:t>
      </w:r>
    </w:p>
    <w:p w14:paraId="5E1D446B">
      <w:pPr>
        <w:pStyle w:val="3"/>
        <w:bidi w:val="0"/>
        <w:rPr>
          <w:rFonts w:hint="default"/>
          <w:lang w:val="en-US" w:eastAsia="zh-CN"/>
        </w:rPr>
      </w:pPr>
      <w:bookmarkStart w:id="115" w:name="_Toc13716"/>
      <w:bookmarkStart w:id="116" w:name="_Toc7987"/>
      <w:bookmarkStart w:id="117" w:name="_Toc13715"/>
      <w:bookmarkStart w:id="118" w:name="_Toc31040"/>
      <w:bookmarkStart w:id="119" w:name="_Toc25453"/>
      <w:bookmarkStart w:id="120" w:name="_Toc25658"/>
      <w:bookmarkStart w:id="121" w:name="_Toc5092"/>
      <w:bookmarkStart w:id="122" w:name="_Toc15724"/>
      <w:bookmarkStart w:id="123" w:name="_Toc19018"/>
      <w:bookmarkStart w:id="124" w:name="_Toc16261"/>
      <w:r>
        <w:rPr>
          <w:rFonts w:hint="eastAsia"/>
          <w:lang w:val="en-US" w:eastAsia="zh-CN"/>
        </w:rPr>
        <w:t xml:space="preserve">4.2 </w:t>
      </w:r>
      <w:bookmarkEnd w:id="115"/>
      <w:bookmarkEnd w:id="116"/>
      <w:bookmarkEnd w:id="117"/>
      <w:bookmarkEnd w:id="118"/>
      <w:bookmarkEnd w:id="119"/>
      <w:bookmarkEnd w:id="120"/>
      <w:bookmarkEnd w:id="121"/>
      <w:bookmarkEnd w:id="122"/>
      <w:r>
        <w:rPr>
          <w:rFonts w:hint="eastAsia"/>
          <w:lang w:val="en-US" w:eastAsia="zh-CN"/>
        </w:rPr>
        <w:t>人员配置</w:t>
      </w:r>
      <w:bookmarkEnd w:id="123"/>
      <w:bookmarkEnd w:id="124"/>
    </w:p>
    <w:p w14:paraId="2BBBAF3E">
      <w:pPr>
        <w:pStyle w:val="15"/>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4.2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8"/>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D6DCE5" w:themeFill="text2" w:themeFillTint="32"/>
            <w:vAlign w:val="center"/>
          </w:tcPr>
          <w:p w14:paraId="43610380">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D6DCE5" w:themeFill="text2" w:themeFillTint="32"/>
            <w:vAlign w:val="center"/>
          </w:tcPr>
          <w:p w14:paraId="530B1012">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D6DCE5" w:themeFill="text2" w:themeFillTint="32"/>
            <w:vAlign w:val="center"/>
          </w:tcPr>
          <w:p w14:paraId="1727ADEB">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38"/>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温涛</w:t>
            </w:r>
          </w:p>
        </w:tc>
        <w:tc>
          <w:tcPr>
            <w:tcW w:w="6353" w:type="dxa"/>
            <w:tcBorders>
              <w:tl2br w:val="nil"/>
              <w:tr2bl w:val="nil"/>
            </w:tcBorders>
            <w:vAlign w:val="center"/>
          </w:tcPr>
          <w:p w14:paraId="4613C718">
            <w:pPr>
              <w:pStyle w:val="3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3"/>
        <w:rPr>
          <w:rFonts w:hint="eastAsia"/>
          <w:color w:val="auto"/>
        </w:rPr>
      </w:pPr>
    </w:p>
    <w:p w14:paraId="767DCD54">
      <w:pPr>
        <w:pStyle w:val="46"/>
        <w:spacing w:before="156"/>
        <w:ind w:firstLine="422"/>
        <w:jc w:val="center"/>
        <w:rPr>
          <w:rFonts w:hint="eastAsia" w:ascii="宋体" w:hAnsi="宋体" w:eastAsia="宋体" w:cs="黑体"/>
          <w:b/>
          <w:color w:val="auto"/>
          <w:sz w:val="21"/>
          <w:szCs w:val="21"/>
          <w:lang w:val="en-US" w:eastAsia="zh-CN"/>
        </w:rPr>
      </w:pPr>
      <w:bookmarkStart w:id="125" w:name="_Toc17383790"/>
      <w:bookmarkStart w:id="126" w:name="_Toc1349054167"/>
      <w:bookmarkStart w:id="127" w:name="_Toc10028"/>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8"/>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温涛</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125"/>
      <w:bookmarkEnd w:id="126"/>
      <w:bookmarkEnd w:id="127"/>
    </w:tbl>
    <w:p w14:paraId="02E30AB9">
      <w:pPr>
        <w:pStyle w:val="46"/>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98"/>
        <w:gridCol w:w="675"/>
        <w:gridCol w:w="1345"/>
        <w:gridCol w:w="2592"/>
        <w:gridCol w:w="2334"/>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527" w:type="pct"/>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396" w:type="pct"/>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789" w:type="pct"/>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1521" w:type="pct"/>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1369" w:type="pct"/>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27" w:type="pct"/>
            <w:vAlign w:val="center"/>
          </w:tcPr>
          <w:p w14:paraId="28317B5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彭善忠</w:t>
            </w:r>
          </w:p>
        </w:tc>
        <w:tc>
          <w:tcPr>
            <w:tcW w:w="396" w:type="pct"/>
            <w:vAlign w:val="top"/>
          </w:tcPr>
          <w:p w14:paraId="3181431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男</w:t>
            </w:r>
          </w:p>
        </w:tc>
        <w:tc>
          <w:tcPr>
            <w:tcW w:w="789" w:type="pct"/>
            <w:vAlign w:val="top"/>
          </w:tcPr>
          <w:p w14:paraId="4C1D91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项目负责人</w:t>
            </w:r>
          </w:p>
        </w:tc>
        <w:tc>
          <w:tcPr>
            <w:tcW w:w="1521" w:type="pct"/>
            <w:vAlign w:val="center"/>
          </w:tcPr>
          <w:p w14:paraId="2A509EE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鲁230001133100304</w:t>
            </w:r>
          </w:p>
        </w:tc>
        <w:tc>
          <w:tcPr>
            <w:tcW w:w="1369" w:type="pct"/>
            <w:vAlign w:val="center"/>
          </w:tcPr>
          <w:p w14:paraId="4D3496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512223197508214798</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27" w:type="pct"/>
            <w:vAlign w:val="center"/>
          </w:tcPr>
          <w:p w14:paraId="6B64B73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温涛</w:t>
            </w:r>
          </w:p>
        </w:tc>
        <w:tc>
          <w:tcPr>
            <w:tcW w:w="396" w:type="pct"/>
            <w:vAlign w:val="top"/>
          </w:tcPr>
          <w:p w14:paraId="0758012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男</w:t>
            </w:r>
          </w:p>
        </w:tc>
        <w:tc>
          <w:tcPr>
            <w:tcW w:w="789" w:type="pct"/>
            <w:vAlign w:val="top"/>
          </w:tcPr>
          <w:p w14:paraId="64840BB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技术负责人</w:t>
            </w:r>
          </w:p>
        </w:tc>
        <w:tc>
          <w:tcPr>
            <w:tcW w:w="1521" w:type="pct"/>
            <w:vAlign w:val="center"/>
          </w:tcPr>
          <w:p w14:paraId="127B859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鲁200100033201097</w:t>
            </w:r>
          </w:p>
        </w:tc>
        <w:tc>
          <w:tcPr>
            <w:tcW w:w="1369" w:type="pct"/>
            <w:vAlign w:val="center"/>
          </w:tcPr>
          <w:p w14:paraId="27D3E3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412801198705060316</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27" w:type="pct"/>
            <w:vAlign w:val="center"/>
          </w:tcPr>
          <w:p w14:paraId="436DC8B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eastAsia"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白美富</w:t>
            </w:r>
          </w:p>
        </w:tc>
        <w:tc>
          <w:tcPr>
            <w:tcW w:w="396" w:type="pct"/>
            <w:vAlign w:val="top"/>
          </w:tcPr>
          <w:p w14:paraId="6DFA066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男</w:t>
            </w:r>
          </w:p>
        </w:tc>
        <w:tc>
          <w:tcPr>
            <w:tcW w:w="789" w:type="pct"/>
            <w:vAlign w:val="top"/>
          </w:tcPr>
          <w:p w14:paraId="10CFE43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Style w:val="47"/>
                <w:rFonts w:hint="default" w:ascii="Times New Roman" w:hAnsi="Times New Roman" w:eastAsia="宋体" w:cstheme="minorBidi"/>
                <w:b w:val="0"/>
                <w:color w:val="000000"/>
                <w:lang w:val="en-US" w:eastAsia="zh-CN"/>
              </w:rPr>
            </w:pPr>
            <w:r>
              <w:rPr>
                <w:rFonts w:hint="eastAsia" w:ascii="Times New Roman" w:hAnsi="Times New Roman" w:cs="Times New Roman"/>
                <w:color w:val="auto"/>
                <w:sz w:val="21"/>
                <w:szCs w:val="21"/>
                <w:lang w:val="en-US" w:eastAsia="zh-CN"/>
              </w:rPr>
              <w:t>安全员</w:t>
            </w:r>
          </w:p>
        </w:tc>
        <w:tc>
          <w:tcPr>
            <w:tcW w:w="1521" w:type="pct"/>
            <w:vAlign w:val="center"/>
          </w:tcPr>
          <w:p w14:paraId="2679A4A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川建安C3(2023)0080797</w:t>
            </w:r>
          </w:p>
        </w:tc>
        <w:tc>
          <w:tcPr>
            <w:tcW w:w="1369" w:type="pct"/>
            <w:vAlign w:val="center"/>
          </w:tcPr>
          <w:p w14:paraId="51C55A7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510113198801248019</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396" w:type="pct"/>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27" w:type="pct"/>
            <w:vAlign w:val="center"/>
          </w:tcPr>
          <w:p w14:paraId="7A7E722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黄科</w:t>
            </w:r>
          </w:p>
        </w:tc>
        <w:tc>
          <w:tcPr>
            <w:tcW w:w="396" w:type="pct"/>
            <w:vAlign w:val="top"/>
          </w:tcPr>
          <w:p w14:paraId="7C218D9C">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13107524">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0FBB3F09">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082023006932</w:t>
            </w:r>
          </w:p>
        </w:tc>
        <w:tc>
          <w:tcPr>
            <w:tcW w:w="1369" w:type="pct"/>
            <w:vAlign w:val="center"/>
          </w:tcPr>
          <w:p w14:paraId="18130CCA">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27" w:type="pct"/>
            <w:vAlign w:val="center"/>
          </w:tcPr>
          <w:p w14:paraId="2213750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陈刚</w:t>
            </w:r>
          </w:p>
        </w:tc>
        <w:tc>
          <w:tcPr>
            <w:tcW w:w="396" w:type="pct"/>
            <w:vAlign w:val="top"/>
          </w:tcPr>
          <w:p w14:paraId="0B06D878">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FE4A62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143FE191">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O82023006907</w:t>
            </w:r>
          </w:p>
        </w:tc>
        <w:tc>
          <w:tcPr>
            <w:tcW w:w="1369" w:type="pct"/>
            <w:vAlign w:val="center"/>
          </w:tcPr>
          <w:p w14:paraId="29C63082">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27" w:type="pct"/>
            <w:vAlign w:val="center"/>
          </w:tcPr>
          <w:p w14:paraId="1DDBC3E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徐刚</w:t>
            </w:r>
          </w:p>
        </w:tc>
        <w:tc>
          <w:tcPr>
            <w:tcW w:w="396" w:type="pct"/>
            <w:vAlign w:val="top"/>
          </w:tcPr>
          <w:p w14:paraId="58FA149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428DED8A">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2B3E8EFD">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O82023007219</w:t>
            </w:r>
          </w:p>
        </w:tc>
        <w:tc>
          <w:tcPr>
            <w:tcW w:w="1369" w:type="pct"/>
            <w:vAlign w:val="center"/>
          </w:tcPr>
          <w:p w14:paraId="533E2274">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27" w:type="pct"/>
            <w:vAlign w:val="center"/>
          </w:tcPr>
          <w:p w14:paraId="57E7546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黄仁训</w:t>
            </w:r>
          </w:p>
        </w:tc>
        <w:tc>
          <w:tcPr>
            <w:tcW w:w="396" w:type="pct"/>
            <w:vAlign w:val="top"/>
          </w:tcPr>
          <w:p w14:paraId="7364358D">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2F62DC71">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1521" w:type="pct"/>
            <w:vAlign w:val="center"/>
          </w:tcPr>
          <w:p w14:paraId="4FAC284B">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K</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082019700001</w:t>
            </w:r>
          </w:p>
        </w:tc>
        <w:tc>
          <w:tcPr>
            <w:tcW w:w="1369" w:type="pct"/>
            <w:vAlign w:val="center"/>
          </w:tcPr>
          <w:p w14:paraId="6B5D2DCE">
            <w:pPr>
              <w:keepNext w:val="0"/>
              <w:keepLines w:val="0"/>
              <w:pageBreakBefore w:val="0"/>
              <w:widowControl w:val="0"/>
              <w:kinsoku/>
              <w:wordWrap/>
              <w:overflowPunct/>
              <w:topLinePunct w:val="0"/>
              <w:autoSpaceDE/>
              <w:autoSpaceDN/>
              <w:bidi w:val="0"/>
              <w:adjustRightInd w:val="0"/>
              <w:snapToGrid/>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510113198608137413</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75"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527" w:type="pct"/>
            <w:vAlign w:val="center"/>
          </w:tcPr>
          <w:p w14:paraId="14A775C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明兴富</w:t>
            </w:r>
          </w:p>
        </w:tc>
        <w:tc>
          <w:tcPr>
            <w:tcW w:w="396" w:type="pct"/>
            <w:vAlign w:val="top"/>
          </w:tcPr>
          <w:p w14:paraId="7FF3BD65">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789" w:type="pct"/>
            <w:vAlign w:val="top"/>
          </w:tcPr>
          <w:p w14:paraId="69E2AEC0">
            <w:pPr>
              <w:keepNext w:val="0"/>
              <w:keepLines w:val="0"/>
              <w:pageBreakBefore w:val="0"/>
              <w:widowControl w:val="0"/>
              <w:kinsoku/>
              <w:wordWrap/>
              <w:overflowPunct/>
              <w:topLinePunct w:val="0"/>
              <w:autoSpaceDE/>
              <w:autoSpaceDN/>
              <w:bidi w:val="0"/>
              <w:snapToGrid/>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1521" w:type="pct"/>
            <w:vAlign w:val="center"/>
          </w:tcPr>
          <w:p w14:paraId="2D5788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eastAsia" w:ascii="Times New Roman" w:hAnsi="Times New Roman" w:eastAsia="宋体" w:cstheme="minorBidi"/>
                <w:b w:val="0"/>
                <w:color w:val="000000"/>
                <w:lang w:val="en-US" w:eastAsia="zh-CN"/>
              </w:rPr>
              <w:t>川A012023012238</w:t>
            </w:r>
          </w:p>
        </w:tc>
        <w:tc>
          <w:tcPr>
            <w:tcW w:w="1369" w:type="pct"/>
            <w:vAlign w:val="center"/>
          </w:tcPr>
          <w:p w14:paraId="418BAD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Style w:val="47"/>
                <w:rFonts w:hint="default" w:ascii="Times New Roman" w:hAnsi="Times New Roman" w:eastAsia="宋体" w:cstheme="minorBidi"/>
                <w:b w:val="0"/>
                <w:color w:val="000000"/>
                <w:lang w:val="en-US" w:eastAsia="zh-CN"/>
              </w:rPr>
            </w:pPr>
            <w:r>
              <w:rPr>
                <w:rStyle w:val="47"/>
                <w:rFonts w:hint="default" w:ascii="Times New Roman" w:hAnsi="Times New Roman" w:eastAsia="宋体" w:cstheme="minorBidi"/>
                <w:b w:val="0"/>
                <w:color w:val="000000"/>
                <w:lang w:val="en-US" w:eastAsia="zh-CN"/>
              </w:rPr>
              <w:t>510322197807274712</w:t>
            </w:r>
          </w:p>
        </w:tc>
      </w:tr>
    </w:tbl>
    <w:p w14:paraId="2F0BB9FE">
      <w:pPr>
        <w:pStyle w:val="2"/>
        <w:bidi w:val="0"/>
        <w:rPr>
          <w:rFonts w:hint="eastAsia"/>
          <w:lang w:val="en-US" w:eastAsia="zh-CN"/>
        </w:rPr>
      </w:pPr>
      <w:bookmarkStart w:id="128" w:name="_Toc24912"/>
      <w:r>
        <w:rPr>
          <w:rFonts w:hint="eastAsia"/>
          <w:lang w:val="en-US" w:eastAsia="zh-CN"/>
        </w:rPr>
        <w:t>5 应急处置及应急救援措施</w:t>
      </w:r>
      <w:bookmarkEnd w:id="103"/>
      <w:bookmarkEnd w:id="128"/>
    </w:p>
    <w:p w14:paraId="550A33AB">
      <w:pPr>
        <w:pStyle w:val="3"/>
        <w:tabs>
          <w:tab w:val="left" w:pos="525"/>
          <w:tab w:val="left" w:pos="601"/>
          <w:tab w:val="clear" w:pos="240"/>
        </w:tabs>
        <w:bidi w:val="0"/>
        <w:rPr>
          <w:rFonts w:hint="eastAsia"/>
          <w:lang w:val="en-US" w:eastAsia="zh-CN"/>
        </w:rPr>
      </w:pPr>
      <w:bookmarkStart w:id="129" w:name="_Toc1590"/>
      <w:r>
        <w:rPr>
          <w:rFonts w:hint="eastAsia"/>
          <w:lang w:val="en-US" w:eastAsia="zh-CN"/>
        </w:rPr>
        <w:t>5.1应急救援组织机构及职责</w:t>
      </w:r>
      <w:bookmarkEnd w:id="129"/>
    </w:p>
    <w:p w14:paraId="355B7B4E">
      <w:pPr>
        <w:pStyle w:val="4"/>
        <w:numPr>
          <w:ilvl w:val="0"/>
          <w:numId w:val="0"/>
        </w:numPr>
        <w:tabs>
          <w:tab w:val="left" w:pos="0"/>
          <w:tab w:val="left" w:pos="630"/>
          <w:tab w:val="clear" w:pos="312"/>
        </w:tabs>
        <w:bidi w:val="0"/>
        <w:ind w:leftChars="0"/>
        <w:rPr>
          <w:rFonts w:hint="eastAsia"/>
          <w:lang w:val="en-US" w:eastAsia="zh-CN"/>
        </w:rPr>
      </w:pPr>
      <w:bookmarkStart w:id="130" w:name="_Toc530055718"/>
      <w:r>
        <w:rPr>
          <w:rFonts w:hint="eastAsia"/>
          <w:lang w:val="en-US" w:eastAsia="zh-CN"/>
        </w:rPr>
        <w:t>5.1.1应急处置领导小组</w:t>
      </w:r>
      <w:bookmarkEnd w:id="130"/>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温涛</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pStyle w:val="4"/>
        <w:numPr>
          <w:ilvl w:val="0"/>
          <w:numId w:val="0"/>
        </w:numPr>
        <w:tabs>
          <w:tab w:val="left" w:pos="0"/>
          <w:tab w:val="left" w:pos="630"/>
          <w:tab w:val="clear" w:pos="312"/>
        </w:tabs>
        <w:bidi w:val="0"/>
        <w:ind w:leftChars="0"/>
        <w:rPr>
          <w:rFonts w:hint="eastAsia"/>
          <w:lang w:val="en-US" w:eastAsia="zh-CN"/>
        </w:rPr>
      </w:pPr>
      <w:bookmarkStart w:id="131" w:name="_Toc530055719"/>
      <w:r>
        <w:rPr>
          <w:rFonts w:hint="eastAsia"/>
          <w:lang w:val="en-US" w:eastAsia="zh-CN"/>
        </w:rPr>
        <w:t>5.1.2职责</w:t>
      </w:r>
      <w:bookmarkEnd w:id="131"/>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4"/>
        <w:numPr>
          <w:ilvl w:val="0"/>
          <w:numId w:val="0"/>
        </w:numPr>
        <w:tabs>
          <w:tab w:val="left" w:pos="0"/>
          <w:tab w:val="left" w:pos="630"/>
          <w:tab w:val="clear" w:pos="312"/>
        </w:tabs>
        <w:bidi w:val="0"/>
        <w:ind w:leftChars="0"/>
        <w:rPr>
          <w:rFonts w:hint="eastAsia"/>
          <w:lang w:val="en-US" w:eastAsia="zh-CN"/>
        </w:rPr>
      </w:pPr>
      <w:bookmarkStart w:id="132" w:name="_Toc530055720"/>
      <w:r>
        <w:rPr>
          <w:rFonts w:hint="eastAsia"/>
          <w:lang w:val="en-US" w:eastAsia="zh-CN"/>
        </w:rPr>
        <w:t>5.1.3领导小组人员分工</w:t>
      </w:r>
      <w:bookmarkEnd w:id="132"/>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7C9CD1EC">
      <w:pPr>
        <w:pStyle w:val="3"/>
        <w:tabs>
          <w:tab w:val="left" w:pos="525"/>
          <w:tab w:val="left" w:pos="601"/>
          <w:tab w:val="clear" w:pos="240"/>
        </w:tabs>
        <w:bidi w:val="0"/>
        <w:rPr>
          <w:rFonts w:hint="default"/>
          <w:lang w:val="en-US" w:eastAsia="zh-CN"/>
        </w:rPr>
      </w:pPr>
      <w:bookmarkStart w:id="133" w:name="_Toc14307"/>
      <w:r>
        <w:rPr>
          <w:rFonts w:hint="eastAsia"/>
          <w:lang w:val="en-US" w:eastAsia="zh-CN"/>
        </w:rPr>
        <w:t>5.2专项应急处置措施</w:t>
      </w:r>
      <w:bookmarkEnd w:id="133"/>
    </w:p>
    <w:p w14:paraId="4E965C0C">
      <w:pPr>
        <w:pStyle w:val="4"/>
        <w:numPr>
          <w:ilvl w:val="0"/>
          <w:numId w:val="0"/>
        </w:numPr>
        <w:tabs>
          <w:tab w:val="left" w:pos="0"/>
          <w:tab w:val="left" w:pos="630"/>
          <w:tab w:val="clear" w:pos="312"/>
        </w:tabs>
        <w:bidi w:val="0"/>
        <w:ind w:leftChars="0"/>
        <w:rPr>
          <w:rFonts w:hint="eastAsia"/>
          <w:lang w:val="en-US" w:eastAsia="zh-CN"/>
        </w:rPr>
      </w:pPr>
      <w:r>
        <w:rPr>
          <w:rFonts w:hint="eastAsia"/>
          <w:lang w:val="en-US" w:eastAsia="zh-CN"/>
        </w:rPr>
        <w:t>5.2.1高处坠落应急处置措施</w:t>
      </w:r>
    </w:p>
    <w:p w14:paraId="1340DA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（5）遇有创伤性出血的伤员，应迅速包扎止血，使伤员保持在头底脚高的卧位，并注意保暖。正确的现场止血处理措施：</w:t>
      </w:r>
    </w:p>
    <w:p w14:paraId="30472C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a.一般伤口的止血法：先用生理盐水（0.9%Nacl溶液）冲洗伤口，涂上红汞水，然后盖上消毒纱布，用绷带较紧地包扎。</w:t>
      </w:r>
    </w:p>
    <w:p w14:paraId="3B79814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b.加压包扎止血法：用纱布、棉花等作成软件垫，放在伤口上再加包扎，来增强压力而达到止血。</w:t>
      </w:r>
    </w:p>
    <w:p w14:paraId="0CF3E2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（6）动用最快的交通工具或其他措施，及时把伤者送往邻近医院抢救，运送途中应尽量减少颠簸。同时密切注意伤者的呼吸、脉搏、血压及伤口的情况。</w:t>
      </w:r>
    </w:p>
    <w:p w14:paraId="4353CD57">
      <w:pPr>
        <w:pStyle w:val="4"/>
        <w:numPr>
          <w:ilvl w:val="0"/>
          <w:numId w:val="0"/>
        </w:numPr>
        <w:tabs>
          <w:tab w:val="left" w:pos="0"/>
          <w:tab w:val="left" w:pos="630"/>
          <w:tab w:val="clear" w:pos="312"/>
        </w:tabs>
        <w:bidi w:val="0"/>
        <w:ind w:leftChars="0"/>
        <w:rPr>
          <w:rFonts w:hint="eastAsia"/>
          <w:lang w:val="en-US" w:eastAsia="zh-CN"/>
        </w:rPr>
      </w:pPr>
      <w:r>
        <w:rPr>
          <w:rFonts w:hint="eastAsia"/>
          <w:lang w:val="en-US" w:eastAsia="zh-CN"/>
        </w:rPr>
        <w:t>5.2.2物体打击应急处置措施</w:t>
      </w:r>
    </w:p>
    <w:p w14:paraId="5E66EA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当发生物体打击事故后，抢救的重点放在颅脑损伤、胸部骨折和出血上进行处理。</w:t>
      </w:r>
    </w:p>
    <w:p w14:paraId="7E063D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DF9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（2）遇呼吸、心跳停止者，应立即进行人工呼吸，胸外心脏挤压。处于休克状态的伤员要让其安静、保暖、平卧、少动，并将下肢抬高约20度左右，尽快送医院进行抢救治疗。</w:t>
      </w:r>
    </w:p>
    <w:p w14:paraId="0C9E84C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981C7DC">
      <w:pPr>
        <w:pStyle w:val="4"/>
        <w:numPr>
          <w:ilvl w:val="0"/>
          <w:numId w:val="0"/>
        </w:numPr>
        <w:tabs>
          <w:tab w:val="left" w:pos="0"/>
          <w:tab w:val="left" w:pos="630"/>
          <w:tab w:val="clear" w:pos="312"/>
        </w:tabs>
        <w:bidi w:val="0"/>
        <w:ind w:leftChars="0"/>
        <w:rPr>
          <w:rFonts w:hint="default"/>
          <w:lang w:val="en-US" w:eastAsia="zh-CN"/>
        </w:rPr>
      </w:pPr>
      <w:r>
        <w:rPr>
          <w:rFonts w:hint="eastAsia"/>
          <w:lang w:val="en-US" w:eastAsia="zh-CN"/>
        </w:rPr>
        <w:t>5.2.3机械伤害应急处置措施</w:t>
      </w:r>
    </w:p>
    <w:p w14:paraId="69DF990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当施工人员发生机械伤害事故时，迅速确定事故发生的准确位置、可能波及的范围、设备损坏的程度、人员伤亡等情况，观察伤者的受伤情况、部位、伤害性质，急救人员应尽快赶往出事地点。</w:t>
      </w:r>
    </w:p>
    <w:p w14:paraId="094223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（1）休克、昏迷急救</w:t>
      </w:r>
    </w:p>
    <w:p w14:paraId="55C630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让休克者平卧、不用枕头，腿部抬高30度。若属于心原性休克同时伴有心力衰竭、气急，不能平卧时，可采用半卧，注意保暖和安静，尽量不要搬动，如必须搬动时，动作要轻。</w:t>
      </w:r>
    </w:p>
    <w:p w14:paraId="024839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（2）骨折急救</w:t>
      </w:r>
    </w:p>
    <w:p w14:paraId="3E30EF9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a.固定断骨的材料可就地取材，如棍、木板、拐杖、硬纸板等都可作为固定材料，长短要以能固定住骨折处上下两个关节或不使断骨错动为准。 </w:t>
      </w:r>
    </w:p>
    <w:p w14:paraId="6C27C94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b.脊柱骨折或骨折或颈部骨折时，除非是特殊情况如室内失火，否则应让伤者留在原地，等待携有医疗器材的医护人员来搬动。  </w:t>
      </w:r>
    </w:p>
    <w:p w14:paraId="640EAD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（3）严重出血的急救</w:t>
      </w:r>
    </w:p>
    <w:p w14:paraId="288794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止血的方法：</w:t>
      </w:r>
    </w:p>
    <w:p w14:paraId="6291DF2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a.一般止血法：一般伤口小的出血，先用生理盐水涂上红汞药水，然后盖上消毒纱布，用绷带较紧地包扎。</w:t>
      </w:r>
    </w:p>
    <w:p w14:paraId="785667A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（4）肢体切断断肢(指)后，有时即刻造成伤者因流血或疼痛而发生休克，所以应设法首先止血，防止伤员休克。其急救要点为：</w:t>
      </w:r>
    </w:p>
    <w:p w14:paraId="7F4CD13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a.让伤者躺下，用一块纱布或清洁布块(如翻出干净手帕的内面)，放在断肢伤口上，再用绷带固定位置。如果找不到绷带，也可用围巾包扎。</w:t>
      </w:r>
    </w:p>
    <w:p w14:paraId="1D98B4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b.如是手臂切断，用绷带把断臂挂在胸前，固定位置；若是一条腿断了，则与另一条腿扎在一起。</w:t>
      </w:r>
    </w:p>
    <w:p w14:paraId="63021BA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c.料理好伤者后，设法找回断肢。倘若离断的伤肢(指)仍在机器中，千万不能将肢体强行拉出，或将机器倒开(转)，以免增加损伤的机会。正确的方法应是拆开机器后取出。</w:t>
      </w:r>
    </w:p>
    <w:p w14:paraId="4FC337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e.离断后的伤肢，如有少许皮肤或其他肌腱相连，不能将其离断，应放在夹板或阔竹片上，然后包扎，立即送到医院作紧急处理。</w:t>
      </w:r>
    </w:p>
    <w:p w14:paraId="00D0E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f.严禁在离断伤肢(指)的断端涂抹各种药物及药水(包括消毒剂)，更不能涂抹牙膏、灶灰之类试图止血。</w:t>
      </w:r>
    </w:p>
    <w:p w14:paraId="5DBB8A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（5）一般性外伤</w:t>
      </w:r>
    </w:p>
    <w:p w14:paraId="65704D7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a.视伤情送往医院，防止破伤风。</w:t>
      </w:r>
    </w:p>
    <w:p w14:paraId="460933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b.轻微内伤，送医院检查。</w:t>
      </w:r>
    </w:p>
    <w:p w14:paraId="281C65C6">
      <w:pPr>
        <w:pStyle w:val="4"/>
        <w:numPr>
          <w:ilvl w:val="0"/>
          <w:numId w:val="0"/>
        </w:numPr>
        <w:tabs>
          <w:tab w:val="left" w:pos="0"/>
          <w:tab w:val="left" w:pos="630"/>
          <w:tab w:val="clear" w:pos="312"/>
        </w:tabs>
        <w:bidi w:val="0"/>
        <w:ind w:leftChars="0"/>
        <w:rPr>
          <w:rFonts w:hint="default"/>
          <w:lang w:val="en-US" w:eastAsia="zh-CN"/>
        </w:rPr>
      </w:pPr>
      <w:r>
        <w:rPr>
          <w:rFonts w:hint="eastAsia"/>
          <w:lang w:val="en-US" w:eastAsia="zh-CN"/>
        </w:rPr>
        <w:t>5.2.4触电应急处置措施</w:t>
      </w:r>
    </w:p>
    <w:p w14:paraId="633D8CC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（1）迅速脱离电源  </w:t>
      </w:r>
    </w:p>
    <w:p w14:paraId="5969C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人体触电以后，可能由于痉挛或失去知觉等原因而紧抓带电体，不能自己摆脱电源。抢救触电者的首要步骤就是使触电者尽快脱离电源。 </w:t>
      </w:r>
    </w:p>
    <w:p w14:paraId="79585FB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使触电者脱离电源的方法：</w:t>
      </w:r>
    </w:p>
    <w:p w14:paraId="6A648E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a.立即将闸刀打开或将插头拨掉，切断电源。要注意，普通的电灯开关（如拉线开关）只能关断一根线，有时关断的不是相线，并未真正切断电源。 </w:t>
      </w:r>
    </w:p>
    <w:p w14:paraId="6057DC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b.找不到开关或插头时，可用绝缘的物体（如干燥的木棒、竹杆、手套等）将电线拨开，使触电者脱离电源。</w:t>
      </w:r>
    </w:p>
    <w:p w14:paraId="6A3E3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c.用绝缘工具（如带绝缘的电工钳、木柄斧头以及锄头等）切断电线来切断电源。</w:t>
      </w:r>
    </w:p>
    <w:p w14:paraId="184B5F3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d.遇高压触电事故，立即通过有关部门停电。 </w:t>
      </w:r>
    </w:p>
    <w:p w14:paraId="3795A8F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总之，要因地制宜，灵活运用各种方法，快速切断电源，防止事故扩大。</w:t>
      </w:r>
    </w:p>
    <w:p w14:paraId="02563F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（2）现场急救方法</w:t>
      </w:r>
    </w:p>
    <w:p w14:paraId="0C7341E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a.口对口人工呼吸法：是用人工的方法来代替肺的呼吸活动，使空气有节律地进入和排出肺脏，供给体内足够的氧气，充分排出二氧化碳，维持正常的通气功能。 </w:t>
      </w:r>
    </w:p>
    <w:p w14:paraId="6EAD70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b.体外心脏挤压法：是指有节律地对心脏挤压，用人工的方法代替心脏的自然收缩，使心脏恢复搏动功能，维持血液循环。</w:t>
      </w:r>
    </w:p>
    <w:p w14:paraId="48D1DA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（3）触电急救方法</w:t>
      </w:r>
    </w:p>
    <w:p w14:paraId="5D04076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触电病人一般有以下四种症状，可分别给予正确的对症救治：</w:t>
      </w:r>
    </w:p>
    <w:p w14:paraId="4CE5F21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a.神志尚清醒，但心慌力乏，四肢麻木。该类病人一般只需将其扶到清凉通风之处休息，让其自然慢慢恢复。但要派专人照料护理，因为有的病人在几小时后会发生病变而突然死亡。</w:t>
      </w:r>
    </w:p>
    <w:p w14:paraId="769E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c.有呼吸，但心跳停止或极微弱。该类病人应该采用人工胸外心脏挤压法来恢复病人的心跳。一般可以按下述口诀进行，频率是每分钟约60~80次。当胸一手掌，中指对凹膛；掌根用力向下压，压下突然收。</w:t>
      </w:r>
    </w:p>
    <w:p w14:paraId="47BE05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605B1EA8">
      <w:pPr>
        <w:pStyle w:val="4"/>
        <w:numPr>
          <w:ilvl w:val="0"/>
          <w:numId w:val="0"/>
        </w:numPr>
        <w:tabs>
          <w:tab w:val="left" w:pos="0"/>
          <w:tab w:val="left" w:pos="630"/>
          <w:tab w:val="clear" w:pos="312"/>
        </w:tabs>
        <w:bidi w:val="0"/>
        <w:ind w:leftChars="0"/>
        <w:rPr>
          <w:rFonts w:hint="default"/>
          <w:lang w:val="en-US" w:eastAsia="zh-CN"/>
        </w:rPr>
      </w:pPr>
      <w:r>
        <w:rPr>
          <w:rFonts w:hint="eastAsia"/>
          <w:lang w:val="en-US" w:eastAsia="zh-CN"/>
        </w:rPr>
        <w:t>5.2.5落水人员应急处置措施</w:t>
      </w:r>
    </w:p>
    <w:p w14:paraId="4A8DB55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bookmarkStart w:id="134" w:name="_Toc25962"/>
      <w:bookmarkStart w:id="135" w:name="_Toc4330"/>
      <w:bookmarkStart w:id="136" w:name="_Toc8320"/>
      <w:r>
        <w:rPr>
          <w:rFonts w:hint="eastAsia" w:ascii="宋体" w:hAnsi="宋体" w:eastAsia="宋体" w:cs="宋体"/>
          <w:b w:val="0"/>
          <w:bCs w:val="0"/>
          <w:color w:val="auto"/>
          <w:kern w:val="0"/>
          <w:sz w:val="24"/>
          <w:szCs w:val="24"/>
          <w:lang w:val="en-US" w:eastAsia="zh-CN" w:bidi="ar"/>
        </w:rPr>
        <w:t>（1）交通船舶必须符合水上航行安全要求，备妥救生工具如救生衣、救生圈、救生竹篙等救生器材。</w:t>
      </w:r>
    </w:p>
    <w:p w14:paraId="747C243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（2）水上施工作业及船上流动作业人员应按规定穿着救生衣。符合高处作业条件的，还应按高处作业的规定系好安全带。</w:t>
      </w:r>
    </w:p>
    <w:p w14:paraId="7D727B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（3）交通船必须按定员，不准超载。乘坐人员应听从船员的指挥，船到位后，应待靠稳拴牢方可上、下。不得抢上抢下或船未靠稳就跳船。</w:t>
      </w:r>
    </w:p>
    <w:p w14:paraId="5775D34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（4）乘坐人员应听从船员的指挥，自觉入舱，不得站立和坐骑在船头、船尾和船帮上，遇有风浪时，船上乘坐人员不得来回走动。非本船驾驶人员严禁擅自操作。</w:t>
      </w:r>
    </w:p>
    <w:p w14:paraId="3219610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（5）施工人员应开展游泳培训，加强自救和互救的能力。</w:t>
      </w:r>
    </w:p>
    <w:p w14:paraId="47F91F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（6）人员上下通道必须设安全网，跳板要固定。作业平台应满铺脚手板，周边必须有栏杆和安全网等可靠的临边维护。</w:t>
      </w:r>
    </w:p>
    <w:p w14:paraId="46BC79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lang w:val="en-US" w:eastAsia="zh-CN" w:bidi="ar"/>
        </w:rPr>
        <w:t>（7）作业平台上应配置足够数量的救生圈等救生设备，并配备一定数量的固定</w:t>
      </w:r>
      <w:r>
        <w:rPr>
          <w:rFonts w:hint="eastAsia" w:ascii="宋体" w:hAnsi="宋体" w:eastAsia="宋体" w:cs="宋体"/>
          <w:b w:val="0"/>
          <w:bCs w:val="0"/>
          <w:color w:val="auto"/>
          <w:kern w:val="0"/>
          <w:sz w:val="24"/>
          <w:szCs w:val="24"/>
          <w:highlight w:val="none"/>
          <w:lang w:val="en-US" w:eastAsia="zh-CN" w:bidi="ar"/>
        </w:rPr>
        <w:t>式防水灯，保证夜间足够的照明。</w:t>
      </w:r>
    </w:p>
    <w:p w14:paraId="5C3095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（8）作业平台上设置多条安全通道，以防不测时人员迅速疏散。</w:t>
      </w:r>
    </w:p>
    <w:p w14:paraId="5D290A1C">
      <w:pPr>
        <w:pStyle w:val="3"/>
        <w:tabs>
          <w:tab w:val="left" w:pos="525"/>
          <w:tab w:val="left" w:pos="601"/>
          <w:tab w:val="clear" w:pos="240"/>
        </w:tabs>
        <w:bidi w:val="0"/>
        <w:rPr>
          <w:rFonts w:hint="default"/>
          <w:highlight w:val="none"/>
          <w:lang w:val="en-US" w:eastAsia="zh-CN"/>
        </w:rPr>
      </w:pPr>
      <w:bookmarkStart w:id="137" w:name="_Toc17457"/>
      <w:r>
        <w:rPr>
          <w:rFonts w:hint="eastAsia"/>
          <w:highlight w:val="none"/>
          <w:lang w:val="en-US" w:eastAsia="zh-CN"/>
        </w:rPr>
        <w:t>5.</w:t>
      </w:r>
      <w:bookmarkEnd w:id="134"/>
      <w:bookmarkEnd w:id="135"/>
      <w:bookmarkEnd w:id="136"/>
      <w:r>
        <w:rPr>
          <w:rFonts w:hint="eastAsia"/>
          <w:highlight w:val="none"/>
          <w:lang w:val="en-US" w:eastAsia="zh-CN"/>
        </w:rPr>
        <w:t>3紧急救援措施</w:t>
      </w:r>
      <w:bookmarkEnd w:id="137"/>
    </w:p>
    <w:bookmarkEnd w:id="104"/>
    <w:bookmarkEnd w:id="105"/>
    <w:bookmarkEnd w:id="106"/>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15"/>
        <w:bidi w:val="0"/>
        <w:rPr>
          <w:rFonts w:hint="eastAsia"/>
          <w:lang w:val="en-US" w:eastAsia="zh-CN"/>
        </w:rPr>
      </w:pPr>
      <w:r>
        <w:t>表</w:t>
      </w:r>
      <w:r>
        <w:rPr>
          <w:rFonts w:hint="eastAsia"/>
          <w:lang w:val="en-US" w:eastAsia="zh-CN"/>
        </w:rPr>
        <w:t>5.3-1应急物资、机械设备表</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4F4F1" w:themeFill="accent5" w:themeFillTint="32"/>
            <w:noWrap w:val="0"/>
            <w:vAlign w:val="center"/>
          </w:tcPr>
          <w:p w14:paraId="03AC62B3">
            <w:pPr>
              <w:pStyle w:val="38"/>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4F4F1" w:themeFill="accent5" w:themeFillTint="32"/>
            <w:noWrap w:val="0"/>
            <w:vAlign w:val="center"/>
          </w:tcPr>
          <w:p w14:paraId="55C38F40">
            <w:pPr>
              <w:pStyle w:val="38"/>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4F4F1" w:themeFill="accent5" w:themeFillTint="32"/>
            <w:noWrap w:val="0"/>
            <w:vAlign w:val="center"/>
          </w:tcPr>
          <w:p w14:paraId="4F54F2C9">
            <w:pPr>
              <w:pStyle w:val="38"/>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4F4F1" w:themeFill="accent5" w:themeFillTint="32"/>
            <w:noWrap w:val="0"/>
            <w:vAlign w:val="center"/>
          </w:tcPr>
          <w:p w14:paraId="4518FBC0">
            <w:pPr>
              <w:pStyle w:val="38"/>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4F4F1" w:themeFill="accent5" w:themeFillTint="32"/>
            <w:noWrap w:val="0"/>
            <w:vAlign w:val="center"/>
          </w:tcPr>
          <w:p w14:paraId="4D813F3B">
            <w:pPr>
              <w:pStyle w:val="38"/>
              <w:bidi w:val="0"/>
              <w:rPr>
                <w:rFonts w:hint="eastAsia"/>
                <w:highlight w:val="none"/>
                <w:lang w:val="en-US" w:eastAsia="zh-CN"/>
              </w:rPr>
            </w:pPr>
            <w:r>
              <w:rPr>
                <w:rFonts w:hint="eastAsia"/>
                <w:highlight w:val="none"/>
                <w:lang w:val="en-US" w:eastAsia="zh-CN"/>
              </w:rPr>
              <w:t>备注</w:t>
            </w:r>
          </w:p>
        </w:tc>
      </w:tr>
      <w:tr w14:paraId="30C8B55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38"/>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38"/>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38"/>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38"/>
              <w:bidi w:val="0"/>
              <w:rPr>
                <w:rFonts w:hint="eastAsia"/>
                <w:highlight w:val="none"/>
                <w:lang w:val="en-US" w:eastAsia="zh-CN"/>
              </w:rPr>
            </w:pPr>
            <w:r>
              <w:rPr>
                <w:rFonts w:hint="eastAsia"/>
                <w:highlight w:val="none"/>
                <w:lang w:val="en-US" w:eastAsia="zh-CN"/>
              </w:rPr>
              <w:t>220型</w:t>
            </w:r>
          </w:p>
        </w:tc>
      </w:tr>
      <w:tr w14:paraId="1C5073D5">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38"/>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38"/>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38"/>
              <w:bidi w:val="0"/>
              <w:rPr>
                <w:rFonts w:hint="eastAsia"/>
                <w:highlight w:val="none"/>
                <w:lang w:val="en-US" w:eastAsia="zh-CN"/>
              </w:rPr>
            </w:pPr>
            <w:r>
              <w:rPr>
                <w:rFonts w:hint="eastAsia"/>
                <w:highlight w:val="none"/>
                <w:lang w:val="en-US" w:eastAsia="zh-CN"/>
              </w:rPr>
              <w:t>50型</w:t>
            </w:r>
          </w:p>
        </w:tc>
      </w:tr>
      <w:tr w14:paraId="1033BC3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38"/>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38"/>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38"/>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38"/>
              <w:bidi w:val="0"/>
              <w:rPr>
                <w:rFonts w:hint="eastAsia"/>
                <w:highlight w:val="none"/>
                <w:lang w:val="en-US" w:eastAsia="zh-CN"/>
              </w:rPr>
            </w:pPr>
            <w:r>
              <w:rPr>
                <w:rFonts w:hint="eastAsia"/>
                <w:highlight w:val="none"/>
                <w:lang w:val="en-US" w:eastAsia="zh-CN"/>
              </w:rPr>
              <w:t>200千瓦</w:t>
            </w:r>
          </w:p>
        </w:tc>
      </w:tr>
      <w:tr w14:paraId="6F5C3DB7">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38"/>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38"/>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38"/>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38"/>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38"/>
              <w:bidi w:val="0"/>
              <w:rPr>
                <w:rFonts w:hint="eastAsia"/>
                <w:highlight w:val="none"/>
                <w:lang w:val="en-US" w:eastAsia="zh-CN"/>
              </w:rPr>
            </w:pPr>
            <w:r>
              <w:rPr>
                <w:rFonts w:hint="eastAsia"/>
                <w:highlight w:val="none"/>
                <w:lang w:val="en-US" w:eastAsia="zh-CN"/>
              </w:rPr>
              <w:t>400吨</w:t>
            </w:r>
          </w:p>
        </w:tc>
      </w:tr>
      <w:tr w14:paraId="2E71712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38"/>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38"/>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38"/>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38"/>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38"/>
              <w:bidi w:val="0"/>
              <w:rPr>
                <w:rFonts w:hint="eastAsia"/>
                <w:highlight w:val="none"/>
                <w:lang w:val="en-US" w:eastAsia="zh-CN"/>
              </w:rPr>
            </w:pPr>
          </w:p>
        </w:tc>
      </w:tr>
      <w:tr w14:paraId="63FE7D1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38"/>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38"/>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38"/>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38"/>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38"/>
              <w:bidi w:val="0"/>
              <w:rPr>
                <w:rFonts w:hint="eastAsia"/>
                <w:highlight w:val="none"/>
                <w:lang w:val="en-US" w:eastAsia="zh-CN"/>
              </w:rPr>
            </w:pPr>
          </w:p>
        </w:tc>
      </w:tr>
      <w:tr w14:paraId="7F2478E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38"/>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38"/>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38"/>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38"/>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38"/>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38"/>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38"/>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38"/>
              <w:bidi w:val="0"/>
              <w:rPr>
                <w:rFonts w:hint="eastAsia"/>
                <w:highlight w:val="none"/>
                <w:lang w:val="en-US" w:eastAsia="zh-CN"/>
              </w:rPr>
            </w:pPr>
          </w:p>
        </w:tc>
      </w:tr>
      <w:tr w14:paraId="0ED50101">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38"/>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38"/>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38"/>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38"/>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38"/>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138" w:name="_Toc15656"/>
      <w:r>
        <w:rPr>
          <w:rFonts w:hint="eastAsia" w:ascii="宋体" w:hAnsi="宋体" w:eastAsia="宋体"/>
          <w:highlight w:val="none"/>
          <w:lang w:val="en-US" w:eastAsia="zh-CN"/>
        </w:rPr>
        <w:t>2、应急电话及救援路线图</w:t>
      </w:r>
      <w:bookmarkEnd w:id="138"/>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15"/>
        <w:bidi w:val="0"/>
        <w:rPr>
          <w:rFonts w:hint="eastAsia"/>
          <w:lang w:val="en-US" w:eastAsia="zh-CN"/>
        </w:rPr>
      </w:pPr>
      <w:r>
        <w:t>表</w:t>
      </w:r>
      <w:r>
        <w:rPr>
          <w:rFonts w:hint="eastAsia"/>
          <w:lang w:val="en-US" w:eastAsia="zh-CN"/>
        </w:rPr>
        <w:t>5.3-2项目附近救援机构联系方式及位置</w:t>
      </w:r>
    </w:p>
    <w:tbl>
      <w:tblPr>
        <w:tblStyle w:val="28"/>
        <w:tblW w:w="4998" w:type="pct"/>
        <w:jc w:val="center"/>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4F4F1" w:themeFill="accent5" w:themeFillTint="32"/>
            <w:noWrap w:val="0"/>
            <w:vAlign w:val="center"/>
          </w:tcPr>
          <w:p w14:paraId="1918F4A3">
            <w:pPr>
              <w:pStyle w:val="38"/>
              <w:bidi w:val="0"/>
              <w:rPr>
                <w:rFonts w:hint="eastAsia"/>
                <w:highlight w:val="none"/>
              </w:rPr>
            </w:pPr>
            <w:r>
              <w:rPr>
                <w:rFonts w:hint="eastAsia"/>
                <w:highlight w:val="none"/>
              </w:rPr>
              <w:t>序号</w:t>
            </w:r>
          </w:p>
        </w:tc>
        <w:tc>
          <w:tcPr>
            <w:tcW w:w="1464" w:type="pct"/>
            <w:tcBorders>
              <w:tl2br w:val="nil"/>
              <w:tr2bl w:val="nil"/>
            </w:tcBorders>
            <w:shd w:val="clear" w:color="auto" w:fill="D4F4F1" w:themeFill="accent5" w:themeFillTint="32"/>
            <w:noWrap w:val="0"/>
            <w:vAlign w:val="center"/>
          </w:tcPr>
          <w:p w14:paraId="6AE9834D">
            <w:pPr>
              <w:pStyle w:val="38"/>
              <w:bidi w:val="0"/>
              <w:rPr>
                <w:rFonts w:hint="eastAsia"/>
                <w:highlight w:val="none"/>
              </w:rPr>
            </w:pPr>
            <w:r>
              <w:rPr>
                <w:rFonts w:hint="eastAsia"/>
                <w:highlight w:val="none"/>
              </w:rPr>
              <w:t>周边资源</w:t>
            </w:r>
          </w:p>
        </w:tc>
        <w:tc>
          <w:tcPr>
            <w:tcW w:w="993" w:type="pct"/>
            <w:tcBorders>
              <w:tl2br w:val="nil"/>
              <w:tr2bl w:val="nil"/>
            </w:tcBorders>
            <w:shd w:val="clear" w:color="auto" w:fill="D4F4F1" w:themeFill="accent5" w:themeFillTint="32"/>
            <w:noWrap w:val="0"/>
            <w:vAlign w:val="center"/>
          </w:tcPr>
          <w:p w14:paraId="7971B0E4">
            <w:pPr>
              <w:pStyle w:val="38"/>
              <w:bidi w:val="0"/>
              <w:rPr>
                <w:rFonts w:hint="eastAsia"/>
                <w:highlight w:val="none"/>
              </w:rPr>
            </w:pPr>
            <w:r>
              <w:rPr>
                <w:rFonts w:hint="eastAsia"/>
                <w:highlight w:val="none"/>
              </w:rPr>
              <w:t>联系方式</w:t>
            </w:r>
          </w:p>
        </w:tc>
        <w:tc>
          <w:tcPr>
            <w:tcW w:w="1074" w:type="pct"/>
            <w:tcBorders>
              <w:tl2br w:val="nil"/>
              <w:tr2bl w:val="nil"/>
            </w:tcBorders>
            <w:shd w:val="clear" w:color="auto" w:fill="D4F4F1" w:themeFill="accent5" w:themeFillTint="32"/>
            <w:noWrap w:val="0"/>
            <w:vAlign w:val="center"/>
          </w:tcPr>
          <w:p w14:paraId="7790F91C">
            <w:pPr>
              <w:pStyle w:val="38"/>
              <w:bidi w:val="0"/>
              <w:rPr>
                <w:rFonts w:hint="eastAsia"/>
                <w:highlight w:val="none"/>
              </w:rPr>
            </w:pPr>
            <w:r>
              <w:rPr>
                <w:rFonts w:hint="eastAsia"/>
                <w:highlight w:val="none"/>
              </w:rPr>
              <w:t>位置</w:t>
            </w:r>
          </w:p>
        </w:tc>
        <w:tc>
          <w:tcPr>
            <w:tcW w:w="1056" w:type="pct"/>
            <w:tcBorders>
              <w:tl2br w:val="nil"/>
              <w:tr2bl w:val="nil"/>
            </w:tcBorders>
            <w:shd w:val="clear" w:color="auto" w:fill="D4F4F1" w:themeFill="accent5" w:themeFillTint="32"/>
            <w:noWrap w:val="0"/>
            <w:vAlign w:val="center"/>
          </w:tcPr>
          <w:p w14:paraId="5427F3F5">
            <w:pPr>
              <w:pStyle w:val="38"/>
              <w:bidi w:val="0"/>
              <w:rPr>
                <w:rFonts w:hint="eastAsia"/>
                <w:highlight w:val="none"/>
              </w:rPr>
            </w:pPr>
            <w:r>
              <w:rPr>
                <w:rFonts w:hint="eastAsia"/>
                <w:highlight w:val="none"/>
              </w:rPr>
              <w:t>用途</w:t>
            </w:r>
          </w:p>
        </w:tc>
      </w:tr>
      <w:tr w14:paraId="16E07FA4">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38"/>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38"/>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38"/>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38"/>
              <w:bidi w:val="0"/>
              <w:rPr>
                <w:rFonts w:hint="eastAsia"/>
                <w:highlight w:val="none"/>
                <w:lang w:val="en-US" w:eastAsia="zh-CN"/>
              </w:rPr>
            </w:pPr>
            <w:r>
              <w:rPr>
                <w:rFonts w:hint="eastAsia"/>
                <w:highlight w:val="none"/>
              </w:rPr>
              <w:t>火灾报警救援</w:t>
            </w:r>
          </w:p>
        </w:tc>
      </w:tr>
      <w:tr w14:paraId="60448DB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38"/>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38"/>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38"/>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38"/>
              <w:bidi w:val="0"/>
              <w:rPr>
                <w:rFonts w:hint="eastAsia"/>
                <w:highlight w:val="none"/>
                <w:lang w:val="en-US" w:eastAsia="zh-CN"/>
              </w:rPr>
            </w:pPr>
            <w:r>
              <w:rPr>
                <w:rFonts w:hint="eastAsia"/>
                <w:highlight w:val="none"/>
              </w:rPr>
              <w:t>治安事件报警救援</w:t>
            </w:r>
          </w:p>
        </w:tc>
      </w:tr>
      <w:tr w14:paraId="52BAABF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38"/>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38"/>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38"/>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38"/>
              <w:bidi w:val="0"/>
              <w:rPr>
                <w:rFonts w:hint="eastAsia"/>
                <w:highlight w:val="none"/>
                <w:lang w:val="en-US" w:eastAsia="zh-CN"/>
              </w:rPr>
            </w:pPr>
            <w:r>
              <w:rPr>
                <w:rFonts w:hint="eastAsia"/>
                <w:highlight w:val="none"/>
              </w:rPr>
              <w:t>气象信息</w:t>
            </w:r>
          </w:p>
        </w:tc>
      </w:tr>
      <w:tr w14:paraId="7D6CF009">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38"/>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38"/>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38"/>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38"/>
              <w:bidi w:val="0"/>
              <w:rPr>
                <w:rFonts w:hint="eastAsia"/>
                <w:highlight w:val="none"/>
                <w:lang w:val="en-US" w:eastAsia="zh-CN"/>
              </w:rPr>
            </w:pPr>
            <w:r>
              <w:rPr>
                <w:rFonts w:hint="eastAsia"/>
                <w:highlight w:val="none"/>
              </w:rPr>
              <w:t>电话号码查询</w:t>
            </w:r>
          </w:p>
        </w:tc>
      </w:tr>
      <w:tr w14:paraId="4CFE6788">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38"/>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38"/>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38"/>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38"/>
              <w:bidi w:val="0"/>
              <w:rPr>
                <w:rFonts w:hint="eastAsia"/>
                <w:highlight w:val="none"/>
                <w:lang w:val="en-US" w:eastAsia="zh-CN"/>
              </w:rPr>
            </w:pPr>
            <w:r>
              <w:rPr>
                <w:rFonts w:hint="eastAsia"/>
                <w:highlight w:val="none"/>
              </w:rPr>
              <w:t>人员伤亡急救</w:t>
            </w:r>
          </w:p>
        </w:tc>
      </w:tr>
      <w:tr w14:paraId="0390A4E6">
        <w:tblPrEx>
          <w:tblBorders>
            <w:top w:val="double" w:color="238F86" w:themeColor="accent5" w:themeShade="BF" w:sz="4" w:space="0"/>
            <w:left w:val="double" w:color="238F86" w:themeColor="accent5" w:themeShade="BF" w:sz="4" w:space="0"/>
            <w:bottom w:val="double" w:color="238F86" w:themeColor="accent5" w:themeShade="BF" w:sz="4" w:space="0"/>
            <w:right w:val="double" w:color="238F86" w:themeColor="accent5" w:themeShade="BF" w:sz="4" w:space="0"/>
            <w:insideH w:val="single" w:color="238F86" w:themeColor="accent5" w:themeShade="BF" w:sz="4" w:space="0"/>
            <w:insideV w:val="single" w:color="238F8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38"/>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38"/>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38"/>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38"/>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38"/>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18415" b="254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47"/>
                    <a:srcRect b="6944"/>
                    <a:stretch>
                      <a:fillRect/>
                    </a:stretch>
                  </pic:blipFill>
                  <pic:spPr>
                    <a:xfrm>
                      <a:off x="0" y="0"/>
                      <a:ext cx="4458335" cy="2416810"/>
                    </a:xfrm>
                    <a:prstGeom prst="rect">
                      <a:avLst/>
                    </a:prstGeom>
                    <a:noFill/>
                    <a:ln w="9525">
                      <a:noFill/>
                    </a:ln>
                  </pic:spPr>
                </pic:pic>
              </a:graphicData>
            </a:graphic>
          </wp:inline>
        </w:drawing>
      </w:r>
    </w:p>
    <w:p w14:paraId="741763BE">
      <w:pPr>
        <w:pStyle w:val="15"/>
        <w:bidi w:val="0"/>
        <w:rPr>
          <w:rFonts w:hint="eastAsia"/>
          <w:lang w:val="en-US" w:eastAsia="zh-CN"/>
        </w:rPr>
      </w:pPr>
      <w:r>
        <w:rPr>
          <w:rFonts w:hint="eastAsia"/>
          <w:lang w:val="en-US" w:eastAsia="zh-CN"/>
        </w:rPr>
        <w:t>图5.3</w:t>
      </w:r>
      <w:r>
        <w:rPr>
          <w:rFonts w:hint="default"/>
          <w:lang w:val="en-US" w:eastAsia="zh-CN"/>
        </w:rPr>
        <w:t xml:space="preserve">-1 </w:t>
      </w:r>
      <w:r>
        <w:rPr>
          <w:rFonts w:hint="eastAsia"/>
          <w:lang w:val="en-US" w:eastAsia="zh-CN"/>
        </w:rPr>
        <w:t>应急路线图</w:t>
      </w:r>
    </w:p>
    <w:p w14:paraId="05444003">
      <w:pPr>
        <w:bidi w:val="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2"/>
        <w:bidi w:val="0"/>
        <w:rPr>
          <w:rFonts w:hint="eastAsia"/>
          <w:lang w:val="en-US" w:eastAsia="zh-CN"/>
        </w:rPr>
      </w:pPr>
      <w:bookmarkStart w:id="139" w:name="_Toc29685"/>
      <w:r>
        <w:rPr>
          <w:rFonts w:hint="eastAsia"/>
          <w:lang w:val="en-US" w:eastAsia="zh-CN"/>
        </w:rPr>
        <w:t>6附件</w:t>
      </w:r>
      <w:bookmarkEnd w:id="107"/>
      <w:bookmarkEnd w:id="108"/>
      <w:bookmarkEnd w:id="109"/>
      <w:bookmarkEnd w:id="110"/>
      <w:bookmarkEnd w:id="111"/>
      <w:bookmarkEnd w:id="112"/>
      <w:bookmarkEnd w:id="113"/>
      <w:bookmarkEnd w:id="114"/>
      <w:bookmarkEnd w:id="139"/>
    </w:p>
    <w:p w14:paraId="4247A973">
      <w:pPr>
        <w:pStyle w:val="3"/>
        <w:bidi w:val="0"/>
        <w:rPr>
          <w:rFonts w:hint="eastAsia"/>
          <w:lang w:val="en-US" w:eastAsia="zh-CN"/>
        </w:rPr>
      </w:pPr>
      <w:bookmarkStart w:id="140" w:name="_Toc30563"/>
      <w:bookmarkStart w:id="141" w:name="_Toc31890"/>
      <w:bookmarkStart w:id="142" w:name="_Toc30117"/>
      <w:bookmarkStart w:id="143" w:name="_Toc30036"/>
      <w:bookmarkStart w:id="144" w:name="_Toc18774"/>
      <w:bookmarkStart w:id="145" w:name="_Toc3010"/>
      <w:bookmarkStart w:id="146" w:name="_Toc31940"/>
      <w:bookmarkStart w:id="147" w:name="_Toc20334"/>
      <w:bookmarkStart w:id="148" w:name="_Toc1391"/>
      <w:r>
        <w:rPr>
          <w:rFonts w:hint="eastAsia"/>
          <w:lang w:val="en-US" w:eastAsia="zh-CN"/>
        </w:rPr>
        <w:t>附件一：工序施工控制要点一览表</w:t>
      </w:r>
      <w:bookmarkEnd w:id="140"/>
      <w:bookmarkEnd w:id="141"/>
      <w:bookmarkEnd w:id="142"/>
      <w:bookmarkEnd w:id="143"/>
      <w:bookmarkEnd w:id="144"/>
      <w:bookmarkEnd w:id="145"/>
      <w:bookmarkEnd w:id="146"/>
      <w:bookmarkEnd w:id="147"/>
      <w:bookmarkEnd w:id="148"/>
    </w:p>
    <w:tbl>
      <w:tblPr>
        <w:tblStyle w:val="29"/>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161"/>
        <w:gridCol w:w="4355"/>
        <w:gridCol w:w="4467"/>
        <w:gridCol w:w="1980"/>
      </w:tblGrid>
      <w:tr w14:paraId="0B2B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1C46EA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E5EEE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3F3E3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5E32B0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002" w:type="dxa"/>
            <w:gridSpan w:val="3"/>
            <w:vAlign w:val="center"/>
          </w:tcPr>
          <w:p w14:paraId="290A44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355" w:type="dxa"/>
            <w:vMerge w:val="restart"/>
            <w:vAlign w:val="center"/>
          </w:tcPr>
          <w:p w14:paraId="67C029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3F517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7EC1AE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11BF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6381CB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55EF1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242F0E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72381A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67EC20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6069B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161" w:type="dxa"/>
            <w:vAlign w:val="center"/>
          </w:tcPr>
          <w:p w14:paraId="0CCCFC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355" w:type="dxa"/>
            <w:vMerge w:val="continue"/>
            <w:vAlign w:val="center"/>
          </w:tcPr>
          <w:p w14:paraId="42F758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0D8920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578071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2D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2FDFA1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135419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1D88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02E63D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09A757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70BB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11" w:type="dxa"/>
            <w:vAlign w:val="center"/>
          </w:tcPr>
          <w:p w14:paraId="33846C67">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4AE36D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903C4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安装1节基础节和标准节</w:t>
            </w:r>
          </w:p>
        </w:tc>
        <w:tc>
          <w:tcPr>
            <w:tcW w:w="3107" w:type="dxa"/>
            <w:vAlign w:val="center"/>
          </w:tcPr>
          <w:p w14:paraId="7A3227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将吊具挂在塔身基础节上，张紧吊具并将塔身基础节放正，安装在</w:t>
            </w:r>
            <w:r>
              <w:rPr>
                <w:rFonts w:hint="eastAsia" w:ascii="宋体" w:hAnsi="宋体" w:cs="宋体"/>
                <w:sz w:val="20"/>
                <w:szCs w:val="20"/>
                <w:highlight w:val="none"/>
                <w:lang w:val="en-US" w:eastAsia="zh-CN"/>
              </w:rPr>
              <w:t>预埋支腿基础</w:t>
            </w:r>
            <w:r>
              <w:rPr>
                <w:rFonts w:hint="eastAsia" w:ascii="宋体" w:hAnsi="宋体" w:eastAsia="宋体" w:cs="宋体"/>
                <w:sz w:val="20"/>
                <w:szCs w:val="20"/>
                <w:highlight w:val="none"/>
                <w:lang w:val="en-US" w:eastAsia="zh-CN"/>
              </w:rPr>
              <w:t>上，</w:t>
            </w:r>
            <w:r>
              <w:rPr>
                <w:rFonts w:hint="eastAsia" w:ascii="宋体" w:hAnsi="宋体" w:cs="宋体"/>
                <w:sz w:val="20"/>
                <w:szCs w:val="20"/>
                <w:highlight w:val="none"/>
                <w:lang w:val="en-US" w:eastAsia="zh-CN"/>
              </w:rPr>
              <w:t>插入销轴</w:t>
            </w:r>
            <w:r>
              <w:rPr>
                <w:rFonts w:hint="eastAsia" w:ascii="宋体" w:hAnsi="宋体" w:eastAsia="宋体" w:cs="宋体"/>
                <w:sz w:val="20"/>
                <w:szCs w:val="20"/>
                <w:highlight w:val="none"/>
                <w:lang w:val="en-US" w:eastAsia="zh-CN"/>
              </w:rPr>
              <w:t>。。然后再次从两个方向进行复测，垂直度偏差≤1/1000；若垂直度不满足要求应重新调整，然后再复测，直符合要求后用销轴固定。</w:t>
            </w:r>
          </w:p>
        </w:tc>
        <w:tc>
          <w:tcPr>
            <w:tcW w:w="1459" w:type="dxa"/>
            <w:vAlign w:val="center"/>
          </w:tcPr>
          <w:p w14:paraId="32F350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4217D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161" w:type="dxa"/>
            <w:vAlign w:val="center"/>
          </w:tcPr>
          <w:p w14:paraId="3D93AA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5AE6D1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w:t>
            </w:r>
            <w:r>
              <w:rPr>
                <w:rFonts w:hint="eastAsia" w:ascii="宋体" w:hAnsi="宋体" w:eastAsia="宋体" w:cs="宋体"/>
                <w:kern w:val="2"/>
                <w:sz w:val="20"/>
                <w:szCs w:val="20"/>
                <w:lang w:val="en-US" w:eastAsia="zh-CN" w:bidi="ar-SA"/>
              </w:rPr>
              <w:t>基础强度不足导致倾覆；吊物坠落</w:t>
            </w:r>
            <w:r>
              <w:rPr>
                <w:rFonts w:hint="default" w:ascii="宋体" w:hAnsi="宋体" w:eastAsia="宋体" w:cs="宋体"/>
                <w:kern w:val="2"/>
                <w:sz w:val="20"/>
                <w:szCs w:val="20"/>
                <w:lang w:val="en-US" w:eastAsia="zh-CN" w:bidi="ar-SA"/>
              </w:rPr>
              <w:t>。</w:t>
            </w:r>
          </w:p>
          <w:p w14:paraId="41E927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w:t>
            </w:r>
            <w:r>
              <w:rPr>
                <w:rFonts w:hint="eastAsia" w:ascii="宋体" w:hAnsi="宋体" w:eastAsia="宋体" w:cs="宋体"/>
                <w:kern w:val="2"/>
                <w:sz w:val="20"/>
                <w:szCs w:val="20"/>
                <w:lang w:val="en-US" w:eastAsia="zh-CN" w:bidi="ar-SA"/>
              </w:rPr>
              <w:t>基础混凝土强度</w:t>
            </w:r>
            <w:r>
              <w:rPr>
                <w:rFonts w:hint="eastAsia" w:ascii="宋体" w:hAnsi="宋体" w:cs="宋体"/>
                <w:kern w:val="2"/>
                <w:sz w:val="20"/>
                <w:szCs w:val="20"/>
                <w:lang w:val="en-US" w:eastAsia="zh-CN" w:bidi="ar-SA"/>
              </w:rPr>
              <w:t>8</w:t>
            </w:r>
            <w:r>
              <w:rPr>
                <w:rFonts w:hint="eastAsia" w:ascii="宋体" w:hAnsi="宋体" w:eastAsia="宋体" w:cs="宋体"/>
                <w:kern w:val="2"/>
                <w:sz w:val="20"/>
                <w:szCs w:val="20"/>
                <w:lang w:val="en-US" w:eastAsia="zh-CN" w:bidi="ar-SA"/>
              </w:rPr>
              <w:t>0%检测报告</w:t>
            </w:r>
            <w:r>
              <w:rPr>
                <w:rFonts w:hint="default" w:ascii="宋体" w:hAnsi="宋体" w:eastAsia="宋体" w:cs="宋体"/>
                <w:kern w:val="2"/>
                <w:sz w:val="20"/>
                <w:szCs w:val="20"/>
                <w:lang w:val="en-US" w:eastAsia="zh-CN" w:bidi="ar-SA"/>
              </w:rPr>
              <w:t>。</w:t>
            </w:r>
          </w:p>
        </w:tc>
        <w:tc>
          <w:tcPr>
            <w:tcW w:w="4467" w:type="dxa"/>
            <w:vAlign w:val="center"/>
          </w:tcPr>
          <w:p w14:paraId="1801AC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基础节踏步安装方向应与建筑物方向垂直,基础节垂直度≤1/1000；地脚螺栓紧固扭矩达标</w:t>
            </w:r>
          </w:p>
        </w:tc>
        <w:tc>
          <w:tcPr>
            <w:tcW w:w="1980" w:type="dxa"/>
            <w:vAlign w:val="center"/>
          </w:tcPr>
          <w:p w14:paraId="72EE4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46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50AEFE2">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8318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2</w:t>
            </w:r>
          </w:p>
        </w:tc>
        <w:tc>
          <w:tcPr>
            <w:tcW w:w="1329" w:type="dxa"/>
            <w:vAlign w:val="center"/>
          </w:tcPr>
          <w:p w14:paraId="5C5B7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安装爬升架</w:t>
            </w:r>
          </w:p>
        </w:tc>
        <w:tc>
          <w:tcPr>
            <w:tcW w:w="3107" w:type="dxa"/>
            <w:vAlign w:val="center"/>
          </w:tcPr>
          <w:p w14:paraId="59EB41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在地面上组装爬升架，待爬升架完成后，再安装爬升架。先将吊具挂在爬升架上，拉紧钢丝绳吊起；将爬升架缓慢套装在标准节外侧；将爬升架上的活动爬爪放在标准节的第一节（从下往上数）上部的踏步上；安装顶升油缸，将液压泵站油管连接到顶升油缸上。</w:t>
            </w:r>
          </w:p>
          <w:p w14:paraId="3F0ACD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p>
        </w:tc>
        <w:tc>
          <w:tcPr>
            <w:tcW w:w="1459" w:type="dxa"/>
            <w:vAlign w:val="center"/>
          </w:tcPr>
          <w:p w14:paraId="4D14EF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590E97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161" w:type="dxa"/>
            <w:vAlign w:val="center"/>
          </w:tcPr>
          <w:p w14:paraId="5DD547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240D4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1F571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：爬升架与塔身卡滞、碰撞；液压系统失灵导致架体下坠。</w:t>
            </w:r>
          </w:p>
          <w:p w14:paraId="1C6C9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安全条件：已安装塔身结构无变形；风速＜4级。</w:t>
            </w:r>
          </w:p>
          <w:p w14:paraId="0B29B1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14754A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爬升架与塔身间隙均匀；导向轮调整到位无卡涩</w:t>
            </w:r>
          </w:p>
        </w:tc>
        <w:tc>
          <w:tcPr>
            <w:tcW w:w="1980" w:type="dxa"/>
            <w:vAlign w:val="center"/>
          </w:tcPr>
          <w:p w14:paraId="64155A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1912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A925EAF">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7664B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660F12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安装特殊节</w:t>
            </w:r>
          </w:p>
        </w:tc>
        <w:tc>
          <w:tcPr>
            <w:tcW w:w="3107" w:type="dxa"/>
            <w:vAlign w:val="center"/>
          </w:tcPr>
          <w:p w14:paraId="6BC0E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将吊索绕入特殊节四根主弦的连接套，并挂至吊钩，移动到塔身上方，确保与塔身节的爬梯一致后，缓缓落下，将特殊节支腿与与爬升架耳板孔对准后，插入销轴及开口销；同时将特殊节与塔身节用</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紧固。</w:t>
            </w:r>
          </w:p>
        </w:tc>
        <w:tc>
          <w:tcPr>
            <w:tcW w:w="1459" w:type="dxa"/>
            <w:vAlign w:val="center"/>
          </w:tcPr>
          <w:p w14:paraId="3AB86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2E83AD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161" w:type="dxa"/>
            <w:vAlign w:val="center"/>
          </w:tcPr>
          <w:p w14:paraId="580DED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096641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4E70F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tc>
        <w:tc>
          <w:tcPr>
            <w:tcW w:w="4467" w:type="dxa"/>
            <w:vAlign w:val="center"/>
          </w:tcPr>
          <w:p w14:paraId="203162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32C26D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7B1A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57A8BF">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0026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77256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安装回转总成</w:t>
            </w:r>
          </w:p>
        </w:tc>
        <w:tc>
          <w:tcPr>
            <w:tcW w:w="3107" w:type="dxa"/>
            <w:vAlign w:val="center"/>
          </w:tcPr>
          <w:p w14:paraId="6E1186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回转总成包括下支座、回转支承、上支座、回转机构共四部分，下支座下部分别与塔身节和爬升架相连，上部与回转支承通过高强度螺栓连接。在吊装回转总成时，必须同时采用4 个吊耳进行吊装。吊起回转总成（</w:t>
            </w:r>
            <w:r>
              <w:rPr>
                <w:rFonts w:hint="default" w:ascii="宋体" w:hAnsi="宋体" w:eastAsia="宋体" w:cs="宋体"/>
                <w:sz w:val="20"/>
                <w:szCs w:val="20"/>
                <w:highlight w:val="none"/>
                <w:lang w:val="en-US" w:eastAsia="zh-CN"/>
              </w:rPr>
              <w:t>1</w:t>
            </w:r>
            <w:r>
              <w:rPr>
                <w:rFonts w:hint="eastAsia" w:ascii="宋体" w:hAnsi="宋体" w:eastAsia="宋体" w:cs="宋体"/>
                <w:sz w:val="20"/>
                <w:szCs w:val="20"/>
                <w:highlight w:val="none"/>
                <w:lang w:val="en-US" w:eastAsia="zh-CN"/>
              </w:rPr>
              <w:t xml:space="preserve">）至特殊节上方，注意下支座爬梯方向与特殊节爬梯方向保持一致，将回转总成缓慢的落下，通过 </w:t>
            </w:r>
            <w:r>
              <w:rPr>
                <w:rFonts w:hint="default" w:ascii="宋体" w:hAnsi="宋体" w:eastAsia="宋体" w:cs="宋体"/>
                <w:sz w:val="20"/>
                <w:szCs w:val="20"/>
                <w:highlight w:val="none"/>
                <w:lang w:val="en-US" w:eastAsia="zh-CN"/>
              </w:rPr>
              <w:t xml:space="preserve">8 </w:t>
            </w:r>
            <w:r>
              <w:rPr>
                <w:rFonts w:hint="eastAsia" w:ascii="宋体" w:hAnsi="宋体" w:eastAsia="宋体" w:cs="宋体"/>
                <w:sz w:val="20"/>
                <w:szCs w:val="20"/>
                <w:highlight w:val="none"/>
                <w:lang w:val="en-US" w:eastAsia="zh-CN"/>
              </w:rPr>
              <w:t>个销轴（</w:t>
            </w:r>
            <w:r>
              <w:rPr>
                <w:rFonts w:hint="default" w:ascii="宋体" w:hAnsi="宋体" w:eastAsia="宋体" w:cs="宋体"/>
                <w:sz w:val="20"/>
                <w:szCs w:val="20"/>
                <w:highlight w:val="none"/>
                <w:lang w:val="en-US" w:eastAsia="zh-CN"/>
              </w:rPr>
              <w:t>2</w:t>
            </w:r>
            <w:r>
              <w:rPr>
                <w:rFonts w:hint="eastAsia" w:ascii="宋体" w:hAnsi="宋体" w:eastAsia="宋体" w:cs="宋体"/>
                <w:sz w:val="20"/>
                <w:szCs w:val="20"/>
                <w:highlight w:val="none"/>
                <w:lang w:val="en-US" w:eastAsia="zh-CN"/>
              </w:rPr>
              <w:t>）连接，为防止销轴脱出，两个销轴之间通过立销（</w:t>
            </w:r>
            <w:r>
              <w:rPr>
                <w:rFonts w:hint="default" w:ascii="宋体" w:hAnsi="宋体" w:eastAsia="宋体" w:cs="宋体"/>
                <w:sz w:val="20"/>
                <w:szCs w:val="20"/>
                <w:highlight w:val="none"/>
                <w:lang w:val="en-US" w:eastAsia="zh-CN"/>
              </w:rPr>
              <w:t>3</w:t>
            </w:r>
            <w:r>
              <w:rPr>
                <w:rFonts w:hint="eastAsia" w:ascii="宋体" w:hAnsi="宋体" w:eastAsia="宋体" w:cs="宋体"/>
                <w:sz w:val="20"/>
                <w:szCs w:val="20"/>
                <w:highlight w:val="none"/>
                <w:lang w:val="en-US" w:eastAsia="zh-CN"/>
              </w:rPr>
              <w:t>）固定，立销下端穿入。</w:t>
            </w:r>
          </w:p>
        </w:tc>
        <w:tc>
          <w:tcPr>
            <w:tcW w:w="1459" w:type="dxa"/>
            <w:vAlign w:val="center"/>
          </w:tcPr>
          <w:p w14:paraId="58E526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7AA0CD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50t汽车吊</w:t>
            </w:r>
          </w:p>
        </w:tc>
        <w:tc>
          <w:tcPr>
            <w:tcW w:w="1161" w:type="dxa"/>
            <w:vAlign w:val="center"/>
          </w:tcPr>
          <w:p w14:paraId="2ACAD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355" w:type="dxa"/>
            <w:vAlign w:val="center"/>
          </w:tcPr>
          <w:p w14:paraId="775254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部件重心偏置吊装失衡；就位时连接销轴或螺栓孔位对不准。</w:t>
            </w:r>
          </w:p>
          <w:p w14:paraId="4A7A94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吊索长度需保证吊装角度＞45°；风速＜4级；下方严禁站人。</w:t>
            </w:r>
          </w:p>
        </w:tc>
        <w:tc>
          <w:tcPr>
            <w:tcW w:w="4467" w:type="dxa"/>
            <w:vAlign w:val="center"/>
          </w:tcPr>
          <w:p w14:paraId="56DA79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与塔身连接螺栓扭矩100%达标；回转支座与塔身断面间隙均匀（≤0.5mm）</w:t>
            </w:r>
          </w:p>
        </w:tc>
        <w:tc>
          <w:tcPr>
            <w:tcW w:w="1980" w:type="dxa"/>
            <w:vAlign w:val="center"/>
          </w:tcPr>
          <w:p w14:paraId="0F14D2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5BB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4E28B9DC">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5D5E9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75F84E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w:t>
            </w:r>
            <w:r>
              <w:rPr>
                <w:rFonts w:hint="eastAsia" w:ascii="宋体" w:hAnsi="宋体" w:cs="宋体"/>
                <w:sz w:val="20"/>
                <w:szCs w:val="20"/>
                <w:highlight w:val="none"/>
                <w:lang w:val="en-US" w:eastAsia="zh-CN"/>
              </w:rPr>
              <w:t>臂根节</w:t>
            </w:r>
          </w:p>
        </w:tc>
        <w:tc>
          <w:tcPr>
            <w:tcW w:w="3107" w:type="dxa"/>
            <w:vAlign w:val="center"/>
          </w:tcPr>
          <w:p w14:paraId="04901F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w:t>
            </w:r>
          </w:p>
        </w:tc>
        <w:tc>
          <w:tcPr>
            <w:tcW w:w="1459" w:type="dxa"/>
            <w:vAlign w:val="center"/>
          </w:tcPr>
          <w:p w14:paraId="3223B7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61C52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50t汽车吊</w:t>
            </w:r>
          </w:p>
        </w:tc>
        <w:tc>
          <w:tcPr>
            <w:tcW w:w="1161" w:type="dxa"/>
            <w:vAlign w:val="center"/>
          </w:tcPr>
          <w:p w14:paraId="6F98E3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w:t>
            </w:r>
          </w:p>
        </w:tc>
        <w:tc>
          <w:tcPr>
            <w:tcW w:w="4355" w:type="dxa"/>
            <w:vAlign w:val="center"/>
          </w:tcPr>
          <w:p w14:paraId="186B10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2220AC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风险：塔臂根节重心偏移，吊装过程中发生旋转或摆动，与塔身、爬升架等已有结构发生碰撞</w:t>
            </w:r>
            <w:r>
              <w:rPr>
                <w:rFonts w:hint="eastAsia" w:ascii="宋体" w:hAnsi="宋体" w:cs="宋体"/>
                <w:sz w:val="20"/>
                <w:szCs w:val="20"/>
                <w:highlight w:val="none"/>
                <w:lang w:val="en-US" w:eastAsia="zh-CN"/>
              </w:rPr>
              <w:t>。</w:t>
            </w:r>
          </w:p>
          <w:p w14:paraId="796A29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安全条件：风速＜4级；使用牵引绳控制空中姿态。</w:t>
            </w:r>
          </w:p>
        </w:tc>
        <w:tc>
          <w:tcPr>
            <w:tcW w:w="4467" w:type="dxa"/>
            <w:vAlign w:val="center"/>
          </w:tcPr>
          <w:p w14:paraId="658718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与回转总成连接的销轴必须安装到位，并使用开口销锁定，防止脱出</w:t>
            </w:r>
            <w:r>
              <w:rPr>
                <w:rFonts w:hint="eastAsia" w:ascii="宋体" w:hAnsi="宋体" w:cs="宋体"/>
                <w:sz w:val="20"/>
                <w:szCs w:val="20"/>
                <w:highlight w:val="none"/>
                <w:lang w:val="en-US" w:eastAsia="zh-CN"/>
              </w:rPr>
              <w:t>。结构本体及焊缝，无变形、裂纹等缺陷</w:t>
            </w:r>
          </w:p>
        </w:tc>
        <w:tc>
          <w:tcPr>
            <w:tcW w:w="1980" w:type="dxa"/>
            <w:vAlign w:val="center"/>
          </w:tcPr>
          <w:p w14:paraId="1E5313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2AB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9B72033">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F708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施工步骤6</w:t>
            </w:r>
          </w:p>
        </w:tc>
        <w:tc>
          <w:tcPr>
            <w:tcW w:w="1329" w:type="dxa"/>
            <w:vAlign w:val="center"/>
          </w:tcPr>
          <w:p w14:paraId="02C7F5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安装平衡臂</w:t>
            </w:r>
          </w:p>
        </w:tc>
        <w:tc>
          <w:tcPr>
            <w:tcW w:w="3107" w:type="dxa"/>
            <w:vAlign w:val="center"/>
          </w:tcPr>
          <w:p w14:paraId="71DC9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将组装好的平衡臂吊起，对接回转总成上支座连接耳板，插入销轴、立销及R型销，缓慢放下。</w:t>
            </w:r>
          </w:p>
        </w:tc>
        <w:tc>
          <w:tcPr>
            <w:tcW w:w="1459" w:type="dxa"/>
            <w:vAlign w:val="center"/>
          </w:tcPr>
          <w:p w14:paraId="656FBD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979B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50t汽车吊</w:t>
            </w:r>
          </w:p>
        </w:tc>
        <w:tc>
          <w:tcPr>
            <w:tcW w:w="1161" w:type="dxa"/>
            <w:vAlign w:val="center"/>
          </w:tcPr>
          <w:p w14:paraId="57386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355" w:type="dxa"/>
            <w:vAlign w:val="center"/>
          </w:tcPr>
          <w:p w14:paraId="22E4F7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 吊装晃动导致碰撞；就位时连接销轴挤压伤人。</w:t>
            </w:r>
          </w:p>
          <w:p w14:paraId="3DCA6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 使用两根等长钢丝绳吊装；人员站位安全；风速＜4级</w:t>
            </w:r>
          </w:p>
        </w:tc>
        <w:tc>
          <w:tcPr>
            <w:tcW w:w="4467" w:type="dxa"/>
            <w:vAlign w:val="center"/>
          </w:tcPr>
          <w:p w14:paraId="696EFC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与回转总成铰点连接销轴安装到位，锁定可靠；拉杆安装后臂架水平度符合要求。</w:t>
            </w:r>
          </w:p>
        </w:tc>
        <w:tc>
          <w:tcPr>
            <w:tcW w:w="1980" w:type="dxa"/>
            <w:vAlign w:val="center"/>
          </w:tcPr>
          <w:p w14:paraId="249984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4EBC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FFAB04D">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232B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1835FB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w:t>
            </w:r>
            <w:r>
              <w:rPr>
                <w:rFonts w:hint="eastAsia" w:ascii="宋体" w:hAnsi="宋体" w:cs="宋体"/>
                <w:sz w:val="20"/>
                <w:szCs w:val="20"/>
                <w:highlight w:val="none"/>
                <w:lang w:val="en-US" w:eastAsia="zh-CN"/>
              </w:rPr>
              <w:t>一</w:t>
            </w:r>
            <w:r>
              <w:rPr>
                <w:rFonts w:hint="eastAsia" w:ascii="宋体" w:hAnsi="宋体" w:eastAsia="宋体" w:cs="宋体"/>
                <w:sz w:val="20"/>
                <w:szCs w:val="20"/>
                <w:highlight w:val="none"/>
                <w:lang w:val="en-US" w:eastAsia="zh-CN"/>
              </w:rPr>
              <w:t>块平平衡重</w:t>
            </w:r>
          </w:p>
        </w:tc>
        <w:tc>
          <w:tcPr>
            <w:tcW w:w="3107" w:type="dxa"/>
            <w:vAlign w:val="center"/>
          </w:tcPr>
          <w:p w14:paraId="40DDF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耳通过销轴连接，并在平衡重栓好2根溜绳。启动吊机，将一块配重块缓慢提升，用溜绳控制其摆动。从平衡臂端部开口处平稳起吊，装入平衡臂节，位置靠近起升机构旁边，用配重销紧固在平衡臂上，即完成平衡臂安装。平衡重安装后，作业人员解除卸扣与平衡重吊耳的连接</w:t>
            </w:r>
            <w:r>
              <w:rPr>
                <w:rFonts w:hint="default" w:ascii="宋体" w:hAnsi="宋体" w:eastAsia="宋体" w:cs="宋体"/>
                <w:sz w:val="20"/>
                <w:szCs w:val="20"/>
                <w:highlight w:val="none"/>
                <w:lang w:val="en-US" w:eastAsia="zh-CN"/>
              </w:rPr>
              <w:t>。</w:t>
            </w:r>
          </w:p>
        </w:tc>
        <w:tc>
          <w:tcPr>
            <w:tcW w:w="1459" w:type="dxa"/>
            <w:vAlign w:val="center"/>
          </w:tcPr>
          <w:p w14:paraId="59B59F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27DCD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50t汽车吊</w:t>
            </w:r>
          </w:p>
        </w:tc>
        <w:tc>
          <w:tcPr>
            <w:tcW w:w="1161" w:type="dxa"/>
            <w:vAlign w:val="center"/>
          </w:tcPr>
          <w:p w14:paraId="174B46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355" w:type="dxa"/>
            <w:vAlign w:val="center"/>
          </w:tcPr>
          <w:p w14:paraId="7AE5CA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60C10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05A693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w:t>
            </w:r>
          </w:p>
        </w:tc>
        <w:tc>
          <w:tcPr>
            <w:tcW w:w="1980" w:type="dxa"/>
            <w:vAlign w:val="center"/>
          </w:tcPr>
          <w:p w14:paraId="4B07C9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6C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FC2EF3C">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374FA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0E7282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安装起重臂</w:t>
            </w:r>
          </w:p>
        </w:tc>
        <w:tc>
          <w:tcPr>
            <w:tcW w:w="3107" w:type="dxa"/>
            <w:vAlign w:val="center"/>
          </w:tcPr>
          <w:p w14:paraId="0F0B95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，完成一节起重臂的安装。</w:t>
            </w:r>
          </w:p>
        </w:tc>
        <w:tc>
          <w:tcPr>
            <w:tcW w:w="1459" w:type="dxa"/>
            <w:vAlign w:val="center"/>
          </w:tcPr>
          <w:p w14:paraId="2E1438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5265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50t汽车吊</w:t>
            </w:r>
          </w:p>
        </w:tc>
        <w:tc>
          <w:tcPr>
            <w:tcW w:w="1161" w:type="dxa"/>
            <w:vAlign w:val="center"/>
          </w:tcPr>
          <w:p w14:paraId="3EF364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355" w:type="dxa"/>
            <w:vAlign w:val="center"/>
          </w:tcPr>
          <w:p w14:paraId="54E57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臂节连接时接口碰撞；高空安装人员坠落。</w:t>
            </w:r>
          </w:p>
          <w:p w14:paraId="34B0E0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0B40E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每节臂必须安装临时连接销；作业人员全程系挂安全带。</w:t>
            </w:r>
          </w:p>
        </w:tc>
        <w:tc>
          <w:tcPr>
            <w:tcW w:w="4467" w:type="dxa"/>
            <w:vAlign w:val="center"/>
          </w:tcPr>
          <w:p w14:paraId="5995CA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 各节臂架连接销轴安装到位，锁定可靠。</w:t>
            </w:r>
          </w:p>
        </w:tc>
        <w:tc>
          <w:tcPr>
            <w:tcW w:w="1980" w:type="dxa"/>
            <w:vAlign w:val="center"/>
          </w:tcPr>
          <w:p w14:paraId="5CEB4D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576B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4FA975">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B480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6E050C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安装剩余平衡重</w:t>
            </w:r>
          </w:p>
        </w:tc>
        <w:tc>
          <w:tcPr>
            <w:tcW w:w="3107" w:type="dxa"/>
            <w:vAlign w:val="center"/>
          </w:tcPr>
          <w:p w14:paraId="3CE9D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按从起升机构侧向塔身侧依次吊装平衡重。</w:t>
            </w:r>
          </w:p>
          <w:p w14:paraId="123327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tc>
        <w:tc>
          <w:tcPr>
            <w:tcW w:w="1459" w:type="dxa"/>
            <w:vAlign w:val="center"/>
          </w:tcPr>
          <w:p w14:paraId="66761A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8F59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50t汽车吊</w:t>
            </w:r>
          </w:p>
        </w:tc>
        <w:tc>
          <w:tcPr>
            <w:tcW w:w="1161" w:type="dxa"/>
            <w:vAlign w:val="center"/>
          </w:tcPr>
          <w:p w14:paraId="62FDE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1633A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41D73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325D45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1019A8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96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11B9248">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7E4F0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10</w:t>
            </w:r>
          </w:p>
        </w:tc>
        <w:tc>
          <w:tcPr>
            <w:tcW w:w="1329" w:type="dxa"/>
            <w:vAlign w:val="center"/>
          </w:tcPr>
          <w:p w14:paraId="617B10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穿绕起升钢丝绳及安装吊钩</w:t>
            </w:r>
          </w:p>
        </w:tc>
        <w:tc>
          <w:tcPr>
            <w:tcW w:w="3107" w:type="dxa"/>
            <w:vAlign w:val="center"/>
          </w:tcPr>
          <w:p w14:paraId="5383DE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地面组装好吊钩组，通过</w:t>
            </w:r>
            <w:r>
              <w:rPr>
                <w:rFonts w:hint="eastAsia" w:ascii="宋体" w:hAnsi="宋体" w:cs="宋体"/>
                <w:sz w:val="20"/>
                <w:szCs w:val="20"/>
                <w:highlight w:val="none"/>
                <w:lang w:val="en-US" w:eastAsia="zh-CN"/>
              </w:rPr>
              <w:t>臂根节</w:t>
            </w:r>
            <w:r>
              <w:rPr>
                <w:rFonts w:hint="eastAsia" w:ascii="宋体" w:hAnsi="宋体" w:eastAsia="宋体" w:cs="宋体"/>
                <w:sz w:val="20"/>
                <w:szCs w:val="20"/>
                <w:highlight w:val="none"/>
                <w:lang w:val="en-US" w:eastAsia="zh-CN"/>
              </w:rPr>
              <w:t>滑轮、臂架滑轮等，按说明书图示顺序逐级穿绕钢丝绳，最后将绳端可靠固定在臂端。</w:t>
            </w:r>
          </w:p>
        </w:tc>
        <w:tc>
          <w:tcPr>
            <w:tcW w:w="1459" w:type="dxa"/>
            <w:vAlign w:val="center"/>
          </w:tcPr>
          <w:p w14:paraId="7C6C8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B6969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057B47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3E4E53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钢丝绳弹射伤人；吊钩组件意外坠落。</w:t>
            </w:r>
          </w:p>
          <w:p w14:paraId="397CA4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吊钩组件地面组装可靠；穿绳时人员避开绳道。</w:t>
            </w:r>
          </w:p>
        </w:tc>
        <w:tc>
          <w:tcPr>
            <w:tcW w:w="4467" w:type="dxa"/>
            <w:vAlign w:val="center"/>
          </w:tcPr>
          <w:p w14:paraId="61AD29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钢丝绳穿绕正确无扭结；绳端固定可靠；防脱钩装置有效</w:t>
            </w:r>
          </w:p>
        </w:tc>
        <w:tc>
          <w:tcPr>
            <w:tcW w:w="1980" w:type="dxa"/>
            <w:vAlign w:val="center"/>
          </w:tcPr>
          <w:p w14:paraId="2BE0F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3A0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1849BE7">
            <w:pPr>
              <w:keepNext w:val="0"/>
              <w:keepLines w:val="0"/>
              <w:pageBreakBefore w:val="0"/>
              <w:widowControl w:val="0"/>
              <w:numPr>
                <w:ilvl w:val="0"/>
                <w:numId w:val="6"/>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FAB6F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11</w:t>
            </w:r>
          </w:p>
        </w:tc>
        <w:tc>
          <w:tcPr>
            <w:tcW w:w="1329" w:type="dxa"/>
            <w:vAlign w:val="center"/>
          </w:tcPr>
          <w:p w14:paraId="26323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顶升</w:t>
            </w:r>
          </w:p>
        </w:tc>
        <w:tc>
          <w:tcPr>
            <w:tcW w:w="3107" w:type="dxa"/>
            <w:vAlign w:val="center"/>
          </w:tcPr>
          <w:p w14:paraId="60F3E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操作液压系统顶升套架，形成标准节安装空间，吊入标准节并就位，紧固连接</w:t>
            </w:r>
            <w:r>
              <w:rPr>
                <w:rFonts w:hint="eastAsia" w:ascii="宋体" w:hAnsi="宋体" w:cs="宋体"/>
                <w:sz w:val="20"/>
                <w:szCs w:val="20"/>
                <w:highlight w:val="none"/>
                <w:lang w:val="en-US" w:eastAsia="zh-CN"/>
              </w:rPr>
              <w:t>销轴</w:t>
            </w:r>
            <w:r>
              <w:rPr>
                <w:rFonts w:hint="eastAsia" w:ascii="宋体" w:hAnsi="宋体" w:eastAsia="宋体" w:cs="宋体"/>
                <w:sz w:val="20"/>
                <w:szCs w:val="20"/>
                <w:highlight w:val="none"/>
                <w:lang w:val="en-US" w:eastAsia="zh-CN"/>
              </w:rPr>
              <w:t>后收回油缸，使套架与塔身连成整体。</w:t>
            </w:r>
          </w:p>
        </w:tc>
        <w:tc>
          <w:tcPr>
            <w:tcW w:w="1459" w:type="dxa"/>
            <w:vAlign w:val="center"/>
          </w:tcPr>
          <w:p w14:paraId="06BA4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C07D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161" w:type="dxa"/>
            <w:vAlign w:val="center"/>
          </w:tcPr>
          <w:p w14:paraId="315AD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355" w:type="dxa"/>
            <w:vAlign w:val="center"/>
          </w:tcPr>
          <w:p w14:paraId="05A89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顶升过程失衡导致倾覆；液压系统失效。</w:t>
            </w:r>
          </w:p>
          <w:p w14:paraId="25FF4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确保前后臂平衡；风速必须＜4级；严禁回转作业。</w:t>
            </w:r>
          </w:p>
        </w:tc>
        <w:tc>
          <w:tcPr>
            <w:tcW w:w="4467" w:type="dxa"/>
            <w:vAlign w:val="center"/>
          </w:tcPr>
          <w:p w14:paraId="3086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新加节与原有塔身连接螺栓扭矩100%达标；顶升后塔身垂直度≤4/1000。</w:t>
            </w:r>
          </w:p>
        </w:tc>
        <w:tc>
          <w:tcPr>
            <w:tcW w:w="1980" w:type="dxa"/>
            <w:vAlign w:val="center"/>
          </w:tcPr>
          <w:p w14:paraId="61F5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bl>
    <w:p w14:paraId="64C229A6">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3"/>
        <w:bidi w:val="0"/>
        <w:rPr>
          <w:rFonts w:hint="eastAsia" w:ascii="宋体" w:hAnsi="宋体" w:eastAsia="宋体" w:cs="宋体"/>
          <w:lang w:val="en-US" w:eastAsia="zh-CN"/>
        </w:rPr>
      </w:pPr>
      <w:bookmarkStart w:id="149" w:name="_Toc1217"/>
      <w:bookmarkStart w:id="150" w:name="_Toc6447"/>
      <w:bookmarkStart w:id="151" w:name="_Toc15121"/>
      <w:bookmarkStart w:id="152" w:name="_Toc29358"/>
      <w:bookmarkStart w:id="153" w:name="_Toc21652"/>
      <w:bookmarkStart w:id="154" w:name="_Toc32557"/>
      <w:bookmarkStart w:id="155" w:name="_Toc594"/>
      <w:bookmarkStart w:id="156" w:name="_Toc12179"/>
      <w:bookmarkStart w:id="157" w:name="_Toc8810"/>
      <w:r>
        <w:rPr>
          <w:rFonts w:hint="eastAsia" w:ascii="宋体" w:hAnsi="宋体" w:eastAsia="宋体" w:cs="宋体"/>
          <w:lang w:val="en-US" w:eastAsia="zh-CN"/>
        </w:rPr>
        <w:t>附件二：工序相关设计图表</w:t>
      </w:r>
      <w:bookmarkEnd w:id="149"/>
      <w:bookmarkEnd w:id="150"/>
      <w:bookmarkEnd w:id="151"/>
      <w:bookmarkEnd w:id="152"/>
      <w:bookmarkEnd w:id="153"/>
      <w:bookmarkEnd w:id="154"/>
      <w:bookmarkEnd w:id="155"/>
      <w:bookmarkEnd w:id="156"/>
      <w:bookmarkEnd w:id="157"/>
    </w:p>
    <w:p w14:paraId="17BAFF10">
      <w:pPr>
        <w:pStyle w:val="14"/>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drawing>
          <wp:inline distT="0" distB="0" distL="114300" distR="114300">
            <wp:extent cx="4744085" cy="6050915"/>
            <wp:effectExtent l="0" t="0" r="1841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8"/>
                    <a:stretch>
                      <a:fillRect/>
                    </a:stretch>
                  </pic:blipFill>
                  <pic:spPr>
                    <a:xfrm>
                      <a:off x="0" y="0"/>
                      <a:ext cx="4744085" cy="6050915"/>
                    </a:xfrm>
                    <a:prstGeom prst="rect">
                      <a:avLst/>
                    </a:prstGeom>
                    <a:noFill/>
                    <a:ln>
                      <a:noFill/>
                    </a:ln>
                  </pic:spPr>
                </pic:pic>
              </a:graphicData>
            </a:graphic>
          </wp:inline>
        </w:drawing>
      </w:r>
    </w:p>
    <w:p w14:paraId="2158A187">
      <w:pPr>
        <w:pStyle w:val="3"/>
        <w:bidi w:val="0"/>
        <w:rPr>
          <w:rFonts w:hint="eastAsia"/>
          <w:lang w:val="en-US" w:eastAsia="zh-CN"/>
        </w:rPr>
      </w:pPr>
      <w:bookmarkStart w:id="158" w:name="_Toc25967"/>
      <w:bookmarkStart w:id="159" w:name="_Toc5839"/>
      <w:r>
        <w:rPr>
          <w:rFonts w:hint="eastAsia"/>
          <w:lang w:val="en-US" w:eastAsia="zh-CN"/>
        </w:rPr>
        <w:t>附件三：工序施工记录表</w:t>
      </w:r>
      <w:bookmarkEnd w:id="158"/>
      <w:bookmarkEnd w:id="159"/>
    </w:p>
    <w:p w14:paraId="58EEA86E">
      <w:pPr>
        <w:jc w:val="center"/>
        <w:rPr>
          <w:rFonts w:hint="default" w:ascii="仿宋" w:hAnsi="仿宋" w:eastAsia="宋体" w:cs="仿宋"/>
          <w:b/>
          <w:bCs/>
          <w:color w:val="auto"/>
          <w:lang w:val="en-US" w:eastAsia="zh-CN"/>
        </w:rPr>
      </w:pPr>
      <w:bookmarkStart w:id="160" w:name="_Toc464"/>
      <w:bookmarkStart w:id="161" w:name="_Toc20043"/>
      <w:bookmarkStart w:id="162" w:name="_Toc7812"/>
      <w:r>
        <w:rPr>
          <w:rFonts w:hint="eastAsia" w:ascii="仿宋" w:hAnsi="仿宋" w:eastAsia="宋体" w:cs="仿宋"/>
          <w:b/>
          <w:bCs/>
          <w:color w:val="auto"/>
          <w:lang w:val="en-US" w:eastAsia="zh-CN"/>
        </w:rPr>
        <w:t>塔吊安装自检表</w:t>
      </w:r>
    </w:p>
    <w:tbl>
      <w:tblPr>
        <w:tblStyle w:val="2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61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21B473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5979" w:type="dxa"/>
            <w:gridSpan w:val="4"/>
            <w:vAlign w:val="center"/>
          </w:tcPr>
          <w:p w14:paraId="7C7E5DD4">
            <w:pPr>
              <w:pStyle w:val="16"/>
              <w:rPr>
                <w:rFonts w:hint="eastAsia" w:ascii="宋体" w:hAnsi="宋体" w:eastAsia="宋体" w:cs="宋体"/>
                <w:b w:val="0"/>
                <w:bCs w:val="0"/>
                <w:sz w:val="21"/>
                <w:szCs w:val="21"/>
              </w:rPr>
            </w:pPr>
          </w:p>
        </w:tc>
        <w:tc>
          <w:tcPr>
            <w:tcW w:w="1618" w:type="dxa"/>
            <w:gridSpan w:val="2"/>
            <w:vAlign w:val="center"/>
          </w:tcPr>
          <w:p w14:paraId="2F7F18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施工地址</w:t>
            </w:r>
          </w:p>
        </w:tc>
        <w:tc>
          <w:tcPr>
            <w:tcW w:w="1116" w:type="dxa"/>
            <w:vAlign w:val="center"/>
          </w:tcPr>
          <w:p w14:paraId="28A25D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项目工地</w:t>
            </w:r>
          </w:p>
        </w:tc>
      </w:tr>
      <w:tr w14:paraId="713C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0BD2EA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出租单位</w:t>
            </w:r>
          </w:p>
        </w:tc>
        <w:tc>
          <w:tcPr>
            <w:tcW w:w="8713" w:type="dxa"/>
            <w:gridSpan w:val="7"/>
            <w:vAlign w:val="center"/>
          </w:tcPr>
          <w:p w14:paraId="7A58EC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四川科斗文智能装备有限公司</w:t>
            </w:r>
          </w:p>
        </w:tc>
      </w:tr>
      <w:tr w14:paraId="497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DFEDF8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1897" w:type="dxa"/>
            <w:gridSpan w:val="2"/>
            <w:vAlign w:val="center"/>
          </w:tcPr>
          <w:p w14:paraId="04752923">
            <w:pPr>
              <w:pStyle w:val="16"/>
              <w:rPr>
                <w:rFonts w:hint="eastAsia" w:ascii="宋体" w:hAnsi="宋体" w:eastAsia="宋体" w:cs="宋体"/>
                <w:b w:val="0"/>
                <w:bCs w:val="0"/>
                <w:sz w:val="21"/>
                <w:szCs w:val="21"/>
              </w:rPr>
            </w:pPr>
          </w:p>
        </w:tc>
        <w:tc>
          <w:tcPr>
            <w:tcW w:w="3056" w:type="dxa"/>
            <w:vAlign w:val="center"/>
          </w:tcPr>
          <w:p w14:paraId="61957A3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设备编号</w:t>
            </w:r>
          </w:p>
        </w:tc>
        <w:tc>
          <w:tcPr>
            <w:tcW w:w="1041" w:type="dxa"/>
            <w:gridSpan w:val="2"/>
            <w:vAlign w:val="center"/>
          </w:tcPr>
          <w:p w14:paraId="22595DF7">
            <w:pPr>
              <w:pStyle w:val="16"/>
              <w:rPr>
                <w:rFonts w:hint="eastAsia" w:ascii="宋体" w:hAnsi="宋体" w:eastAsia="宋体" w:cs="宋体"/>
                <w:b w:val="0"/>
                <w:bCs w:val="0"/>
                <w:sz w:val="21"/>
                <w:szCs w:val="21"/>
              </w:rPr>
            </w:pPr>
          </w:p>
        </w:tc>
        <w:tc>
          <w:tcPr>
            <w:tcW w:w="1603" w:type="dxa"/>
            <w:vAlign w:val="center"/>
          </w:tcPr>
          <w:p w14:paraId="37CC51A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施工高度</w:t>
            </w:r>
          </w:p>
        </w:tc>
        <w:tc>
          <w:tcPr>
            <w:tcW w:w="1116" w:type="dxa"/>
            <w:vAlign w:val="center"/>
          </w:tcPr>
          <w:p w14:paraId="77197361">
            <w:pPr>
              <w:pStyle w:val="16"/>
              <w:rPr>
                <w:rFonts w:hint="eastAsia" w:ascii="宋体" w:hAnsi="宋体" w:eastAsia="宋体" w:cs="宋体"/>
                <w:b w:val="0"/>
                <w:bCs w:val="0"/>
                <w:sz w:val="21"/>
                <w:szCs w:val="21"/>
              </w:rPr>
            </w:pPr>
          </w:p>
        </w:tc>
      </w:tr>
      <w:tr w14:paraId="47A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5CB4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附墙个数</w:t>
            </w:r>
          </w:p>
        </w:tc>
        <w:tc>
          <w:tcPr>
            <w:tcW w:w="1897" w:type="dxa"/>
            <w:gridSpan w:val="2"/>
            <w:vAlign w:val="center"/>
          </w:tcPr>
          <w:p w14:paraId="1E728B57">
            <w:pPr>
              <w:pStyle w:val="16"/>
              <w:rPr>
                <w:rFonts w:hint="eastAsia" w:ascii="宋体" w:hAnsi="宋体" w:eastAsia="宋体" w:cs="宋体"/>
                <w:b w:val="0"/>
                <w:bCs w:val="0"/>
                <w:sz w:val="21"/>
                <w:szCs w:val="21"/>
              </w:rPr>
            </w:pPr>
          </w:p>
        </w:tc>
        <w:tc>
          <w:tcPr>
            <w:tcW w:w="3056" w:type="dxa"/>
            <w:vAlign w:val="center"/>
          </w:tcPr>
          <w:p w14:paraId="39DE5DD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最大载重量</w:t>
            </w:r>
          </w:p>
        </w:tc>
        <w:tc>
          <w:tcPr>
            <w:tcW w:w="1041" w:type="dxa"/>
            <w:gridSpan w:val="2"/>
            <w:vAlign w:val="center"/>
          </w:tcPr>
          <w:p w14:paraId="301D3AF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吨</w:t>
            </w:r>
          </w:p>
        </w:tc>
        <w:tc>
          <w:tcPr>
            <w:tcW w:w="1603" w:type="dxa"/>
            <w:vAlign w:val="center"/>
          </w:tcPr>
          <w:p w14:paraId="18F237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检查日期</w:t>
            </w:r>
          </w:p>
        </w:tc>
        <w:tc>
          <w:tcPr>
            <w:tcW w:w="1116" w:type="dxa"/>
            <w:vAlign w:val="center"/>
          </w:tcPr>
          <w:p w14:paraId="6023D3A9">
            <w:pPr>
              <w:pStyle w:val="16"/>
              <w:rPr>
                <w:rFonts w:hint="eastAsia" w:ascii="宋体" w:hAnsi="宋体" w:eastAsia="宋体" w:cs="宋体"/>
                <w:b w:val="0"/>
                <w:bCs w:val="0"/>
                <w:sz w:val="21"/>
                <w:szCs w:val="21"/>
              </w:rPr>
            </w:pPr>
          </w:p>
        </w:tc>
      </w:tr>
      <w:tr w14:paraId="2455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352207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       查      内      容</w:t>
            </w:r>
          </w:p>
        </w:tc>
        <w:tc>
          <w:tcPr>
            <w:tcW w:w="1618" w:type="dxa"/>
            <w:gridSpan w:val="2"/>
            <w:vAlign w:val="center"/>
          </w:tcPr>
          <w:p w14:paraId="36F513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参照标准</w:t>
            </w:r>
          </w:p>
        </w:tc>
        <w:tc>
          <w:tcPr>
            <w:tcW w:w="1116" w:type="dxa"/>
            <w:vAlign w:val="center"/>
          </w:tcPr>
          <w:p w14:paraId="7F3007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14A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DE19D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（一）基</w:t>
            </w:r>
          </w:p>
          <w:p w14:paraId="2D58B6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础</w:t>
            </w:r>
          </w:p>
        </w:tc>
        <w:tc>
          <w:tcPr>
            <w:tcW w:w="5799" w:type="dxa"/>
            <w:gridSpan w:val="3"/>
            <w:vAlign w:val="center"/>
          </w:tcPr>
          <w:p w14:paraId="0300FB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1.稳定性；</w:t>
            </w:r>
          </w:p>
        </w:tc>
        <w:tc>
          <w:tcPr>
            <w:tcW w:w="1618" w:type="dxa"/>
            <w:gridSpan w:val="2"/>
            <w:vMerge w:val="restart"/>
            <w:vAlign w:val="center"/>
          </w:tcPr>
          <w:p w14:paraId="0D7472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JBJ/T187-2009</w:t>
            </w:r>
          </w:p>
        </w:tc>
        <w:tc>
          <w:tcPr>
            <w:tcW w:w="1116" w:type="dxa"/>
            <w:vAlign w:val="center"/>
          </w:tcPr>
          <w:p w14:paraId="7564D851">
            <w:pPr>
              <w:pStyle w:val="16"/>
              <w:rPr>
                <w:rFonts w:hint="eastAsia" w:ascii="宋体" w:hAnsi="宋体" w:eastAsia="宋体" w:cs="宋体"/>
                <w:b w:val="0"/>
                <w:bCs w:val="0"/>
                <w:sz w:val="21"/>
                <w:szCs w:val="21"/>
              </w:rPr>
            </w:pPr>
          </w:p>
        </w:tc>
      </w:tr>
      <w:tr w14:paraId="08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65C74CA">
            <w:pPr>
              <w:pStyle w:val="16"/>
              <w:rPr>
                <w:rFonts w:hint="eastAsia" w:ascii="宋体" w:hAnsi="宋体" w:eastAsia="宋体" w:cs="宋体"/>
                <w:b w:val="0"/>
                <w:bCs w:val="0"/>
                <w:sz w:val="21"/>
                <w:szCs w:val="21"/>
              </w:rPr>
            </w:pPr>
          </w:p>
        </w:tc>
        <w:tc>
          <w:tcPr>
            <w:tcW w:w="5799" w:type="dxa"/>
            <w:gridSpan w:val="3"/>
            <w:vAlign w:val="center"/>
          </w:tcPr>
          <w:p w14:paraId="00AD35D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2.排水措施；</w:t>
            </w:r>
          </w:p>
        </w:tc>
        <w:tc>
          <w:tcPr>
            <w:tcW w:w="1618" w:type="dxa"/>
            <w:gridSpan w:val="2"/>
            <w:vMerge w:val="continue"/>
            <w:vAlign w:val="center"/>
          </w:tcPr>
          <w:p w14:paraId="3042BA7B">
            <w:pPr>
              <w:pStyle w:val="16"/>
              <w:rPr>
                <w:rFonts w:hint="eastAsia" w:ascii="宋体" w:hAnsi="宋体" w:eastAsia="宋体" w:cs="宋体"/>
                <w:b w:val="0"/>
                <w:bCs w:val="0"/>
                <w:sz w:val="21"/>
                <w:szCs w:val="21"/>
              </w:rPr>
            </w:pPr>
          </w:p>
        </w:tc>
        <w:tc>
          <w:tcPr>
            <w:tcW w:w="1116" w:type="dxa"/>
            <w:vAlign w:val="center"/>
          </w:tcPr>
          <w:p w14:paraId="2B368A3C">
            <w:pPr>
              <w:pStyle w:val="16"/>
              <w:rPr>
                <w:rFonts w:hint="eastAsia" w:ascii="宋体" w:hAnsi="宋体" w:eastAsia="宋体" w:cs="宋体"/>
                <w:b w:val="0"/>
                <w:bCs w:val="0"/>
                <w:sz w:val="21"/>
                <w:szCs w:val="21"/>
              </w:rPr>
            </w:pPr>
          </w:p>
        </w:tc>
      </w:tr>
      <w:tr w14:paraId="746E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2DDC55FE">
            <w:pPr>
              <w:pStyle w:val="16"/>
              <w:rPr>
                <w:rFonts w:hint="eastAsia" w:ascii="宋体" w:hAnsi="宋体" w:eastAsia="宋体" w:cs="宋体"/>
                <w:b w:val="0"/>
                <w:bCs w:val="0"/>
                <w:sz w:val="21"/>
                <w:szCs w:val="21"/>
              </w:rPr>
            </w:pPr>
          </w:p>
        </w:tc>
        <w:tc>
          <w:tcPr>
            <w:tcW w:w="5799" w:type="dxa"/>
            <w:gridSpan w:val="3"/>
            <w:vAlign w:val="center"/>
          </w:tcPr>
          <w:p w14:paraId="606F2BE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3.沉降量不大于50mm。</w:t>
            </w:r>
          </w:p>
        </w:tc>
        <w:tc>
          <w:tcPr>
            <w:tcW w:w="1618" w:type="dxa"/>
            <w:gridSpan w:val="2"/>
            <w:vMerge w:val="continue"/>
            <w:vAlign w:val="center"/>
          </w:tcPr>
          <w:p w14:paraId="6496C5DD">
            <w:pPr>
              <w:pStyle w:val="16"/>
              <w:rPr>
                <w:rFonts w:hint="eastAsia" w:ascii="宋体" w:hAnsi="宋体" w:eastAsia="宋体" w:cs="宋体"/>
                <w:b w:val="0"/>
                <w:bCs w:val="0"/>
                <w:sz w:val="21"/>
                <w:szCs w:val="21"/>
              </w:rPr>
            </w:pPr>
          </w:p>
        </w:tc>
        <w:tc>
          <w:tcPr>
            <w:tcW w:w="1116" w:type="dxa"/>
            <w:vAlign w:val="center"/>
          </w:tcPr>
          <w:p w14:paraId="5C2C79E0">
            <w:pPr>
              <w:pStyle w:val="16"/>
              <w:rPr>
                <w:rFonts w:hint="eastAsia" w:ascii="宋体" w:hAnsi="宋体" w:eastAsia="宋体" w:cs="宋体"/>
                <w:b w:val="0"/>
                <w:bCs w:val="0"/>
                <w:sz w:val="21"/>
                <w:szCs w:val="21"/>
              </w:rPr>
            </w:pPr>
          </w:p>
        </w:tc>
      </w:tr>
      <w:tr w14:paraId="2B2D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04CEFF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（二）塔</w:t>
            </w:r>
          </w:p>
          <w:p w14:paraId="1219C6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身</w:t>
            </w:r>
          </w:p>
          <w:p w14:paraId="401544A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结</w:t>
            </w:r>
          </w:p>
          <w:p w14:paraId="2A2EA4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构</w:t>
            </w:r>
          </w:p>
        </w:tc>
        <w:tc>
          <w:tcPr>
            <w:tcW w:w="5799" w:type="dxa"/>
            <w:gridSpan w:val="3"/>
            <w:vAlign w:val="center"/>
          </w:tcPr>
          <w:p w14:paraId="39426F8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1.结构无变形、开焊、裂纹；</w:t>
            </w:r>
          </w:p>
        </w:tc>
        <w:tc>
          <w:tcPr>
            <w:tcW w:w="1618" w:type="dxa"/>
            <w:gridSpan w:val="2"/>
            <w:vMerge w:val="restart"/>
            <w:vAlign w:val="center"/>
          </w:tcPr>
          <w:p w14:paraId="30853E4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2A589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3A973D2">
            <w:pPr>
              <w:pStyle w:val="16"/>
              <w:rPr>
                <w:rFonts w:hint="eastAsia" w:ascii="宋体" w:hAnsi="宋体" w:eastAsia="宋体" w:cs="宋体"/>
                <w:b w:val="0"/>
                <w:bCs w:val="0"/>
                <w:sz w:val="21"/>
                <w:szCs w:val="21"/>
              </w:rPr>
            </w:pPr>
          </w:p>
        </w:tc>
      </w:tr>
      <w:tr w14:paraId="145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AB9F392">
            <w:pPr>
              <w:pStyle w:val="16"/>
              <w:rPr>
                <w:rFonts w:hint="eastAsia" w:ascii="宋体" w:hAnsi="宋体" w:eastAsia="宋体" w:cs="宋体"/>
                <w:b w:val="0"/>
                <w:bCs w:val="0"/>
                <w:sz w:val="21"/>
                <w:szCs w:val="21"/>
              </w:rPr>
            </w:pPr>
          </w:p>
        </w:tc>
        <w:tc>
          <w:tcPr>
            <w:tcW w:w="5799" w:type="dxa"/>
            <w:gridSpan w:val="3"/>
            <w:vAlign w:val="center"/>
          </w:tcPr>
          <w:p w14:paraId="246BB4C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2.过渡节、销轴、高强度螺栓等零部件配置齐全、无松动、缺损、无严重锈蚀；</w:t>
            </w:r>
          </w:p>
        </w:tc>
        <w:tc>
          <w:tcPr>
            <w:tcW w:w="1618" w:type="dxa"/>
            <w:gridSpan w:val="2"/>
            <w:vMerge w:val="continue"/>
            <w:vAlign w:val="center"/>
          </w:tcPr>
          <w:p w14:paraId="6A13A2C3">
            <w:pPr>
              <w:pStyle w:val="16"/>
              <w:rPr>
                <w:rFonts w:hint="eastAsia" w:ascii="宋体" w:hAnsi="宋体" w:eastAsia="宋体" w:cs="宋体"/>
                <w:b w:val="0"/>
                <w:bCs w:val="0"/>
                <w:sz w:val="21"/>
                <w:szCs w:val="21"/>
              </w:rPr>
            </w:pPr>
          </w:p>
        </w:tc>
        <w:tc>
          <w:tcPr>
            <w:tcW w:w="1116" w:type="dxa"/>
            <w:vAlign w:val="center"/>
          </w:tcPr>
          <w:p w14:paraId="6F0CAB71">
            <w:pPr>
              <w:pStyle w:val="16"/>
              <w:rPr>
                <w:rFonts w:hint="eastAsia" w:ascii="宋体" w:hAnsi="宋体" w:eastAsia="宋体" w:cs="宋体"/>
                <w:b w:val="0"/>
                <w:bCs w:val="0"/>
                <w:sz w:val="21"/>
                <w:szCs w:val="21"/>
              </w:rPr>
            </w:pPr>
          </w:p>
        </w:tc>
      </w:tr>
      <w:tr w14:paraId="0E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0F7A07B">
            <w:pPr>
              <w:pStyle w:val="16"/>
              <w:rPr>
                <w:rFonts w:hint="eastAsia" w:ascii="宋体" w:hAnsi="宋体" w:eastAsia="宋体" w:cs="宋体"/>
                <w:b w:val="0"/>
                <w:bCs w:val="0"/>
                <w:sz w:val="21"/>
                <w:szCs w:val="21"/>
              </w:rPr>
            </w:pPr>
          </w:p>
        </w:tc>
        <w:tc>
          <w:tcPr>
            <w:tcW w:w="5799" w:type="dxa"/>
            <w:gridSpan w:val="3"/>
            <w:vAlign w:val="center"/>
          </w:tcPr>
          <w:p w14:paraId="1510C93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3.垂直度≤3‰；</w:t>
            </w:r>
          </w:p>
        </w:tc>
        <w:tc>
          <w:tcPr>
            <w:tcW w:w="1618" w:type="dxa"/>
            <w:gridSpan w:val="2"/>
            <w:vMerge w:val="continue"/>
            <w:vAlign w:val="center"/>
          </w:tcPr>
          <w:p w14:paraId="639FC44D">
            <w:pPr>
              <w:pStyle w:val="16"/>
              <w:rPr>
                <w:rFonts w:hint="eastAsia" w:ascii="宋体" w:hAnsi="宋体" w:eastAsia="宋体" w:cs="宋体"/>
                <w:b w:val="0"/>
                <w:bCs w:val="0"/>
                <w:sz w:val="21"/>
                <w:szCs w:val="21"/>
              </w:rPr>
            </w:pPr>
          </w:p>
        </w:tc>
        <w:tc>
          <w:tcPr>
            <w:tcW w:w="1116" w:type="dxa"/>
            <w:vAlign w:val="center"/>
          </w:tcPr>
          <w:p w14:paraId="44E098FA">
            <w:pPr>
              <w:pStyle w:val="16"/>
              <w:rPr>
                <w:rFonts w:hint="eastAsia" w:ascii="宋体" w:hAnsi="宋体" w:eastAsia="宋体" w:cs="宋体"/>
                <w:b w:val="0"/>
                <w:bCs w:val="0"/>
                <w:sz w:val="21"/>
                <w:szCs w:val="21"/>
              </w:rPr>
            </w:pPr>
          </w:p>
        </w:tc>
      </w:tr>
      <w:tr w14:paraId="18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3D0A7B">
            <w:pPr>
              <w:pStyle w:val="16"/>
              <w:rPr>
                <w:rFonts w:hint="eastAsia" w:ascii="宋体" w:hAnsi="宋体" w:eastAsia="宋体" w:cs="宋体"/>
                <w:b w:val="0"/>
                <w:bCs w:val="0"/>
                <w:sz w:val="21"/>
                <w:szCs w:val="21"/>
              </w:rPr>
            </w:pPr>
          </w:p>
        </w:tc>
        <w:tc>
          <w:tcPr>
            <w:tcW w:w="5799" w:type="dxa"/>
            <w:gridSpan w:val="3"/>
            <w:vAlign w:val="center"/>
          </w:tcPr>
          <w:p w14:paraId="6F1B5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4.爬梯设置防护圈应符合国家标准；</w:t>
            </w:r>
          </w:p>
        </w:tc>
        <w:tc>
          <w:tcPr>
            <w:tcW w:w="1618" w:type="dxa"/>
            <w:gridSpan w:val="2"/>
            <w:vMerge w:val="continue"/>
            <w:vAlign w:val="center"/>
          </w:tcPr>
          <w:p w14:paraId="105E2CAE">
            <w:pPr>
              <w:pStyle w:val="16"/>
              <w:rPr>
                <w:rFonts w:hint="eastAsia" w:ascii="宋体" w:hAnsi="宋体" w:eastAsia="宋体" w:cs="宋体"/>
                <w:b w:val="0"/>
                <w:bCs w:val="0"/>
                <w:sz w:val="21"/>
                <w:szCs w:val="21"/>
              </w:rPr>
            </w:pPr>
          </w:p>
        </w:tc>
        <w:tc>
          <w:tcPr>
            <w:tcW w:w="1116" w:type="dxa"/>
            <w:vAlign w:val="center"/>
          </w:tcPr>
          <w:p w14:paraId="3B45F008">
            <w:pPr>
              <w:pStyle w:val="16"/>
              <w:rPr>
                <w:rFonts w:hint="eastAsia" w:ascii="宋体" w:hAnsi="宋体" w:eastAsia="宋体" w:cs="宋体"/>
                <w:b w:val="0"/>
                <w:bCs w:val="0"/>
                <w:sz w:val="21"/>
                <w:szCs w:val="21"/>
              </w:rPr>
            </w:pPr>
          </w:p>
        </w:tc>
      </w:tr>
      <w:tr w14:paraId="12E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94AB6C8">
            <w:pPr>
              <w:pStyle w:val="16"/>
              <w:rPr>
                <w:rFonts w:hint="eastAsia" w:ascii="宋体" w:hAnsi="宋体" w:eastAsia="宋体" w:cs="宋体"/>
                <w:b w:val="0"/>
                <w:bCs w:val="0"/>
                <w:sz w:val="21"/>
                <w:szCs w:val="21"/>
              </w:rPr>
            </w:pPr>
          </w:p>
        </w:tc>
        <w:tc>
          <w:tcPr>
            <w:tcW w:w="5799" w:type="dxa"/>
            <w:gridSpan w:val="3"/>
            <w:vAlign w:val="center"/>
          </w:tcPr>
          <w:p w14:paraId="6700341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5.开口销不得用金属丝等代替。</w:t>
            </w:r>
          </w:p>
        </w:tc>
        <w:tc>
          <w:tcPr>
            <w:tcW w:w="1618" w:type="dxa"/>
            <w:gridSpan w:val="2"/>
            <w:vMerge w:val="continue"/>
            <w:vAlign w:val="center"/>
          </w:tcPr>
          <w:p w14:paraId="1AFA1A86">
            <w:pPr>
              <w:pStyle w:val="16"/>
              <w:rPr>
                <w:rFonts w:hint="eastAsia" w:ascii="宋体" w:hAnsi="宋体" w:eastAsia="宋体" w:cs="宋体"/>
                <w:b w:val="0"/>
                <w:bCs w:val="0"/>
                <w:sz w:val="21"/>
                <w:szCs w:val="21"/>
              </w:rPr>
            </w:pPr>
          </w:p>
        </w:tc>
        <w:tc>
          <w:tcPr>
            <w:tcW w:w="1116" w:type="dxa"/>
            <w:vAlign w:val="center"/>
          </w:tcPr>
          <w:p w14:paraId="412F5C3D">
            <w:pPr>
              <w:pStyle w:val="16"/>
              <w:rPr>
                <w:rFonts w:hint="eastAsia" w:ascii="宋体" w:hAnsi="宋体" w:eastAsia="宋体" w:cs="宋体"/>
                <w:b w:val="0"/>
                <w:bCs w:val="0"/>
                <w:sz w:val="21"/>
                <w:szCs w:val="21"/>
              </w:rPr>
            </w:pPr>
          </w:p>
        </w:tc>
      </w:tr>
      <w:tr w14:paraId="7A3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18D93C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（三）钢</w:t>
            </w:r>
          </w:p>
          <w:p w14:paraId="3F6D20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丝</w:t>
            </w:r>
          </w:p>
          <w:p w14:paraId="40FB0F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w:t>
            </w:r>
          </w:p>
        </w:tc>
        <w:tc>
          <w:tcPr>
            <w:tcW w:w="5799" w:type="dxa"/>
            <w:gridSpan w:val="3"/>
            <w:vAlign w:val="center"/>
          </w:tcPr>
          <w:p w14:paraId="03111DF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1.完好、无断股；</w:t>
            </w:r>
          </w:p>
        </w:tc>
        <w:tc>
          <w:tcPr>
            <w:tcW w:w="1618" w:type="dxa"/>
            <w:gridSpan w:val="2"/>
            <w:vMerge w:val="restart"/>
            <w:vAlign w:val="center"/>
          </w:tcPr>
          <w:p w14:paraId="0EAB9D3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GBT5972-2016</w:t>
            </w:r>
          </w:p>
          <w:p w14:paraId="14A663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2DB1F3C">
            <w:pPr>
              <w:pStyle w:val="16"/>
              <w:rPr>
                <w:rFonts w:hint="eastAsia" w:ascii="宋体" w:hAnsi="宋体" w:eastAsia="宋体" w:cs="宋体"/>
                <w:b w:val="0"/>
                <w:bCs w:val="0"/>
                <w:sz w:val="21"/>
                <w:szCs w:val="21"/>
              </w:rPr>
            </w:pPr>
          </w:p>
        </w:tc>
      </w:tr>
      <w:tr w14:paraId="1719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735808">
            <w:pPr>
              <w:pStyle w:val="16"/>
              <w:rPr>
                <w:rFonts w:hint="eastAsia" w:ascii="宋体" w:hAnsi="宋体" w:eastAsia="宋体" w:cs="宋体"/>
                <w:b w:val="0"/>
                <w:bCs w:val="0"/>
                <w:sz w:val="21"/>
                <w:szCs w:val="21"/>
              </w:rPr>
            </w:pPr>
          </w:p>
        </w:tc>
        <w:tc>
          <w:tcPr>
            <w:tcW w:w="5799" w:type="dxa"/>
            <w:gridSpan w:val="3"/>
            <w:vAlign w:val="center"/>
          </w:tcPr>
          <w:p w14:paraId="00E3F1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2.断丝不超过10％；</w:t>
            </w:r>
          </w:p>
        </w:tc>
        <w:tc>
          <w:tcPr>
            <w:tcW w:w="1618" w:type="dxa"/>
            <w:gridSpan w:val="2"/>
            <w:vMerge w:val="continue"/>
            <w:vAlign w:val="center"/>
          </w:tcPr>
          <w:p w14:paraId="34A146B8">
            <w:pPr>
              <w:pStyle w:val="16"/>
              <w:rPr>
                <w:rFonts w:hint="eastAsia" w:ascii="宋体" w:hAnsi="宋体" w:eastAsia="宋体" w:cs="宋体"/>
                <w:b w:val="0"/>
                <w:bCs w:val="0"/>
                <w:sz w:val="21"/>
                <w:szCs w:val="21"/>
              </w:rPr>
            </w:pPr>
          </w:p>
        </w:tc>
        <w:tc>
          <w:tcPr>
            <w:tcW w:w="1116" w:type="dxa"/>
            <w:vAlign w:val="center"/>
          </w:tcPr>
          <w:p w14:paraId="7DEC5B29">
            <w:pPr>
              <w:pStyle w:val="16"/>
              <w:rPr>
                <w:rFonts w:hint="eastAsia" w:ascii="宋体" w:hAnsi="宋体" w:eastAsia="宋体" w:cs="宋体"/>
                <w:b w:val="0"/>
                <w:bCs w:val="0"/>
                <w:sz w:val="21"/>
                <w:szCs w:val="21"/>
              </w:rPr>
            </w:pPr>
          </w:p>
        </w:tc>
      </w:tr>
      <w:tr w14:paraId="24E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E6EEA7C">
            <w:pPr>
              <w:pStyle w:val="16"/>
              <w:rPr>
                <w:rFonts w:hint="eastAsia" w:ascii="宋体" w:hAnsi="宋体" w:eastAsia="宋体" w:cs="宋体"/>
                <w:b w:val="0"/>
                <w:bCs w:val="0"/>
                <w:sz w:val="21"/>
                <w:szCs w:val="21"/>
              </w:rPr>
            </w:pPr>
          </w:p>
        </w:tc>
        <w:tc>
          <w:tcPr>
            <w:tcW w:w="5799" w:type="dxa"/>
            <w:gridSpan w:val="3"/>
            <w:vAlign w:val="center"/>
          </w:tcPr>
          <w:p w14:paraId="08E08027">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3.型号、规格、长度符合本机说明书规定；</w:t>
            </w:r>
          </w:p>
        </w:tc>
        <w:tc>
          <w:tcPr>
            <w:tcW w:w="1618" w:type="dxa"/>
            <w:gridSpan w:val="2"/>
            <w:vMerge w:val="continue"/>
            <w:vAlign w:val="center"/>
          </w:tcPr>
          <w:p w14:paraId="2BCEFE48">
            <w:pPr>
              <w:pStyle w:val="16"/>
              <w:rPr>
                <w:rFonts w:hint="eastAsia" w:ascii="宋体" w:hAnsi="宋体" w:eastAsia="宋体" w:cs="宋体"/>
                <w:b w:val="0"/>
                <w:bCs w:val="0"/>
                <w:sz w:val="21"/>
                <w:szCs w:val="21"/>
              </w:rPr>
            </w:pPr>
          </w:p>
        </w:tc>
        <w:tc>
          <w:tcPr>
            <w:tcW w:w="1116" w:type="dxa"/>
            <w:vAlign w:val="center"/>
          </w:tcPr>
          <w:p w14:paraId="6B516E82">
            <w:pPr>
              <w:pStyle w:val="16"/>
              <w:rPr>
                <w:rFonts w:hint="eastAsia" w:ascii="宋体" w:hAnsi="宋体" w:eastAsia="宋体" w:cs="宋体"/>
                <w:b w:val="0"/>
                <w:bCs w:val="0"/>
                <w:sz w:val="21"/>
                <w:szCs w:val="21"/>
              </w:rPr>
            </w:pPr>
          </w:p>
        </w:tc>
      </w:tr>
      <w:tr w14:paraId="77F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332C7E8">
            <w:pPr>
              <w:pStyle w:val="16"/>
              <w:rPr>
                <w:rFonts w:hint="eastAsia" w:ascii="宋体" w:hAnsi="宋体" w:eastAsia="宋体" w:cs="宋体"/>
                <w:b w:val="0"/>
                <w:bCs w:val="0"/>
                <w:sz w:val="21"/>
                <w:szCs w:val="21"/>
              </w:rPr>
            </w:pPr>
          </w:p>
        </w:tc>
        <w:tc>
          <w:tcPr>
            <w:tcW w:w="5799" w:type="dxa"/>
            <w:gridSpan w:val="3"/>
            <w:vAlign w:val="center"/>
          </w:tcPr>
          <w:p w14:paraId="6D6E216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4.固定绳卡数量与绳径匹配，卡间距为6-7倍绳径；</w:t>
            </w:r>
          </w:p>
        </w:tc>
        <w:tc>
          <w:tcPr>
            <w:tcW w:w="1618" w:type="dxa"/>
            <w:gridSpan w:val="2"/>
            <w:vMerge w:val="continue"/>
            <w:vAlign w:val="center"/>
          </w:tcPr>
          <w:p w14:paraId="362901EC">
            <w:pPr>
              <w:pStyle w:val="16"/>
              <w:rPr>
                <w:rFonts w:hint="eastAsia" w:ascii="宋体" w:hAnsi="宋体" w:eastAsia="宋体" w:cs="宋体"/>
                <w:b w:val="0"/>
                <w:bCs w:val="0"/>
                <w:sz w:val="21"/>
                <w:szCs w:val="21"/>
              </w:rPr>
            </w:pPr>
          </w:p>
        </w:tc>
        <w:tc>
          <w:tcPr>
            <w:tcW w:w="1116" w:type="dxa"/>
            <w:vAlign w:val="center"/>
          </w:tcPr>
          <w:p w14:paraId="070025B8">
            <w:pPr>
              <w:pStyle w:val="16"/>
              <w:rPr>
                <w:rFonts w:hint="eastAsia" w:ascii="宋体" w:hAnsi="宋体" w:eastAsia="宋体" w:cs="宋体"/>
                <w:b w:val="0"/>
                <w:bCs w:val="0"/>
                <w:sz w:val="21"/>
                <w:szCs w:val="21"/>
              </w:rPr>
            </w:pPr>
          </w:p>
        </w:tc>
      </w:tr>
      <w:tr w14:paraId="0896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483E88D5">
            <w:pPr>
              <w:pStyle w:val="16"/>
              <w:rPr>
                <w:rFonts w:hint="eastAsia" w:ascii="宋体" w:hAnsi="宋体" w:eastAsia="宋体" w:cs="宋体"/>
                <w:b w:val="0"/>
                <w:bCs w:val="0"/>
                <w:sz w:val="21"/>
                <w:szCs w:val="21"/>
              </w:rPr>
            </w:pPr>
          </w:p>
        </w:tc>
        <w:tc>
          <w:tcPr>
            <w:tcW w:w="5799" w:type="dxa"/>
            <w:gridSpan w:val="3"/>
            <w:vAlign w:val="center"/>
          </w:tcPr>
          <w:p w14:paraId="6672A5C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5.钢绳磨损量不超过钢丝绳的10%；</w:t>
            </w:r>
          </w:p>
        </w:tc>
        <w:tc>
          <w:tcPr>
            <w:tcW w:w="1618" w:type="dxa"/>
            <w:gridSpan w:val="2"/>
            <w:vMerge w:val="continue"/>
            <w:vAlign w:val="center"/>
          </w:tcPr>
          <w:p w14:paraId="5CF10FEB">
            <w:pPr>
              <w:pStyle w:val="16"/>
              <w:rPr>
                <w:rFonts w:hint="eastAsia" w:ascii="宋体" w:hAnsi="宋体" w:eastAsia="宋体" w:cs="宋体"/>
                <w:b w:val="0"/>
                <w:bCs w:val="0"/>
                <w:sz w:val="21"/>
                <w:szCs w:val="21"/>
              </w:rPr>
            </w:pPr>
          </w:p>
        </w:tc>
        <w:tc>
          <w:tcPr>
            <w:tcW w:w="1116" w:type="dxa"/>
            <w:vAlign w:val="center"/>
          </w:tcPr>
          <w:p w14:paraId="3724ED34">
            <w:pPr>
              <w:pStyle w:val="16"/>
              <w:rPr>
                <w:rFonts w:hint="eastAsia" w:ascii="宋体" w:hAnsi="宋体" w:eastAsia="宋体" w:cs="宋体"/>
                <w:b w:val="0"/>
                <w:bCs w:val="0"/>
                <w:sz w:val="21"/>
                <w:szCs w:val="21"/>
              </w:rPr>
            </w:pPr>
          </w:p>
        </w:tc>
      </w:tr>
      <w:tr w14:paraId="1CC2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8C4443">
            <w:pPr>
              <w:pStyle w:val="16"/>
              <w:rPr>
                <w:rFonts w:hint="eastAsia" w:ascii="宋体" w:hAnsi="宋体" w:eastAsia="宋体" w:cs="宋体"/>
                <w:b w:val="0"/>
                <w:bCs w:val="0"/>
                <w:sz w:val="21"/>
                <w:szCs w:val="21"/>
              </w:rPr>
            </w:pPr>
          </w:p>
        </w:tc>
        <w:tc>
          <w:tcPr>
            <w:tcW w:w="5799" w:type="dxa"/>
            <w:gridSpan w:val="3"/>
            <w:vAlign w:val="center"/>
          </w:tcPr>
          <w:p w14:paraId="232BEE7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6.捆绑起重索具符合要求。</w:t>
            </w:r>
          </w:p>
        </w:tc>
        <w:tc>
          <w:tcPr>
            <w:tcW w:w="1618" w:type="dxa"/>
            <w:gridSpan w:val="2"/>
            <w:vMerge w:val="continue"/>
            <w:vAlign w:val="center"/>
          </w:tcPr>
          <w:p w14:paraId="70D6E8A1">
            <w:pPr>
              <w:pStyle w:val="16"/>
              <w:rPr>
                <w:rFonts w:hint="eastAsia" w:ascii="宋体" w:hAnsi="宋体" w:eastAsia="宋体" w:cs="宋体"/>
                <w:b w:val="0"/>
                <w:bCs w:val="0"/>
                <w:sz w:val="21"/>
                <w:szCs w:val="21"/>
              </w:rPr>
            </w:pPr>
          </w:p>
        </w:tc>
        <w:tc>
          <w:tcPr>
            <w:tcW w:w="1116" w:type="dxa"/>
            <w:vAlign w:val="center"/>
          </w:tcPr>
          <w:p w14:paraId="0EE6C325">
            <w:pPr>
              <w:pStyle w:val="16"/>
              <w:rPr>
                <w:rFonts w:hint="eastAsia" w:ascii="宋体" w:hAnsi="宋体" w:eastAsia="宋体" w:cs="宋体"/>
                <w:b w:val="0"/>
                <w:bCs w:val="0"/>
                <w:sz w:val="21"/>
                <w:szCs w:val="21"/>
              </w:rPr>
            </w:pPr>
          </w:p>
        </w:tc>
      </w:tr>
      <w:tr w14:paraId="3BB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5C1EB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（四）吊</w:t>
            </w:r>
          </w:p>
          <w:p w14:paraId="3CDF26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w:t>
            </w:r>
          </w:p>
        </w:tc>
        <w:tc>
          <w:tcPr>
            <w:tcW w:w="5799" w:type="dxa"/>
            <w:gridSpan w:val="3"/>
            <w:vAlign w:val="center"/>
          </w:tcPr>
          <w:p w14:paraId="24604E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1.无裂纹、变形、严重磨损；</w:t>
            </w:r>
          </w:p>
        </w:tc>
        <w:tc>
          <w:tcPr>
            <w:tcW w:w="1618" w:type="dxa"/>
            <w:gridSpan w:val="2"/>
            <w:vMerge w:val="restart"/>
            <w:vAlign w:val="center"/>
          </w:tcPr>
          <w:p w14:paraId="0107A6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4AC11D9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4FAC36B6">
            <w:pPr>
              <w:pStyle w:val="16"/>
              <w:rPr>
                <w:rFonts w:hint="eastAsia" w:ascii="宋体" w:hAnsi="宋体" w:eastAsia="宋体" w:cs="宋体"/>
                <w:b w:val="0"/>
                <w:bCs w:val="0"/>
                <w:sz w:val="21"/>
                <w:szCs w:val="21"/>
              </w:rPr>
            </w:pPr>
          </w:p>
        </w:tc>
      </w:tr>
      <w:tr w14:paraId="475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2FF5123">
            <w:pPr>
              <w:pStyle w:val="16"/>
              <w:rPr>
                <w:rFonts w:hint="eastAsia" w:ascii="宋体" w:hAnsi="宋体" w:eastAsia="宋体" w:cs="宋体"/>
                <w:b w:val="0"/>
                <w:bCs w:val="0"/>
                <w:sz w:val="21"/>
                <w:szCs w:val="21"/>
              </w:rPr>
            </w:pPr>
          </w:p>
        </w:tc>
        <w:tc>
          <w:tcPr>
            <w:tcW w:w="5799" w:type="dxa"/>
            <w:gridSpan w:val="3"/>
            <w:vAlign w:val="center"/>
          </w:tcPr>
          <w:p w14:paraId="60F6032E">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2.钩身无补焊、钻孔现象；</w:t>
            </w:r>
          </w:p>
        </w:tc>
        <w:tc>
          <w:tcPr>
            <w:tcW w:w="1618" w:type="dxa"/>
            <w:gridSpan w:val="2"/>
            <w:vMerge w:val="continue"/>
            <w:vAlign w:val="center"/>
          </w:tcPr>
          <w:p w14:paraId="19C2F6F1">
            <w:pPr>
              <w:pStyle w:val="16"/>
              <w:rPr>
                <w:rFonts w:hint="eastAsia" w:ascii="宋体" w:hAnsi="宋体" w:eastAsia="宋体" w:cs="宋体"/>
                <w:b w:val="0"/>
                <w:bCs w:val="0"/>
                <w:sz w:val="21"/>
                <w:szCs w:val="21"/>
              </w:rPr>
            </w:pPr>
          </w:p>
        </w:tc>
        <w:tc>
          <w:tcPr>
            <w:tcW w:w="1116" w:type="dxa"/>
            <w:vAlign w:val="center"/>
          </w:tcPr>
          <w:p w14:paraId="4B6CF9C0">
            <w:pPr>
              <w:pStyle w:val="16"/>
              <w:rPr>
                <w:rFonts w:hint="eastAsia" w:ascii="宋体" w:hAnsi="宋体" w:eastAsia="宋体" w:cs="宋体"/>
                <w:b w:val="0"/>
                <w:bCs w:val="0"/>
                <w:sz w:val="21"/>
                <w:szCs w:val="21"/>
              </w:rPr>
            </w:pPr>
          </w:p>
        </w:tc>
      </w:tr>
      <w:tr w14:paraId="72F5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63827BA">
            <w:pPr>
              <w:pStyle w:val="16"/>
              <w:rPr>
                <w:rFonts w:hint="eastAsia" w:ascii="宋体" w:hAnsi="宋体" w:eastAsia="宋体" w:cs="宋体"/>
                <w:b w:val="0"/>
                <w:bCs w:val="0"/>
                <w:sz w:val="21"/>
                <w:szCs w:val="21"/>
              </w:rPr>
            </w:pPr>
          </w:p>
        </w:tc>
        <w:tc>
          <w:tcPr>
            <w:tcW w:w="5799" w:type="dxa"/>
            <w:gridSpan w:val="3"/>
            <w:vAlign w:val="center"/>
          </w:tcPr>
          <w:p w14:paraId="1EC8D53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3.具有防脱装置;</w:t>
            </w:r>
          </w:p>
        </w:tc>
        <w:tc>
          <w:tcPr>
            <w:tcW w:w="1618" w:type="dxa"/>
            <w:gridSpan w:val="2"/>
            <w:vMerge w:val="continue"/>
            <w:vAlign w:val="center"/>
          </w:tcPr>
          <w:p w14:paraId="6564AC69">
            <w:pPr>
              <w:pStyle w:val="16"/>
              <w:rPr>
                <w:rFonts w:hint="eastAsia" w:ascii="宋体" w:hAnsi="宋体" w:eastAsia="宋体" w:cs="宋体"/>
                <w:b w:val="0"/>
                <w:bCs w:val="0"/>
                <w:sz w:val="21"/>
                <w:szCs w:val="21"/>
              </w:rPr>
            </w:pPr>
          </w:p>
        </w:tc>
        <w:tc>
          <w:tcPr>
            <w:tcW w:w="1116" w:type="dxa"/>
            <w:vAlign w:val="center"/>
          </w:tcPr>
          <w:p w14:paraId="0D2C82CD">
            <w:pPr>
              <w:pStyle w:val="16"/>
              <w:rPr>
                <w:rFonts w:hint="eastAsia" w:ascii="宋体" w:hAnsi="宋体" w:eastAsia="宋体" w:cs="宋体"/>
                <w:b w:val="0"/>
                <w:bCs w:val="0"/>
                <w:sz w:val="21"/>
                <w:szCs w:val="21"/>
              </w:rPr>
            </w:pPr>
          </w:p>
        </w:tc>
      </w:tr>
      <w:tr w14:paraId="63C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2D4CDC31">
            <w:pPr>
              <w:pStyle w:val="16"/>
              <w:rPr>
                <w:rFonts w:hint="eastAsia" w:ascii="宋体" w:hAnsi="宋体" w:eastAsia="宋体" w:cs="宋体"/>
                <w:b w:val="0"/>
                <w:bCs w:val="0"/>
                <w:sz w:val="21"/>
                <w:szCs w:val="21"/>
              </w:rPr>
            </w:pPr>
          </w:p>
        </w:tc>
        <w:tc>
          <w:tcPr>
            <w:tcW w:w="5799" w:type="dxa"/>
            <w:gridSpan w:val="3"/>
            <w:vAlign w:val="center"/>
          </w:tcPr>
          <w:p w14:paraId="4494F1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4.挂绳处截面磨损量不超过原高度的10%；</w:t>
            </w:r>
          </w:p>
        </w:tc>
        <w:tc>
          <w:tcPr>
            <w:tcW w:w="1618" w:type="dxa"/>
            <w:gridSpan w:val="2"/>
            <w:vMerge w:val="continue"/>
            <w:vAlign w:val="center"/>
          </w:tcPr>
          <w:p w14:paraId="5936EF3E">
            <w:pPr>
              <w:pStyle w:val="16"/>
              <w:rPr>
                <w:rFonts w:hint="eastAsia" w:ascii="宋体" w:hAnsi="宋体" w:eastAsia="宋体" w:cs="宋体"/>
                <w:b w:val="0"/>
                <w:bCs w:val="0"/>
                <w:sz w:val="21"/>
                <w:szCs w:val="21"/>
              </w:rPr>
            </w:pPr>
          </w:p>
        </w:tc>
        <w:tc>
          <w:tcPr>
            <w:tcW w:w="1116" w:type="dxa"/>
            <w:vAlign w:val="center"/>
          </w:tcPr>
          <w:p w14:paraId="36759E08">
            <w:pPr>
              <w:pStyle w:val="16"/>
              <w:rPr>
                <w:rFonts w:hint="eastAsia" w:ascii="宋体" w:hAnsi="宋体" w:eastAsia="宋体" w:cs="宋体"/>
                <w:b w:val="0"/>
                <w:bCs w:val="0"/>
                <w:sz w:val="21"/>
                <w:szCs w:val="21"/>
              </w:rPr>
            </w:pPr>
          </w:p>
        </w:tc>
      </w:tr>
      <w:tr w14:paraId="31A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579AEC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（五）高度限位</w:t>
            </w:r>
          </w:p>
        </w:tc>
        <w:tc>
          <w:tcPr>
            <w:tcW w:w="5799" w:type="dxa"/>
            <w:gridSpan w:val="3"/>
            <w:vAlign w:val="center"/>
          </w:tcPr>
          <w:p w14:paraId="44730F9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1.吊钩顶部距起重臂下端800mm，能立即停止起升，但有向下、向内变幅运动；</w:t>
            </w:r>
          </w:p>
        </w:tc>
        <w:tc>
          <w:tcPr>
            <w:tcW w:w="1618" w:type="dxa"/>
            <w:gridSpan w:val="2"/>
            <w:vMerge w:val="restart"/>
            <w:vAlign w:val="center"/>
          </w:tcPr>
          <w:p w14:paraId="0CF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25A587D5">
            <w:pPr>
              <w:pStyle w:val="16"/>
              <w:rPr>
                <w:rFonts w:hint="eastAsia" w:ascii="宋体" w:hAnsi="宋体" w:eastAsia="宋体" w:cs="宋体"/>
                <w:b w:val="0"/>
                <w:bCs w:val="0"/>
                <w:sz w:val="21"/>
                <w:szCs w:val="21"/>
              </w:rPr>
            </w:pPr>
          </w:p>
        </w:tc>
      </w:tr>
      <w:tr w14:paraId="4D2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D3B1A77">
            <w:pPr>
              <w:pStyle w:val="16"/>
              <w:rPr>
                <w:rFonts w:hint="eastAsia" w:ascii="宋体" w:hAnsi="宋体" w:eastAsia="宋体" w:cs="宋体"/>
                <w:b w:val="0"/>
                <w:bCs w:val="0"/>
                <w:sz w:val="21"/>
                <w:szCs w:val="21"/>
              </w:rPr>
            </w:pPr>
          </w:p>
        </w:tc>
        <w:tc>
          <w:tcPr>
            <w:tcW w:w="5799" w:type="dxa"/>
            <w:gridSpan w:val="3"/>
            <w:vAlign w:val="center"/>
          </w:tcPr>
          <w:p w14:paraId="218C5AA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2.吊钩不能再下降或卷筒上钢丝绳只剩3圈时，应能立即停止下降运动；</w:t>
            </w:r>
          </w:p>
        </w:tc>
        <w:tc>
          <w:tcPr>
            <w:tcW w:w="1618" w:type="dxa"/>
            <w:gridSpan w:val="2"/>
            <w:vMerge w:val="continue"/>
            <w:vAlign w:val="center"/>
          </w:tcPr>
          <w:p w14:paraId="165167F3">
            <w:pPr>
              <w:pStyle w:val="16"/>
              <w:rPr>
                <w:rFonts w:hint="eastAsia" w:ascii="宋体" w:hAnsi="宋体" w:eastAsia="宋体" w:cs="宋体"/>
                <w:b w:val="0"/>
                <w:bCs w:val="0"/>
                <w:sz w:val="21"/>
                <w:szCs w:val="21"/>
              </w:rPr>
            </w:pPr>
          </w:p>
        </w:tc>
        <w:tc>
          <w:tcPr>
            <w:tcW w:w="1116" w:type="dxa"/>
            <w:vAlign w:val="center"/>
          </w:tcPr>
          <w:p w14:paraId="229D2CB3">
            <w:pPr>
              <w:pStyle w:val="16"/>
              <w:rPr>
                <w:rFonts w:hint="eastAsia" w:ascii="宋体" w:hAnsi="宋体" w:eastAsia="宋体" w:cs="宋体"/>
                <w:b w:val="0"/>
                <w:bCs w:val="0"/>
                <w:sz w:val="21"/>
                <w:szCs w:val="21"/>
              </w:rPr>
            </w:pPr>
          </w:p>
        </w:tc>
      </w:tr>
      <w:tr w14:paraId="62A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9D73924">
            <w:pPr>
              <w:pStyle w:val="16"/>
              <w:rPr>
                <w:rFonts w:hint="eastAsia" w:ascii="宋体" w:hAnsi="宋体" w:eastAsia="宋体" w:cs="宋体"/>
                <w:b w:val="0"/>
                <w:bCs w:val="0"/>
                <w:sz w:val="21"/>
                <w:szCs w:val="21"/>
              </w:rPr>
            </w:pPr>
          </w:p>
        </w:tc>
        <w:tc>
          <w:tcPr>
            <w:tcW w:w="5799" w:type="dxa"/>
            <w:gridSpan w:val="3"/>
            <w:vAlign w:val="center"/>
          </w:tcPr>
          <w:p w14:paraId="511141C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3.钢丝绳松弛可能造成卷筒上钢丝绳乱绳或反卷，设置下限位。</w:t>
            </w:r>
          </w:p>
        </w:tc>
        <w:tc>
          <w:tcPr>
            <w:tcW w:w="1618" w:type="dxa"/>
            <w:gridSpan w:val="2"/>
            <w:vMerge w:val="continue"/>
            <w:vAlign w:val="center"/>
          </w:tcPr>
          <w:p w14:paraId="6711325C">
            <w:pPr>
              <w:pStyle w:val="16"/>
              <w:rPr>
                <w:rFonts w:hint="eastAsia" w:ascii="宋体" w:hAnsi="宋体" w:eastAsia="宋体" w:cs="宋体"/>
                <w:b w:val="0"/>
                <w:bCs w:val="0"/>
                <w:sz w:val="21"/>
                <w:szCs w:val="21"/>
              </w:rPr>
            </w:pPr>
          </w:p>
        </w:tc>
        <w:tc>
          <w:tcPr>
            <w:tcW w:w="1116" w:type="dxa"/>
            <w:vAlign w:val="center"/>
          </w:tcPr>
          <w:p w14:paraId="25F0D72B">
            <w:pPr>
              <w:pStyle w:val="16"/>
              <w:rPr>
                <w:rFonts w:hint="eastAsia" w:ascii="宋体" w:hAnsi="宋体" w:eastAsia="宋体" w:cs="宋体"/>
                <w:b w:val="0"/>
                <w:bCs w:val="0"/>
                <w:sz w:val="21"/>
                <w:szCs w:val="21"/>
              </w:rPr>
            </w:pPr>
          </w:p>
        </w:tc>
      </w:tr>
      <w:tr w14:paraId="2EF0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B45339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（六）幅度限位装置</w:t>
            </w:r>
          </w:p>
        </w:tc>
        <w:tc>
          <w:tcPr>
            <w:tcW w:w="5799" w:type="dxa"/>
            <w:gridSpan w:val="3"/>
            <w:vAlign w:val="center"/>
          </w:tcPr>
          <w:p w14:paraId="3E59D2B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1.小车前后两端应设置限位开关和缓冲装置；</w:t>
            </w:r>
          </w:p>
        </w:tc>
        <w:tc>
          <w:tcPr>
            <w:tcW w:w="1618" w:type="dxa"/>
            <w:gridSpan w:val="2"/>
            <w:vMerge w:val="restart"/>
            <w:vAlign w:val="center"/>
          </w:tcPr>
          <w:p w14:paraId="33BC0A8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759A238A">
            <w:pPr>
              <w:pStyle w:val="16"/>
              <w:rPr>
                <w:rFonts w:hint="eastAsia" w:ascii="宋体" w:hAnsi="宋体" w:eastAsia="宋体" w:cs="宋体"/>
                <w:b w:val="0"/>
                <w:bCs w:val="0"/>
                <w:sz w:val="21"/>
                <w:szCs w:val="21"/>
              </w:rPr>
            </w:pPr>
          </w:p>
        </w:tc>
      </w:tr>
      <w:tr w14:paraId="7A9B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8F79823">
            <w:pPr>
              <w:pStyle w:val="16"/>
              <w:rPr>
                <w:rFonts w:hint="eastAsia" w:ascii="宋体" w:hAnsi="宋体" w:eastAsia="宋体" w:cs="宋体"/>
                <w:b w:val="0"/>
                <w:bCs w:val="0"/>
                <w:sz w:val="21"/>
                <w:szCs w:val="21"/>
              </w:rPr>
            </w:pPr>
          </w:p>
        </w:tc>
        <w:tc>
          <w:tcPr>
            <w:tcW w:w="5799" w:type="dxa"/>
            <w:gridSpan w:val="3"/>
            <w:vAlign w:val="center"/>
          </w:tcPr>
          <w:p w14:paraId="32A5AC4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2.限位开关距小车停车时其端部缓冲装置最小距离200mm。</w:t>
            </w:r>
          </w:p>
        </w:tc>
        <w:tc>
          <w:tcPr>
            <w:tcW w:w="1618" w:type="dxa"/>
            <w:gridSpan w:val="2"/>
            <w:vMerge w:val="continue"/>
            <w:vAlign w:val="center"/>
          </w:tcPr>
          <w:p w14:paraId="6731D5B7">
            <w:pPr>
              <w:pStyle w:val="16"/>
              <w:rPr>
                <w:rFonts w:hint="eastAsia" w:ascii="宋体" w:hAnsi="宋体" w:eastAsia="宋体" w:cs="宋体"/>
                <w:b w:val="0"/>
                <w:bCs w:val="0"/>
                <w:sz w:val="21"/>
                <w:szCs w:val="21"/>
              </w:rPr>
            </w:pPr>
          </w:p>
        </w:tc>
        <w:tc>
          <w:tcPr>
            <w:tcW w:w="1116" w:type="dxa"/>
            <w:vAlign w:val="center"/>
          </w:tcPr>
          <w:p w14:paraId="7FC6891C">
            <w:pPr>
              <w:pStyle w:val="16"/>
              <w:rPr>
                <w:rFonts w:hint="eastAsia" w:ascii="宋体" w:hAnsi="宋体" w:eastAsia="宋体" w:cs="宋体"/>
                <w:b w:val="0"/>
                <w:bCs w:val="0"/>
                <w:sz w:val="21"/>
                <w:szCs w:val="21"/>
              </w:rPr>
            </w:pPr>
          </w:p>
        </w:tc>
      </w:tr>
      <w:tr w14:paraId="7B0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BF4C4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（七）力矩限制器</w:t>
            </w:r>
          </w:p>
        </w:tc>
        <w:tc>
          <w:tcPr>
            <w:tcW w:w="5799" w:type="dxa"/>
            <w:gridSpan w:val="3"/>
            <w:vAlign w:val="center"/>
          </w:tcPr>
          <w:p w14:paraId="54372DE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1.应设置力矩限制器；</w:t>
            </w:r>
          </w:p>
        </w:tc>
        <w:tc>
          <w:tcPr>
            <w:tcW w:w="1618" w:type="dxa"/>
            <w:gridSpan w:val="2"/>
            <w:vMerge w:val="restart"/>
            <w:vAlign w:val="center"/>
          </w:tcPr>
          <w:p w14:paraId="556EE0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GB12602-2020</w:t>
            </w:r>
          </w:p>
        </w:tc>
        <w:tc>
          <w:tcPr>
            <w:tcW w:w="1116" w:type="dxa"/>
            <w:vAlign w:val="center"/>
          </w:tcPr>
          <w:p w14:paraId="6733E857">
            <w:pPr>
              <w:pStyle w:val="16"/>
              <w:rPr>
                <w:rFonts w:hint="eastAsia" w:ascii="宋体" w:hAnsi="宋体" w:eastAsia="宋体" w:cs="宋体"/>
                <w:b w:val="0"/>
                <w:bCs w:val="0"/>
                <w:sz w:val="21"/>
                <w:szCs w:val="21"/>
              </w:rPr>
            </w:pPr>
          </w:p>
        </w:tc>
      </w:tr>
      <w:tr w14:paraId="448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A8FC8DA">
            <w:pPr>
              <w:pStyle w:val="16"/>
              <w:rPr>
                <w:rFonts w:hint="eastAsia" w:ascii="宋体" w:hAnsi="宋体" w:eastAsia="宋体" w:cs="宋体"/>
                <w:b w:val="0"/>
                <w:bCs w:val="0"/>
                <w:sz w:val="21"/>
                <w:szCs w:val="21"/>
              </w:rPr>
            </w:pPr>
          </w:p>
        </w:tc>
        <w:tc>
          <w:tcPr>
            <w:tcW w:w="5799" w:type="dxa"/>
            <w:gridSpan w:val="3"/>
            <w:vAlign w:val="center"/>
          </w:tcPr>
          <w:p w14:paraId="6F2A6A04">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2.起重量达到90%-95%时，能发出报警信号；</w:t>
            </w:r>
          </w:p>
        </w:tc>
        <w:tc>
          <w:tcPr>
            <w:tcW w:w="1618" w:type="dxa"/>
            <w:gridSpan w:val="2"/>
            <w:vMerge w:val="continue"/>
            <w:vAlign w:val="center"/>
          </w:tcPr>
          <w:p w14:paraId="73AE6584">
            <w:pPr>
              <w:pStyle w:val="16"/>
              <w:rPr>
                <w:rFonts w:hint="eastAsia" w:ascii="宋体" w:hAnsi="宋体" w:eastAsia="宋体" w:cs="宋体"/>
                <w:b w:val="0"/>
                <w:bCs w:val="0"/>
                <w:sz w:val="21"/>
                <w:szCs w:val="21"/>
              </w:rPr>
            </w:pPr>
          </w:p>
        </w:tc>
        <w:tc>
          <w:tcPr>
            <w:tcW w:w="1116" w:type="dxa"/>
            <w:vAlign w:val="center"/>
          </w:tcPr>
          <w:p w14:paraId="1EBA62E1">
            <w:pPr>
              <w:pStyle w:val="16"/>
              <w:rPr>
                <w:rFonts w:hint="eastAsia" w:ascii="宋体" w:hAnsi="宋体" w:eastAsia="宋体" w:cs="宋体"/>
                <w:b w:val="0"/>
                <w:bCs w:val="0"/>
                <w:sz w:val="21"/>
                <w:szCs w:val="21"/>
              </w:rPr>
            </w:pPr>
          </w:p>
        </w:tc>
      </w:tr>
      <w:tr w14:paraId="1B5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1B0E999">
            <w:pPr>
              <w:pStyle w:val="16"/>
              <w:rPr>
                <w:rFonts w:hint="eastAsia" w:ascii="宋体" w:hAnsi="宋体" w:eastAsia="宋体" w:cs="宋体"/>
                <w:b w:val="0"/>
                <w:bCs w:val="0"/>
                <w:sz w:val="21"/>
                <w:szCs w:val="21"/>
              </w:rPr>
            </w:pPr>
          </w:p>
        </w:tc>
        <w:tc>
          <w:tcPr>
            <w:tcW w:w="5799" w:type="dxa"/>
            <w:gridSpan w:val="3"/>
            <w:vAlign w:val="center"/>
          </w:tcPr>
          <w:p w14:paraId="29FA90E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3.起重量达到105%-110%时，能停止向不安全方向继续动作。</w:t>
            </w:r>
          </w:p>
        </w:tc>
        <w:tc>
          <w:tcPr>
            <w:tcW w:w="1618" w:type="dxa"/>
            <w:gridSpan w:val="2"/>
            <w:vMerge w:val="continue"/>
            <w:vAlign w:val="center"/>
          </w:tcPr>
          <w:p w14:paraId="70F6FA8E">
            <w:pPr>
              <w:pStyle w:val="16"/>
              <w:rPr>
                <w:rFonts w:hint="eastAsia" w:ascii="宋体" w:hAnsi="宋体" w:eastAsia="宋体" w:cs="宋体"/>
                <w:b w:val="0"/>
                <w:bCs w:val="0"/>
                <w:sz w:val="21"/>
                <w:szCs w:val="21"/>
              </w:rPr>
            </w:pPr>
          </w:p>
        </w:tc>
        <w:tc>
          <w:tcPr>
            <w:tcW w:w="1116" w:type="dxa"/>
            <w:vAlign w:val="center"/>
          </w:tcPr>
          <w:p w14:paraId="630D5023">
            <w:pPr>
              <w:pStyle w:val="16"/>
              <w:rPr>
                <w:rFonts w:hint="eastAsia" w:ascii="宋体" w:hAnsi="宋体" w:eastAsia="宋体" w:cs="宋体"/>
                <w:b w:val="0"/>
                <w:bCs w:val="0"/>
                <w:sz w:val="21"/>
                <w:szCs w:val="21"/>
              </w:rPr>
            </w:pPr>
          </w:p>
        </w:tc>
      </w:tr>
      <w:tr w14:paraId="4074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769018D0">
            <w:pPr>
              <w:pStyle w:val="16"/>
              <w:rPr>
                <w:rFonts w:hint="eastAsia" w:ascii="宋体" w:hAnsi="宋体" w:eastAsia="宋体" w:cs="宋体"/>
                <w:b w:val="0"/>
                <w:bCs w:val="0"/>
                <w:sz w:val="21"/>
                <w:szCs w:val="21"/>
              </w:rPr>
            </w:pPr>
          </w:p>
        </w:tc>
        <w:tc>
          <w:tcPr>
            <w:tcW w:w="5799" w:type="dxa"/>
            <w:gridSpan w:val="3"/>
            <w:vAlign w:val="center"/>
          </w:tcPr>
          <w:p w14:paraId="548E99FB">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4.力矩限制器综合误差不超过±8%。</w:t>
            </w:r>
          </w:p>
        </w:tc>
        <w:tc>
          <w:tcPr>
            <w:tcW w:w="1618" w:type="dxa"/>
            <w:gridSpan w:val="2"/>
            <w:vMerge w:val="continue"/>
            <w:vAlign w:val="center"/>
          </w:tcPr>
          <w:p w14:paraId="66767727">
            <w:pPr>
              <w:pStyle w:val="16"/>
              <w:rPr>
                <w:rFonts w:hint="eastAsia" w:ascii="宋体" w:hAnsi="宋体" w:eastAsia="宋体" w:cs="宋体"/>
                <w:b w:val="0"/>
                <w:bCs w:val="0"/>
                <w:sz w:val="21"/>
                <w:szCs w:val="21"/>
              </w:rPr>
            </w:pPr>
          </w:p>
        </w:tc>
        <w:tc>
          <w:tcPr>
            <w:tcW w:w="1116" w:type="dxa"/>
            <w:vAlign w:val="center"/>
          </w:tcPr>
          <w:p w14:paraId="6282BA68">
            <w:pPr>
              <w:pStyle w:val="16"/>
              <w:rPr>
                <w:rFonts w:hint="eastAsia" w:ascii="宋体" w:hAnsi="宋体" w:eastAsia="宋体" w:cs="宋体"/>
                <w:b w:val="0"/>
                <w:bCs w:val="0"/>
                <w:sz w:val="21"/>
                <w:szCs w:val="21"/>
              </w:rPr>
            </w:pPr>
          </w:p>
        </w:tc>
      </w:tr>
      <w:tr w14:paraId="245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41B77C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（八）附</w:t>
            </w:r>
          </w:p>
          <w:p w14:paraId="1A0FE5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着</w:t>
            </w:r>
          </w:p>
          <w:p w14:paraId="7B9C05E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架</w:t>
            </w:r>
          </w:p>
        </w:tc>
        <w:tc>
          <w:tcPr>
            <w:tcW w:w="5799" w:type="dxa"/>
            <w:gridSpan w:val="3"/>
            <w:vAlign w:val="center"/>
          </w:tcPr>
          <w:p w14:paraId="695332E1">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1.框架、附着杆安装正确、牢固；无开焊、变形、裂纹；</w:t>
            </w:r>
          </w:p>
        </w:tc>
        <w:tc>
          <w:tcPr>
            <w:tcW w:w="1618" w:type="dxa"/>
            <w:gridSpan w:val="2"/>
            <w:vMerge w:val="restart"/>
            <w:vAlign w:val="center"/>
          </w:tcPr>
          <w:p w14:paraId="43B198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7DB0C137">
            <w:pPr>
              <w:pStyle w:val="16"/>
              <w:rPr>
                <w:rFonts w:hint="eastAsia" w:ascii="宋体" w:hAnsi="宋体" w:eastAsia="宋体" w:cs="宋体"/>
                <w:b w:val="0"/>
                <w:bCs w:val="0"/>
                <w:sz w:val="21"/>
                <w:szCs w:val="21"/>
              </w:rPr>
            </w:pPr>
          </w:p>
        </w:tc>
      </w:tr>
      <w:tr w14:paraId="3B9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B282A3F">
            <w:pPr>
              <w:pStyle w:val="16"/>
              <w:rPr>
                <w:rFonts w:hint="eastAsia" w:ascii="宋体" w:hAnsi="宋体" w:eastAsia="宋体" w:cs="宋体"/>
                <w:b w:val="0"/>
                <w:bCs w:val="0"/>
                <w:sz w:val="21"/>
                <w:szCs w:val="21"/>
              </w:rPr>
            </w:pPr>
          </w:p>
        </w:tc>
        <w:tc>
          <w:tcPr>
            <w:tcW w:w="5799" w:type="dxa"/>
            <w:gridSpan w:val="3"/>
            <w:vAlign w:val="center"/>
          </w:tcPr>
          <w:p w14:paraId="7C15B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2.各处螺栓、轴销齐全牢固；</w:t>
            </w:r>
          </w:p>
        </w:tc>
        <w:tc>
          <w:tcPr>
            <w:tcW w:w="1618" w:type="dxa"/>
            <w:gridSpan w:val="2"/>
            <w:vMerge w:val="continue"/>
            <w:vAlign w:val="center"/>
          </w:tcPr>
          <w:p w14:paraId="43E47177">
            <w:pPr>
              <w:pStyle w:val="16"/>
              <w:rPr>
                <w:rFonts w:hint="eastAsia" w:ascii="宋体" w:hAnsi="宋体" w:eastAsia="宋体" w:cs="宋体"/>
                <w:b w:val="0"/>
                <w:bCs w:val="0"/>
                <w:sz w:val="21"/>
                <w:szCs w:val="21"/>
              </w:rPr>
            </w:pPr>
          </w:p>
        </w:tc>
        <w:tc>
          <w:tcPr>
            <w:tcW w:w="1116" w:type="dxa"/>
            <w:vAlign w:val="center"/>
          </w:tcPr>
          <w:p w14:paraId="6C4BA362">
            <w:pPr>
              <w:pStyle w:val="16"/>
              <w:rPr>
                <w:rFonts w:hint="eastAsia" w:ascii="宋体" w:hAnsi="宋体" w:eastAsia="宋体" w:cs="宋体"/>
                <w:b w:val="0"/>
                <w:bCs w:val="0"/>
                <w:sz w:val="21"/>
                <w:szCs w:val="21"/>
              </w:rPr>
            </w:pPr>
          </w:p>
        </w:tc>
      </w:tr>
      <w:tr w14:paraId="0AD4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84EB4C9">
            <w:pPr>
              <w:pStyle w:val="16"/>
              <w:rPr>
                <w:rFonts w:hint="eastAsia" w:ascii="宋体" w:hAnsi="宋体" w:eastAsia="宋体" w:cs="宋体"/>
                <w:b w:val="0"/>
                <w:bCs w:val="0"/>
                <w:sz w:val="21"/>
                <w:szCs w:val="21"/>
              </w:rPr>
            </w:pPr>
          </w:p>
        </w:tc>
        <w:tc>
          <w:tcPr>
            <w:tcW w:w="5799" w:type="dxa"/>
            <w:gridSpan w:val="3"/>
            <w:vAlign w:val="center"/>
          </w:tcPr>
          <w:p w14:paraId="32F62FA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3.间距、数量、安装固定符合说明书要求；</w:t>
            </w:r>
          </w:p>
        </w:tc>
        <w:tc>
          <w:tcPr>
            <w:tcW w:w="1618" w:type="dxa"/>
            <w:gridSpan w:val="2"/>
            <w:vMerge w:val="continue"/>
            <w:vAlign w:val="center"/>
          </w:tcPr>
          <w:p w14:paraId="24876D2F">
            <w:pPr>
              <w:pStyle w:val="16"/>
              <w:rPr>
                <w:rFonts w:hint="eastAsia" w:ascii="宋体" w:hAnsi="宋体" w:eastAsia="宋体" w:cs="宋体"/>
                <w:b w:val="0"/>
                <w:bCs w:val="0"/>
                <w:sz w:val="21"/>
                <w:szCs w:val="21"/>
              </w:rPr>
            </w:pPr>
          </w:p>
        </w:tc>
        <w:tc>
          <w:tcPr>
            <w:tcW w:w="1116" w:type="dxa"/>
            <w:vAlign w:val="center"/>
          </w:tcPr>
          <w:p w14:paraId="0108B9C0">
            <w:pPr>
              <w:pStyle w:val="16"/>
              <w:rPr>
                <w:rFonts w:hint="eastAsia" w:ascii="宋体" w:hAnsi="宋体" w:eastAsia="宋体" w:cs="宋体"/>
                <w:b w:val="0"/>
                <w:bCs w:val="0"/>
                <w:sz w:val="21"/>
                <w:szCs w:val="21"/>
              </w:rPr>
            </w:pPr>
          </w:p>
        </w:tc>
      </w:tr>
      <w:tr w14:paraId="5F5E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5640055">
            <w:pPr>
              <w:pStyle w:val="16"/>
              <w:rPr>
                <w:rFonts w:hint="eastAsia" w:ascii="宋体" w:hAnsi="宋体" w:eastAsia="宋体" w:cs="宋体"/>
                <w:b w:val="0"/>
                <w:bCs w:val="0"/>
                <w:sz w:val="21"/>
                <w:szCs w:val="21"/>
              </w:rPr>
            </w:pPr>
          </w:p>
        </w:tc>
        <w:tc>
          <w:tcPr>
            <w:tcW w:w="5799" w:type="dxa"/>
            <w:gridSpan w:val="3"/>
            <w:vAlign w:val="center"/>
          </w:tcPr>
          <w:p w14:paraId="17318CB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4.架体不得擅自改动。</w:t>
            </w:r>
          </w:p>
        </w:tc>
        <w:tc>
          <w:tcPr>
            <w:tcW w:w="1618" w:type="dxa"/>
            <w:gridSpan w:val="2"/>
            <w:vMerge w:val="continue"/>
            <w:vAlign w:val="center"/>
          </w:tcPr>
          <w:p w14:paraId="1C66D7DF">
            <w:pPr>
              <w:pStyle w:val="16"/>
              <w:rPr>
                <w:rFonts w:hint="eastAsia" w:ascii="宋体" w:hAnsi="宋体" w:eastAsia="宋体" w:cs="宋体"/>
                <w:b w:val="0"/>
                <w:bCs w:val="0"/>
                <w:sz w:val="21"/>
                <w:szCs w:val="21"/>
              </w:rPr>
            </w:pPr>
          </w:p>
        </w:tc>
        <w:tc>
          <w:tcPr>
            <w:tcW w:w="1116" w:type="dxa"/>
            <w:vAlign w:val="center"/>
          </w:tcPr>
          <w:p w14:paraId="7D0422A9">
            <w:pPr>
              <w:pStyle w:val="16"/>
              <w:rPr>
                <w:rFonts w:hint="eastAsia" w:ascii="宋体" w:hAnsi="宋体" w:eastAsia="宋体" w:cs="宋体"/>
                <w:b w:val="0"/>
                <w:bCs w:val="0"/>
                <w:sz w:val="21"/>
                <w:szCs w:val="21"/>
              </w:rPr>
            </w:pPr>
          </w:p>
        </w:tc>
      </w:tr>
      <w:tr w14:paraId="3B1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24336A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（九）电</w:t>
            </w:r>
          </w:p>
          <w:p w14:paraId="7F358A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气</w:t>
            </w:r>
          </w:p>
        </w:tc>
        <w:tc>
          <w:tcPr>
            <w:tcW w:w="5799" w:type="dxa"/>
            <w:gridSpan w:val="3"/>
            <w:vAlign w:val="center"/>
          </w:tcPr>
          <w:p w14:paraId="63D674E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1.电缆无破损，无老化；</w:t>
            </w:r>
          </w:p>
        </w:tc>
        <w:tc>
          <w:tcPr>
            <w:tcW w:w="1618" w:type="dxa"/>
            <w:gridSpan w:val="2"/>
            <w:vMerge w:val="restart"/>
            <w:vAlign w:val="center"/>
          </w:tcPr>
          <w:p w14:paraId="2C5D462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GB5226.1-2002</w:t>
            </w:r>
          </w:p>
          <w:p w14:paraId="0A7FE5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p w14:paraId="496BE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5E0C1CD4">
            <w:pPr>
              <w:pStyle w:val="16"/>
              <w:rPr>
                <w:rFonts w:hint="eastAsia" w:ascii="宋体" w:hAnsi="宋体" w:eastAsia="宋体" w:cs="宋体"/>
                <w:b w:val="0"/>
                <w:bCs w:val="0"/>
                <w:sz w:val="21"/>
                <w:szCs w:val="21"/>
              </w:rPr>
            </w:pPr>
          </w:p>
        </w:tc>
      </w:tr>
      <w:tr w14:paraId="40E9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E2E272">
            <w:pPr>
              <w:pStyle w:val="16"/>
              <w:rPr>
                <w:rFonts w:hint="eastAsia" w:ascii="宋体" w:hAnsi="宋体" w:eastAsia="宋体" w:cs="宋体"/>
                <w:b w:val="0"/>
                <w:bCs w:val="0"/>
                <w:sz w:val="21"/>
                <w:szCs w:val="21"/>
              </w:rPr>
            </w:pPr>
          </w:p>
        </w:tc>
        <w:tc>
          <w:tcPr>
            <w:tcW w:w="5799" w:type="dxa"/>
            <w:gridSpan w:val="3"/>
            <w:vAlign w:val="center"/>
          </w:tcPr>
          <w:p w14:paraId="05E54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2.各接地、接零保护装置符合要求；</w:t>
            </w:r>
          </w:p>
        </w:tc>
        <w:tc>
          <w:tcPr>
            <w:tcW w:w="1618" w:type="dxa"/>
            <w:gridSpan w:val="2"/>
            <w:vMerge w:val="continue"/>
            <w:vAlign w:val="center"/>
          </w:tcPr>
          <w:p w14:paraId="72C87107">
            <w:pPr>
              <w:pStyle w:val="16"/>
              <w:rPr>
                <w:rFonts w:hint="eastAsia" w:ascii="宋体" w:hAnsi="宋体" w:eastAsia="宋体" w:cs="宋体"/>
                <w:b w:val="0"/>
                <w:bCs w:val="0"/>
                <w:sz w:val="21"/>
                <w:szCs w:val="21"/>
              </w:rPr>
            </w:pPr>
          </w:p>
        </w:tc>
        <w:tc>
          <w:tcPr>
            <w:tcW w:w="1116" w:type="dxa"/>
            <w:vAlign w:val="center"/>
          </w:tcPr>
          <w:p w14:paraId="31A96D08">
            <w:pPr>
              <w:pStyle w:val="16"/>
              <w:rPr>
                <w:rFonts w:hint="eastAsia" w:ascii="宋体" w:hAnsi="宋体" w:eastAsia="宋体" w:cs="宋体"/>
                <w:b w:val="0"/>
                <w:bCs w:val="0"/>
                <w:sz w:val="21"/>
                <w:szCs w:val="21"/>
              </w:rPr>
            </w:pPr>
          </w:p>
        </w:tc>
      </w:tr>
      <w:tr w14:paraId="41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133FC">
            <w:pPr>
              <w:pStyle w:val="16"/>
              <w:rPr>
                <w:rFonts w:hint="eastAsia" w:ascii="宋体" w:hAnsi="宋体" w:eastAsia="宋体" w:cs="宋体"/>
                <w:b w:val="0"/>
                <w:bCs w:val="0"/>
                <w:sz w:val="21"/>
                <w:szCs w:val="21"/>
              </w:rPr>
            </w:pPr>
          </w:p>
        </w:tc>
        <w:tc>
          <w:tcPr>
            <w:tcW w:w="5799" w:type="dxa"/>
            <w:gridSpan w:val="3"/>
            <w:vAlign w:val="center"/>
          </w:tcPr>
          <w:p w14:paraId="1AB66AE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3.开关等配电装置齐全有效；</w:t>
            </w:r>
          </w:p>
        </w:tc>
        <w:tc>
          <w:tcPr>
            <w:tcW w:w="1618" w:type="dxa"/>
            <w:gridSpan w:val="2"/>
            <w:vMerge w:val="continue"/>
            <w:vAlign w:val="center"/>
          </w:tcPr>
          <w:p w14:paraId="7776FE21">
            <w:pPr>
              <w:pStyle w:val="16"/>
              <w:rPr>
                <w:rFonts w:hint="eastAsia" w:ascii="宋体" w:hAnsi="宋体" w:eastAsia="宋体" w:cs="宋体"/>
                <w:b w:val="0"/>
                <w:bCs w:val="0"/>
                <w:sz w:val="21"/>
                <w:szCs w:val="21"/>
              </w:rPr>
            </w:pPr>
          </w:p>
        </w:tc>
        <w:tc>
          <w:tcPr>
            <w:tcW w:w="1116" w:type="dxa"/>
            <w:vAlign w:val="center"/>
          </w:tcPr>
          <w:p w14:paraId="4719CB72">
            <w:pPr>
              <w:pStyle w:val="16"/>
              <w:rPr>
                <w:rFonts w:hint="eastAsia" w:ascii="宋体" w:hAnsi="宋体" w:eastAsia="宋体" w:cs="宋体"/>
                <w:b w:val="0"/>
                <w:bCs w:val="0"/>
                <w:sz w:val="21"/>
                <w:szCs w:val="21"/>
              </w:rPr>
            </w:pPr>
          </w:p>
        </w:tc>
      </w:tr>
      <w:tr w14:paraId="0E3C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67F223C">
            <w:pPr>
              <w:pStyle w:val="16"/>
              <w:rPr>
                <w:rFonts w:hint="eastAsia" w:ascii="宋体" w:hAnsi="宋体" w:eastAsia="宋体" w:cs="宋体"/>
                <w:b w:val="0"/>
                <w:bCs w:val="0"/>
                <w:sz w:val="21"/>
                <w:szCs w:val="21"/>
              </w:rPr>
            </w:pPr>
          </w:p>
        </w:tc>
        <w:tc>
          <w:tcPr>
            <w:tcW w:w="5799" w:type="dxa"/>
            <w:gridSpan w:val="3"/>
            <w:vAlign w:val="center"/>
          </w:tcPr>
          <w:p w14:paraId="67BBA61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4.绝缘良好；</w:t>
            </w:r>
          </w:p>
        </w:tc>
        <w:tc>
          <w:tcPr>
            <w:tcW w:w="1618" w:type="dxa"/>
            <w:gridSpan w:val="2"/>
            <w:vMerge w:val="continue"/>
            <w:vAlign w:val="center"/>
          </w:tcPr>
          <w:p w14:paraId="541993E3">
            <w:pPr>
              <w:pStyle w:val="16"/>
              <w:rPr>
                <w:rFonts w:hint="eastAsia" w:ascii="宋体" w:hAnsi="宋体" w:eastAsia="宋体" w:cs="宋体"/>
                <w:b w:val="0"/>
                <w:bCs w:val="0"/>
                <w:sz w:val="21"/>
                <w:szCs w:val="21"/>
              </w:rPr>
            </w:pPr>
          </w:p>
        </w:tc>
        <w:tc>
          <w:tcPr>
            <w:tcW w:w="1116" w:type="dxa"/>
            <w:vAlign w:val="center"/>
          </w:tcPr>
          <w:p w14:paraId="0C93E3BE">
            <w:pPr>
              <w:pStyle w:val="16"/>
              <w:rPr>
                <w:rFonts w:hint="eastAsia" w:ascii="宋体" w:hAnsi="宋体" w:eastAsia="宋体" w:cs="宋体"/>
                <w:b w:val="0"/>
                <w:bCs w:val="0"/>
                <w:sz w:val="21"/>
                <w:szCs w:val="21"/>
              </w:rPr>
            </w:pPr>
          </w:p>
        </w:tc>
      </w:tr>
      <w:tr w14:paraId="411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FF28B0">
            <w:pPr>
              <w:pStyle w:val="16"/>
              <w:rPr>
                <w:rFonts w:hint="eastAsia" w:ascii="宋体" w:hAnsi="宋体" w:eastAsia="宋体" w:cs="宋体"/>
                <w:b w:val="0"/>
                <w:bCs w:val="0"/>
                <w:sz w:val="21"/>
                <w:szCs w:val="21"/>
              </w:rPr>
            </w:pPr>
          </w:p>
        </w:tc>
        <w:tc>
          <w:tcPr>
            <w:tcW w:w="5799" w:type="dxa"/>
            <w:gridSpan w:val="3"/>
            <w:vAlign w:val="center"/>
          </w:tcPr>
          <w:p w14:paraId="290BAE2C">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5.接闪器、避雷等接地装置良好,；</w:t>
            </w:r>
          </w:p>
        </w:tc>
        <w:tc>
          <w:tcPr>
            <w:tcW w:w="1618" w:type="dxa"/>
            <w:gridSpan w:val="2"/>
            <w:vMerge w:val="continue"/>
            <w:vAlign w:val="center"/>
          </w:tcPr>
          <w:p w14:paraId="32D63542">
            <w:pPr>
              <w:pStyle w:val="16"/>
              <w:rPr>
                <w:rFonts w:hint="eastAsia" w:ascii="宋体" w:hAnsi="宋体" w:eastAsia="宋体" w:cs="宋体"/>
                <w:b w:val="0"/>
                <w:bCs w:val="0"/>
                <w:sz w:val="21"/>
                <w:szCs w:val="21"/>
              </w:rPr>
            </w:pPr>
          </w:p>
        </w:tc>
        <w:tc>
          <w:tcPr>
            <w:tcW w:w="1116" w:type="dxa"/>
            <w:vAlign w:val="center"/>
          </w:tcPr>
          <w:p w14:paraId="7EE8BBA8">
            <w:pPr>
              <w:pStyle w:val="16"/>
              <w:rPr>
                <w:rFonts w:hint="eastAsia" w:ascii="宋体" w:hAnsi="宋体" w:eastAsia="宋体" w:cs="宋体"/>
                <w:b w:val="0"/>
                <w:bCs w:val="0"/>
                <w:sz w:val="21"/>
                <w:szCs w:val="21"/>
              </w:rPr>
            </w:pPr>
          </w:p>
        </w:tc>
      </w:tr>
      <w:tr w14:paraId="30E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CD13993">
            <w:pPr>
              <w:pStyle w:val="16"/>
              <w:rPr>
                <w:rFonts w:hint="eastAsia" w:ascii="宋体" w:hAnsi="宋体" w:eastAsia="宋体" w:cs="宋体"/>
                <w:b w:val="0"/>
                <w:bCs w:val="0"/>
                <w:sz w:val="21"/>
                <w:szCs w:val="21"/>
              </w:rPr>
            </w:pPr>
          </w:p>
        </w:tc>
        <w:tc>
          <w:tcPr>
            <w:tcW w:w="5799" w:type="dxa"/>
            <w:gridSpan w:val="3"/>
            <w:vAlign w:val="center"/>
          </w:tcPr>
          <w:p w14:paraId="12CD117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6.动力电路和控制电路对地绝缘值不超过0.5兆欧；</w:t>
            </w:r>
          </w:p>
        </w:tc>
        <w:tc>
          <w:tcPr>
            <w:tcW w:w="1618" w:type="dxa"/>
            <w:gridSpan w:val="2"/>
            <w:vMerge w:val="continue"/>
            <w:vAlign w:val="center"/>
          </w:tcPr>
          <w:p w14:paraId="663468FD">
            <w:pPr>
              <w:pStyle w:val="16"/>
              <w:rPr>
                <w:rFonts w:hint="eastAsia" w:ascii="宋体" w:hAnsi="宋体" w:eastAsia="宋体" w:cs="宋体"/>
                <w:b w:val="0"/>
                <w:bCs w:val="0"/>
                <w:sz w:val="21"/>
                <w:szCs w:val="21"/>
              </w:rPr>
            </w:pPr>
          </w:p>
        </w:tc>
        <w:tc>
          <w:tcPr>
            <w:tcW w:w="1116" w:type="dxa"/>
            <w:vAlign w:val="center"/>
          </w:tcPr>
          <w:p w14:paraId="765F51FA">
            <w:pPr>
              <w:pStyle w:val="16"/>
              <w:rPr>
                <w:rFonts w:hint="eastAsia" w:ascii="宋体" w:hAnsi="宋体" w:eastAsia="宋体" w:cs="宋体"/>
                <w:b w:val="0"/>
                <w:bCs w:val="0"/>
                <w:sz w:val="21"/>
                <w:szCs w:val="21"/>
              </w:rPr>
            </w:pPr>
          </w:p>
        </w:tc>
      </w:tr>
      <w:tr w14:paraId="635C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3283AC7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（十）机构油类</w:t>
            </w:r>
          </w:p>
        </w:tc>
        <w:tc>
          <w:tcPr>
            <w:tcW w:w="5799" w:type="dxa"/>
            <w:gridSpan w:val="3"/>
            <w:vAlign w:val="center"/>
          </w:tcPr>
          <w:p w14:paraId="6709F12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1.减速机、卷扬机、回转机构、液压顶升系统部件齐全、工作正常；</w:t>
            </w:r>
          </w:p>
        </w:tc>
        <w:tc>
          <w:tcPr>
            <w:tcW w:w="1618" w:type="dxa"/>
            <w:gridSpan w:val="2"/>
            <w:vMerge w:val="restart"/>
            <w:vAlign w:val="center"/>
          </w:tcPr>
          <w:p w14:paraId="1B548BB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6FAB80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6C5DA2BF">
            <w:pPr>
              <w:pStyle w:val="16"/>
              <w:rPr>
                <w:rFonts w:hint="eastAsia" w:ascii="宋体" w:hAnsi="宋体" w:eastAsia="宋体" w:cs="宋体"/>
                <w:b w:val="0"/>
                <w:bCs w:val="0"/>
                <w:sz w:val="21"/>
                <w:szCs w:val="21"/>
              </w:rPr>
            </w:pPr>
          </w:p>
        </w:tc>
      </w:tr>
      <w:tr w14:paraId="3F5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BE2AC82">
            <w:pPr>
              <w:pStyle w:val="16"/>
              <w:rPr>
                <w:rFonts w:hint="eastAsia" w:ascii="宋体" w:hAnsi="宋体" w:eastAsia="宋体" w:cs="宋体"/>
                <w:b w:val="0"/>
                <w:bCs w:val="0"/>
                <w:sz w:val="21"/>
                <w:szCs w:val="21"/>
              </w:rPr>
            </w:pPr>
          </w:p>
        </w:tc>
        <w:tc>
          <w:tcPr>
            <w:tcW w:w="5799" w:type="dxa"/>
            <w:gridSpan w:val="3"/>
            <w:vAlign w:val="center"/>
          </w:tcPr>
          <w:p w14:paraId="2775AA36">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2.传动部位有防护罩；</w:t>
            </w:r>
          </w:p>
        </w:tc>
        <w:tc>
          <w:tcPr>
            <w:tcW w:w="1618" w:type="dxa"/>
            <w:gridSpan w:val="2"/>
            <w:vMerge w:val="continue"/>
            <w:vAlign w:val="center"/>
          </w:tcPr>
          <w:p w14:paraId="7809BE5E">
            <w:pPr>
              <w:pStyle w:val="16"/>
              <w:rPr>
                <w:rFonts w:hint="eastAsia" w:ascii="宋体" w:hAnsi="宋体" w:eastAsia="宋体" w:cs="宋体"/>
                <w:b w:val="0"/>
                <w:bCs w:val="0"/>
                <w:sz w:val="21"/>
                <w:szCs w:val="21"/>
              </w:rPr>
            </w:pPr>
          </w:p>
        </w:tc>
        <w:tc>
          <w:tcPr>
            <w:tcW w:w="1116" w:type="dxa"/>
            <w:vAlign w:val="center"/>
          </w:tcPr>
          <w:p w14:paraId="4A42837A">
            <w:pPr>
              <w:pStyle w:val="16"/>
              <w:rPr>
                <w:rFonts w:hint="eastAsia" w:ascii="宋体" w:hAnsi="宋体" w:eastAsia="宋体" w:cs="宋体"/>
                <w:b w:val="0"/>
                <w:bCs w:val="0"/>
                <w:sz w:val="21"/>
                <w:szCs w:val="21"/>
              </w:rPr>
            </w:pPr>
          </w:p>
        </w:tc>
      </w:tr>
      <w:tr w14:paraId="72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59F3CBE">
            <w:pPr>
              <w:pStyle w:val="16"/>
              <w:rPr>
                <w:rFonts w:hint="eastAsia" w:ascii="宋体" w:hAnsi="宋体" w:eastAsia="宋体" w:cs="宋体"/>
                <w:b w:val="0"/>
                <w:bCs w:val="0"/>
                <w:sz w:val="21"/>
                <w:szCs w:val="21"/>
              </w:rPr>
            </w:pPr>
          </w:p>
        </w:tc>
        <w:tc>
          <w:tcPr>
            <w:tcW w:w="5799" w:type="dxa"/>
            <w:gridSpan w:val="3"/>
            <w:vAlign w:val="center"/>
          </w:tcPr>
          <w:p w14:paraId="7BB43F1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3.油箱有足够容量；</w:t>
            </w:r>
          </w:p>
        </w:tc>
        <w:tc>
          <w:tcPr>
            <w:tcW w:w="1618" w:type="dxa"/>
            <w:gridSpan w:val="2"/>
            <w:vMerge w:val="continue"/>
            <w:vAlign w:val="center"/>
          </w:tcPr>
          <w:p w14:paraId="6E5C8651">
            <w:pPr>
              <w:pStyle w:val="16"/>
              <w:rPr>
                <w:rFonts w:hint="eastAsia" w:ascii="宋体" w:hAnsi="宋体" w:eastAsia="宋体" w:cs="宋体"/>
                <w:b w:val="0"/>
                <w:bCs w:val="0"/>
                <w:sz w:val="21"/>
                <w:szCs w:val="21"/>
              </w:rPr>
            </w:pPr>
          </w:p>
        </w:tc>
        <w:tc>
          <w:tcPr>
            <w:tcW w:w="1116" w:type="dxa"/>
            <w:vAlign w:val="center"/>
          </w:tcPr>
          <w:p w14:paraId="6E3AB437">
            <w:pPr>
              <w:pStyle w:val="16"/>
              <w:rPr>
                <w:rFonts w:hint="eastAsia" w:ascii="宋体" w:hAnsi="宋体" w:eastAsia="宋体" w:cs="宋体"/>
                <w:b w:val="0"/>
                <w:bCs w:val="0"/>
                <w:sz w:val="21"/>
                <w:szCs w:val="21"/>
              </w:rPr>
            </w:pPr>
          </w:p>
        </w:tc>
      </w:tr>
      <w:tr w14:paraId="519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979188">
            <w:pPr>
              <w:pStyle w:val="16"/>
              <w:rPr>
                <w:rFonts w:hint="eastAsia" w:ascii="宋体" w:hAnsi="宋体" w:eastAsia="宋体" w:cs="宋体"/>
                <w:b w:val="0"/>
                <w:bCs w:val="0"/>
                <w:sz w:val="21"/>
                <w:szCs w:val="21"/>
              </w:rPr>
            </w:pPr>
          </w:p>
        </w:tc>
        <w:tc>
          <w:tcPr>
            <w:tcW w:w="5799" w:type="dxa"/>
            <w:gridSpan w:val="3"/>
            <w:vAlign w:val="center"/>
          </w:tcPr>
          <w:p w14:paraId="4E5A6D3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4.油路无泄露、堵塞现象。</w:t>
            </w:r>
          </w:p>
        </w:tc>
        <w:tc>
          <w:tcPr>
            <w:tcW w:w="1618" w:type="dxa"/>
            <w:gridSpan w:val="2"/>
            <w:vMerge w:val="continue"/>
            <w:vAlign w:val="center"/>
          </w:tcPr>
          <w:p w14:paraId="510664DA">
            <w:pPr>
              <w:pStyle w:val="16"/>
              <w:rPr>
                <w:rFonts w:hint="eastAsia" w:ascii="宋体" w:hAnsi="宋体" w:eastAsia="宋体" w:cs="宋体"/>
                <w:b w:val="0"/>
                <w:bCs w:val="0"/>
                <w:sz w:val="21"/>
                <w:szCs w:val="21"/>
              </w:rPr>
            </w:pPr>
          </w:p>
        </w:tc>
        <w:tc>
          <w:tcPr>
            <w:tcW w:w="1116" w:type="dxa"/>
            <w:vAlign w:val="center"/>
          </w:tcPr>
          <w:p w14:paraId="547636B4">
            <w:pPr>
              <w:pStyle w:val="16"/>
              <w:rPr>
                <w:rFonts w:hint="eastAsia" w:ascii="宋体" w:hAnsi="宋体" w:eastAsia="宋体" w:cs="宋体"/>
                <w:b w:val="0"/>
                <w:bCs w:val="0"/>
                <w:sz w:val="21"/>
                <w:szCs w:val="21"/>
              </w:rPr>
            </w:pPr>
          </w:p>
        </w:tc>
      </w:tr>
      <w:tr w14:paraId="5D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C37A4A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十一</w:t>
            </w:r>
          </w:p>
          <w:p w14:paraId="24BE58A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w:t>
            </w:r>
          </w:p>
          <w:p w14:paraId="03FF570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w:t>
            </w:r>
          </w:p>
          <w:p w14:paraId="659FC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器</w:t>
            </w:r>
          </w:p>
        </w:tc>
        <w:tc>
          <w:tcPr>
            <w:tcW w:w="5799" w:type="dxa"/>
            <w:gridSpan w:val="3"/>
            <w:vAlign w:val="center"/>
          </w:tcPr>
          <w:p w14:paraId="5AA52962">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1.无可见裂纹;</w:t>
            </w:r>
          </w:p>
        </w:tc>
        <w:tc>
          <w:tcPr>
            <w:tcW w:w="1618" w:type="dxa"/>
            <w:gridSpan w:val="2"/>
            <w:vMerge w:val="restart"/>
            <w:vAlign w:val="center"/>
          </w:tcPr>
          <w:p w14:paraId="45A6DB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GB5144-2006</w:t>
            </w:r>
          </w:p>
          <w:p w14:paraId="2CBF09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7E14243C">
            <w:pPr>
              <w:pStyle w:val="16"/>
              <w:rPr>
                <w:rFonts w:hint="eastAsia" w:ascii="宋体" w:hAnsi="宋体" w:eastAsia="宋体" w:cs="宋体"/>
                <w:b w:val="0"/>
                <w:bCs w:val="0"/>
                <w:sz w:val="21"/>
                <w:szCs w:val="21"/>
              </w:rPr>
            </w:pPr>
          </w:p>
        </w:tc>
      </w:tr>
      <w:tr w14:paraId="3AB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6B3AD314">
            <w:pPr>
              <w:pStyle w:val="16"/>
              <w:rPr>
                <w:rFonts w:hint="eastAsia" w:ascii="宋体" w:hAnsi="宋体" w:eastAsia="宋体" w:cs="宋体"/>
                <w:b w:val="0"/>
                <w:bCs w:val="0"/>
                <w:sz w:val="21"/>
                <w:szCs w:val="21"/>
              </w:rPr>
            </w:pPr>
          </w:p>
        </w:tc>
        <w:tc>
          <w:tcPr>
            <w:tcW w:w="5799" w:type="dxa"/>
            <w:gridSpan w:val="3"/>
            <w:vAlign w:val="center"/>
          </w:tcPr>
          <w:p w14:paraId="5CA47208">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2.制动块摩擦衬垫磨损量未达原厚度的50%;</w:t>
            </w:r>
          </w:p>
        </w:tc>
        <w:tc>
          <w:tcPr>
            <w:tcW w:w="1618" w:type="dxa"/>
            <w:gridSpan w:val="2"/>
            <w:vMerge w:val="continue"/>
            <w:vAlign w:val="center"/>
          </w:tcPr>
          <w:p w14:paraId="59C788CB">
            <w:pPr>
              <w:pStyle w:val="16"/>
              <w:rPr>
                <w:rFonts w:hint="eastAsia" w:ascii="宋体" w:hAnsi="宋体" w:eastAsia="宋体" w:cs="宋体"/>
                <w:b w:val="0"/>
                <w:bCs w:val="0"/>
                <w:sz w:val="21"/>
                <w:szCs w:val="21"/>
              </w:rPr>
            </w:pPr>
          </w:p>
        </w:tc>
        <w:tc>
          <w:tcPr>
            <w:tcW w:w="1116" w:type="dxa"/>
            <w:vAlign w:val="center"/>
          </w:tcPr>
          <w:p w14:paraId="550184BB">
            <w:pPr>
              <w:pStyle w:val="16"/>
              <w:rPr>
                <w:rFonts w:hint="eastAsia" w:ascii="宋体" w:hAnsi="宋体" w:eastAsia="宋体" w:cs="宋体"/>
                <w:b w:val="0"/>
                <w:bCs w:val="0"/>
                <w:sz w:val="21"/>
                <w:szCs w:val="21"/>
              </w:rPr>
            </w:pPr>
          </w:p>
        </w:tc>
      </w:tr>
      <w:tr w14:paraId="00C5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1BEA2E6">
            <w:pPr>
              <w:pStyle w:val="16"/>
              <w:rPr>
                <w:rFonts w:hint="eastAsia" w:ascii="宋体" w:hAnsi="宋体" w:eastAsia="宋体" w:cs="宋体"/>
                <w:b w:val="0"/>
                <w:bCs w:val="0"/>
                <w:sz w:val="21"/>
                <w:szCs w:val="21"/>
              </w:rPr>
            </w:pPr>
          </w:p>
        </w:tc>
        <w:tc>
          <w:tcPr>
            <w:tcW w:w="5799" w:type="dxa"/>
            <w:gridSpan w:val="3"/>
            <w:vAlign w:val="center"/>
          </w:tcPr>
          <w:p w14:paraId="43CE38AA">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3.制动轮表面磨损量未达1.5 mm ~2mm;</w:t>
            </w:r>
          </w:p>
        </w:tc>
        <w:tc>
          <w:tcPr>
            <w:tcW w:w="1618" w:type="dxa"/>
            <w:gridSpan w:val="2"/>
            <w:vMerge w:val="continue"/>
            <w:vAlign w:val="center"/>
          </w:tcPr>
          <w:p w14:paraId="1BB6A33A">
            <w:pPr>
              <w:pStyle w:val="16"/>
              <w:rPr>
                <w:rFonts w:hint="eastAsia" w:ascii="宋体" w:hAnsi="宋体" w:eastAsia="宋体" w:cs="宋体"/>
                <w:b w:val="0"/>
                <w:bCs w:val="0"/>
                <w:sz w:val="21"/>
                <w:szCs w:val="21"/>
              </w:rPr>
            </w:pPr>
          </w:p>
        </w:tc>
        <w:tc>
          <w:tcPr>
            <w:tcW w:w="1116" w:type="dxa"/>
            <w:vAlign w:val="center"/>
          </w:tcPr>
          <w:p w14:paraId="3DC908D5">
            <w:pPr>
              <w:pStyle w:val="16"/>
              <w:rPr>
                <w:rFonts w:hint="eastAsia" w:ascii="宋体" w:hAnsi="宋体" w:eastAsia="宋体" w:cs="宋体"/>
                <w:b w:val="0"/>
                <w:bCs w:val="0"/>
                <w:sz w:val="21"/>
                <w:szCs w:val="21"/>
              </w:rPr>
            </w:pPr>
          </w:p>
        </w:tc>
      </w:tr>
      <w:tr w14:paraId="0E3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591ABD2B">
            <w:pPr>
              <w:pStyle w:val="16"/>
              <w:rPr>
                <w:rFonts w:hint="eastAsia" w:ascii="宋体" w:hAnsi="宋体" w:eastAsia="宋体" w:cs="宋体"/>
                <w:b w:val="0"/>
                <w:bCs w:val="0"/>
                <w:sz w:val="21"/>
                <w:szCs w:val="21"/>
              </w:rPr>
            </w:pPr>
          </w:p>
        </w:tc>
        <w:tc>
          <w:tcPr>
            <w:tcW w:w="5799" w:type="dxa"/>
            <w:gridSpan w:val="3"/>
            <w:vAlign w:val="center"/>
          </w:tcPr>
          <w:p w14:paraId="1F2A8BF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4.弹簧未出现塑性变形;</w:t>
            </w:r>
          </w:p>
        </w:tc>
        <w:tc>
          <w:tcPr>
            <w:tcW w:w="1618" w:type="dxa"/>
            <w:gridSpan w:val="2"/>
            <w:vMerge w:val="continue"/>
            <w:vAlign w:val="center"/>
          </w:tcPr>
          <w:p w14:paraId="464B90FA">
            <w:pPr>
              <w:pStyle w:val="16"/>
              <w:rPr>
                <w:rFonts w:hint="eastAsia" w:ascii="宋体" w:hAnsi="宋体" w:eastAsia="宋体" w:cs="宋体"/>
                <w:b w:val="0"/>
                <w:bCs w:val="0"/>
                <w:sz w:val="21"/>
                <w:szCs w:val="21"/>
              </w:rPr>
            </w:pPr>
          </w:p>
        </w:tc>
        <w:tc>
          <w:tcPr>
            <w:tcW w:w="1116" w:type="dxa"/>
            <w:vAlign w:val="center"/>
          </w:tcPr>
          <w:p w14:paraId="5E2B08FB">
            <w:pPr>
              <w:pStyle w:val="16"/>
              <w:rPr>
                <w:rFonts w:hint="eastAsia" w:ascii="宋体" w:hAnsi="宋体" w:eastAsia="宋体" w:cs="宋体"/>
                <w:b w:val="0"/>
                <w:bCs w:val="0"/>
                <w:sz w:val="21"/>
                <w:szCs w:val="21"/>
              </w:rPr>
            </w:pPr>
          </w:p>
        </w:tc>
      </w:tr>
      <w:tr w14:paraId="7722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EF4D5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十二</w:t>
            </w:r>
          </w:p>
          <w:p w14:paraId="73A8938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w:t>
            </w:r>
          </w:p>
          <w:p w14:paraId="631E4C4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全</w:t>
            </w:r>
          </w:p>
          <w:p w14:paraId="5DDCEC8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距</w:t>
            </w:r>
          </w:p>
          <w:p w14:paraId="4C083E1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离</w:t>
            </w:r>
          </w:p>
        </w:tc>
        <w:tc>
          <w:tcPr>
            <w:tcW w:w="5799" w:type="dxa"/>
            <w:gridSpan w:val="3"/>
            <w:vAlign w:val="center"/>
          </w:tcPr>
          <w:p w14:paraId="63055645">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1.与建筑物周围施工设施之间距离≥0.5米；</w:t>
            </w:r>
          </w:p>
        </w:tc>
        <w:tc>
          <w:tcPr>
            <w:tcW w:w="1618" w:type="dxa"/>
            <w:gridSpan w:val="2"/>
            <w:vMerge w:val="restart"/>
            <w:vAlign w:val="center"/>
          </w:tcPr>
          <w:p w14:paraId="1C5222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p w14:paraId="658EA2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172812BC">
            <w:pPr>
              <w:pStyle w:val="16"/>
              <w:rPr>
                <w:rFonts w:hint="eastAsia" w:ascii="宋体" w:hAnsi="宋体" w:eastAsia="宋体" w:cs="宋体"/>
                <w:b w:val="0"/>
                <w:bCs w:val="0"/>
                <w:sz w:val="21"/>
                <w:szCs w:val="21"/>
              </w:rPr>
            </w:pPr>
          </w:p>
        </w:tc>
      </w:tr>
      <w:tr w14:paraId="19D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F6EBBE7">
            <w:pPr>
              <w:pStyle w:val="16"/>
              <w:rPr>
                <w:rFonts w:hint="eastAsia" w:ascii="宋体" w:hAnsi="宋体" w:eastAsia="宋体" w:cs="宋体"/>
                <w:b w:val="0"/>
                <w:bCs w:val="0"/>
                <w:sz w:val="21"/>
                <w:szCs w:val="21"/>
              </w:rPr>
            </w:pPr>
          </w:p>
        </w:tc>
        <w:tc>
          <w:tcPr>
            <w:tcW w:w="5799" w:type="dxa"/>
            <w:gridSpan w:val="3"/>
            <w:vAlign w:val="center"/>
          </w:tcPr>
          <w:p w14:paraId="750603A3">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2.多塔作业相互间应符合要求，有防碰撞措施；</w:t>
            </w:r>
          </w:p>
        </w:tc>
        <w:tc>
          <w:tcPr>
            <w:tcW w:w="1618" w:type="dxa"/>
            <w:gridSpan w:val="2"/>
            <w:vMerge w:val="continue"/>
            <w:vAlign w:val="center"/>
          </w:tcPr>
          <w:p w14:paraId="04BD1817">
            <w:pPr>
              <w:pStyle w:val="16"/>
              <w:rPr>
                <w:rFonts w:hint="eastAsia" w:ascii="宋体" w:hAnsi="宋体" w:eastAsia="宋体" w:cs="宋体"/>
                <w:b w:val="0"/>
                <w:bCs w:val="0"/>
                <w:sz w:val="21"/>
                <w:szCs w:val="21"/>
              </w:rPr>
            </w:pPr>
          </w:p>
        </w:tc>
        <w:tc>
          <w:tcPr>
            <w:tcW w:w="1116" w:type="dxa"/>
            <w:vAlign w:val="center"/>
          </w:tcPr>
          <w:p w14:paraId="5CD43C50">
            <w:pPr>
              <w:pStyle w:val="16"/>
              <w:rPr>
                <w:rFonts w:hint="eastAsia" w:ascii="宋体" w:hAnsi="宋体" w:eastAsia="宋体" w:cs="宋体"/>
                <w:b w:val="0"/>
                <w:bCs w:val="0"/>
                <w:sz w:val="21"/>
                <w:szCs w:val="21"/>
              </w:rPr>
            </w:pPr>
          </w:p>
        </w:tc>
      </w:tr>
      <w:tr w14:paraId="480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7E2B6CC2">
            <w:pPr>
              <w:pStyle w:val="16"/>
              <w:rPr>
                <w:rFonts w:hint="eastAsia" w:ascii="宋体" w:hAnsi="宋体" w:eastAsia="宋体" w:cs="宋体"/>
                <w:b w:val="0"/>
                <w:bCs w:val="0"/>
                <w:sz w:val="21"/>
                <w:szCs w:val="21"/>
              </w:rPr>
            </w:pPr>
          </w:p>
        </w:tc>
        <w:tc>
          <w:tcPr>
            <w:tcW w:w="5799" w:type="dxa"/>
            <w:gridSpan w:val="3"/>
            <w:vAlign w:val="center"/>
          </w:tcPr>
          <w:p w14:paraId="75F6ED3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3.各部位与外电线路保持安全距离，达不到要求的必须按规定采取防护措施，防护措施应达到电业部门规定要求。</w:t>
            </w:r>
          </w:p>
        </w:tc>
        <w:tc>
          <w:tcPr>
            <w:tcW w:w="1618" w:type="dxa"/>
            <w:gridSpan w:val="2"/>
            <w:vMerge w:val="continue"/>
            <w:vAlign w:val="center"/>
          </w:tcPr>
          <w:p w14:paraId="6C21026C">
            <w:pPr>
              <w:pStyle w:val="16"/>
              <w:rPr>
                <w:rFonts w:hint="eastAsia" w:ascii="宋体" w:hAnsi="宋体" w:eastAsia="宋体" w:cs="宋体"/>
                <w:b w:val="0"/>
                <w:bCs w:val="0"/>
                <w:sz w:val="21"/>
                <w:szCs w:val="21"/>
              </w:rPr>
            </w:pPr>
          </w:p>
        </w:tc>
        <w:tc>
          <w:tcPr>
            <w:tcW w:w="1116" w:type="dxa"/>
            <w:vAlign w:val="center"/>
          </w:tcPr>
          <w:p w14:paraId="189A93C0">
            <w:pPr>
              <w:pStyle w:val="16"/>
              <w:rPr>
                <w:rFonts w:hint="eastAsia" w:ascii="宋体" w:hAnsi="宋体" w:eastAsia="宋体" w:cs="宋体"/>
                <w:b w:val="0"/>
                <w:bCs w:val="0"/>
                <w:sz w:val="21"/>
                <w:szCs w:val="21"/>
              </w:rPr>
            </w:pPr>
          </w:p>
        </w:tc>
      </w:tr>
      <w:tr w14:paraId="0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CD0AC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十三</w:t>
            </w:r>
          </w:p>
          <w:p w14:paraId="00832B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w:t>
            </w:r>
          </w:p>
          <w:p w14:paraId="2AB5E0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筒</w:t>
            </w:r>
          </w:p>
          <w:p w14:paraId="57DE366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w:t>
            </w:r>
          </w:p>
          <w:p w14:paraId="1ABC41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轮</w:t>
            </w:r>
          </w:p>
        </w:tc>
        <w:tc>
          <w:tcPr>
            <w:tcW w:w="5799" w:type="dxa"/>
            <w:gridSpan w:val="3"/>
            <w:vAlign w:val="center"/>
          </w:tcPr>
          <w:p w14:paraId="2C5BEEE0">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1.卷筒两侧边沿的高度大于钢丝绳直径2倍；</w:t>
            </w:r>
          </w:p>
        </w:tc>
        <w:tc>
          <w:tcPr>
            <w:tcW w:w="1618" w:type="dxa"/>
            <w:gridSpan w:val="2"/>
            <w:vMerge w:val="restart"/>
            <w:vAlign w:val="center"/>
          </w:tcPr>
          <w:p w14:paraId="50E54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GBT13752-2017</w:t>
            </w:r>
          </w:p>
          <w:p w14:paraId="5B7DDD3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3165D1E3">
            <w:pPr>
              <w:pStyle w:val="16"/>
              <w:rPr>
                <w:rFonts w:hint="eastAsia" w:ascii="宋体" w:hAnsi="宋体" w:eastAsia="宋体" w:cs="宋体"/>
                <w:b w:val="0"/>
                <w:bCs w:val="0"/>
                <w:sz w:val="21"/>
                <w:szCs w:val="21"/>
              </w:rPr>
            </w:pPr>
          </w:p>
        </w:tc>
      </w:tr>
      <w:tr w14:paraId="6A0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186EC5F">
            <w:pPr>
              <w:pStyle w:val="16"/>
              <w:rPr>
                <w:rFonts w:hint="eastAsia" w:ascii="宋体" w:hAnsi="宋体" w:eastAsia="宋体" w:cs="宋体"/>
                <w:b w:val="0"/>
                <w:bCs w:val="0"/>
                <w:sz w:val="21"/>
                <w:szCs w:val="21"/>
              </w:rPr>
            </w:pPr>
          </w:p>
        </w:tc>
        <w:tc>
          <w:tcPr>
            <w:tcW w:w="5799" w:type="dxa"/>
            <w:gridSpan w:val="3"/>
            <w:vAlign w:val="center"/>
          </w:tcPr>
          <w:p w14:paraId="3213469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2.卷筒上的钢丝绳至少保留3圈；</w:t>
            </w:r>
          </w:p>
        </w:tc>
        <w:tc>
          <w:tcPr>
            <w:tcW w:w="1618" w:type="dxa"/>
            <w:gridSpan w:val="2"/>
            <w:vMerge w:val="continue"/>
            <w:vAlign w:val="center"/>
          </w:tcPr>
          <w:p w14:paraId="13566001">
            <w:pPr>
              <w:pStyle w:val="16"/>
              <w:rPr>
                <w:rFonts w:hint="eastAsia" w:ascii="宋体" w:hAnsi="宋体" w:eastAsia="宋体" w:cs="宋体"/>
                <w:b w:val="0"/>
                <w:bCs w:val="0"/>
                <w:sz w:val="21"/>
                <w:szCs w:val="21"/>
              </w:rPr>
            </w:pPr>
          </w:p>
        </w:tc>
        <w:tc>
          <w:tcPr>
            <w:tcW w:w="1116" w:type="dxa"/>
            <w:vAlign w:val="center"/>
          </w:tcPr>
          <w:p w14:paraId="6E85B149">
            <w:pPr>
              <w:pStyle w:val="16"/>
              <w:rPr>
                <w:rFonts w:hint="eastAsia" w:ascii="宋体" w:hAnsi="宋体" w:eastAsia="宋体" w:cs="宋体"/>
                <w:b w:val="0"/>
                <w:bCs w:val="0"/>
                <w:sz w:val="21"/>
                <w:szCs w:val="21"/>
              </w:rPr>
            </w:pPr>
          </w:p>
        </w:tc>
      </w:tr>
      <w:tr w14:paraId="146F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FA4A5C">
            <w:pPr>
              <w:pStyle w:val="16"/>
              <w:rPr>
                <w:rFonts w:hint="eastAsia" w:ascii="宋体" w:hAnsi="宋体" w:eastAsia="宋体" w:cs="宋体"/>
                <w:b w:val="0"/>
                <w:bCs w:val="0"/>
                <w:sz w:val="21"/>
                <w:szCs w:val="21"/>
              </w:rPr>
            </w:pPr>
          </w:p>
        </w:tc>
        <w:tc>
          <w:tcPr>
            <w:tcW w:w="5799" w:type="dxa"/>
            <w:gridSpan w:val="3"/>
            <w:vAlign w:val="center"/>
          </w:tcPr>
          <w:p w14:paraId="62B7984F">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3.滑轮应设有防绳跳槽装置，且与滑轮最外沿间隙不得超过钢丝绳直径的20％；</w:t>
            </w:r>
          </w:p>
        </w:tc>
        <w:tc>
          <w:tcPr>
            <w:tcW w:w="1618" w:type="dxa"/>
            <w:gridSpan w:val="2"/>
            <w:vMerge w:val="continue"/>
            <w:vAlign w:val="center"/>
          </w:tcPr>
          <w:p w14:paraId="19890AA3">
            <w:pPr>
              <w:pStyle w:val="16"/>
              <w:rPr>
                <w:rFonts w:hint="eastAsia" w:ascii="宋体" w:hAnsi="宋体" w:eastAsia="宋体" w:cs="宋体"/>
                <w:b w:val="0"/>
                <w:bCs w:val="0"/>
                <w:sz w:val="21"/>
                <w:szCs w:val="21"/>
              </w:rPr>
            </w:pPr>
          </w:p>
        </w:tc>
        <w:tc>
          <w:tcPr>
            <w:tcW w:w="1116" w:type="dxa"/>
            <w:vAlign w:val="center"/>
          </w:tcPr>
          <w:p w14:paraId="4ECE59D3">
            <w:pPr>
              <w:pStyle w:val="16"/>
              <w:rPr>
                <w:rFonts w:hint="eastAsia" w:ascii="宋体" w:hAnsi="宋体" w:eastAsia="宋体" w:cs="宋体"/>
                <w:b w:val="0"/>
                <w:bCs w:val="0"/>
                <w:sz w:val="21"/>
                <w:szCs w:val="21"/>
              </w:rPr>
            </w:pPr>
          </w:p>
        </w:tc>
      </w:tr>
      <w:tr w14:paraId="4D5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E4C256B">
            <w:pPr>
              <w:pStyle w:val="16"/>
              <w:rPr>
                <w:rFonts w:hint="eastAsia" w:ascii="宋体" w:hAnsi="宋体" w:eastAsia="宋体" w:cs="宋体"/>
                <w:b w:val="0"/>
                <w:bCs w:val="0"/>
                <w:sz w:val="21"/>
                <w:szCs w:val="21"/>
              </w:rPr>
            </w:pPr>
          </w:p>
        </w:tc>
        <w:tc>
          <w:tcPr>
            <w:tcW w:w="5799" w:type="dxa"/>
            <w:gridSpan w:val="3"/>
            <w:vAlign w:val="center"/>
          </w:tcPr>
          <w:p w14:paraId="10D029B9">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4.滑轮转动灵活、无卡塞现象。</w:t>
            </w:r>
          </w:p>
        </w:tc>
        <w:tc>
          <w:tcPr>
            <w:tcW w:w="1618" w:type="dxa"/>
            <w:gridSpan w:val="2"/>
            <w:vMerge w:val="continue"/>
            <w:vAlign w:val="center"/>
          </w:tcPr>
          <w:p w14:paraId="0C0D0223">
            <w:pPr>
              <w:pStyle w:val="16"/>
              <w:rPr>
                <w:rFonts w:hint="eastAsia" w:ascii="宋体" w:hAnsi="宋体" w:eastAsia="宋体" w:cs="宋体"/>
                <w:b w:val="0"/>
                <w:bCs w:val="0"/>
                <w:sz w:val="21"/>
                <w:szCs w:val="21"/>
              </w:rPr>
            </w:pPr>
          </w:p>
        </w:tc>
        <w:tc>
          <w:tcPr>
            <w:tcW w:w="1116" w:type="dxa"/>
            <w:vAlign w:val="center"/>
          </w:tcPr>
          <w:p w14:paraId="7C6418C5">
            <w:pPr>
              <w:pStyle w:val="16"/>
              <w:rPr>
                <w:rFonts w:hint="eastAsia" w:ascii="宋体" w:hAnsi="宋体" w:eastAsia="宋体" w:cs="宋体"/>
                <w:b w:val="0"/>
                <w:bCs w:val="0"/>
                <w:sz w:val="21"/>
                <w:szCs w:val="21"/>
              </w:rPr>
            </w:pPr>
          </w:p>
        </w:tc>
      </w:tr>
      <w:tr w14:paraId="737A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22BC6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十四</w:t>
            </w:r>
          </w:p>
          <w:p w14:paraId="19A90B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持证上岗</w:t>
            </w:r>
          </w:p>
        </w:tc>
        <w:tc>
          <w:tcPr>
            <w:tcW w:w="5799" w:type="dxa"/>
            <w:gridSpan w:val="3"/>
            <w:vAlign w:val="center"/>
          </w:tcPr>
          <w:p w14:paraId="64FFDEBD">
            <w:pPr>
              <w:pStyle w:val="16"/>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1.使用过程中塔吊司机必须持证上岗。</w:t>
            </w:r>
          </w:p>
        </w:tc>
        <w:tc>
          <w:tcPr>
            <w:tcW w:w="1618" w:type="dxa"/>
            <w:gridSpan w:val="2"/>
            <w:vAlign w:val="center"/>
          </w:tcPr>
          <w:p w14:paraId="1BB1F08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36E677B1">
            <w:pPr>
              <w:pStyle w:val="16"/>
              <w:rPr>
                <w:rFonts w:hint="eastAsia" w:ascii="宋体" w:hAnsi="宋体" w:eastAsia="宋体" w:cs="宋体"/>
                <w:b w:val="0"/>
                <w:bCs w:val="0"/>
                <w:sz w:val="21"/>
                <w:szCs w:val="21"/>
              </w:rPr>
            </w:pPr>
          </w:p>
        </w:tc>
      </w:tr>
      <w:tr w14:paraId="4F17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2A3A95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十五</w:t>
            </w:r>
          </w:p>
          <w:p w14:paraId="5F03260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检查结论及整改措施</w:t>
            </w:r>
          </w:p>
        </w:tc>
        <w:tc>
          <w:tcPr>
            <w:tcW w:w="8713" w:type="dxa"/>
            <w:gridSpan w:val="7"/>
            <w:tcBorders>
              <w:bottom w:val="single" w:color="auto" w:sz="4" w:space="0"/>
            </w:tcBorders>
            <w:vAlign w:val="center"/>
          </w:tcPr>
          <w:p w14:paraId="1038BC50">
            <w:pPr>
              <w:pStyle w:val="16"/>
              <w:rPr>
                <w:rFonts w:hint="eastAsia" w:ascii="宋体" w:hAnsi="宋体" w:eastAsia="宋体" w:cs="宋体"/>
                <w:b w:val="0"/>
                <w:bCs w:val="0"/>
                <w:sz w:val="21"/>
                <w:szCs w:val="21"/>
              </w:rPr>
            </w:pPr>
          </w:p>
          <w:p w14:paraId="659F91CC">
            <w:pPr>
              <w:pStyle w:val="16"/>
              <w:rPr>
                <w:rFonts w:hint="eastAsia" w:ascii="宋体" w:hAnsi="宋体" w:eastAsia="宋体" w:cs="宋体"/>
                <w:b w:val="0"/>
                <w:bCs w:val="0"/>
                <w:sz w:val="21"/>
                <w:szCs w:val="21"/>
              </w:rPr>
            </w:pPr>
          </w:p>
          <w:p w14:paraId="62B6090F">
            <w:pPr>
              <w:pStyle w:val="16"/>
              <w:rPr>
                <w:rFonts w:hint="eastAsia" w:ascii="宋体" w:hAnsi="宋体" w:eastAsia="宋体" w:cs="宋体"/>
                <w:b w:val="0"/>
                <w:bCs w:val="0"/>
                <w:sz w:val="21"/>
                <w:szCs w:val="21"/>
              </w:rPr>
            </w:pPr>
          </w:p>
        </w:tc>
      </w:tr>
    </w:tbl>
    <w:p w14:paraId="4E2F19A8">
      <w:pPr>
        <w:pStyle w:val="15"/>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28"/>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D5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33AA0B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C7C459E">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6A9EF6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73B821D">
            <w:pPr>
              <w:pStyle w:val="16"/>
              <w:rPr>
                <w:rFonts w:hint="eastAsia" w:ascii="宋体" w:hAnsi="宋体" w:eastAsia="宋体" w:cs="宋体"/>
                <w:b w:val="0"/>
                <w:bCs w:val="0"/>
                <w:sz w:val="21"/>
                <w:szCs w:val="21"/>
              </w:rPr>
            </w:pPr>
          </w:p>
        </w:tc>
      </w:tr>
      <w:tr w14:paraId="14B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8BFDF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6E5EECB">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2C2252A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B89AAD9">
            <w:pPr>
              <w:pStyle w:val="16"/>
              <w:rPr>
                <w:rFonts w:hint="eastAsia" w:ascii="宋体" w:hAnsi="宋体" w:eastAsia="宋体" w:cs="宋体"/>
                <w:b w:val="0"/>
                <w:bCs w:val="0"/>
                <w:sz w:val="21"/>
                <w:szCs w:val="21"/>
              </w:rPr>
            </w:pPr>
          </w:p>
        </w:tc>
      </w:tr>
      <w:tr w14:paraId="14C0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EB4C19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4153B180">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20334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E0D2D9">
            <w:pPr>
              <w:pStyle w:val="16"/>
              <w:rPr>
                <w:rFonts w:hint="eastAsia" w:ascii="宋体" w:hAnsi="宋体" w:eastAsia="宋体" w:cs="宋体"/>
                <w:b w:val="0"/>
                <w:bCs w:val="0"/>
                <w:sz w:val="21"/>
                <w:szCs w:val="21"/>
              </w:rPr>
            </w:pPr>
          </w:p>
        </w:tc>
      </w:tr>
      <w:tr w14:paraId="183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D6493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C509975">
            <w:pPr>
              <w:pStyle w:val="16"/>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57AEA72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4667A35">
            <w:pPr>
              <w:pStyle w:val="16"/>
              <w:rPr>
                <w:rFonts w:hint="eastAsia" w:ascii="宋体" w:hAnsi="宋体" w:eastAsia="宋体" w:cs="宋体"/>
                <w:b w:val="0"/>
                <w:bCs w:val="0"/>
                <w:sz w:val="21"/>
                <w:szCs w:val="21"/>
              </w:rPr>
            </w:pPr>
          </w:p>
        </w:tc>
      </w:tr>
      <w:tr w14:paraId="41C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32CCF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279871">
            <w:pPr>
              <w:pStyle w:val="16"/>
              <w:rPr>
                <w:rFonts w:hint="eastAsia" w:ascii="宋体" w:hAnsi="宋体" w:eastAsia="宋体" w:cs="宋体"/>
                <w:b w:val="0"/>
                <w:bCs w:val="0"/>
                <w:sz w:val="21"/>
                <w:szCs w:val="21"/>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530032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1E96CD17">
            <w:pPr>
              <w:pStyle w:val="16"/>
              <w:rPr>
                <w:rFonts w:hint="eastAsia" w:ascii="宋体" w:hAnsi="宋体" w:eastAsia="宋体" w:cs="宋体"/>
                <w:b w:val="0"/>
                <w:bCs w:val="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6EE40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计划安装</w:t>
            </w:r>
          </w:p>
          <w:p w14:paraId="4CE66A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47F5514">
            <w:pPr>
              <w:pStyle w:val="16"/>
              <w:rPr>
                <w:rFonts w:hint="eastAsia" w:ascii="宋体" w:hAnsi="宋体" w:eastAsia="宋体" w:cs="宋体"/>
                <w:b w:val="0"/>
                <w:bCs w:val="0"/>
                <w:sz w:val="21"/>
                <w:szCs w:val="21"/>
              </w:rPr>
            </w:pPr>
          </w:p>
        </w:tc>
      </w:tr>
      <w:tr w14:paraId="0E0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7353D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p w14:paraId="2A68164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3F0DCEE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“√”=合格  “○”=整改后合格  “×”=不合格  “/”=无此项</w:t>
            </w:r>
          </w:p>
        </w:tc>
      </w:tr>
      <w:tr w14:paraId="227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66156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0751906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C02E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5F1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04199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3A2777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14:paraId="1E98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A7BD13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1646DA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01645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A6BD4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50A0BE5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A32908F">
            <w:pPr>
              <w:pStyle w:val="16"/>
              <w:rPr>
                <w:rFonts w:hint="eastAsia" w:ascii="宋体" w:hAnsi="宋体" w:eastAsia="宋体" w:cs="宋体"/>
                <w:b w:val="0"/>
                <w:bCs w:val="0"/>
                <w:sz w:val="21"/>
                <w:szCs w:val="21"/>
              </w:rPr>
            </w:pPr>
          </w:p>
        </w:tc>
      </w:tr>
      <w:tr w14:paraId="511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826E0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C0CC9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0235D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9514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1E7A9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4FBBB0">
            <w:pPr>
              <w:pStyle w:val="16"/>
              <w:rPr>
                <w:rFonts w:hint="eastAsia" w:ascii="宋体" w:hAnsi="宋体" w:eastAsia="宋体" w:cs="宋体"/>
                <w:b w:val="0"/>
                <w:bCs w:val="0"/>
                <w:sz w:val="21"/>
                <w:szCs w:val="21"/>
              </w:rPr>
            </w:pPr>
          </w:p>
        </w:tc>
      </w:tr>
      <w:tr w14:paraId="3E90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12BBF3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29D69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2634A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001B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A86FB9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07080">
            <w:pPr>
              <w:pStyle w:val="16"/>
              <w:rPr>
                <w:rFonts w:hint="eastAsia" w:ascii="宋体" w:hAnsi="宋体" w:eastAsia="宋体" w:cs="宋体"/>
                <w:b w:val="0"/>
                <w:bCs w:val="0"/>
                <w:sz w:val="21"/>
                <w:szCs w:val="21"/>
              </w:rPr>
            </w:pPr>
          </w:p>
        </w:tc>
      </w:tr>
      <w:tr w14:paraId="7659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294FCF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841E56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B03A6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CCA6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25D5C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11C4D7D">
            <w:pPr>
              <w:pStyle w:val="16"/>
              <w:rPr>
                <w:rFonts w:hint="eastAsia" w:ascii="宋体" w:hAnsi="宋体" w:eastAsia="宋体" w:cs="宋体"/>
                <w:b w:val="0"/>
                <w:bCs w:val="0"/>
                <w:sz w:val="21"/>
                <w:szCs w:val="21"/>
              </w:rPr>
            </w:pPr>
          </w:p>
        </w:tc>
      </w:tr>
      <w:tr w14:paraId="417B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E52B0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CBDD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61F1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34E09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2E2C1C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78CE689">
            <w:pPr>
              <w:pStyle w:val="16"/>
              <w:rPr>
                <w:rFonts w:hint="eastAsia" w:ascii="宋体" w:hAnsi="宋体" w:eastAsia="宋体" w:cs="宋体"/>
                <w:b w:val="0"/>
                <w:bCs w:val="0"/>
                <w:sz w:val="21"/>
                <w:szCs w:val="21"/>
              </w:rPr>
            </w:pPr>
          </w:p>
        </w:tc>
      </w:tr>
      <w:tr w14:paraId="7D7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843CD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7D50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B7BEC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E568F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3958A8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A72A4">
            <w:pPr>
              <w:pStyle w:val="16"/>
              <w:rPr>
                <w:rFonts w:hint="eastAsia" w:ascii="宋体" w:hAnsi="宋体" w:eastAsia="宋体" w:cs="宋体"/>
                <w:b w:val="0"/>
                <w:bCs w:val="0"/>
                <w:sz w:val="21"/>
                <w:szCs w:val="21"/>
              </w:rPr>
            </w:pPr>
          </w:p>
        </w:tc>
      </w:tr>
      <w:tr w14:paraId="25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510FD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802248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B68F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33AF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27A14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063DE05">
            <w:pPr>
              <w:pStyle w:val="16"/>
              <w:rPr>
                <w:rFonts w:hint="eastAsia" w:ascii="宋体" w:hAnsi="宋体" w:eastAsia="宋体" w:cs="宋体"/>
                <w:b w:val="0"/>
                <w:bCs w:val="0"/>
                <w:sz w:val="21"/>
                <w:szCs w:val="21"/>
              </w:rPr>
            </w:pPr>
          </w:p>
        </w:tc>
      </w:tr>
      <w:tr w14:paraId="146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9AA23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B4E4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FC60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22009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F5A79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6D2C98D">
            <w:pPr>
              <w:pStyle w:val="16"/>
              <w:rPr>
                <w:rFonts w:hint="eastAsia" w:ascii="宋体" w:hAnsi="宋体" w:eastAsia="宋体" w:cs="宋体"/>
                <w:b w:val="0"/>
                <w:bCs w:val="0"/>
                <w:sz w:val="21"/>
                <w:szCs w:val="21"/>
              </w:rPr>
            </w:pPr>
          </w:p>
        </w:tc>
      </w:tr>
      <w:tr w14:paraId="7505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648A6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51F177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D63C92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1724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6382E8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EB7FA8">
            <w:pPr>
              <w:pStyle w:val="16"/>
              <w:rPr>
                <w:rFonts w:hint="eastAsia" w:ascii="宋体" w:hAnsi="宋体" w:eastAsia="宋体" w:cs="宋体"/>
                <w:b w:val="0"/>
                <w:bCs w:val="0"/>
                <w:sz w:val="21"/>
                <w:szCs w:val="21"/>
              </w:rPr>
            </w:pPr>
          </w:p>
        </w:tc>
      </w:tr>
      <w:tr w14:paraId="2D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C9E8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40960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0906C5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9AE8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32253C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E5EBB10">
            <w:pPr>
              <w:pStyle w:val="16"/>
              <w:rPr>
                <w:rFonts w:hint="eastAsia" w:ascii="宋体" w:hAnsi="宋体" w:eastAsia="宋体" w:cs="宋体"/>
                <w:b w:val="0"/>
                <w:bCs w:val="0"/>
                <w:sz w:val="21"/>
                <w:szCs w:val="21"/>
              </w:rPr>
            </w:pPr>
          </w:p>
        </w:tc>
      </w:tr>
      <w:tr w14:paraId="09C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B5F1D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477559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103592D">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C69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1E5B37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E27553D">
            <w:pPr>
              <w:pStyle w:val="16"/>
              <w:rPr>
                <w:rFonts w:hint="eastAsia" w:ascii="宋体" w:hAnsi="宋体" w:eastAsia="宋体" w:cs="宋体"/>
                <w:b w:val="0"/>
                <w:bCs w:val="0"/>
                <w:sz w:val="21"/>
                <w:szCs w:val="21"/>
              </w:rPr>
            </w:pPr>
          </w:p>
        </w:tc>
      </w:tr>
      <w:tr w14:paraId="7C4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4070421">
            <w:pPr>
              <w:pStyle w:val="16"/>
              <w:rPr>
                <w:rFonts w:hint="eastAsia" w:ascii="宋体" w:hAnsi="宋体" w:eastAsia="宋体" w:cs="宋体"/>
                <w:b w:val="0"/>
                <w:bCs w:val="0"/>
                <w:sz w:val="21"/>
                <w:szCs w:val="21"/>
              </w:rPr>
            </w:pPr>
          </w:p>
          <w:p w14:paraId="057C12C7">
            <w:pPr>
              <w:pStyle w:val="16"/>
              <w:rPr>
                <w:rFonts w:hint="eastAsia" w:ascii="宋体" w:hAnsi="宋体" w:eastAsia="宋体" w:cs="宋体"/>
                <w:b w:val="0"/>
                <w:bCs w:val="0"/>
                <w:sz w:val="21"/>
                <w:szCs w:val="21"/>
              </w:rPr>
            </w:pPr>
          </w:p>
          <w:p w14:paraId="5450FC14">
            <w:pPr>
              <w:pStyle w:val="16"/>
              <w:rPr>
                <w:rFonts w:hint="eastAsia" w:ascii="宋体" w:hAnsi="宋体" w:eastAsia="宋体" w:cs="宋体"/>
                <w:b w:val="0"/>
                <w:bCs w:val="0"/>
                <w:sz w:val="21"/>
                <w:szCs w:val="21"/>
              </w:rPr>
            </w:pPr>
          </w:p>
          <w:p w14:paraId="4A3C5C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p w14:paraId="2677EA2A">
            <w:pPr>
              <w:pStyle w:val="16"/>
              <w:rPr>
                <w:rFonts w:hint="eastAsia" w:ascii="宋体" w:hAnsi="宋体" w:eastAsia="宋体" w:cs="宋体"/>
                <w:b w:val="0"/>
                <w:bCs w:val="0"/>
                <w:sz w:val="21"/>
                <w:szCs w:val="21"/>
              </w:rPr>
            </w:pPr>
          </w:p>
          <w:p w14:paraId="70A480F6">
            <w:pPr>
              <w:pStyle w:val="16"/>
              <w:rPr>
                <w:rFonts w:hint="eastAsia" w:ascii="宋体" w:hAnsi="宋体" w:eastAsia="宋体" w:cs="宋体"/>
                <w:b w:val="0"/>
                <w:bCs w:val="0"/>
                <w:sz w:val="21"/>
                <w:szCs w:val="21"/>
              </w:rPr>
            </w:pPr>
          </w:p>
          <w:p w14:paraId="047B026E">
            <w:pPr>
              <w:pStyle w:val="16"/>
              <w:rPr>
                <w:rFonts w:hint="eastAsia" w:ascii="宋体" w:hAnsi="宋体" w:eastAsia="宋体" w:cs="宋体"/>
                <w:b w:val="0"/>
                <w:bCs w:val="0"/>
                <w:sz w:val="21"/>
                <w:szCs w:val="21"/>
              </w:rPr>
            </w:pPr>
          </w:p>
          <w:p w14:paraId="44C12F54">
            <w:pPr>
              <w:pStyle w:val="16"/>
              <w:rPr>
                <w:rFonts w:hint="eastAsia" w:ascii="宋体" w:hAnsi="宋体" w:eastAsia="宋体" w:cs="宋体"/>
                <w:b w:val="0"/>
                <w:bCs w:val="0"/>
                <w:sz w:val="21"/>
                <w:szCs w:val="21"/>
              </w:rPr>
            </w:pPr>
          </w:p>
          <w:p w14:paraId="37C32E5E">
            <w:pPr>
              <w:pStyle w:val="16"/>
              <w:rPr>
                <w:rFonts w:hint="eastAsia" w:ascii="宋体" w:hAnsi="宋体" w:eastAsia="宋体" w:cs="宋体"/>
                <w:b w:val="0"/>
                <w:bCs w:val="0"/>
                <w:sz w:val="21"/>
                <w:szCs w:val="21"/>
              </w:rPr>
            </w:pPr>
          </w:p>
          <w:p w14:paraId="07D72FB2">
            <w:pPr>
              <w:pStyle w:val="16"/>
              <w:rPr>
                <w:rFonts w:hint="eastAsia" w:ascii="宋体" w:hAnsi="宋体" w:eastAsia="宋体" w:cs="宋体"/>
                <w:b w:val="0"/>
                <w:bCs w:val="0"/>
                <w:sz w:val="21"/>
                <w:szCs w:val="21"/>
              </w:rPr>
            </w:pPr>
          </w:p>
          <w:p w14:paraId="793B7578">
            <w:pPr>
              <w:pStyle w:val="16"/>
              <w:rPr>
                <w:rFonts w:hint="eastAsia" w:ascii="宋体" w:hAnsi="宋体" w:eastAsia="宋体" w:cs="宋体"/>
                <w:b w:val="0"/>
                <w:bCs w:val="0"/>
                <w:sz w:val="21"/>
                <w:szCs w:val="21"/>
              </w:rPr>
            </w:pPr>
          </w:p>
          <w:p w14:paraId="45D3C2C6">
            <w:pPr>
              <w:pStyle w:val="16"/>
              <w:rPr>
                <w:rFonts w:hint="eastAsia" w:ascii="宋体" w:hAnsi="宋体" w:eastAsia="宋体" w:cs="宋体"/>
                <w:b w:val="0"/>
                <w:bCs w:val="0"/>
                <w:sz w:val="21"/>
                <w:szCs w:val="21"/>
              </w:rPr>
            </w:pPr>
          </w:p>
          <w:p w14:paraId="3BDC776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1DCD1DF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910BC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921C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287D10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65C4170">
            <w:pPr>
              <w:pStyle w:val="16"/>
              <w:rPr>
                <w:rFonts w:hint="eastAsia" w:ascii="宋体" w:hAnsi="宋体" w:eastAsia="宋体" w:cs="宋体"/>
                <w:b w:val="0"/>
                <w:bCs w:val="0"/>
                <w:sz w:val="21"/>
                <w:szCs w:val="21"/>
              </w:rPr>
            </w:pPr>
          </w:p>
        </w:tc>
      </w:tr>
      <w:tr w14:paraId="7F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026E3F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742B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195E6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BB9E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1F39FA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9D3199E">
            <w:pPr>
              <w:pStyle w:val="16"/>
              <w:rPr>
                <w:rFonts w:hint="eastAsia" w:ascii="宋体" w:hAnsi="宋体" w:eastAsia="宋体" w:cs="宋体"/>
                <w:b w:val="0"/>
                <w:bCs w:val="0"/>
                <w:sz w:val="21"/>
                <w:szCs w:val="21"/>
              </w:rPr>
            </w:pPr>
          </w:p>
        </w:tc>
      </w:tr>
      <w:tr w14:paraId="13E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FE7B4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6B1B0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1F9B4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D81801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399ACC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006122A">
            <w:pPr>
              <w:pStyle w:val="16"/>
              <w:rPr>
                <w:rFonts w:hint="eastAsia" w:ascii="宋体" w:hAnsi="宋体" w:eastAsia="宋体" w:cs="宋体"/>
                <w:b w:val="0"/>
                <w:bCs w:val="0"/>
                <w:sz w:val="21"/>
                <w:szCs w:val="21"/>
              </w:rPr>
            </w:pPr>
          </w:p>
        </w:tc>
      </w:tr>
      <w:tr w14:paraId="553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C44B1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5E9F6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AB347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1586F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7F582E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9F80932">
            <w:pPr>
              <w:pStyle w:val="16"/>
              <w:rPr>
                <w:rFonts w:hint="eastAsia" w:ascii="宋体" w:hAnsi="宋体" w:eastAsia="宋体" w:cs="宋体"/>
                <w:b w:val="0"/>
                <w:bCs w:val="0"/>
                <w:sz w:val="21"/>
                <w:szCs w:val="21"/>
              </w:rPr>
            </w:pPr>
          </w:p>
        </w:tc>
      </w:tr>
      <w:tr w14:paraId="048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1D37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EBAB5C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87B3D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B9597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36E6663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B3AB0E2">
            <w:pPr>
              <w:pStyle w:val="16"/>
              <w:rPr>
                <w:rFonts w:hint="eastAsia" w:ascii="宋体" w:hAnsi="宋体" w:eastAsia="宋体" w:cs="宋体"/>
                <w:b w:val="0"/>
                <w:bCs w:val="0"/>
                <w:sz w:val="21"/>
                <w:szCs w:val="21"/>
              </w:rPr>
            </w:pPr>
          </w:p>
        </w:tc>
      </w:tr>
      <w:tr w14:paraId="7D3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F52A1E">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47397E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A2EA0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C75B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115CB26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C92DB3B">
            <w:pPr>
              <w:pStyle w:val="16"/>
              <w:rPr>
                <w:rFonts w:hint="eastAsia" w:ascii="宋体" w:hAnsi="宋体" w:eastAsia="宋体" w:cs="宋体"/>
                <w:b w:val="0"/>
                <w:bCs w:val="0"/>
                <w:sz w:val="21"/>
                <w:szCs w:val="21"/>
              </w:rPr>
            </w:pPr>
          </w:p>
        </w:tc>
      </w:tr>
      <w:tr w14:paraId="6B35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4310A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733DD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688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1A982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219FCAE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DE1C40C">
            <w:pPr>
              <w:pStyle w:val="16"/>
              <w:rPr>
                <w:rFonts w:hint="eastAsia" w:ascii="宋体" w:hAnsi="宋体" w:eastAsia="宋体" w:cs="宋体"/>
                <w:b w:val="0"/>
                <w:bCs w:val="0"/>
                <w:sz w:val="21"/>
                <w:szCs w:val="21"/>
              </w:rPr>
            </w:pPr>
          </w:p>
        </w:tc>
      </w:tr>
      <w:tr w14:paraId="18C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5757D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7BCF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1A4B1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11C4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90E397D">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A3A537">
            <w:pPr>
              <w:pStyle w:val="16"/>
              <w:rPr>
                <w:rFonts w:hint="eastAsia" w:ascii="宋体" w:hAnsi="宋体" w:eastAsia="宋体" w:cs="宋体"/>
                <w:b w:val="0"/>
                <w:bCs w:val="0"/>
                <w:sz w:val="21"/>
                <w:szCs w:val="21"/>
              </w:rPr>
            </w:pPr>
          </w:p>
        </w:tc>
      </w:tr>
      <w:tr w14:paraId="1F3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A8883">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3441D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6D48A2">
            <w:pPr>
              <w:pStyle w:val="16"/>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92F5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03F11E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AAED49">
            <w:pPr>
              <w:pStyle w:val="16"/>
              <w:rPr>
                <w:rFonts w:hint="eastAsia" w:ascii="宋体" w:hAnsi="宋体" w:eastAsia="宋体" w:cs="宋体"/>
                <w:b w:val="0"/>
                <w:bCs w:val="0"/>
                <w:sz w:val="21"/>
                <w:szCs w:val="21"/>
              </w:rPr>
            </w:pPr>
          </w:p>
        </w:tc>
      </w:tr>
      <w:tr w14:paraId="350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2CAF8B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39BA91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C667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8A69D7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3AEE5CA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F6FA917">
            <w:pPr>
              <w:pStyle w:val="16"/>
              <w:rPr>
                <w:rFonts w:hint="eastAsia" w:ascii="宋体" w:hAnsi="宋体" w:eastAsia="宋体" w:cs="宋体"/>
                <w:b w:val="0"/>
                <w:bCs w:val="0"/>
                <w:sz w:val="21"/>
                <w:szCs w:val="21"/>
              </w:rPr>
            </w:pPr>
          </w:p>
        </w:tc>
      </w:tr>
      <w:tr w14:paraId="39E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4F4FB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2A1D4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5159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93F9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683EA3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936FFB">
            <w:pPr>
              <w:pStyle w:val="16"/>
              <w:rPr>
                <w:rFonts w:hint="eastAsia" w:ascii="宋体" w:hAnsi="宋体" w:eastAsia="宋体" w:cs="宋体"/>
                <w:b w:val="0"/>
                <w:bCs w:val="0"/>
                <w:sz w:val="21"/>
                <w:szCs w:val="21"/>
              </w:rPr>
            </w:pPr>
          </w:p>
        </w:tc>
      </w:tr>
      <w:tr w14:paraId="4B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CA56B5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A93E3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B46A7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FF9D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76546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391CF6">
            <w:pPr>
              <w:pStyle w:val="16"/>
              <w:rPr>
                <w:rFonts w:hint="eastAsia" w:ascii="宋体" w:hAnsi="宋体" w:eastAsia="宋体" w:cs="宋体"/>
                <w:b w:val="0"/>
                <w:bCs w:val="0"/>
                <w:sz w:val="21"/>
                <w:szCs w:val="21"/>
              </w:rPr>
            </w:pPr>
          </w:p>
        </w:tc>
      </w:tr>
      <w:tr w14:paraId="0085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36388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2C738E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2E71E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583AB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2761A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7D314BD">
            <w:pPr>
              <w:pStyle w:val="16"/>
              <w:rPr>
                <w:rFonts w:hint="eastAsia" w:ascii="宋体" w:hAnsi="宋体" w:eastAsia="宋体" w:cs="宋体"/>
                <w:b w:val="0"/>
                <w:bCs w:val="0"/>
                <w:sz w:val="21"/>
                <w:szCs w:val="21"/>
              </w:rPr>
            </w:pPr>
          </w:p>
        </w:tc>
      </w:tr>
      <w:tr w14:paraId="175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51541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D29CC6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F7C94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106F3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5A3E70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1A080F">
            <w:pPr>
              <w:pStyle w:val="16"/>
              <w:rPr>
                <w:rFonts w:hint="eastAsia" w:ascii="宋体" w:hAnsi="宋体" w:eastAsia="宋体" w:cs="宋体"/>
                <w:b w:val="0"/>
                <w:bCs w:val="0"/>
                <w:sz w:val="21"/>
                <w:szCs w:val="21"/>
              </w:rPr>
            </w:pPr>
          </w:p>
        </w:tc>
      </w:tr>
      <w:tr w14:paraId="3F7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9B4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12D4E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00D38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35A32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C40C85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C78BC04">
            <w:pPr>
              <w:pStyle w:val="16"/>
              <w:rPr>
                <w:rFonts w:hint="eastAsia" w:ascii="宋体" w:hAnsi="宋体" w:eastAsia="宋体" w:cs="宋体"/>
                <w:b w:val="0"/>
                <w:bCs w:val="0"/>
                <w:sz w:val="21"/>
                <w:szCs w:val="21"/>
              </w:rPr>
            </w:pPr>
          </w:p>
        </w:tc>
      </w:tr>
      <w:tr w14:paraId="54F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39EED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6893A9E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41D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44041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5C5652F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84A1022">
            <w:pPr>
              <w:pStyle w:val="16"/>
              <w:rPr>
                <w:rFonts w:hint="eastAsia" w:ascii="宋体" w:hAnsi="宋体" w:eastAsia="宋体" w:cs="宋体"/>
                <w:b w:val="0"/>
                <w:bCs w:val="0"/>
                <w:sz w:val="21"/>
                <w:szCs w:val="21"/>
              </w:rPr>
            </w:pPr>
          </w:p>
        </w:tc>
      </w:tr>
      <w:tr w14:paraId="7FD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C8E6C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E1CDC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54CE1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A784B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D77712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D951D9B">
            <w:pPr>
              <w:pStyle w:val="16"/>
              <w:rPr>
                <w:rFonts w:hint="eastAsia" w:ascii="宋体" w:hAnsi="宋体" w:eastAsia="宋体" w:cs="宋体"/>
                <w:b w:val="0"/>
                <w:bCs w:val="0"/>
                <w:sz w:val="21"/>
                <w:szCs w:val="21"/>
              </w:rPr>
            </w:pPr>
          </w:p>
        </w:tc>
      </w:tr>
      <w:tr w14:paraId="0FCE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7E2CC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D6742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8C5B3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B42EC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B7ADE5C">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76A4AB">
            <w:pPr>
              <w:pStyle w:val="16"/>
              <w:rPr>
                <w:rFonts w:hint="eastAsia" w:ascii="宋体" w:hAnsi="宋体" w:eastAsia="宋体" w:cs="宋体"/>
                <w:b w:val="0"/>
                <w:bCs w:val="0"/>
                <w:sz w:val="21"/>
                <w:szCs w:val="21"/>
              </w:rPr>
            </w:pPr>
          </w:p>
        </w:tc>
      </w:tr>
      <w:tr w14:paraId="653A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85B93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9E203B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B56AA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A4BA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F015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F2F45F">
            <w:pPr>
              <w:pStyle w:val="16"/>
              <w:rPr>
                <w:rFonts w:hint="eastAsia" w:ascii="宋体" w:hAnsi="宋体" w:eastAsia="宋体" w:cs="宋体"/>
                <w:b w:val="0"/>
                <w:bCs w:val="0"/>
                <w:sz w:val="21"/>
                <w:szCs w:val="21"/>
              </w:rPr>
            </w:pPr>
          </w:p>
        </w:tc>
      </w:tr>
      <w:tr w14:paraId="00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931D7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798014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37F0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8AC454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CF513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49890B9">
            <w:pPr>
              <w:pStyle w:val="16"/>
              <w:rPr>
                <w:rFonts w:hint="eastAsia" w:ascii="宋体" w:hAnsi="宋体" w:eastAsia="宋体" w:cs="宋体"/>
                <w:b w:val="0"/>
                <w:bCs w:val="0"/>
                <w:sz w:val="21"/>
                <w:szCs w:val="21"/>
              </w:rPr>
            </w:pPr>
          </w:p>
        </w:tc>
      </w:tr>
      <w:tr w14:paraId="025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377DA1">
            <w:pPr>
              <w:pStyle w:val="16"/>
              <w:rPr>
                <w:rFonts w:hint="eastAsia" w:ascii="宋体" w:hAnsi="宋体" w:eastAsia="宋体" w:cs="宋体"/>
                <w:b w:val="0"/>
                <w:bCs w:val="0"/>
                <w:sz w:val="21"/>
                <w:szCs w:val="21"/>
              </w:rPr>
            </w:pPr>
          </w:p>
          <w:p w14:paraId="44DBFE47">
            <w:pPr>
              <w:pStyle w:val="16"/>
              <w:rPr>
                <w:rFonts w:hint="eastAsia" w:ascii="宋体" w:hAnsi="宋体" w:eastAsia="宋体" w:cs="宋体"/>
                <w:b w:val="0"/>
                <w:bCs w:val="0"/>
                <w:sz w:val="21"/>
                <w:szCs w:val="21"/>
              </w:rPr>
            </w:pPr>
          </w:p>
          <w:p w14:paraId="12F677E5">
            <w:pPr>
              <w:pStyle w:val="16"/>
              <w:rPr>
                <w:rFonts w:hint="eastAsia" w:ascii="宋体" w:hAnsi="宋体" w:eastAsia="宋体" w:cs="宋体"/>
                <w:b w:val="0"/>
                <w:bCs w:val="0"/>
                <w:sz w:val="21"/>
                <w:szCs w:val="21"/>
              </w:rPr>
            </w:pPr>
          </w:p>
          <w:p w14:paraId="15458CC3">
            <w:pPr>
              <w:pStyle w:val="16"/>
              <w:rPr>
                <w:rFonts w:hint="eastAsia" w:ascii="宋体" w:hAnsi="宋体" w:eastAsia="宋体" w:cs="宋体"/>
                <w:b w:val="0"/>
                <w:bCs w:val="0"/>
                <w:sz w:val="21"/>
                <w:szCs w:val="21"/>
              </w:rPr>
            </w:pPr>
          </w:p>
          <w:p w14:paraId="483D2F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5258617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p w14:paraId="2997D440">
            <w:pPr>
              <w:pStyle w:val="16"/>
              <w:rPr>
                <w:rFonts w:hint="eastAsia" w:ascii="宋体" w:hAnsi="宋体" w:eastAsia="宋体" w:cs="宋体"/>
                <w:b w:val="0"/>
                <w:bCs w:val="0"/>
                <w:sz w:val="21"/>
                <w:szCs w:val="21"/>
              </w:rPr>
            </w:pPr>
          </w:p>
          <w:p w14:paraId="54404B3C">
            <w:pPr>
              <w:pStyle w:val="16"/>
              <w:rPr>
                <w:rFonts w:hint="eastAsia" w:ascii="宋体" w:hAnsi="宋体" w:eastAsia="宋体" w:cs="宋体"/>
                <w:b w:val="0"/>
                <w:bCs w:val="0"/>
                <w:sz w:val="21"/>
                <w:szCs w:val="21"/>
              </w:rPr>
            </w:pPr>
          </w:p>
          <w:p w14:paraId="26B62C65">
            <w:pPr>
              <w:pStyle w:val="16"/>
              <w:rPr>
                <w:rFonts w:hint="eastAsia" w:ascii="宋体" w:hAnsi="宋体" w:eastAsia="宋体" w:cs="宋体"/>
                <w:b w:val="0"/>
                <w:bCs w:val="0"/>
                <w:sz w:val="21"/>
                <w:szCs w:val="21"/>
              </w:rPr>
            </w:pPr>
          </w:p>
          <w:p w14:paraId="207F83CB">
            <w:pPr>
              <w:pStyle w:val="16"/>
              <w:rPr>
                <w:rFonts w:hint="eastAsia" w:ascii="宋体" w:hAnsi="宋体" w:eastAsia="宋体" w:cs="宋体"/>
                <w:b w:val="0"/>
                <w:bCs w:val="0"/>
                <w:sz w:val="21"/>
                <w:szCs w:val="21"/>
              </w:rPr>
            </w:pPr>
          </w:p>
          <w:p w14:paraId="01648A94">
            <w:pPr>
              <w:pStyle w:val="16"/>
              <w:rPr>
                <w:rFonts w:hint="eastAsia" w:ascii="宋体" w:hAnsi="宋体" w:eastAsia="宋体" w:cs="宋体"/>
                <w:b w:val="0"/>
                <w:bCs w:val="0"/>
                <w:sz w:val="21"/>
                <w:szCs w:val="21"/>
              </w:rPr>
            </w:pPr>
          </w:p>
          <w:p w14:paraId="1F4F1688">
            <w:pPr>
              <w:pStyle w:val="16"/>
              <w:rPr>
                <w:rFonts w:hint="eastAsia" w:ascii="宋体" w:hAnsi="宋体" w:eastAsia="宋体" w:cs="宋体"/>
                <w:b w:val="0"/>
                <w:bCs w:val="0"/>
                <w:sz w:val="21"/>
                <w:szCs w:val="21"/>
              </w:rPr>
            </w:pPr>
          </w:p>
          <w:p w14:paraId="353E3611">
            <w:pPr>
              <w:pStyle w:val="16"/>
              <w:rPr>
                <w:rFonts w:hint="eastAsia" w:ascii="宋体" w:hAnsi="宋体" w:eastAsia="宋体" w:cs="宋体"/>
                <w:b w:val="0"/>
                <w:bCs w:val="0"/>
                <w:sz w:val="21"/>
                <w:szCs w:val="21"/>
              </w:rPr>
            </w:pPr>
          </w:p>
          <w:p w14:paraId="2282AC24">
            <w:pPr>
              <w:pStyle w:val="16"/>
              <w:rPr>
                <w:rFonts w:hint="eastAsia" w:ascii="宋体" w:hAnsi="宋体" w:eastAsia="宋体" w:cs="宋体"/>
                <w:b w:val="0"/>
                <w:bCs w:val="0"/>
                <w:sz w:val="21"/>
                <w:szCs w:val="21"/>
              </w:rPr>
            </w:pPr>
          </w:p>
          <w:p w14:paraId="417C8744">
            <w:pPr>
              <w:pStyle w:val="16"/>
              <w:rPr>
                <w:rFonts w:hint="eastAsia" w:ascii="宋体" w:hAnsi="宋体" w:eastAsia="宋体" w:cs="宋体"/>
                <w:b w:val="0"/>
                <w:bCs w:val="0"/>
                <w:sz w:val="21"/>
                <w:szCs w:val="21"/>
              </w:rPr>
            </w:pPr>
          </w:p>
          <w:p w14:paraId="6FC44A63">
            <w:pPr>
              <w:pStyle w:val="16"/>
              <w:rPr>
                <w:rFonts w:hint="eastAsia" w:ascii="宋体" w:hAnsi="宋体" w:eastAsia="宋体" w:cs="宋体"/>
                <w:b w:val="0"/>
                <w:bCs w:val="0"/>
                <w:sz w:val="21"/>
                <w:szCs w:val="21"/>
              </w:rPr>
            </w:pPr>
          </w:p>
          <w:p w14:paraId="55A8A989">
            <w:pPr>
              <w:pStyle w:val="16"/>
              <w:rPr>
                <w:rFonts w:hint="eastAsia" w:ascii="宋体" w:hAnsi="宋体" w:eastAsia="宋体" w:cs="宋体"/>
                <w:b w:val="0"/>
                <w:bCs w:val="0"/>
                <w:sz w:val="21"/>
                <w:szCs w:val="21"/>
              </w:rPr>
            </w:pPr>
          </w:p>
          <w:p w14:paraId="1E1C063A">
            <w:pPr>
              <w:pStyle w:val="16"/>
              <w:rPr>
                <w:rFonts w:hint="eastAsia" w:ascii="宋体" w:hAnsi="宋体" w:eastAsia="宋体" w:cs="宋体"/>
                <w:b w:val="0"/>
                <w:bCs w:val="0"/>
                <w:sz w:val="21"/>
                <w:szCs w:val="21"/>
              </w:rPr>
            </w:pPr>
          </w:p>
          <w:p w14:paraId="3EDCE21E">
            <w:pPr>
              <w:pStyle w:val="16"/>
              <w:rPr>
                <w:rFonts w:hint="eastAsia" w:ascii="宋体" w:hAnsi="宋体" w:eastAsia="宋体" w:cs="宋体"/>
                <w:b w:val="0"/>
                <w:bCs w:val="0"/>
                <w:sz w:val="21"/>
                <w:szCs w:val="21"/>
              </w:rPr>
            </w:pPr>
          </w:p>
          <w:p w14:paraId="11AB050C">
            <w:pPr>
              <w:pStyle w:val="16"/>
              <w:rPr>
                <w:rFonts w:hint="eastAsia" w:ascii="宋体" w:hAnsi="宋体" w:eastAsia="宋体" w:cs="宋体"/>
                <w:b w:val="0"/>
                <w:bCs w:val="0"/>
                <w:sz w:val="21"/>
                <w:szCs w:val="21"/>
              </w:rPr>
            </w:pPr>
          </w:p>
          <w:p w14:paraId="0EE9FA5A">
            <w:pPr>
              <w:pStyle w:val="16"/>
              <w:rPr>
                <w:rFonts w:hint="eastAsia" w:ascii="宋体" w:hAnsi="宋体" w:eastAsia="宋体" w:cs="宋体"/>
                <w:b w:val="0"/>
                <w:bCs w:val="0"/>
                <w:sz w:val="21"/>
                <w:szCs w:val="21"/>
              </w:rPr>
            </w:pPr>
          </w:p>
          <w:p w14:paraId="3D01DEE8">
            <w:pPr>
              <w:pStyle w:val="16"/>
              <w:rPr>
                <w:rFonts w:hint="eastAsia" w:ascii="宋体" w:hAnsi="宋体" w:eastAsia="宋体" w:cs="宋体"/>
                <w:b w:val="0"/>
                <w:bCs w:val="0"/>
                <w:sz w:val="21"/>
                <w:szCs w:val="21"/>
              </w:rPr>
            </w:pPr>
          </w:p>
          <w:p w14:paraId="583D803A">
            <w:pPr>
              <w:pStyle w:val="16"/>
              <w:rPr>
                <w:rFonts w:hint="eastAsia" w:ascii="宋体" w:hAnsi="宋体" w:eastAsia="宋体" w:cs="宋体"/>
                <w:b w:val="0"/>
                <w:bCs w:val="0"/>
                <w:sz w:val="21"/>
                <w:szCs w:val="21"/>
              </w:rPr>
            </w:pPr>
          </w:p>
          <w:p w14:paraId="4F768CFF">
            <w:pPr>
              <w:pStyle w:val="16"/>
              <w:rPr>
                <w:rFonts w:hint="eastAsia" w:ascii="宋体" w:hAnsi="宋体" w:eastAsia="宋体" w:cs="宋体"/>
                <w:b w:val="0"/>
                <w:bCs w:val="0"/>
                <w:sz w:val="21"/>
                <w:szCs w:val="21"/>
              </w:rPr>
            </w:pPr>
          </w:p>
          <w:p w14:paraId="3E5A5957">
            <w:pPr>
              <w:pStyle w:val="16"/>
              <w:rPr>
                <w:rFonts w:hint="eastAsia" w:ascii="宋体" w:hAnsi="宋体" w:eastAsia="宋体" w:cs="宋体"/>
                <w:b w:val="0"/>
                <w:bCs w:val="0"/>
                <w:sz w:val="21"/>
                <w:szCs w:val="21"/>
              </w:rPr>
            </w:pPr>
          </w:p>
          <w:p w14:paraId="2DC83BA9">
            <w:pPr>
              <w:pStyle w:val="16"/>
              <w:rPr>
                <w:rFonts w:hint="eastAsia" w:ascii="宋体" w:hAnsi="宋体" w:eastAsia="宋体" w:cs="宋体"/>
                <w:b w:val="0"/>
                <w:bCs w:val="0"/>
                <w:sz w:val="21"/>
                <w:szCs w:val="21"/>
              </w:rPr>
            </w:pPr>
          </w:p>
          <w:p w14:paraId="63E8C671">
            <w:pPr>
              <w:pStyle w:val="16"/>
              <w:rPr>
                <w:rFonts w:hint="eastAsia" w:ascii="宋体" w:hAnsi="宋体" w:eastAsia="宋体" w:cs="宋体"/>
                <w:b w:val="0"/>
                <w:bCs w:val="0"/>
                <w:sz w:val="21"/>
                <w:szCs w:val="21"/>
              </w:rPr>
            </w:pPr>
          </w:p>
          <w:p w14:paraId="452F6473">
            <w:pPr>
              <w:pStyle w:val="16"/>
              <w:rPr>
                <w:rFonts w:hint="eastAsia" w:ascii="宋体" w:hAnsi="宋体" w:eastAsia="宋体" w:cs="宋体"/>
                <w:b w:val="0"/>
                <w:bCs w:val="0"/>
                <w:sz w:val="21"/>
                <w:szCs w:val="21"/>
              </w:rPr>
            </w:pPr>
          </w:p>
          <w:p w14:paraId="7B69CD9F">
            <w:pPr>
              <w:pStyle w:val="16"/>
              <w:rPr>
                <w:rFonts w:hint="eastAsia" w:ascii="宋体" w:hAnsi="宋体" w:eastAsia="宋体" w:cs="宋体"/>
                <w:b w:val="0"/>
                <w:bCs w:val="0"/>
                <w:sz w:val="21"/>
                <w:szCs w:val="21"/>
              </w:rPr>
            </w:pPr>
          </w:p>
          <w:p w14:paraId="10E22D5E">
            <w:pPr>
              <w:pStyle w:val="16"/>
              <w:rPr>
                <w:rFonts w:hint="eastAsia" w:ascii="宋体" w:hAnsi="宋体" w:eastAsia="宋体" w:cs="宋体"/>
                <w:b w:val="0"/>
                <w:bCs w:val="0"/>
                <w:sz w:val="21"/>
                <w:szCs w:val="21"/>
              </w:rPr>
            </w:pPr>
          </w:p>
          <w:p w14:paraId="4B2477D6">
            <w:pPr>
              <w:pStyle w:val="16"/>
              <w:rPr>
                <w:rFonts w:hint="eastAsia" w:ascii="宋体" w:hAnsi="宋体" w:eastAsia="宋体" w:cs="宋体"/>
                <w:b w:val="0"/>
                <w:bCs w:val="0"/>
                <w:sz w:val="21"/>
                <w:szCs w:val="21"/>
              </w:rPr>
            </w:pPr>
          </w:p>
          <w:p w14:paraId="33F0E7A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375A684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02210BE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59FA7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8BB11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7475C2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B1A43E9">
            <w:pPr>
              <w:pStyle w:val="16"/>
              <w:rPr>
                <w:rFonts w:hint="eastAsia" w:ascii="宋体" w:hAnsi="宋体" w:eastAsia="宋体" w:cs="宋体"/>
                <w:b w:val="0"/>
                <w:bCs w:val="0"/>
                <w:sz w:val="21"/>
                <w:szCs w:val="21"/>
              </w:rPr>
            </w:pPr>
          </w:p>
        </w:tc>
      </w:tr>
      <w:tr w14:paraId="6A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F9D4B">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AAE28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25F37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F2F4BE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E6C583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F65F43C">
            <w:pPr>
              <w:pStyle w:val="16"/>
              <w:rPr>
                <w:rFonts w:hint="eastAsia" w:ascii="宋体" w:hAnsi="宋体" w:eastAsia="宋体" w:cs="宋体"/>
                <w:b w:val="0"/>
                <w:bCs w:val="0"/>
                <w:sz w:val="21"/>
                <w:szCs w:val="21"/>
              </w:rPr>
            </w:pPr>
          </w:p>
        </w:tc>
      </w:tr>
      <w:tr w14:paraId="26D1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316A6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3B40DE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A812C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11AB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3AA59E76">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F82245">
            <w:pPr>
              <w:pStyle w:val="16"/>
              <w:rPr>
                <w:rFonts w:hint="eastAsia" w:ascii="宋体" w:hAnsi="宋体" w:eastAsia="宋体" w:cs="宋体"/>
                <w:b w:val="0"/>
                <w:bCs w:val="0"/>
                <w:sz w:val="21"/>
                <w:szCs w:val="21"/>
              </w:rPr>
            </w:pPr>
          </w:p>
        </w:tc>
      </w:tr>
      <w:tr w14:paraId="155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C3298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A8BAF3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D286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D569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5A50A0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3D8C79">
            <w:pPr>
              <w:pStyle w:val="16"/>
              <w:rPr>
                <w:rFonts w:hint="eastAsia" w:ascii="宋体" w:hAnsi="宋体" w:eastAsia="宋体" w:cs="宋体"/>
                <w:b w:val="0"/>
                <w:bCs w:val="0"/>
                <w:sz w:val="21"/>
                <w:szCs w:val="21"/>
              </w:rPr>
            </w:pPr>
          </w:p>
        </w:tc>
      </w:tr>
      <w:tr w14:paraId="29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88887D">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F1B8FB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310B9B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48375E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540B501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2DDF4D3">
            <w:pPr>
              <w:pStyle w:val="16"/>
              <w:rPr>
                <w:rFonts w:hint="eastAsia" w:ascii="宋体" w:hAnsi="宋体" w:eastAsia="宋体" w:cs="宋体"/>
                <w:b w:val="0"/>
                <w:bCs w:val="0"/>
                <w:sz w:val="21"/>
                <w:szCs w:val="21"/>
              </w:rPr>
            </w:pPr>
          </w:p>
        </w:tc>
      </w:tr>
      <w:tr w14:paraId="2F1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245D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296599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38AD6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6217A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03DF82F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CE6C699">
            <w:pPr>
              <w:pStyle w:val="16"/>
              <w:rPr>
                <w:rFonts w:hint="eastAsia" w:ascii="宋体" w:hAnsi="宋体" w:eastAsia="宋体" w:cs="宋体"/>
                <w:b w:val="0"/>
                <w:bCs w:val="0"/>
                <w:sz w:val="21"/>
                <w:szCs w:val="21"/>
              </w:rPr>
            </w:pPr>
          </w:p>
        </w:tc>
      </w:tr>
      <w:tr w14:paraId="5B6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5E33A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DC1A09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F96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60A6D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8F2D79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861CD8E">
            <w:pPr>
              <w:pStyle w:val="16"/>
              <w:rPr>
                <w:rFonts w:hint="eastAsia" w:ascii="宋体" w:hAnsi="宋体" w:eastAsia="宋体" w:cs="宋体"/>
                <w:b w:val="0"/>
                <w:bCs w:val="0"/>
                <w:sz w:val="21"/>
                <w:szCs w:val="21"/>
              </w:rPr>
            </w:pPr>
          </w:p>
        </w:tc>
      </w:tr>
      <w:tr w14:paraId="0FA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F7C5B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B1B74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7AC87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钢丝绳穿绕方式、润</w:t>
            </w:r>
          </w:p>
          <w:p w14:paraId="6673FCA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CB9D5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1C20340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B1A35D9">
            <w:pPr>
              <w:pStyle w:val="16"/>
              <w:rPr>
                <w:rFonts w:hint="eastAsia" w:ascii="宋体" w:hAnsi="宋体" w:eastAsia="宋体" w:cs="宋体"/>
                <w:b w:val="0"/>
                <w:bCs w:val="0"/>
                <w:sz w:val="21"/>
                <w:szCs w:val="21"/>
              </w:rPr>
            </w:pPr>
          </w:p>
        </w:tc>
      </w:tr>
      <w:tr w14:paraId="0DA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086E7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70845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B827E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9E9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68B04E2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5F7676F">
            <w:pPr>
              <w:pStyle w:val="16"/>
              <w:rPr>
                <w:rFonts w:hint="eastAsia" w:ascii="宋体" w:hAnsi="宋体" w:eastAsia="宋体" w:cs="宋体"/>
                <w:b w:val="0"/>
                <w:bCs w:val="0"/>
                <w:sz w:val="21"/>
                <w:szCs w:val="21"/>
              </w:rPr>
            </w:pPr>
          </w:p>
        </w:tc>
      </w:tr>
      <w:tr w14:paraId="611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23584A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C2F7ED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2E2F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4584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4286F6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1FC114E">
            <w:pPr>
              <w:pStyle w:val="16"/>
              <w:rPr>
                <w:rFonts w:hint="eastAsia" w:ascii="宋体" w:hAnsi="宋体" w:eastAsia="宋体" w:cs="宋体"/>
                <w:b w:val="0"/>
                <w:bCs w:val="0"/>
                <w:sz w:val="21"/>
                <w:szCs w:val="21"/>
              </w:rPr>
            </w:pPr>
          </w:p>
        </w:tc>
      </w:tr>
      <w:tr w14:paraId="31C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CAA2DE">
            <w:pPr>
              <w:pStyle w:val="16"/>
              <w:rPr>
                <w:rFonts w:hint="eastAsia" w:ascii="宋体" w:hAnsi="宋体" w:eastAsia="宋体" w:cs="宋体"/>
                <w:b w:val="0"/>
                <w:bCs w:val="0"/>
                <w:sz w:val="21"/>
                <w:szCs w:val="21"/>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6130EA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4159425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C32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C1892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5322B8C">
            <w:pPr>
              <w:pStyle w:val="16"/>
              <w:rPr>
                <w:rFonts w:hint="eastAsia" w:ascii="宋体" w:hAnsi="宋体" w:eastAsia="宋体" w:cs="宋体"/>
                <w:b w:val="0"/>
                <w:bCs w:val="0"/>
                <w:sz w:val="21"/>
                <w:szCs w:val="21"/>
              </w:rPr>
            </w:pPr>
          </w:p>
        </w:tc>
      </w:tr>
      <w:tr w14:paraId="72E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76DD4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56848C1">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D236435">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EF4D5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5D86C12">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007DEF">
            <w:pPr>
              <w:pStyle w:val="16"/>
              <w:rPr>
                <w:rFonts w:hint="eastAsia" w:ascii="宋体" w:hAnsi="宋体" w:eastAsia="宋体" w:cs="宋体"/>
                <w:b w:val="0"/>
                <w:bCs w:val="0"/>
                <w:sz w:val="21"/>
                <w:szCs w:val="21"/>
              </w:rPr>
            </w:pPr>
          </w:p>
        </w:tc>
      </w:tr>
      <w:tr w14:paraId="35E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EE3F4BE">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6C56737">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54B0F622">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D44F0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3896F464">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E3DB4B">
            <w:pPr>
              <w:pStyle w:val="16"/>
              <w:rPr>
                <w:rFonts w:hint="eastAsia" w:ascii="宋体" w:hAnsi="宋体" w:eastAsia="宋体" w:cs="宋体"/>
                <w:b w:val="0"/>
                <w:bCs w:val="0"/>
                <w:sz w:val="21"/>
                <w:szCs w:val="21"/>
              </w:rPr>
            </w:pPr>
          </w:p>
        </w:tc>
      </w:tr>
      <w:tr w14:paraId="2F7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72D305">
            <w:pPr>
              <w:pStyle w:val="16"/>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50159CF">
            <w:pPr>
              <w:pStyle w:val="16"/>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7F1E4F6">
            <w:pPr>
              <w:pStyle w:val="16"/>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E4AFC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59B224AE">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B1685E">
            <w:pPr>
              <w:pStyle w:val="16"/>
              <w:rPr>
                <w:rFonts w:hint="eastAsia" w:ascii="宋体" w:hAnsi="宋体" w:eastAsia="宋体" w:cs="宋体"/>
                <w:b w:val="0"/>
                <w:bCs w:val="0"/>
                <w:sz w:val="21"/>
                <w:szCs w:val="21"/>
              </w:rPr>
            </w:pPr>
          </w:p>
        </w:tc>
      </w:tr>
      <w:tr w14:paraId="62B4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80300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36FE50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5076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0E23C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763DEE95">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E0977E">
            <w:pPr>
              <w:pStyle w:val="16"/>
              <w:rPr>
                <w:rFonts w:hint="eastAsia" w:ascii="宋体" w:hAnsi="宋体" w:eastAsia="宋体" w:cs="宋体"/>
                <w:b w:val="0"/>
                <w:bCs w:val="0"/>
                <w:sz w:val="21"/>
                <w:szCs w:val="21"/>
              </w:rPr>
            </w:pPr>
          </w:p>
        </w:tc>
      </w:tr>
      <w:tr w14:paraId="0F9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7DD12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5F6C83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07F3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19859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1516A4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8FC8183">
            <w:pPr>
              <w:pStyle w:val="16"/>
              <w:rPr>
                <w:rFonts w:hint="eastAsia" w:ascii="宋体" w:hAnsi="宋体" w:eastAsia="宋体" w:cs="宋体"/>
                <w:b w:val="0"/>
                <w:bCs w:val="0"/>
                <w:sz w:val="21"/>
                <w:szCs w:val="21"/>
              </w:rPr>
            </w:pPr>
          </w:p>
        </w:tc>
      </w:tr>
      <w:tr w14:paraId="502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4AFC1">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9AC4E3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4BBD4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F8F9E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21BBA3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7E7FE2D">
            <w:pPr>
              <w:pStyle w:val="16"/>
              <w:rPr>
                <w:rFonts w:hint="eastAsia" w:ascii="宋体" w:hAnsi="宋体" w:eastAsia="宋体" w:cs="宋体"/>
                <w:b w:val="0"/>
                <w:bCs w:val="0"/>
                <w:sz w:val="21"/>
                <w:szCs w:val="21"/>
              </w:rPr>
            </w:pPr>
          </w:p>
        </w:tc>
      </w:tr>
      <w:tr w14:paraId="0E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EA912F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2016181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A9A37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0C95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2F74BC8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3C9ED21">
            <w:pPr>
              <w:pStyle w:val="16"/>
              <w:rPr>
                <w:rFonts w:hint="eastAsia" w:ascii="宋体" w:hAnsi="宋体" w:eastAsia="宋体" w:cs="宋体"/>
                <w:b w:val="0"/>
                <w:bCs w:val="0"/>
                <w:sz w:val="21"/>
                <w:szCs w:val="21"/>
              </w:rPr>
            </w:pPr>
          </w:p>
        </w:tc>
      </w:tr>
      <w:tr w14:paraId="283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A0062C">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16E12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8336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6EB4F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0BCD312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BE460E4">
            <w:pPr>
              <w:pStyle w:val="16"/>
              <w:rPr>
                <w:rFonts w:hint="eastAsia" w:ascii="宋体" w:hAnsi="宋体" w:eastAsia="宋体" w:cs="宋体"/>
                <w:b w:val="0"/>
                <w:bCs w:val="0"/>
                <w:sz w:val="21"/>
                <w:szCs w:val="21"/>
              </w:rPr>
            </w:pPr>
          </w:p>
        </w:tc>
      </w:tr>
      <w:tr w14:paraId="214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282C4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30AD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EA0F17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A3350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19DEB6C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FF8F39">
            <w:pPr>
              <w:pStyle w:val="16"/>
              <w:rPr>
                <w:rFonts w:hint="eastAsia" w:ascii="宋体" w:hAnsi="宋体" w:eastAsia="宋体" w:cs="宋体"/>
                <w:b w:val="0"/>
                <w:bCs w:val="0"/>
                <w:sz w:val="21"/>
                <w:szCs w:val="21"/>
              </w:rPr>
            </w:pPr>
          </w:p>
        </w:tc>
      </w:tr>
      <w:tr w14:paraId="3BF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91391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B7B0F2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EC95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D6256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A30044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54775E2">
            <w:pPr>
              <w:pStyle w:val="16"/>
              <w:rPr>
                <w:rFonts w:hint="eastAsia" w:ascii="宋体" w:hAnsi="宋体" w:eastAsia="宋体" w:cs="宋体"/>
                <w:b w:val="0"/>
                <w:bCs w:val="0"/>
                <w:sz w:val="21"/>
                <w:szCs w:val="21"/>
              </w:rPr>
            </w:pPr>
          </w:p>
        </w:tc>
      </w:tr>
      <w:tr w14:paraId="274E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B5D12F">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C0E6B1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AEA1F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31E8B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E574A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FDCAE98">
            <w:pPr>
              <w:pStyle w:val="16"/>
              <w:rPr>
                <w:rFonts w:hint="eastAsia" w:ascii="宋体" w:hAnsi="宋体" w:eastAsia="宋体" w:cs="宋体"/>
                <w:b w:val="0"/>
                <w:bCs w:val="0"/>
                <w:sz w:val="21"/>
                <w:szCs w:val="21"/>
              </w:rPr>
            </w:pPr>
          </w:p>
        </w:tc>
      </w:tr>
      <w:tr w14:paraId="36C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D05B0">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506E38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BD05E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BF95E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777C5C78">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F3DC750">
            <w:pPr>
              <w:pStyle w:val="16"/>
              <w:rPr>
                <w:rFonts w:hint="eastAsia" w:ascii="宋体" w:hAnsi="宋体" w:eastAsia="宋体" w:cs="宋体"/>
                <w:b w:val="0"/>
                <w:bCs w:val="0"/>
                <w:sz w:val="21"/>
                <w:szCs w:val="21"/>
              </w:rPr>
            </w:pPr>
          </w:p>
        </w:tc>
      </w:tr>
      <w:tr w14:paraId="00A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8BC8F7">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F094C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9F0E7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F94C6">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56C78021">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10D16E">
            <w:pPr>
              <w:pStyle w:val="16"/>
              <w:rPr>
                <w:rFonts w:hint="eastAsia" w:ascii="宋体" w:hAnsi="宋体" w:eastAsia="宋体" w:cs="宋体"/>
                <w:b w:val="0"/>
                <w:bCs w:val="0"/>
                <w:sz w:val="21"/>
                <w:szCs w:val="21"/>
              </w:rPr>
            </w:pPr>
          </w:p>
        </w:tc>
      </w:tr>
      <w:tr w14:paraId="02F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79D8D48">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41975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8D153F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31A3F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7C77D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69FC74E">
            <w:pPr>
              <w:pStyle w:val="16"/>
              <w:rPr>
                <w:rFonts w:hint="eastAsia" w:ascii="宋体" w:hAnsi="宋体" w:eastAsia="宋体" w:cs="宋体"/>
                <w:b w:val="0"/>
                <w:bCs w:val="0"/>
                <w:sz w:val="21"/>
                <w:szCs w:val="21"/>
              </w:rPr>
            </w:pPr>
          </w:p>
        </w:tc>
      </w:tr>
      <w:tr w14:paraId="3EFD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6977A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1518121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28D8C">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65671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242F6D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2F0BFD9">
            <w:pPr>
              <w:pStyle w:val="16"/>
              <w:rPr>
                <w:rFonts w:hint="eastAsia" w:ascii="宋体" w:hAnsi="宋体" w:eastAsia="宋体" w:cs="宋体"/>
                <w:b w:val="0"/>
                <w:bCs w:val="0"/>
                <w:sz w:val="21"/>
                <w:szCs w:val="21"/>
              </w:rPr>
            </w:pPr>
          </w:p>
        </w:tc>
      </w:tr>
      <w:tr w14:paraId="50D6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240B59">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FC7AB5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EBA8D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0C807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78EC2DA">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5765A2C">
            <w:pPr>
              <w:pStyle w:val="16"/>
              <w:rPr>
                <w:rFonts w:hint="eastAsia" w:ascii="宋体" w:hAnsi="宋体" w:eastAsia="宋体" w:cs="宋体"/>
                <w:b w:val="0"/>
                <w:bCs w:val="0"/>
                <w:sz w:val="21"/>
                <w:szCs w:val="21"/>
              </w:rPr>
            </w:pPr>
          </w:p>
        </w:tc>
      </w:tr>
      <w:tr w14:paraId="6B15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89FF24">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6E9F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8101D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D7009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367D1A80">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EA27DAA">
            <w:pPr>
              <w:pStyle w:val="16"/>
              <w:rPr>
                <w:rFonts w:hint="eastAsia" w:ascii="宋体" w:hAnsi="宋体" w:eastAsia="宋体" w:cs="宋体"/>
                <w:b w:val="0"/>
                <w:bCs w:val="0"/>
                <w:sz w:val="21"/>
                <w:szCs w:val="21"/>
              </w:rPr>
            </w:pPr>
          </w:p>
        </w:tc>
      </w:tr>
      <w:tr w14:paraId="252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199A0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1CF66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16FB82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40FE0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646402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FD4BA6B">
            <w:pPr>
              <w:pStyle w:val="16"/>
              <w:rPr>
                <w:rFonts w:hint="eastAsia" w:ascii="宋体" w:hAnsi="宋体" w:eastAsia="宋体" w:cs="宋体"/>
                <w:b w:val="0"/>
                <w:bCs w:val="0"/>
                <w:sz w:val="21"/>
                <w:szCs w:val="21"/>
              </w:rPr>
            </w:pPr>
          </w:p>
        </w:tc>
      </w:tr>
      <w:tr w14:paraId="5A9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CA34BA">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25D8B91">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3D7DD0">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E909D2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64A3A489">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A76B11B">
            <w:pPr>
              <w:pStyle w:val="16"/>
              <w:rPr>
                <w:rFonts w:hint="eastAsia" w:ascii="宋体" w:hAnsi="宋体" w:eastAsia="宋体" w:cs="宋体"/>
                <w:b w:val="0"/>
                <w:bCs w:val="0"/>
                <w:sz w:val="21"/>
                <w:szCs w:val="21"/>
              </w:rPr>
            </w:pPr>
          </w:p>
        </w:tc>
      </w:tr>
      <w:tr w14:paraId="6EE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5C745E6">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2C409D9">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7D413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344E46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18C3CD9B">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9A165E">
            <w:pPr>
              <w:pStyle w:val="16"/>
              <w:rPr>
                <w:rFonts w:hint="eastAsia" w:ascii="宋体" w:hAnsi="宋体" w:eastAsia="宋体" w:cs="宋体"/>
                <w:b w:val="0"/>
                <w:bCs w:val="0"/>
                <w:sz w:val="21"/>
                <w:szCs w:val="21"/>
              </w:rPr>
            </w:pPr>
          </w:p>
        </w:tc>
      </w:tr>
      <w:tr w14:paraId="6A6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7B333D2">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2A60EE3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92D5BFD">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7E6704">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410E273">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BB12D3">
            <w:pPr>
              <w:pStyle w:val="16"/>
              <w:rPr>
                <w:rFonts w:hint="eastAsia" w:ascii="宋体" w:hAnsi="宋体" w:eastAsia="宋体" w:cs="宋体"/>
                <w:b w:val="0"/>
                <w:bCs w:val="0"/>
                <w:sz w:val="21"/>
                <w:szCs w:val="21"/>
              </w:rPr>
            </w:pPr>
          </w:p>
        </w:tc>
      </w:tr>
      <w:tr w14:paraId="3E9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FC1295">
            <w:pPr>
              <w:pStyle w:val="16"/>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DB213F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A90353">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门窗和灭火器、雨刷</w:t>
            </w:r>
          </w:p>
          <w:p w14:paraId="4CFB9E5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48FD0E">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404E4CF">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3B2778A">
            <w:pPr>
              <w:pStyle w:val="16"/>
              <w:rPr>
                <w:rFonts w:hint="eastAsia" w:ascii="宋体" w:hAnsi="宋体" w:eastAsia="宋体" w:cs="宋体"/>
                <w:b w:val="0"/>
                <w:bCs w:val="0"/>
                <w:sz w:val="21"/>
                <w:szCs w:val="21"/>
              </w:rPr>
            </w:pPr>
          </w:p>
        </w:tc>
      </w:tr>
      <w:tr w14:paraId="3FF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C66750F">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44C3362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04AE15">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65EDFB">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4FF7A647">
            <w:pPr>
              <w:pStyle w:val="16"/>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84A3CE2">
            <w:pPr>
              <w:pStyle w:val="16"/>
              <w:rPr>
                <w:rFonts w:hint="eastAsia" w:ascii="宋体" w:hAnsi="宋体" w:eastAsia="宋体" w:cs="宋体"/>
                <w:b w:val="0"/>
                <w:bCs w:val="0"/>
                <w:sz w:val="21"/>
                <w:szCs w:val="21"/>
              </w:rPr>
            </w:pPr>
          </w:p>
        </w:tc>
      </w:tr>
      <w:tr w14:paraId="03D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14A0CB8A">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454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8AAAA58">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4CBFAAA4">
            <w:pPr>
              <w:pStyle w:val="16"/>
              <w:rPr>
                <w:rFonts w:hint="eastAsia" w:ascii="宋体" w:hAnsi="宋体" w:eastAsia="宋体" w:cs="宋体"/>
                <w:b w:val="0"/>
                <w:bCs w:val="0"/>
                <w:sz w:val="21"/>
                <w:szCs w:val="21"/>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5943E977">
            <w:pPr>
              <w:pStyle w:val="16"/>
              <w:rPr>
                <w:rFonts w:hint="eastAsia" w:ascii="宋体" w:hAnsi="宋体" w:eastAsia="宋体" w:cs="宋体"/>
                <w:b w:val="0"/>
                <w:bCs w:val="0"/>
                <w:sz w:val="21"/>
                <w:szCs w:val="21"/>
              </w:rPr>
            </w:pPr>
            <w:r>
              <w:rPr>
                <w:rFonts w:hint="eastAsia" w:ascii="宋体" w:hAnsi="宋体" w:eastAsia="宋体" w:cs="宋体"/>
                <w:b w:val="0"/>
                <w:bCs w:val="0"/>
                <w:sz w:val="21"/>
                <w:szCs w:val="21"/>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EFB6BD2">
            <w:pPr>
              <w:pStyle w:val="16"/>
              <w:rPr>
                <w:rFonts w:hint="eastAsia" w:ascii="宋体" w:hAnsi="宋体" w:eastAsia="宋体" w:cs="宋体"/>
                <w:b w:val="0"/>
                <w:bCs w:val="0"/>
                <w:sz w:val="21"/>
                <w:szCs w:val="21"/>
              </w:rPr>
            </w:pPr>
          </w:p>
        </w:tc>
      </w:tr>
      <w:tr w14:paraId="6BA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096E4C7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租赁单位意见：</w:t>
            </w:r>
          </w:p>
          <w:p w14:paraId="45D624CE">
            <w:pPr>
              <w:pStyle w:val="16"/>
              <w:rPr>
                <w:rFonts w:hint="eastAsia" w:ascii="宋体" w:hAnsi="宋体" w:eastAsia="宋体" w:cs="宋体"/>
                <w:b w:val="0"/>
                <w:bCs w:val="0"/>
                <w:kern w:val="0"/>
                <w:sz w:val="21"/>
                <w:szCs w:val="21"/>
                <w:lang w:bidi="ar"/>
              </w:rPr>
            </w:pPr>
          </w:p>
          <w:p w14:paraId="46D2CA42">
            <w:pPr>
              <w:pStyle w:val="16"/>
              <w:rPr>
                <w:rFonts w:hint="eastAsia" w:ascii="宋体" w:hAnsi="宋体" w:eastAsia="宋体" w:cs="宋体"/>
                <w:b w:val="0"/>
                <w:bCs w:val="0"/>
                <w:kern w:val="0"/>
                <w:sz w:val="21"/>
                <w:szCs w:val="21"/>
                <w:lang w:bidi="ar"/>
              </w:rPr>
            </w:pPr>
          </w:p>
          <w:p w14:paraId="22E6C22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租赁负责人（签字）：                      （盖章）</w:t>
            </w:r>
          </w:p>
          <w:p w14:paraId="1024F6C8">
            <w:pPr>
              <w:pStyle w:val="16"/>
              <w:rPr>
                <w:rFonts w:hint="eastAsia" w:ascii="宋体" w:hAnsi="宋体" w:eastAsia="宋体" w:cs="宋体"/>
                <w:b w:val="0"/>
                <w:bCs w:val="0"/>
                <w:kern w:val="0"/>
                <w:sz w:val="21"/>
                <w:szCs w:val="21"/>
                <w:lang w:bidi="ar"/>
              </w:rPr>
            </w:pPr>
          </w:p>
          <w:p w14:paraId="1DBBCF44">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68826EB2">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使用单位意见：</w:t>
            </w:r>
          </w:p>
          <w:p w14:paraId="778023AC">
            <w:pPr>
              <w:pStyle w:val="16"/>
              <w:rPr>
                <w:rFonts w:hint="eastAsia" w:ascii="宋体" w:hAnsi="宋体" w:eastAsia="宋体" w:cs="宋体"/>
                <w:b w:val="0"/>
                <w:bCs w:val="0"/>
                <w:kern w:val="0"/>
                <w:sz w:val="21"/>
                <w:szCs w:val="21"/>
                <w:lang w:bidi="ar"/>
              </w:rPr>
            </w:pPr>
          </w:p>
          <w:p w14:paraId="685CEEE3">
            <w:pPr>
              <w:pStyle w:val="16"/>
              <w:rPr>
                <w:rFonts w:hint="eastAsia" w:ascii="宋体" w:hAnsi="宋体" w:eastAsia="宋体" w:cs="宋体"/>
                <w:b w:val="0"/>
                <w:bCs w:val="0"/>
                <w:kern w:val="0"/>
                <w:sz w:val="21"/>
                <w:szCs w:val="21"/>
                <w:lang w:bidi="ar"/>
              </w:rPr>
            </w:pPr>
          </w:p>
          <w:p w14:paraId="2C16466C">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项目技术负责人或机械员（签字）            （盖章）</w:t>
            </w:r>
          </w:p>
          <w:p w14:paraId="5B58C867">
            <w:pPr>
              <w:pStyle w:val="16"/>
              <w:rPr>
                <w:rFonts w:hint="eastAsia" w:ascii="宋体" w:hAnsi="宋体" w:eastAsia="宋体" w:cs="宋体"/>
                <w:b w:val="0"/>
                <w:bCs w:val="0"/>
                <w:kern w:val="0"/>
                <w:sz w:val="21"/>
                <w:szCs w:val="21"/>
                <w:lang w:bidi="ar"/>
              </w:rPr>
            </w:pPr>
          </w:p>
          <w:p w14:paraId="4B388AFE">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r w14:paraId="75AF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102903B">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安装单位意见：</w:t>
            </w:r>
          </w:p>
          <w:p w14:paraId="00B62F57">
            <w:pPr>
              <w:pStyle w:val="16"/>
              <w:rPr>
                <w:rFonts w:hint="eastAsia" w:ascii="宋体" w:hAnsi="宋体" w:eastAsia="宋体" w:cs="宋体"/>
                <w:b w:val="0"/>
                <w:bCs w:val="0"/>
                <w:kern w:val="0"/>
                <w:sz w:val="21"/>
                <w:szCs w:val="21"/>
                <w:lang w:bidi="ar"/>
              </w:rPr>
            </w:pPr>
          </w:p>
          <w:p w14:paraId="677214A4">
            <w:pPr>
              <w:pStyle w:val="16"/>
              <w:rPr>
                <w:rFonts w:hint="eastAsia" w:ascii="宋体" w:hAnsi="宋体" w:eastAsia="宋体" w:cs="宋体"/>
                <w:b w:val="0"/>
                <w:bCs w:val="0"/>
                <w:kern w:val="0"/>
                <w:sz w:val="21"/>
                <w:szCs w:val="21"/>
                <w:lang w:bidi="ar"/>
              </w:rPr>
            </w:pPr>
          </w:p>
          <w:p w14:paraId="471FF717">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 xml:space="preserve"> 技术负责人（或受委托负责人）（签字）      （盖章）</w:t>
            </w:r>
          </w:p>
          <w:p w14:paraId="0F3F6B15">
            <w:pPr>
              <w:pStyle w:val="16"/>
              <w:rPr>
                <w:rFonts w:hint="eastAsia" w:ascii="宋体" w:hAnsi="宋体" w:eastAsia="宋体" w:cs="宋体"/>
                <w:b w:val="0"/>
                <w:bCs w:val="0"/>
                <w:kern w:val="0"/>
                <w:sz w:val="21"/>
                <w:szCs w:val="21"/>
                <w:lang w:bidi="ar"/>
              </w:rPr>
            </w:pPr>
          </w:p>
          <w:p w14:paraId="7E2CF95D">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C3DFCC1">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监理单位意见：</w:t>
            </w:r>
          </w:p>
          <w:p w14:paraId="5DB66222">
            <w:pPr>
              <w:pStyle w:val="16"/>
              <w:rPr>
                <w:rFonts w:hint="eastAsia" w:ascii="宋体" w:hAnsi="宋体" w:eastAsia="宋体" w:cs="宋体"/>
                <w:b w:val="0"/>
                <w:bCs w:val="0"/>
                <w:kern w:val="0"/>
                <w:sz w:val="21"/>
                <w:szCs w:val="21"/>
                <w:lang w:bidi="ar"/>
              </w:rPr>
            </w:pPr>
          </w:p>
          <w:p w14:paraId="1FC8C720">
            <w:pPr>
              <w:pStyle w:val="16"/>
              <w:rPr>
                <w:rFonts w:hint="eastAsia" w:ascii="宋体" w:hAnsi="宋体" w:eastAsia="宋体" w:cs="宋体"/>
                <w:b w:val="0"/>
                <w:bCs w:val="0"/>
                <w:kern w:val="0"/>
                <w:sz w:val="21"/>
                <w:szCs w:val="21"/>
                <w:lang w:bidi="ar"/>
              </w:rPr>
            </w:pPr>
          </w:p>
          <w:p w14:paraId="15ABBA5A">
            <w:pPr>
              <w:pStyle w:val="16"/>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总监或专业监理工程师（签字）：             （盖章）</w:t>
            </w:r>
          </w:p>
          <w:p w14:paraId="281606BE">
            <w:pPr>
              <w:pStyle w:val="16"/>
              <w:rPr>
                <w:rFonts w:hint="eastAsia" w:ascii="宋体" w:hAnsi="宋体" w:eastAsia="宋体" w:cs="宋体"/>
                <w:b w:val="0"/>
                <w:bCs w:val="0"/>
                <w:kern w:val="0"/>
                <w:sz w:val="21"/>
                <w:szCs w:val="21"/>
                <w:lang w:bidi="ar"/>
              </w:rPr>
            </w:pPr>
          </w:p>
          <w:p w14:paraId="4C0798B7">
            <w:pPr>
              <w:pStyle w:val="16"/>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bl>
    <w:p w14:paraId="41BCCFBA"/>
    <w:p w14:paraId="105D7FD2">
      <w:pPr>
        <w:pStyle w:val="3"/>
        <w:bidi w:val="0"/>
        <w:rPr>
          <w:rFonts w:hint="eastAsia"/>
          <w:lang w:val="en-US" w:eastAsia="zh-CN"/>
        </w:rPr>
      </w:pPr>
      <w:bookmarkStart w:id="163" w:name="_Toc2583"/>
      <w:r>
        <w:rPr>
          <w:rFonts w:hint="eastAsia"/>
          <w:lang w:val="en-US" w:eastAsia="zh-CN"/>
        </w:rPr>
        <w:t>附件四：工序参考工效</w:t>
      </w:r>
      <w:bookmarkEnd w:id="160"/>
      <w:bookmarkEnd w:id="161"/>
      <w:bookmarkEnd w:id="162"/>
      <w:bookmarkEnd w:id="163"/>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5"/>
        <w:rPr>
          <w:rFonts w:hint="default" w:eastAsia="黑体"/>
          <w:lang w:val="en-US" w:eastAsia="zh-CN"/>
        </w:rPr>
      </w:pPr>
      <w:r>
        <w:rPr>
          <w:rFonts w:hint="eastAsia"/>
          <w:lang w:val="en-US" w:eastAsia="zh-CN"/>
        </w:rPr>
        <w:t>塔吊安装施工计划</w:t>
      </w:r>
    </w:p>
    <w:tbl>
      <w:tblPr>
        <w:tblStyle w:val="28"/>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800"/>
        <w:gridCol w:w="5783"/>
        <w:gridCol w:w="1877"/>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4F4F1"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4F4F1"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bCs/>
                <w:color w:val="000000" w:themeColor="text1"/>
                <w:kern w:val="2"/>
                <w:sz w:val="21"/>
                <w:szCs w:val="21"/>
                <w:lang w:val="en-US" w:eastAsia="zh-CN" w:bidi="ar-SA"/>
                <w14:textFill>
                  <w14:solidFill>
                    <w14:schemeClr w14:val="tx1"/>
                  </w14:solidFill>
                </w14:textFill>
              </w:rPr>
            </w:pPr>
            <w:r>
              <w:rPr>
                <w:rFonts w:hint="eastAsia" w:ascii="仿宋" w:hAnsi="仿宋" w:eastAsia="仿宋" w:cs="仿宋"/>
                <w:kern w:val="2"/>
                <w:sz w:val="21"/>
                <w:szCs w:val="21"/>
                <w:lang w:val="en-US" w:eastAsia="zh-CN" w:bidi="ar-SA"/>
              </w:rPr>
              <w:t>基础节、爬升架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特殊节、回转总成，臂根节</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平衡臂、平衡重、起重臂、钢丝绳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bl>
    <w:p w14:paraId="453A4F57">
      <w:pPr>
        <w:pStyle w:val="14"/>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ISOCT">
    <w:panose1 w:val="00000400000000000000"/>
    <w:charset w:val="00"/>
    <w:family w:val="auto"/>
    <w:pitch w:val="default"/>
    <w:sig w:usb0="000000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21"/>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2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22"/>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22"/>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1">
    <w:nsid w:val="F8241806"/>
    <w:multiLevelType w:val="multilevel"/>
    <w:tmpl w:val="F8241806"/>
    <w:lvl w:ilvl="0" w:tentative="0">
      <w:start w:val="2"/>
      <w:numFmt w:val="decimal"/>
      <w:pStyle w:val="4"/>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tabs>
          <w:tab w:val="left" w:pos="0"/>
        </w:tabs>
        <w:ind w:left="0" w:leftChars="0" w:firstLine="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0BA2A609"/>
    <w:multiLevelType w:val="multilevel"/>
    <w:tmpl w:val="0BA2A609"/>
    <w:lvl w:ilvl="0" w:tentative="0">
      <w:start w:val="2"/>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32"/>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47242BD0"/>
    <w:multiLevelType w:val="multilevel"/>
    <w:tmpl w:val="47242BD0"/>
    <w:lvl w:ilvl="0" w:tentative="0">
      <w:start w:val="2"/>
      <w:numFmt w:val="decimal"/>
      <w:suff w:val="space"/>
      <w:lvlText w:val="%1"/>
      <w:lvlJc w:val="left"/>
      <w:pPr>
        <w:tabs>
          <w:tab w:val="left" w:pos="0"/>
        </w:tabs>
        <w:ind w:left="0" w:firstLine="0"/>
      </w:pPr>
      <w:rPr>
        <w:rFonts w:hint="default" w:ascii="宋体" w:hAnsi="宋体" w:eastAsia="宋体"/>
        <w:b/>
        <w:i w:val="0"/>
        <w:color w:val="0000FF"/>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5CF49B8C"/>
    <w:multiLevelType w:val="singleLevel"/>
    <w:tmpl w:val="5CF49B8C"/>
    <w:lvl w:ilvl="0" w:tentative="0">
      <w:start w:val="1"/>
      <w:numFmt w:val="decimal"/>
      <w:suff w:val="nothing"/>
      <w:lvlText w:val="%1"/>
      <w:lvlJc w:val="left"/>
      <w:pPr>
        <w:tabs>
          <w:tab w:val="left" w:pos="0"/>
        </w:tabs>
        <w:ind w:left="0" w:leftChars="0" w:firstLine="0" w:firstLineChars="0"/>
      </w:pPr>
      <w:rPr>
        <w:rFonts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0202618"/>
    <w:rsid w:val="00BA7CA7"/>
    <w:rsid w:val="02BA49FA"/>
    <w:rsid w:val="02C40969"/>
    <w:rsid w:val="02EB4148"/>
    <w:rsid w:val="03C07B58"/>
    <w:rsid w:val="043B7CF6"/>
    <w:rsid w:val="053A4D56"/>
    <w:rsid w:val="07006FA3"/>
    <w:rsid w:val="07694AFC"/>
    <w:rsid w:val="08E5240D"/>
    <w:rsid w:val="097B73B5"/>
    <w:rsid w:val="09C94AB7"/>
    <w:rsid w:val="0A0750BB"/>
    <w:rsid w:val="0AEC3153"/>
    <w:rsid w:val="0AF112FD"/>
    <w:rsid w:val="0DD13BC6"/>
    <w:rsid w:val="0E8530AF"/>
    <w:rsid w:val="0E8611C8"/>
    <w:rsid w:val="0E9C6845"/>
    <w:rsid w:val="0ED2440E"/>
    <w:rsid w:val="0FB66492"/>
    <w:rsid w:val="0FD41499"/>
    <w:rsid w:val="107C6D27"/>
    <w:rsid w:val="11400705"/>
    <w:rsid w:val="11D72E87"/>
    <w:rsid w:val="122E4051"/>
    <w:rsid w:val="12D93FBD"/>
    <w:rsid w:val="14096822"/>
    <w:rsid w:val="14B101D2"/>
    <w:rsid w:val="155B5152"/>
    <w:rsid w:val="17E717E0"/>
    <w:rsid w:val="188744BB"/>
    <w:rsid w:val="19A37470"/>
    <w:rsid w:val="1A7A165A"/>
    <w:rsid w:val="1B495A57"/>
    <w:rsid w:val="1B554A6D"/>
    <w:rsid w:val="1B724934"/>
    <w:rsid w:val="1B8448F8"/>
    <w:rsid w:val="1B9C3474"/>
    <w:rsid w:val="1C460368"/>
    <w:rsid w:val="1C4954A8"/>
    <w:rsid w:val="1D097256"/>
    <w:rsid w:val="1D1125BF"/>
    <w:rsid w:val="1E1B2B3C"/>
    <w:rsid w:val="1EB8776E"/>
    <w:rsid w:val="1ECD61C2"/>
    <w:rsid w:val="1EFB52BB"/>
    <w:rsid w:val="1F3A074E"/>
    <w:rsid w:val="1F521A61"/>
    <w:rsid w:val="1FB25809"/>
    <w:rsid w:val="204F4FBC"/>
    <w:rsid w:val="213539EE"/>
    <w:rsid w:val="21941F7E"/>
    <w:rsid w:val="226A45E9"/>
    <w:rsid w:val="24151124"/>
    <w:rsid w:val="25787E53"/>
    <w:rsid w:val="25DA3E7C"/>
    <w:rsid w:val="268661F7"/>
    <w:rsid w:val="283D7E81"/>
    <w:rsid w:val="28983E33"/>
    <w:rsid w:val="293E5DCA"/>
    <w:rsid w:val="294A6DC7"/>
    <w:rsid w:val="29766DCC"/>
    <w:rsid w:val="2B567E47"/>
    <w:rsid w:val="2D326D96"/>
    <w:rsid w:val="2EBD27EC"/>
    <w:rsid w:val="2FE31DE5"/>
    <w:rsid w:val="31551635"/>
    <w:rsid w:val="317F1A54"/>
    <w:rsid w:val="31EC573B"/>
    <w:rsid w:val="33245CBD"/>
    <w:rsid w:val="33796286"/>
    <w:rsid w:val="357A03C4"/>
    <w:rsid w:val="364B7A83"/>
    <w:rsid w:val="371B2122"/>
    <w:rsid w:val="371B361D"/>
    <w:rsid w:val="39C11B7F"/>
    <w:rsid w:val="39D32C64"/>
    <w:rsid w:val="3B9E2D5F"/>
    <w:rsid w:val="3C8377E0"/>
    <w:rsid w:val="3F743FC9"/>
    <w:rsid w:val="3FCF5D54"/>
    <w:rsid w:val="3FEA7202"/>
    <w:rsid w:val="414C5861"/>
    <w:rsid w:val="4218097C"/>
    <w:rsid w:val="42613D77"/>
    <w:rsid w:val="44BD02DA"/>
    <w:rsid w:val="4541761C"/>
    <w:rsid w:val="46560EA5"/>
    <w:rsid w:val="46AE329E"/>
    <w:rsid w:val="47181F9D"/>
    <w:rsid w:val="47E21877"/>
    <w:rsid w:val="481E56FF"/>
    <w:rsid w:val="489803A9"/>
    <w:rsid w:val="49F807DC"/>
    <w:rsid w:val="4A45370A"/>
    <w:rsid w:val="4A763B95"/>
    <w:rsid w:val="4B0B5835"/>
    <w:rsid w:val="4B9B2D83"/>
    <w:rsid w:val="4C6A664B"/>
    <w:rsid w:val="4DF61F79"/>
    <w:rsid w:val="4EC07B5F"/>
    <w:rsid w:val="4FB35515"/>
    <w:rsid w:val="50020B50"/>
    <w:rsid w:val="50813520"/>
    <w:rsid w:val="540C0A08"/>
    <w:rsid w:val="54DD7D86"/>
    <w:rsid w:val="55CA2106"/>
    <w:rsid w:val="57D45054"/>
    <w:rsid w:val="593212FE"/>
    <w:rsid w:val="59E01002"/>
    <w:rsid w:val="5BFE196B"/>
    <w:rsid w:val="607E39E0"/>
    <w:rsid w:val="62E5718F"/>
    <w:rsid w:val="62F647DD"/>
    <w:rsid w:val="646269C6"/>
    <w:rsid w:val="66CA7019"/>
    <w:rsid w:val="68010AE0"/>
    <w:rsid w:val="696C13D9"/>
    <w:rsid w:val="69740693"/>
    <w:rsid w:val="6A8B7E5B"/>
    <w:rsid w:val="6AE218D7"/>
    <w:rsid w:val="6C5C14B3"/>
    <w:rsid w:val="6C866EFE"/>
    <w:rsid w:val="6DD62748"/>
    <w:rsid w:val="70241EE0"/>
    <w:rsid w:val="70651BCC"/>
    <w:rsid w:val="70DA7C66"/>
    <w:rsid w:val="7301673F"/>
    <w:rsid w:val="73CE3FD7"/>
    <w:rsid w:val="743C5BB1"/>
    <w:rsid w:val="76107D30"/>
    <w:rsid w:val="765B20CA"/>
    <w:rsid w:val="77F933B9"/>
    <w:rsid w:val="78281DF2"/>
    <w:rsid w:val="791D56CF"/>
    <w:rsid w:val="793D48A8"/>
    <w:rsid w:val="7C136CFD"/>
    <w:rsid w:val="7C395C9C"/>
    <w:rsid w:val="7E98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3">
    <w:name w:val="heading 2"/>
    <w:basedOn w:val="1"/>
    <w:next w:val="1"/>
    <w:link w:val="33"/>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4">
    <w:name w:val="heading 3"/>
    <w:basedOn w:val="3"/>
    <w:next w:val="1"/>
    <w:unhideWhenUsed/>
    <w:qFormat/>
    <w:uiPriority w:val="0"/>
    <w:pPr>
      <w:numPr>
        <w:ilvl w:val="0"/>
        <w:numId w:val="1"/>
      </w:numPr>
      <w:tabs>
        <w:tab w:val="left" w:pos="312"/>
        <w:tab w:val="clear" w:pos="240"/>
      </w:tabs>
      <w:spacing w:line="360" w:lineRule="auto"/>
      <w:ind w:left="425" w:hanging="425"/>
      <w:outlineLvl w:val="2"/>
    </w:pPr>
    <w:rPr>
      <w:rFonts w:ascii="宋体" w:hAnsi="宋体" w:eastAsia="宋体" w:cs="宋体"/>
      <w:color w:val="0000D9"/>
      <w:szCs w:val="30"/>
    </w:rPr>
  </w:style>
  <w:style w:type="paragraph" w:styleId="5">
    <w:name w:val="heading 4"/>
    <w:basedOn w:val="6"/>
    <w:next w:val="1"/>
    <w:unhideWhenUsed/>
    <w:qFormat/>
    <w:uiPriority w:val="0"/>
    <w:pPr>
      <w:tabs>
        <w:tab w:val="left" w:pos="0"/>
      </w:tabs>
      <w:spacing w:line="360" w:lineRule="auto"/>
      <w:ind w:left="850" w:hanging="850"/>
      <w:outlineLvl w:val="3"/>
    </w:pPr>
    <w:rPr>
      <w:rFonts w:ascii="宋体" w:hAnsi="宋体" w:eastAsia="宋体" w:cs="宋体"/>
      <w:color w:val="0000D9"/>
    </w:rPr>
  </w:style>
  <w:style w:type="paragraph" w:styleId="7">
    <w:name w:val="heading 5"/>
    <w:basedOn w:val="1"/>
    <w:next w:val="1"/>
    <w:unhideWhenUsed/>
    <w:qFormat/>
    <w:uiPriority w:val="0"/>
    <w:pPr>
      <w:keepNext/>
      <w:keepLines/>
      <w:numPr>
        <w:ilvl w:val="4"/>
        <w:numId w:val="2"/>
      </w:numPr>
      <w:spacing w:before="280" w:beforeLines="0" w:beforeAutospacing="0" w:after="290" w:afterLines="0" w:afterAutospacing="0" w:line="372" w:lineRule="auto"/>
      <w:ind w:left="991" w:hanging="991"/>
      <w:outlineLvl w:val="4"/>
    </w:pPr>
    <w:rPr>
      <w:b/>
      <w:sz w:val="28"/>
    </w:rPr>
  </w:style>
  <w:style w:type="paragraph" w:styleId="8">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75" w:hanging="1275"/>
      <w:outlineLvl w:val="6"/>
    </w:pPr>
    <w:rPr>
      <w:b/>
      <w:sz w:val="24"/>
    </w:rPr>
  </w:style>
  <w:style w:type="paragraph" w:styleId="10">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30">
    <w:name w:val="Default Paragraph Font"/>
    <w:unhideWhenUsed/>
    <w:qFormat/>
    <w:uiPriority w:val="1"/>
  </w:style>
  <w:style w:type="table" w:default="1" w:styleId="28">
    <w:name w:val="Normal Table"/>
    <w:semiHidden/>
    <w:qFormat/>
    <w:uiPriority w:val="0"/>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 w:val="clear" w:pos="312"/>
      </w:tabs>
    </w:pPr>
  </w:style>
  <w:style w:type="paragraph" w:styleId="12">
    <w:name w:val="Normal Indent"/>
    <w:basedOn w:val="1"/>
    <w:next w:val="13"/>
    <w:qFormat/>
    <w:uiPriority w:val="0"/>
    <w:pPr>
      <w:ind w:firstLine="420" w:firstLineChars="200"/>
    </w:pPr>
  </w:style>
  <w:style w:type="paragraph" w:styleId="13">
    <w:name w:val="Body Text First Indent"/>
    <w:basedOn w:val="14"/>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paragraph" w:styleId="14">
    <w:name w:val="Body Text"/>
    <w:basedOn w:val="1"/>
    <w:qFormat/>
    <w:uiPriority w:val="1"/>
    <w:pPr>
      <w:ind w:firstLine="562" w:firstLineChars="200"/>
    </w:pPr>
    <w:rPr>
      <w:rFonts w:ascii="宋体" w:hAnsi="宋体" w:eastAsia="仿宋"/>
      <w:kern w:val="0"/>
      <w:sz w:val="28"/>
      <w:szCs w:val="28"/>
      <w:lang w:eastAsia="en-US"/>
    </w:rPr>
  </w:style>
  <w:style w:type="paragraph" w:styleId="15">
    <w:name w:val="caption"/>
    <w:basedOn w:val="1"/>
    <w:next w:val="16"/>
    <w:link w:val="37"/>
    <w:unhideWhenUsed/>
    <w:qFormat/>
    <w:uiPriority w:val="0"/>
    <w:pPr>
      <w:ind w:firstLine="0" w:firstLineChars="0"/>
      <w:jc w:val="center"/>
    </w:pPr>
    <w:rPr>
      <w:rFonts w:eastAsia="黑体"/>
      <w:sz w:val="21"/>
      <w:szCs w:val="21"/>
    </w:rPr>
  </w:style>
  <w:style w:type="paragraph" w:customStyle="1" w:styleId="16">
    <w:name w:val="表内文字"/>
    <w:basedOn w:val="17"/>
    <w:next w:val="1"/>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Body Text Indent"/>
    <w:basedOn w:val="1"/>
    <w:next w:val="19"/>
    <w:qFormat/>
    <w:uiPriority w:val="99"/>
    <w:pPr>
      <w:spacing w:after="120"/>
      <w:ind w:left="420" w:leftChars="200"/>
    </w:pPr>
    <w:rPr>
      <w:rFonts w:ascii="Times New Roman" w:hAnsi="Times New Roman"/>
      <w:kern w:val="0"/>
    </w:rPr>
  </w:style>
  <w:style w:type="paragraph" w:customStyle="1" w:styleId="19">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0">
    <w:name w:val="Plain Text"/>
    <w:basedOn w:val="1"/>
    <w:qFormat/>
    <w:uiPriority w:val="0"/>
    <w:rPr>
      <w:rFonts w:ascii="宋体" w:hAnsi="ISOCT"/>
      <w:szCs w:val="20"/>
    </w:rPr>
  </w:style>
  <w:style w:type="paragraph" w:styleId="21">
    <w:name w:val="footer"/>
    <w:basedOn w:val="1"/>
    <w:unhideWhenUsed/>
    <w:qFormat/>
    <w:uiPriority w:val="99"/>
    <w:pPr>
      <w:tabs>
        <w:tab w:val="center" w:pos="4153"/>
        <w:tab w:val="right" w:pos="8306"/>
      </w:tabs>
      <w:snapToGrid w:val="0"/>
      <w:jc w:val="left"/>
    </w:pPr>
    <w:rPr>
      <w:sz w:val="18"/>
      <w:szCs w:val="18"/>
    </w:rPr>
  </w:style>
  <w:style w:type="paragraph" w:styleId="2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4">
    <w:name w:val="toc 6"/>
    <w:basedOn w:val="1"/>
    <w:next w:val="1"/>
    <w:qFormat/>
    <w:uiPriority w:val="39"/>
    <w:pPr>
      <w:ind w:left="1050"/>
      <w:jc w:val="left"/>
    </w:pPr>
    <w:rPr>
      <w:sz w:val="18"/>
      <w:szCs w:val="18"/>
    </w:rPr>
  </w:style>
  <w:style w:type="paragraph" w:styleId="25">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Body Text First Indent 2"/>
    <w:basedOn w:val="18"/>
    <w:next w:val="20"/>
    <w:qFormat/>
    <w:uiPriority w:val="99"/>
    <w:pPr>
      <w:ind w:firstLine="420" w:firstLineChars="200"/>
    </w:pPr>
  </w:style>
  <w:style w:type="table" w:styleId="29">
    <w:name w:val="Table Grid"/>
    <w:basedOn w:val="28"/>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paragraph" w:customStyle="1" w:styleId="32">
    <w:name w:val="1.1.1 标题"/>
    <w:qFormat/>
    <w:uiPriority w:val="2"/>
    <w:pPr>
      <w:numPr>
        <w:ilvl w:val="2"/>
        <w:numId w:val="3"/>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33">
    <w:name w:val="标题 2 字符"/>
    <w:basedOn w:val="30"/>
    <w:link w:val="3"/>
    <w:qFormat/>
    <w:uiPriority w:val="9"/>
    <w:rPr>
      <w:rFonts w:ascii="宋体" w:hAnsi="宋体" w:eastAsia="宋体" w:cs="宋体"/>
      <w:b/>
      <w:color w:val="0000D9"/>
      <w:kern w:val="44"/>
      <w:sz w:val="24"/>
      <w:szCs w:val="24"/>
    </w:rPr>
  </w:style>
  <w:style w:type="paragraph" w:customStyle="1" w:styleId="34">
    <w:name w:val="图名"/>
    <w:basedOn w:val="35"/>
    <w:qFormat/>
    <w:uiPriority w:val="0"/>
    <w:rPr>
      <w:rFonts w:ascii="仿宋" w:hAnsi="仿宋" w:eastAsia="仿宋" w:cs="仿宋"/>
      <w:color w:val="C00000"/>
      <w:szCs w:val="24"/>
    </w:rPr>
  </w:style>
  <w:style w:type="paragraph" w:customStyle="1" w:styleId="35">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6">
    <w:name w:val="题注 Char"/>
    <w:qFormat/>
    <w:uiPriority w:val="0"/>
    <w:rPr>
      <w:rFonts w:ascii="黑体" w:hAnsi="黑体" w:eastAsia="黑体" w:cs="黑体"/>
      <w:kern w:val="2"/>
      <w:sz w:val="21"/>
      <w:szCs w:val="21"/>
      <w:lang w:val="en-US" w:eastAsia="zh-CN" w:bidi="ar-SA"/>
    </w:rPr>
  </w:style>
  <w:style w:type="character" w:customStyle="1" w:styleId="37">
    <w:name w:val="题注 字符"/>
    <w:link w:val="15"/>
    <w:qFormat/>
    <w:uiPriority w:val="0"/>
    <w:rPr>
      <w:rFonts w:eastAsia="黑体"/>
      <w:sz w:val="21"/>
      <w:szCs w:val="21"/>
    </w:rPr>
  </w:style>
  <w:style w:type="paragraph" w:customStyle="1" w:styleId="38">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9">
    <w:name w:val="表格内容"/>
    <w:basedOn w:val="40"/>
    <w:qFormat/>
    <w:uiPriority w:val="0"/>
    <w:rPr>
      <w:b w:val="0"/>
      <w:sz w:val="20"/>
    </w:rPr>
  </w:style>
  <w:style w:type="paragraph" w:customStyle="1" w:styleId="40">
    <w:name w:val="表格标题"/>
    <w:basedOn w:val="1"/>
    <w:qFormat/>
    <w:uiPriority w:val="0"/>
    <w:pPr>
      <w:jc w:val="center"/>
    </w:pPr>
    <w:rPr>
      <w:b/>
      <w:sz w:val="21"/>
    </w:rPr>
  </w:style>
  <w:style w:type="table" w:customStyle="1" w:styleId="41">
    <w:name w:val="K表格"/>
    <w:basedOn w:val="28"/>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paragraph" w:customStyle="1" w:styleId="42">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5">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47">
    <w:name w:val="表格内文字"/>
    <w:qFormat/>
    <w:uiPriority w:val="0"/>
    <w:rPr>
      <w:rFonts w:ascii="Times New Roman" w:hAnsi="Times New Roman" w:eastAsia="宋体"/>
      <w:color w:val="auto"/>
      <w:sz w:val="21"/>
    </w:rPr>
  </w:style>
  <w:style w:type="paragraph" w:customStyle="1" w:styleId="48">
    <w:name w:val="表格居中"/>
    <w:basedOn w:val="49"/>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9">
    <w:name w:val="插图"/>
    <w:basedOn w:val="50"/>
    <w:qFormat/>
    <w:uiPriority w:val="0"/>
    <w:pPr>
      <w:spacing w:line="240" w:lineRule="auto"/>
      <w:ind w:firstLine="0"/>
      <w:jc w:val="center"/>
    </w:pPr>
  </w:style>
  <w:style w:type="paragraph" w:customStyle="1" w:styleId="50">
    <w:name w:val="方案正文"/>
    <w:basedOn w:val="1"/>
    <w:qFormat/>
    <w:uiPriority w:val="0"/>
    <w:pPr>
      <w:adjustRightInd w:val="0"/>
      <w:snapToGrid w:val="0"/>
      <w:spacing w:line="312" w:lineRule="auto"/>
      <w:ind w:firstLine="425"/>
    </w:pPr>
    <w:rPr>
      <w:sz w:val="24"/>
    </w:rPr>
  </w:style>
  <w:style w:type="paragraph" w:customStyle="1" w:styleId="51">
    <w:name w:val="k 正文"/>
    <w:basedOn w:val="1"/>
    <w:qFormat/>
    <w:uiPriority w:val="0"/>
  </w:style>
  <w:style w:type="paragraph" w:styleId="52">
    <w:name w:val="No Spacing"/>
    <w:basedOn w:val="1"/>
    <w:next w:val="1"/>
    <w:qFormat/>
    <w:uiPriority w:val="0"/>
    <w:pPr>
      <w:widowControl w:val="0"/>
      <w:spacing w:line="360" w:lineRule="auto"/>
      <w:jc w:val="center"/>
    </w:pPr>
    <w:rPr>
      <w:rFonts w:ascii="黑体" w:hAnsi="黑体"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11921</Words>
  <Characters>12527</Characters>
  <Lines>0</Lines>
  <Paragraphs>0</Paragraphs>
  <TotalTime>0</TotalTime>
  <ScaleCrop>false</ScaleCrop>
  <LinksUpToDate>false</LinksUpToDate>
  <CharactersWithSpaces>12794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2025-12-05T06:50:28Z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FF1635116B4442AC8C60C7ED88D17D0E_13</vt:lpwstr>
  </property>
  <property fmtid="{D5CDD505-2E9C-101B-9397-08002B2CF9AE}" pid="4" name="KSOTemplateDocerSaveRecord">
    <vt:lpwstr>eyJoZGlkIjoiYjMyYjBlMGJhZjI3ZDdiYzUzOWVmOGZjYTMwOWZhYzEiLCJ1c2VySWQiOiIyMDEyMTQ5OSJ9</vt:lpwstr>
  </property>
</Properties>
</file>