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firstLine="0" w:firstLineChars="0"/>
        <w:jc w:val="center"/>
        <w:rPr>
          <w:rFonts w:ascii="宋体" w:hAnsi="宋体" w:eastAsia="宋体" w:cs="宋体"/>
          <w:bCs/>
          <w:color w:val="000000" w:themeColor="text1"/>
          <w:sz w:val="28"/>
          <w:szCs w:val="28"/>
          <w14:textFill>
            <w14:solidFill>
              <w14:schemeClr w14:val="tx1"/>
            </w14:solidFill>
          </w14:textFill>
        </w:rPr>
      </w:pPr>
    </w:p>
    <w:p>
      <w:pPr>
        <w:pStyle w:val="60"/>
        <w:spacing w:after="120" w:line="240" w:lineRule="auto"/>
        <w:ind w:firstLine="880"/>
        <w:rPr>
          <w:b w:val="0"/>
          <w:color w:val="000000" w:themeColor="text1"/>
          <w:sz w:val="44"/>
          <w:szCs w:val="44"/>
          <w:lang w:val="en-US" w:eastAsia="zh-CN" w:bidi="ar-SA"/>
          <w14:textFill>
            <w14:solidFill>
              <w14:schemeClr w14:val="tx1"/>
            </w14:solidFill>
          </w14:textFill>
        </w:rPr>
      </w:pPr>
      <w:r>
        <w:rPr>
          <w:rFonts w:hint="eastAsia"/>
          <w:b w:val="0"/>
          <w:color w:val="000000" w:themeColor="text1"/>
          <w:sz w:val="44"/>
          <w:szCs w:val="44"/>
          <w:lang w:val="en-US" w:eastAsia="zh-CN" w:bidi="ar-SA"/>
          <w14:textFill>
            <w14:solidFill>
              <w14:schemeClr w14:val="tx1"/>
            </w14:solidFill>
          </w14:textFill>
        </w:rPr>
        <w:t>鄂黄第二过江通道</w:t>
      </w:r>
    </w:p>
    <w:p>
      <w:pPr>
        <w:pStyle w:val="60"/>
        <w:spacing w:after="120" w:line="240" w:lineRule="auto"/>
        <w:ind w:firstLine="880"/>
        <w:rPr>
          <w:b w:val="0"/>
          <w:color w:val="000000" w:themeColor="text1"/>
          <w:sz w:val="44"/>
          <w:szCs w:val="44"/>
          <w:lang w:val="en-US" w:eastAsia="zh-CN" w:bidi="ar-SA"/>
          <w14:textFill>
            <w14:solidFill>
              <w14:schemeClr w14:val="tx1"/>
            </w14:solidFill>
          </w14:textFill>
        </w:rPr>
      </w:pPr>
      <w:r>
        <w:rPr>
          <w:rFonts w:hint="eastAsia"/>
          <w:b w:val="0"/>
          <w:color w:val="000000" w:themeColor="text1"/>
          <w:sz w:val="44"/>
          <w:szCs w:val="44"/>
          <w:lang w:val="en-US" w:eastAsia="zh-CN" w:bidi="ar-SA"/>
          <w14:textFill>
            <w14:solidFill>
              <w14:schemeClr w14:val="tx1"/>
            </w14:solidFill>
          </w14:textFill>
        </w:rPr>
        <w:t>（燕矶长江大桥及接线）工程</w:t>
      </w:r>
    </w:p>
    <w:p>
      <w:pPr>
        <w:spacing w:after="120"/>
        <w:ind w:firstLine="0" w:firstLineChars="0"/>
        <w:jc w:val="center"/>
        <w:rPr>
          <w:rFonts w:ascii="宋体" w:hAnsi="宋体" w:eastAsia="宋体" w:cs="宋体"/>
          <w:bCs/>
          <w:color w:val="000000" w:themeColor="text1"/>
          <w:sz w:val="44"/>
          <w:szCs w:val="44"/>
          <w14:textFill>
            <w14:solidFill>
              <w14:schemeClr w14:val="tx1"/>
            </w14:solidFill>
          </w14:textFill>
        </w:rPr>
      </w:pPr>
    </w:p>
    <w:p>
      <w:pPr>
        <w:spacing w:after="120"/>
        <w:ind w:firstLine="0" w:firstLineChars="0"/>
        <w:jc w:val="center"/>
        <w:rPr>
          <w:rFonts w:ascii="宋体" w:hAnsi="宋体" w:eastAsia="宋体" w:cs="宋体"/>
          <w:bCs/>
          <w:color w:val="000000" w:themeColor="text1"/>
          <w:sz w:val="44"/>
          <w:szCs w:val="44"/>
          <w14:textFill>
            <w14:solidFill>
              <w14:schemeClr w14:val="tx1"/>
            </w14:solidFill>
          </w14:textFill>
        </w:rPr>
      </w:pPr>
      <w:r>
        <w:rPr>
          <w:rFonts w:hint="eastAsia" w:ascii="宋体" w:hAnsi="宋体" w:eastAsia="宋体" w:cs="宋体"/>
          <w:bCs/>
          <w:color w:val="000000" w:themeColor="text1"/>
          <w:sz w:val="44"/>
          <w:szCs w:val="44"/>
          <w14:textFill>
            <w14:solidFill>
              <w14:schemeClr w14:val="tx1"/>
            </w14:solidFill>
          </w14:textFill>
        </w:rPr>
        <w:t>塔吊安拆施工方案</w:t>
      </w:r>
    </w:p>
    <w:p>
      <w:pPr>
        <w:spacing w:after="120"/>
        <w:ind w:firstLineChars="0"/>
        <w:jc w:val="center"/>
        <w:rPr>
          <w:rFonts w:ascii="宋体" w:hAnsi="宋体" w:eastAsia="宋体" w:cs="宋体"/>
          <w:sz w:val="36"/>
        </w:rPr>
      </w:pPr>
    </w:p>
    <w:p>
      <w:pPr>
        <w:adjustRightInd w:val="0"/>
        <w:snapToGrid w:val="0"/>
        <w:spacing w:before="120" w:after="120"/>
        <w:ind w:firstLine="3494" w:firstLineChars="1450"/>
        <w:rPr>
          <w:rFonts w:ascii="宋体" w:hAnsi="宋体" w:eastAsia="宋体" w:cs="宋体"/>
          <w:b/>
        </w:rPr>
      </w:pPr>
    </w:p>
    <w:p>
      <w:pPr>
        <w:adjustRightInd w:val="0"/>
        <w:snapToGrid w:val="0"/>
        <w:spacing w:before="120" w:after="120"/>
        <w:ind w:left="720" w:leftChars="300" w:firstLine="2240" w:firstLineChars="700"/>
        <w:rPr>
          <w:rFonts w:ascii="宋体" w:hAnsi="宋体" w:eastAsia="宋体" w:cs="宋体"/>
          <w:b/>
          <w:u w:val="single"/>
        </w:rPr>
      </w:pPr>
      <w:r>
        <w:rPr>
          <w:rFonts w:hint="eastAsia" w:ascii="宋体" w:hAnsi="宋体" w:eastAsia="宋体" w:cs="宋体"/>
          <w:bCs/>
          <w:color w:val="000000" w:themeColor="text1"/>
          <w:sz w:val="32"/>
          <w:szCs w:val="32"/>
          <w14:textFill>
            <w14:solidFill>
              <w14:schemeClr w14:val="tx1"/>
            </w14:solidFill>
          </w14:textFill>
        </w:rPr>
        <w:t>审批：</w:t>
      </w:r>
      <w:r>
        <w:rPr>
          <w:rFonts w:hint="eastAsia" w:ascii="宋体" w:hAnsi="宋体" w:eastAsia="宋体" w:cs="宋体"/>
          <w:b/>
          <w:u w:val="single"/>
        </w:rPr>
        <w:t xml:space="preserve">                  </w:t>
      </w:r>
    </w:p>
    <w:p>
      <w:pPr>
        <w:adjustRightInd w:val="0"/>
        <w:snapToGrid w:val="0"/>
        <w:spacing w:before="120" w:after="120"/>
        <w:ind w:left="720" w:leftChars="300" w:firstLine="3494" w:firstLineChars="1450"/>
        <w:rPr>
          <w:rFonts w:ascii="宋体" w:hAnsi="宋体" w:eastAsia="宋体" w:cs="宋体"/>
          <w:b/>
        </w:rPr>
      </w:pPr>
    </w:p>
    <w:p>
      <w:pPr>
        <w:adjustRightInd w:val="0"/>
        <w:snapToGrid w:val="0"/>
        <w:spacing w:before="120" w:after="120"/>
        <w:ind w:left="720" w:leftChars="300" w:firstLine="2240" w:firstLineChars="700"/>
        <w:rPr>
          <w:rFonts w:ascii="宋体" w:hAnsi="宋体" w:eastAsia="宋体" w:cs="宋体"/>
          <w:b/>
          <w:u w:val="single"/>
        </w:rPr>
      </w:pPr>
      <w:r>
        <w:rPr>
          <w:rFonts w:hint="eastAsia" w:ascii="宋体" w:hAnsi="宋体" w:eastAsia="宋体" w:cs="宋体"/>
          <w:bCs/>
          <w:color w:val="000000" w:themeColor="text1"/>
          <w:sz w:val="32"/>
          <w:szCs w:val="32"/>
          <w14:textFill>
            <w14:solidFill>
              <w14:schemeClr w14:val="tx1"/>
            </w14:solidFill>
          </w14:textFill>
        </w:rPr>
        <w:t xml:space="preserve">审核： </w:t>
      </w:r>
      <w:r>
        <w:rPr>
          <w:rFonts w:hint="eastAsia" w:ascii="宋体" w:hAnsi="宋体" w:eastAsia="宋体" w:cs="宋体"/>
          <w:b/>
          <w:u w:val="single"/>
        </w:rPr>
        <w:t xml:space="preserve">                 </w:t>
      </w:r>
    </w:p>
    <w:p>
      <w:pPr>
        <w:adjustRightInd w:val="0"/>
        <w:snapToGrid w:val="0"/>
        <w:spacing w:before="120" w:after="120"/>
        <w:ind w:left="720" w:leftChars="300" w:firstLine="3494" w:firstLineChars="1450"/>
        <w:rPr>
          <w:rFonts w:ascii="宋体" w:hAnsi="宋体" w:eastAsia="宋体" w:cs="宋体"/>
          <w:b/>
        </w:rPr>
      </w:pPr>
    </w:p>
    <w:p>
      <w:pPr>
        <w:adjustRightInd w:val="0"/>
        <w:snapToGrid w:val="0"/>
        <w:spacing w:before="120" w:after="120"/>
        <w:ind w:left="720" w:leftChars="300" w:firstLine="2240" w:firstLineChars="700"/>
        <w:rPr>
          <w:rFonts w:ascii="宋体" w:hAnsi="宋体" w:eastAsia="宋体" w:cs="宋体"/>
        </w:rPr>
      </w:pPr>
      <w:r>
        <w:rPr>
          <w:rFonts w:hint="eastAsia" w:ascii="宋体" w:hAnsi="宋体" w:eastAsia="宋体" w:cs="宋体"/>
          <w:bCs/>
          <w:color w:val="000000" w:themeColor="text1"/>
          <w:sz w:val="32"/>
          <w:szCs w:val="32"/>
          <w14:textFill>
            <w14:solidFill>
              <w14:schemeClr w14:val="tx1"/>
            </w14:solidFill>
          </w14:textFill>
        </w:rPr>
        <w:t xml:space="preserve">编制： </w:t>
      </w:r>
      <w:r>
        <w:rPr>
          <w:rFonts w:hint="eastAsia" w:ascii="宋体" w:hAnsi="宋体" w:eastAsia="宋体" w:cs="宋体"/>
          <w:b/>
          <w:u w:val="single"/>
        </w:rPr>
        <w:t xml:space="preserve">                 </w:t>
      </w:r>
      <w:r>
        <w:rPr>
          <w:rFonts w:hint="eastAsia" w:ascii="宋体" w:hAnsi="宋体" w:eastAsia="宋体" w:cs="宋体"/>
        </w:rPr>
        <w:t xml:space="preserve">                   </w:t>
      </w:r>
    </w:p>
    <w:p>
      <w:pPr>
        <w:spacing w:before="120" w:after="120" w:line="240" w:lineRule="auto"/>
        <w:ind w:firstLine="0" w:firstLineChars="0"/>
        <w:jc w:val="both"/>
        <w:rPr>
          <w:rFonts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rPr>
        <w:t xml:space="preserve">                  </w:t>
      </w:r>
      <w:r>
        <w:rPr>
          <w:rFonts w:hint="eastAsia" w:ascii="宋体" w:hAnsi="宋体" w:eastAsia="宋体" w:cs="宋体"/>
          <w:bCs/>
          <w:color w:val="000000" w:themeColor="text1"/>
          <w:sz w:val="32"/>
          <w:szCs w:val="32"/>
          <w14:textFill>
            <w14:solidFill>
              <w14:schemeClr w14:val="tx1"/>
            </w14:solidFill>
          </w14:textFill>
        </w:rPr>
        <w:t xml:space="preserve">       2022年8月1日</w:t>
      </w:r>
    </w:p>
    <w:p>
      <w:pPr>
        <w:pStyle w:val="2"/>
        <w:rPr>
          <w:rFonts w:ascii="宋体" w:hAnsi="宋体" w:eastAsia="宋体" w:cs="宋体"/>
          <w:bCs/>
          <w:color w:val="000000" w:themeColor="text1"/>
          <w:sz w:val="32"/>
          <w:szCs w:val="32"/>
          <w14:textFill>
            <w14:solidFill>
              <w14:schemeClr w14:val="tx1"/>
            </w14:solidFill>
          </w14:textFill>
        </w:rPr>
      </w:pPr>
    </w:p>
    <w:p>
      <w:pPr>
        <w:widowControl/>
        <w:spacing w:after="120"/>
        <w:ind w:firstLine="482"/>
        <w:jc w:val="center"/>
      </w:pPr>
      <w:r>
        <w:rPr>
          <w:rFonts w:hint="eastAsia" w:ascii="宋体" w:hAnsi="宋体" w:eastAsia="宋体" w:cs="宋体"/>
          <w:b/>
          <w:bCs/>
          <w:color w:val="000000"/>
          <w:kern w:val="0"/>
          <w:lang w:bidi="ar"/>
        </w:rPr>
        <w:t>重庆钱桥建筑设备租赁有限公司</w:t>
      </w:r>
    </w:p>
    <w:p>
      <w:pPr>
        <w:spacing w:after="120"/>
        <w:ind w:firstLine="560"/>
        <w:rPr>
          <w:rFonts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br w:type="page"/>
      </w:r>
    </w:p>
    <w:p>
      <w:pPr>
        <w:pStyle w:val="16"/>
        <w:tabs>
          <w:tab w:val="right" w:leader="dot" w:pos="9071"/>
        </w:tabs>
        <w:spacing w:after="120"/>
        <w:ind w:firstLine="560"/>
        <w:jc w:val="center"/>
        <w:rPr>
          <w:rFonts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目  录</w:t>
      </w:r>
    </w:p>
    <w:p>
      <w:pPr>
        <w:pStyle w:val="16"/>
        <w:tabs>
          <w:tab w:val="right" w:leader="dot" w:pos="9071"/>
        </w:tabs>
        <w:spacing w:after="120"/>
        <w:ind w:firstLine="480"/>
        <w:rPr>
          <w:rFonts w:ascii="宋体" w:hAnsi="宋体" w:eastAsia="宋体" w:cs="宋体"/>
        </w:rPr>
      </w:pPr>
      <w:r>
        <w:rPr>
          <w:rFonts w:hint="eastAsia" w:ascii="宋体" w:hAnsi="宋体" w:eastAsia="宋体" w:cs="宋体"/>
          <w:bCs/>
          <w:color w:val="000000" w:themeColor="text1"/>
          <w14:textFill>
            <w14:solidFill>
              <w14:schemeClr w14:val="tx1"/>
            </w14:solidFill>
          </w14:textFill>
        </w:rPr>
        <w:fldChar w:fldCharType="begin"/>
      </w:r>
      <w:r>
        <w:rPr>
          <w:rFonts w:hint="eastAsia" w:ascii="宋体" w:hAnsi="宋体" w:eastAsia="宋体" w:cs="宋体"/>
          <w:bCs/>
          <w:color w:val="000000" w:themeColor="text1"/>
          <w14:textFill>
            <w14:solidFill>
              <w14:schemeClr w14:val="tx1"/>
            </w14:solidFill>
          </w14:textFill>
        </w:rPr>
        <w:instrText xml:space="preserve">TOC \o "1-2" \h \u </w:instrText>
      </w:r>
      <w:r>
        <w:rPr>
          <w:rFonts w:hint="eastAsia" w:ascii="宋体" w:hAnsi="宋体" w:eastAsia="宋体" w:cs="宋体"/>
          <w:bCs/>
          <w:color w:val="000000" w:themeColor="text1"/>
          <w14:textFill>
            <w14:solidFill>
              <w14:schemeClr w14:val="tx1"/>
            </w14:solidFill>
          </w14:textFill>
        </w:rPr>
        <w:fldChar w:fldCharType="separate"/>
      </w:r>
      <w:r>
        <w:fldChar w:fldCharType="begin"/>
      </w:r>
      <w:r>
        <w:instrText xml:space="preserve"> HYPERLINK \l "_Toc4440" </w:instrText>
      </w:r>
      <w:r>
        <w:fldChar w:fldCharType="separate"/>
      </w:r>
      <w:r>
        <w:rPr>
          <w:rFonts w:hint="eastAsia" w:ascii="宋体" w:hAnsi="宋体" w:eastAsia="宋体" w:cs="宋体"/>
          <w:bCs/>
        </w:rPr>
        <w:t>1. 编制依据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_Toc4440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"_Toc13587" </w:instrText>
      </w:r>
      <w:r>
        <w:fldChar w:fldCharType="separate"/>
      </w:r>
      <w:r>
        <w:rPr>
          <w:rFonts w:hint="eastAsia" w:ascii="宋体" w:hAnsi="宋体" w:eastAsia="宋体" w:cs="宋体"/>
          <w:bCs/>
        </w:rPr>
        <w:t>1.1国家相关法律、法规和规范性文件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_Toc13587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"_Toc13338" </w:instrText>
      </w:r>
      <w:r>
        <w:fldChar w:fldCharType="separate"/>
      </w:r>
      <w:r>
        <w:rPr>
          <w:rFonts w:hint="eastAsia" w:ascii="宋体" w:hAnsi="宋体" w:eastAsia="宋体" w:cs="宋体"/>
          <w:bCs/>
        </w:rPr>
        <w:t>1.2标准、规范、相关图纸及施工组织设计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_Toc13338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"_Toc9233" </w:instrText>
      </w:r>
      <w:r>
        <w:fldChar w:fldCharType="separate"/>
      </w:r>
      <w:r>
        <w:rPr>
          <w:rFonts w:hint="eastAsia" w:ascii="宋体" w:hAnsi="宋体" w:eastAsia="宋体" w:cs="宋体"/>
          <w:bCs/>
        </w:rPr>
        <w:t>2. 工程概况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_Toc9233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"_Toc18940" </w:instrText>
      </w:r>
      <w:r>
        <w:fldChar w:fldCharType="separate"/>
      </w:r>
      <w:r>
        <w:rPr>
          <w:rFonts w:hint="eastAsia" w:ascii="宋体" w:hAnsi="宋体" w:eastAsia="宋体" w:cs="宋体"/>
          <w:bCs/>
        </w:rPr>
        <w:t>2.1工程总体概况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_Toc18940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"_Toc32762" </w:instrText>
      </w:r>
      <w:r>
        <w:fldChar w:fldCharType="separate"/>
      </w:r>
      <w:r>
        <w:rPr>
          <w:rFonts w:hint="eastAsia" w:ascii="宋体" w:hAnsi="宋体" w:eastAsia="宋体" w:cs="宋体"/>
          <w:bCs/>
        </w:rPr>
        <w:t>2.2塔机安装工程概况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_Toc32762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"_Toc2868" </w:instrText>
      </w:r>
      <w:r>
        <w:fldChar w:fldCharType="separate"/>
      </w:r>
      <w:r>
        <w:rPr>
          <w:rFonts w:hint="eastAsia" w:ascii="宋体" w:hAnsi="宋体" w:eastAsia="宋体" w:cs="宋体"/>
          <w:bCs/>
        </w:rPr>
        <w:t>2.3危大工程概况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_Toc2868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"_Toc13461" </w:instrText>
      </w:r>
      <w:r>
        <w:fldChar w:fldCharType="separate"/>
      </w:r>
      <w:r>
        <w:rPr>
          <w:rFonts w:hint="eastAsia" w:ascii="宋体" w:hAnsi="宋体" w:eastAsia="宋体" w:cs="宋体"/>
          <w:bCs/>
        </w:rPr>
        <w:t>3. 塔机概况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_Toc13461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"_Toc7983" </w:instrText>
      </w:r>
      <w:r>
        <w:fldChar w:fldCharType="separate"/>
      </w:r>
      <w:r>
        <w:rPr>
          <w:rFonts w:hint="eastAsia" w:ascii="宋体" w:hAnsi="宋体" w:eastAsia="宋体" w:cs="宋体"/>
          <w:bCs/>
        </w:rPr>
        <w:t>3.1塔机基本性能参数表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_Toc7983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"_Toc4958" </w:instrText>
      </w:r>
      <w:r>
        <w:fldChar w:fldCharType="separate"/>
      </w:r>
      <w:r>
        <w:rPr>
          <w:rFonts w:hint="eastAsia" w:ascii="宋体" w:hAnsi="宋体" w:eastAsia="宋体" w:cs="宋体"/>
          <w:bCs/>
        </w:rPr>
        <w:t>3.2塔机起重性能表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_Toc4958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"_Toc8782" </w:instrText>
      </w:r>
      <w:r>
        <w:fldChar w:fldCharType="separate"/>
      </w:r>
      <w:r>
        <w:rPr>
          <w:rFonts w:hint="eastAsia" w:ascii="宋体" w:hAnsi="宋体" w:eastAsia="宋体" w:cs="宋体"/>
          <w:bCs/>
        </w:rPr>
        <w:t>3.3塔吊主要外形结构图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_Toc8782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"_Toc23730" </w:instrText>
      </w:r>
      <w:r>
        <w:fldChar w:fldCharType="separate"/>
      </w:r>
      <w:r>
        <w:rPr>
          <w:rFonts w:hint="eastAsia" w:ascii="宋体" w:hAnsi="宋体" w:eastAsia="宋体" w:cs="宋体"/>
          <w:bCs/>
        </w:rPr>
        <w:t>3.4塔机主要零部件的重量及吊点位置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_Toc23730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"_Toc15066" </w:instrText>
      </w:r>
      <w:r>
        <w:fldChar w:fldCharType="separate"/>
      </w:r>
      <w:r>
        <w:rPr>
          <w:rFonts w:hint="eastAsia" w:ascii="宋体" w:hAnsi="宋体" w:eastAsia="宋体" w:cs="宋体"/>
          <w:bCs/>
        </w:rPr>
        <w:t>4. 基础设置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_Toc15066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"_Toc28568" </w:instrText>
      </w:r>
      <w:r>
        <w:fldChar w:fldCharType="separate"/>
      </w:r>
      <w:r>
        <w:rPr>
          <w:rFonts w:hint="eastAsia" w:ascii="宋体" w:hAnsi="宋体" w:eastAsia="宋体" w:cs="宋体"/>
          <w:bCs/>
        </w:rPr>
        <w:t>5. 施工计划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_Toc28568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"_Toc15921" </w:instrText>
      </w:r>
      <w:r>
        <w:fldChar w:fldCharType="separate"/>
      </w:r>
      <w:r>
        <w:rPr>
          <w:rFonts w:hint="eastAsia" w:ascii="宋体" w:hAnsi="宋体" w:eastAsia="宋体" w:cs="宋体"/>
          <w:bCs/>
        </w:rPr>
        <w:t>5.1工程总体目标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_Toc15921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"_Toc15513" </w:instrText>
      </w:r>
      <w:r>
        <w:fldChar w:fldCharType="separate"/>
      </w:r>
      <w:r>
        <w:rPr>
          <w:rFonts w:hint="eastAsia" w:ascii="宋体" w:hAnsi="宋体" w:eastAsia="宋体" w:cs="宋体"/>
          <w:bCs/>
        </w:rPr>
        <w:t>5.2施工生产管理机构设置及职责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_Toc15513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"_Toc12474" </w:instrText>
      </w:r>
      <w:r>
        <w:fldChar w:fldCharType="separate"/>
      </w:r>
      <w:r>
        <w:rPr>
          <w:rFonts w:hint="eastAsia" w:ascii="宋体" w:hAnsi="宋体" w:eastAsia="宋体" w:cs="宋体"/>
          <w:bCs/>
        </w:rPr>
        <w:t>5.3施工进度计划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_Toc12474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"_Toc15486" </w:instrText>
      </w:r>
      <w:r>
        <w:fldChar w:fldCharType="separate"/>
      </w:r>
      <w:r>
        <w:rPr>
          <w:rFonts w:hint="eastAsia" w:ascii="宋体" w:hAnsi="宋体" w:eastAsia="宋体" w:cs="宋体"/>
          <w:bCs/>
        </w:rPr>
        <w:t>5.4材料及设备计划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_Toc15486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"_Toc32295" </w:instrText>
      </w:r>
      <w:r>
        <w:fldChar w:fldCharType="separate"/>
      </w:r>
      <w:r>
        <w:rPr>
          <w:rFonts w:hint="eastAsia" w:ascii="宋体" w:hAnsi="宋体" w:eastAsia="宋体" w:cs="宋体"/>
          <w:bCs/>
          <w:szCs w:val="22"/>
        </w:rPr>
        <w:t>6. 安装工艺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_Toc32295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"_Toc29179" </w:instrText>
      </w:r>
      <w:r>
        <w:fldChar w:fldCharType="separate"/>
      </w:r>
      <w:r>
        <w:rPr>
          <w:rFonts w:hint="eastAsia" w:ascii="宋体" w:hAnsi="宋体" w:eastAsia="宋体" w:cs="宋体"/>
          <w:bCs/>
        </w:rPr>
        <w:t>6.1安装前的条件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_Toc29179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"_Toc29958" </w:instrText>
      </w:r>
      <w:r>
        <w:fldChar w:fldCharType="separate"/>
      </w:r>
      <w:r>
        <w:rPr>
          <w:rFonts w:hint="eastAsia" w:ascii="宋体" w:hAnsi="宋体" w:eastAsia="宋体" w:cs="宋体"/>
          <w:bCs/>
        </w:rPr>
        <w:t>6.2安装辅助设备的选择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_Toc29958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"_Toc30077" </w:instrText>
      </w:r>
      <w:r>
        <w:fldChar w:fldCharType="separate"/>
      </w:r>
      <w:r>
        <w:rPr>
          <w:rFonts w:hint="eastAsia" w:ascii="宋体" w:hAnsi="宋体" w:eastAsia="宋体" w:cs="宋体"/>
          <w:bCs/>
        </w:rPr>
        <w:t>6.3安装工艺流程及技术要求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_Toc30077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"_Toc10173" </w:instrText>
      </w:r>
      <w:r>
        <w:fldChar w:fldCharType="separate"/>
      </w:r>
      <w:r>
        <w:rPr>
          <w:rFonts w:hint="eastAsia" w:ascii="宋体" w:hAnsi="宋体" w:eastAsia="宋体" w:cs="宋体"/>
          <w:bCs/>
        </w:rPr>
        <w:t>7.施工保障措施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_Toc10173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"_Toc17603" </w:instrText>
      </w:r>
      <w:r>
        <w:fldChar w:fldCharType="separate"/>
      </w:r>
      <w:r>
        <w:rPr>
          <w:rFonts w:hint="eastAsia" w:ascii="宋体" w:hAnsi="宋体" w:eastAsia="宋体" w:cs="宋体"/>
          <w:bCs/>
        </w:rPr>
        <w:t>7.1安全保证措施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_Toc17603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"_Toc9811" </w:instrText>
      </w:r>
      <w:r>
        <w:fldChar w:fldCharType="separate"/>
      </w:r>
      <w:r>
        <w:rPr>
          <w:rFonts w:hint="eastAsia" w:ascii="宋体" w:hAnsi="宋体" w:eastAsia="宋体" w:cs="宋体"/>
          <w:bCs/>
        </w:rPr>
        <w:t>7.2质量保证措施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_Toc9811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"_Toc7145" </w:instrText>
      </w:r>
      <w:r>
        <w:fldChar w:fldCharType="separate"/>
      </w:r>
      <w:r>
        <w:rPr>
          <w:rFonts w:hint="eastAsia" w:ascii="宋体" w:hAnsi="宋体" w:eastAsia="宋体" w:cs="宋体"/>
          <w:bCs/>
        </w:rPr>
        <w:t>7.3文明施工与环境保护措施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_Toc7145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"_Toc24518" </w:instrText>
      </w:r>
      <w:r>
        <w:fldChar w:fldCharType="separate"/>
      </w:r>
      <w:r>
        <w:rPr>
          <w:rFonts w:hint="eastAsia" w:ascii="宋体" w:hAnsi="宋体" w:eastAsia="宋体" w:cs="宋体"/>
          <w:bCs/>
        </w:rPr>
        <w:t>7.4现场消防、保卫措施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_Toc24518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"_Toc3076" </w:instrText>
      </w:r>
      <w:r>
        <w:fldChar w:fldCharType="separate"/>
      </w:r>
      <w:r>
        <w:rPr>
          <w:rFonts w:hint="eastAsia" w:ascii="宋体" w:hAnsi="宋体" w:eastAsia="宋体" w:cs="宋体"/>
          <w:bCs/>
          <w:szCs w:val="32"/>
        </w:rPr>
        <w:t>8.验收标准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_Toc3076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"_Toc11958" </w:instrText>
      </w:r>
      <w:r>
        <w:fldChar w:fldCharType="separate"/>
      </w:r>
      <w:r>
        <w:rPr>
          <w:rFonts w:hint="eastAsia" w:ascii="宋体" w:hAnsi="宋体" w:eastAsia="宋体" w:cs="宋体"/>
          <w:bCs/>
          <w:szCs w:val="22"/>
        </w:rPr>
        <w:t>9.应急预案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_Toc11958 \h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"_Toc25488" </w:instrText>
      </w:r>
      <w:r>
        <w:fldChar w:fldCharType="separate"/>
      </w:r>
      <w:r>
        <w:rPr>
          <w:rFonts w:hint="eastAsia" w:ascii="宋体" w:hAnsi="宋体" w:eastAsia="宋体" w:cs="宋体"/>
        </w:rPr>
        <w:t>9.1应救援领导小组组成与职责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_Toc25488 \h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"_Toc29859" </w:instrText>
      </w:r>
      <w:r>
        <w:fldChar w:fldCharType="separate"/>
      </w:r>
      <w:r>
        <w:rPr>
          <w:rFonts w:hint="eastAsia" w:ascii="宋体" w:hAnsi="宋体" w:eastAsia="宋体" w:cs="宋体"/>
        </w:rPr>
        <w:t>9.2 应急救援小组组成及职责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_Toc29859 \h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"_Toc24368" </w:instrText>
      </w:r>
      <w:r>
        <w:fldChar w:fldCharType="separate"/>
      </w:r>
      <w:r>
        <w:rPr>
          <w:rFonts w:hint="eastAsia" w:ascii="宋体" w:hAnsi="宋体" w:eastAsia="宋体" w:cs="宋体"/>
        </w:rPr>
        <w:t>9.3 应急救援工作流程及应对措施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_Toc24368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"_Toc40" </w:instrText>
      </w:r>
      <w:r>
        <w:fldChar w:fldCharType="separate"/>
      </w:r>
      <w:r>
        <w:rPr>
          <w:rFonts w:hint="eastAsia" w:ascii="宋体" w:hAnsi="宋体" w:eastAsia="宋体" w:cs="宋体"/>
        </w:rPr>
        <w:t>9.4 应急物资及设备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"_Toc3477" </w:instrText>
      </w:r>
      <w:r>
        <w:fldChar w:fldCharType="separate"/>
      </w:r>
      <w:r>
        <w:rPr>
          <w:rFonts w:hint="eastAsia" w:ascii="宋体" w:hAnsi="宋体" w:eastAsia="宋体" w:cs="宋体"/>
        </w:rPr>
        <w:t>9.5 应急联系电话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_Toc3477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"_Toc7618" </w:instrText>
      </w:r>
      <w:r>
        <w:fldChar w:fldCharType="separate"/>
      </w:r>
      <w:r>
        <w:rPr>
          <w:rFonts w:hint="eastAsia" w:ascii="宋体" w:hAnsi="宋体" w:eastAsia="宋体" w:cs="宋体"/>
        </w:rPr>
        <w:t>9.6 塔吊倾翻突发事件应急预案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_Toc7618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"_Toc26508" </w:instrText>
      </w:r>
      <w:r>
        <w:fldChar w:fldCharType="separate"/>
      </w:r>
      <w:r>
        <w:rPr>
          <w:rFonts w:hint="eastAsia" w:ascii="宋体" w:hAnsi="宋体" w:eastAsia="宋体" w:cs="宋体"/>
        </w:rPr>
        <w:t>9.7现场恢复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_Toc26508 \h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"_Toc28718" </w:instrText>
      </w:r>
      <w:r>
        <w:fldChar w:fldCharType="separate"/>
      </w:r>
      <w:r>
        <w:rPr>
          <w:rFonts w:hint="eastAsia" w:ascii="宋体" w:hAnsi="宋体" w:eastAsia="宋体" w:cs="宋体"/>
        </w:rPr>
        <w:t>9.8预案管理与评审改进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_Toc28718 \h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"_Toc25980" </w:instrText>
      </w:r>
      <w:r>
        <w:fldChar w:fldCharType="separate"/>
      </w:r>
      <w:r>
        <w:rPr>
          <w:rFonts w:hint="eastAsia" w:ascii="宋体" w:hAnsi="宋体" w:eastAsia="宋体" w:cs="宋体"/>
        </w:rPr>
        <w:t>9.9应急机构及相关联系方式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_Toc25980 \h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"_Toc21605" </w:instrText>
      </w:r>
      <w:r>
        <w:fldChar w:fldCharType="separate"/>
      </w:r>
      <w:r>
        <w:rPr>
          <w:rFonts w:hint="eastAsia" w:ascii="宋体" w:hAnsi="宋体" w:eastAsia="宋体" w:cs="宋体"/>
          <w:bCs/>
          <w:szCs w:val="22"/>
        </w:rPr>
        <w:t>10辅助起重设备参数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_Toc21605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rPr>
        <w:fldChar w:fldCharType="end"/>
      </w:r>
    </w:p>
    <w:p>
      <w:pPr>
        <w:pStyle w:val="16"/>
        <w:tabs>
          <w:tab w:val="right" w:leader="dot" w:pos="9071"/>
        </w:tabs>
        <w:spacing w:after="120"/>
        <w:ind w:firstLine="480"/>
        <w:rPr>
          <w:rFonts w:ascii="宋体" w:hAnsi="宋体" w:eastAsia="宋体" w:cs="宋体"/>
        </w:rPr>
      </w:pPr>
      <w:r>
        <w:fldChar w:fldCharType="begin"/>
      </w:r>
      <w:r>
        <w:instrText xml:space="preserve"> HYPERLINK \l "_Toc26080" </w:instrText>
      </w:r>
      <w:r>
        <w:fldChar w:fldCharType="separate"/>
      </w:r>
      <w:r>
        <w:rPr>
          <w:rFonts w:hint="eastAsia" w:ascii="宋体" w:hAnsi="宋体" w:eastAsia="宋体" w:cs="宋体"/>
          <w:bCs/>
          <w:szCs w:val="22"/>
        </w:rPr>
        <w:t>11.计算书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_Toc26080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"_Toc30393" </w:instrText>
      </w:r>
      <w:r>
        <w:fldChar w:fldCharType="separate"/>
      </w:r>
      <w:r>
        <w:rPr>
          <w:rFonts w:hint="eastAsia" w:ascii="宋体" w:hAnsi="宋体" w:eastAsia="宋体" w:cs="宋体"/>
          <w:bCs/>
        </w:rPr>
        <w:t>11.1选用起重设备站位点承载力计算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_Toc30393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17"/>
        <w:tabs>
          <w:tab w:val="right" w:leader="dot" w:pos="9071"/>
        </w:tabs>
        <w:spacing w:after="120"/>
        <w:ind w:left="480" w:firstLine="480"/>
        <w:rPr>
          <w:rFonts w:ascii="宋体" w:hAnsi="宋体" w:eastAsia="宋体" w:cs="宋体"/>
        </w:rPr>
      </w:pPr>
      <w:r>
        <w:fldChar w:fldCharType="begin"/>
      </w:r>
      <w:r>
        <w:instrText xml:space="preserve"> HYPERLINK \l "_Toc5249" </w:instrText>
      </w:r>
      <w:r>
        <w:fldChar w:fldCharType="separate"/>
      </w:r>
      <w:r>
        <w:rPr>
          <w:rFonts w:hint="eastAsia" w:ascii="宋体" w:hAnsi="宋体" w:eastAsia="宋体" w:cs="宋体"/>
          <w:bCs/>
        </w:rPr>
        <w:t>11.2选用的吊索受力计算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_Toc5249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spacing w:after="120"/>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fldChar w:fldCharType="end"/>
      </w:r>
    </w:p>
    <w:p>
      <w:pPr>
        <w:tabs>
          <w:tab w:val="center" w:pos="4535"/>
        </w:tabs>
        <w:spacing w:after="120"/>
        <w:ind w:firstLine="0" w:firstLineChars="0"/>
        <w:rPr>
          <w:rFonts w:ascii="宋体" w:hAnsi="宋体" w:eastAsia="宋体" w:cs="宋体"/>
          <w:color w:val="000000" w:themeColor="text1"/>
          <w14:textFill>
            <w14:solidFill>
              <w14:schemeClr w14:val="tx1"/>
            </w14:solidFill>
          </w14:textFill>
        </w:rPr>
        <w:sectPr>
          <w:headerReference r:id="rId5" w:type="default"/>
          <w:footerReference r:id="rId6" w:type="default"/>
          <w:pgSz w:w="11906" w:h="16838"/>
          <w:pgMar w:top="1417" w:right="1134" w:bottom="1417" w:left="1701" w:header="851" w:footer="850" w:gutter="0"/>
          <w:pgNumType w:start="1"/>
          <w:cols w:space="0" w:num="1"/>
          <w:docGrid w:linePitch="312" w:charSpace="0"/>
        </w:sectPr>
      </w:pPr>
    </w:p>
    <w:p>
      <w:pPr>
        <w:pStyle w:val="3"/>
        <w:numPr>
          <w:ilvl w:val="0"/>
          <w:numId w:val="2"/>
        </w:numPr>
        <w:spacing w:before="156" w:after="156"/>
        <w:rPr>
          <w:rFonts w:ascii="宋体" w:hAnsi="宋体" w:eastAsia="宋体" w:cs="宋体"/>
          <w:b w:val="0"/>
          <w:bCs/>
          <w:color w:val="000000" w:themeColor="text1"/>
          <w:sz w:val="24"/>
          <w:szCs w:val="24"/>
          <w14:textFill>
            <w14:solidFill>
              <w14:schemeClr w14:val="tx1"/>
            </w14:solidFill>
          </w14:textFill>
        </w:rPr>
      </w:pPr>
      <w:bookmarkStart w:id="0" w:name="_Toc4440"/>
      <w:r>
        <w:rPr>
          <w:rFonts w:hint="eastAsia" w:ascii="宋体" w:hAnsi="宋体" w:eastAsia="宋体" w:cs="宋体"/>
          <w:b w:val="0"/>
          <w:bCs/>
          <w:color w:val="000000" w:themeColor="text1"/>
          <w:sz w:val="24"/>
          <w:szCs w:val="24"/>
          <w14:textFill>
            <w14:solidFill>
              <w14:schemeClr w14:val="tx1"/>
            </w14:solidFill>
          </w14:textFill>
        </w:rPr>
        <w:t>编制依据</w:t>
      </w:r>
      <w:bookmarkEnd w:id="0"/>
    </w:p>
    <w:p>
      <w:pPr>
        <w:pStyle w:val="4"/>
        <w:spacing w:before="156" w:after="156"/>
        <w:rPr>
          <w:rFonts w:ascii="宋体" w:hAnsi="宋体" w:eastAsia="宋体" w:cs="宋体"/>
          <w:bCs/>
          <w:color w:val="000000" w:themeColor="text1"/>
          <w:sz w:val="24"/>
          <w14:textFill>
            <w14:solidFill>
              <w14:schemeClr w14:val="tx1"/>
            </w14:solidFill>
          </w14:textFill>
        </w:rPr>
      </w:pPr>
      <w:bookmarkStart w:id="1" w:name="_Toc13587"/>
      <w:r>
        <w:rPr>
          <w:rFonts w:hint="eastAsia" w:ascii="宋体" w:hAnsi="宋体" w:eastAsia="宋体" w:cs="宋体"/>
          <w:bCs/>
          <w:color w:val="000000" w:themeColor="text1"/>
          <w:sz w:val="24"/>
          <w14:textFill>
            <w14:solidFill>
              <w14:schemeClr w14:val="tx1"/>
            </w14:solidFill>
          </w14:textFill>
        </w:rPr>
        <w:t>1.1国家相关法律、法规和规范性文件</w:t>
      </w:r>
      <w:bookmarkEnd w:id="1"/>
    </w:p>
    <w:p>
      <w:pPr>
        <w:pStyle w:val="8"/>
        <w:ind w:firstLine="480"/>
        <w:rPr>
          <w:sz w:val="24"/>
          <w:szCs w:val="24"/>
        </w:rPr>
      </w:pPr>
      <w:bookmarkStart w:id="2" w:name="_Toc9233"/>
      <w:r>
        <w:rPr>
          <w:rFonts w:hint="eastAsia"/>
          <w:sz w:val="24"/>
          <w:szCs w:val="24"/>
        </w:rPr>
        <w:t>⑴《建设工程安全生产管理条例》（国务院令第393号）；</w:t>
      </w:r>
    </w:p>
    <w:p>
      <w:pPr>
        <w:pStyle w:val="8"/>
        <w:ind w:firstLine="480"/>
        <w:rPr>
          <w:sz w:val="24"/>
          <w:szCs w:val="24"/>
        </w:rPr>
      </w:pPr>
      <w:r>
        <w:rPr>
          <w:rFonts w:hint="eastAsia"/>
          <w:sz w:val="24"/>
          <w:szCs w:val="24"/>
        </w:rPr>
        <w:t>⑵《安全生产事故隐患排查治理暂行规定》（国家安全生产监督管理总局令第16号）；</w:t>
      </w:r>
    </w:p>
    <w:p>
      <w:pPr>
        <w:pStyle w:val="8"/>
        <w:ind w:firstLine="480"/>
        <w:rPr>
          <w:sz w:val="24"/>
          <w:szCs w:val="24"/>
        </w:rPr>
      </w:pPr>
      <w:r>
        <w:rPr>
          <w:rFonts w:hint="eastAsia"/>
          <w:sz w:val="24"/>
          <w:szCs w:val="24"/>
        </w:rPr>
        <w:t>⑶《交通运输突发事件应急管理规定》（2011年11月14日交通运输部令2011年第9号）；</w:t>
      </w:r>
    </w:p>
    <w:p>
      <w:pPr>
        <w:spacing w:after="0" w:afterLines="0" w:line="360" w:lineRule="auto"/>
        <w:ind w:firstLine="480"/>
        <w:rPr>
          <w:rFonts w:cs="仿宋"/>
          <w:kern w:val="3"/>
        </w:rPr>
      </w:pPr>
      <w:r>
        <w:rPr>
          <w:rFonts w:hint="eastAsia" w:cs="仿宋"/>
          <w:kern w:val="3"/>
        </w:rPr>
        <w:t>⑷《中华人民共和国特种设备安全法》（</w:t>
      </w:r>
      <w:r>
        <w:rPr>
          <w:rFonts w:cs="仿宋"/>
          <w:kern w:val="3"/>
        </w:rPr>
        <w:t>2013</w:t>
      </w:r>
      <w:r>
        <w:rPr>
          <w:rFonts w:hint="eastAsia" w:cs="仿宋"/>
          <w:kern w:val="3"/>
        </w:rPr>
        <w:t>主席令</w:t>
      </w:r>
      <w:r>
        <w:rPr>
          <w:rFonts w:cs="仿宋"/>
          <w:kern w:val="3"/>
        </w:rPr>
        <w:t>4</w:t>
      </w:r>
      <w:r>
        <w:rPr>
          <w:rFonts w:hint="eastAsia" w:cs="仿宋"/>
          <w:kern w:val="3"/>
        </w:rPr>
        <w:t>号）；</w:t>
      </w:r>
    </w:p>
    <w:p>
      <w:pPr>
        <w:spacing w:after="0" w:afterLines="0" w:line="360" w:lineRule="auto"/>
        <w:ind w:firstLine="480"/>
        <w:rPr>
          <w:rFonts w:cs="仿宋"/>
          <w:kern w:val="3"/>
        </w:rPr>
      </w:pPr>
      <w:r>
        <w:rPr>
          <w:rFonts w:hint="eastAsia" w:cs="仿宋"/>
          <w:kern w:val="3"/>
        </w:rPr>
        <w:t>⑸《中华人民共和国安全生产法》（中华人民共和国主席令88号）；</w:t>
      </w:r>
    </w:p>
    <w:p>
      <w:pPr>
        <w:spacing w:after="0" w:afterLines="0" w:line="360" w:lineRule="auto"/>
        <w:ind w:firstLine="480"/>
        <w:rPr>
          <w:rFonts w:cs="仿宋"/>
          <w:kern w:val="3"/>
        </w:rPr>
      </w:pPr>
      <w:r>
        <w:rPr>
          <w:rFonts w:hint="eastAsia" w:cs="仿宋"/>
          <w:kern w:val="3"/>
        </w:rPr>
        <w:t>⑹《中华人民共和国道路交通安全法》（</w:t>
      </w:r>
      <w:r>
        <w:rPr>
          <w:rFonts w:cs="仿宋"/>
          <w:kern w:val="3"/>
        </w:rPr>
        <w:t>2011</w:t>
      </w:r>
      <w:r>
        <w:rPr>
          <w:rFonts w:hint="eastAsia" w:cs="仿宋"/>
          <w:kern w:val="3"/>
        </w:rPr>
        <w:t>主席令第81号）；</w:t>
      </w:r>
    </w:p>
    <w:p>
      <w:pPr>
        <w:spacing w:after="0" w:afterLines="0" w:line="360" w:lineRule="auto"/>
        <w:ind w:firstLine="480"/>
        <w:rPr>
          <w:rFonts w:cs="仿宋"/>
          <w:kern w:val="3"/>
        </w:rPr>
      </w:pPr>
      <w:r>
        <w:rPr>
          <w:rFonts w:hint="eastAsia" w:cs="仿宋"/>
          <w:kern w:val="3"/>
        </w:rPr>
        <w:t>⑺《安全生产事故应急预案管理办法》（中华人民共和国应急管理部令第</w:t>
      </w:r>
      <w:r>
        <w:rPr>
          <w:rFonts w:cs="仿宋"/>
          <w:kern w:val="3"/>
        </w:rPr>
        <w:t>2</w:t>
      </w:r>
      <w:r>
        <w:rPr>
          <w:rFonts w:hint="eastAsia" w:cs="仿宋"/>
          <w:kern w:val="3"/>
        </w:rPr>
        <w:t>号）；</w:t>
      </w:r>
    </w:p>
    <w:p>
      <w:pPr>
        <w:spacing w:after="0" w:afterLines="0" w:line="360" w:lineRule="auto"/>
        <w:ind w:firstLine="480"/>
        <w:rPr>
          <w:rFonts w:cs="仿宋"/>
          <w:kern w:val="3"/>
        </w:rPr>
      </w:pPr>
      <w:r>
        <w:rPr>
          <w:rFonts w:hint="eastAsia" w:cs="仿宋"/>
          <w:kern w:val="3"/>
        </w:rPr>
        <w:t>⑻《建筑起重机械安全监督管理规定》（中华人民共和国建设部令第</w:t>
      </w:r>
      <w:r>
        <w:rPr>
          <w:rFonts w:cs="仿宋"/>
          <w:kern w:val="3"/>
        </w:rPr>
        <w:t xml:space="preserve">166 </w:t>
      </w:r>
      <w:r>
        <w:rPr>
          <w:rFonts w:hint="eastAsia" w:cs="仿宋"/>
          <w:kern w:val="3"/>
        </w:rPr>
        <w:t>号）；</w:t>
      </w:r>
    </w:p>
    <w:p>
      <w:pPr>
        <w:spacing w:after="0" w:afterLines="0" w:line="360" w:lineRule="auto"/>
        <w:ind w:firstLine="480"/>
        <w:rPr>
          <w:rFonts w:cs="仿宋"/>
          <w:kern w:val="3"/>
        </w:rPr>
      </w:pPr>
      <w:r>
        <w:rPr>
          <w:rFonts w:hint="eastAsia" w:cs="仿宋"/>
          <w:kern w:val="3"/>
        </w:rPr>
        <w:t>⑼《特种设备安全监察条例》（国务院第</w:t>
      </w:r>
      <w:r>
        <w:rPr>
          <w:rFonts w:cs="仿宋"/>
          <w:kern w:val="3"/>
        </w:rPr>
        <w:t>373</w:t>
      </w:r>
      <w:r>
        <w:rPr>
          <w:rFonts w:hint="eastAsia" w:cs="仿宋"/>
          <w:kern w:val="3"/>
        </w:rPr>
        <w:t>号令）。</w:t>
      </w:r>
    </w:p>
    <w:p>
      <w:pPr>
        <w:numPr>
          <w:ilvl w:val="2"/>
          <w:numId w:val="3"/>
        </w:numPr>
        <w:spacing w:after="156" w:line="360" w:lineRule="auto"/>
        <w:ind w:firstLine="482"/>
        <w:outlineLvl w:val="2"/>
        <w:rPr>
          <w:rFonts w:cs="仿宋"/>
          <w:b/>
          <w:bCs/>
          <w:kern w:val="3"/>
        </w:rPr>
      </w:pPr>
      <w:bookmarkStart w:id="3" w:name="_Toc4359"/>
      <w:r>
        <w:rPr>
          <w:rFonts w:hint="eastAsia" w:cs="仿宋"/>
          <w:b/>
          <w:bCs/>
          <w:kern w:val="3"/>
        </w:rPr>
        <w:t>标准、规范</w:t>
      </w:r>
      <w:bookmarkEnd w:id="3"/>
    </w:p>
    <w:p>
      <w:pPr>
        <w:spacing w:after="0" w:afterLines="0" w:line="360" w:lineRule="auto"/>
        <w:ind w:firstLine="480"/>
        <w:rPr>
          <w:rFonts w:cs="仿宋"/>
          <w:kern w:val="3"/>
        </w:rPr>
      </w:pPr>
      <w:r>
        <w:rPr>
          <w:rFonts w:hint="eastAsia" w:cs="仿宋"/>
          <w:kern w:val="3"/>
        </w:rPr>
        <w:t>⑴《公路桥涵施工技术规范》（JTGT 3650-2020）；</w:t>
      </w:r>
    </w:p>
    <w:p>
      <w:pPr>
        <w:spacing w:after="0" w:afterLines="0" w:line="360" w:lineRule="auto"/>
        <w:ind w:firstLine="480"/>
        <w:rPr>
          <w:rFonts w:cs="仿宋"/>
          <w:kern w:val="3"/>
        </w:rPr>
      </w:pPr>
      <w:r>
        <w:rPr>
          <w:rFonts w:hint="eastAsia" w:cs="仿宋"/>
          <w:kern w:val="3"/>
        </w:rPr>
        <w:t>⑵《塔式起重机安全规程》（GB5144-2006）；</w:t>
      </w:r>
    </w:p>
    <w:p>
      <w:pPr>
        <w:spacing w:after="0" w:afterLines="0" w:line="360" w:lineRule="auto"/>
        <w:ind w:firstLine="480"/>
        <w:rPr>
          <w:rFonts w:cs="仿宋"/>
          <w:kern w:val="3"/>
        </w:rPr>
      </w:pPr>
      <w:r>
        <w:rPr>
          <w:rFonts w:hint="eastAsia" w:cs="仿宋"/>
          <w:kern w:val="3"/>
        </w:rPr>
        <w:t>⑶《塔式起重机》（GB/T 5031-2019）；</w:t>
      </w:r>
    </w:p>
    <w:p>
      <w:pPr>
        <w:spacing w:after="0" w:afterLines="0" w:line="360" w:lineRule="auto"/>
        <w:ind w:firstLine="480"/>
        <w:rPr>
          <w:rFonts w:cs="仿宋"/>
          <w:kern w:val="3"/>
        </w:rPr>
      </w:pPr>
      <w:r>
        <w:rPr>
          <w:rFonts w:hint="eastAsia" w:cs="仿宋"/>
          <w:kern w:val="3"/>
        </w:rPr>
        <w:t>⑷《起重设备安装工程施工及验收规范》（GB50278-2010）；</w:t>
      </w:r>
    </w:p>
    <w:p>
      <w:pPr>
        <w:spacing w:after="0" w:afterLines="0" w:line="360" w:lineRule="auto"/>
        <w:ind w:firstLine="480"/>
        <w:rPr>
          <w:rFonts w:cs="仿宋"/>
          <w:kern w:val="3"/>
        </w:rPr>
      </w:pPr>
      <w:r>
        <w:rPr>
          <w:rFonts w:hint="eastAsia" w:cs="仿宋"/>
          <w:kern w:val="3"/>
        </w:rPr>
        <w:t>⑸《重要用途钢丝绳》（GB8918-2006）；</w:t>
      </w:r>
    </w:p>
    <w:p>
      <w:pPr>
        <w:spacing w:after="0" w:afterLines="0" w:line="360" w:lineRule="auto"/>
        <w:ind w:firstLine="480"/>
        <w:rPr>
          <w:rFonts w:cs="仿宋"/>
          <w:kern w:val="3"/>
        </w:rPr>
      </w:pPr>
      <w:r>
        <w:rPr>
          <w:rFonts w:hint="eastAsia" w:cs="仿宋"/>
          <w:kern w:val="3"/>
        </w:rPr>
        <w:t>⑹《建筑机械使用安全技术规程》（JGJ33-2012）；</w:t>
      </w:r>
    </w:p>
    <w:p>
      <w:pPr>
        <w:spacing w:after="0" w:afterLines="0" w:line="360" w:lineRule="auto"/>
        <w:ind w:firstLine="480"/>
        <w:rPr>
          <w:rFonts w:cs="仿宋"/>
          <w:kern w:val="3"/>
        </w:rPr>
      </w:pPr>
      <w:r>
        <w:rPr>
          <w:rFonts w:hint="eastAsia" w:cs="仿宋"/>
          <w:kern w:val="3"/>
        </w:rPr>
        <w:t>⑺《施工现场临时用电安全技术规范》（JGJ46 -2005）；</w:t>
      </w:r>
    </w:p>
    <w:p>
      <w:pPr>
        <w:spacing w:after="0" w:afterLines="0" w:line="360" w:lineRule="auto"/>
        <w:ind w:firstLine="480"/>
        <w:rPr>
          <w:rFonts w:cs="仿宋"/>
          <w:kern w:val="3"/>
        </w:rPr>
      </w:pPr>
      <w:r>
        <w:rPr>
          <w:rFonts w:hint="eastAsia" w:cs="仿宋"/>
          <w:kern w:val="3"/>
        </w:rPr>
        <w:t>⑻《建筑施工安全检查标准》（JGJ59-2011）；</w:t>
      </w:r>
    </w:p>
    <w:p>
      <w:pPr>
        <w:spacing w:after="0" w:afterLines="0" w:line="360" w:lineRule="auto"/>
        <w:ind w:firstLine="480"/>
        <w:rPr>
          <w:rFonts w:cs="仿宋"/>
          <w:kern w:val="3"/>
        </w:rPr>
      </w:pPr>
      <w:r>
        <w:rPr>
          <w:rFonts w:hint="eastAsia" w:cs="仿宋"/>
          <w:kern w:val="3"/>
        </w:rPr>
        <w:t>⑼《建筑施工塔式起重机安装、使用、拆卸安全技术规程》（JGJ196-2010）；</w:t>
      </w:r>
    </w:p>
    <w:p>
      <w:pPr>
        <w:spacing w:after="0" w:afterLines="0" w:line="360" w:lineRule="auto"/>
        <w:ind w:firstLine="480"/>
        <w:rPr>
          <w:rFonts w:cs="仿宋"/>
          <w:kern w:val="3"/>
        </w:rPr>
      </w:pPr>
      <w:r>
        <w:rPr>
          <w:rFonts w:hint="eastAsia" w:cs="仿宋"/>
          <w:kern w:val="3"/>
        </w:rPr>
        <w:t>⑽《塔式起重机操作使用规程》（JG/T100-1999）；</w:t>
      </w:r>
    </w:p>
    <w:p>
      <w:pPr>
        <w:spacing w:after="0" w:afterLines="0" w:line="360" w:lineRule="auto"/>
        <w:ind w:firstLine="480"/>
        <w:rPr>
          <w:rFonts w:cs="仿宋"/>
          <w:kern w:val="3"/>
        </w:rPr>
      </w:pPr>
      <w:r>
        <w:rPr>
          <w:rFonts w:hint="eastAsia" w:cs="仿宋"/>
          <w:kern w:val="3"/>
        </w:rPr>
        <w:t>⑾《建筑施工起重吊装工程安全技术规范》（JGJ276-2012）；</w:t>
      </w:r>
    </w:p>
    <w:p>
      <w:pPr>
        <w:spacing w:after="0" w:afterLines="0" w:line="360" w:lineRule="auto"/>
        <w:ind w:firstLine="480"/>
        <w:rPr>
          <w:rFonts w:cs="仿宋"/>
          <w:kern w:val="3"/>
        </w:rPr>
      </w:pPr>
      <w:r>
        <w:rPr>
          <w:rFonts w:hint="eastAsia" w:cs="仿宋"/>
          <w:kern w:val="3"/>
        </w:rPr>
        <w:t>⑿《塔式起重机安装与拆卸规则》（GB/T 26471-2011）；</w:t>
      </w:r>
    </w:p>
    <w:p>
      <w:pPr>
        <w:spacing w:after="0" w:afterLines="0" w:line="360" w:lineRule="auto"/>
        <w:ind w:firstLine="480"/>
        <w:rPr>
          <w:rFonts w:cs="仿宋"/>
          <w:kern w:val="3"/>
        </w:rPr>
      </w:pPr>
      <w:r>
        <w:rPr>
          <w:rFonts w:hint="eastAsia" w:cs="仿宋"/>
          <w:kern w:val="3"/>
        </w:rPr>
        <w:t>⒀《塔式起重机设计规范》（GB/T 13752-2017）；</w:t>
      </w:r>
    </w:p>
    <w:p>
      <w:pPr>
        <w:spacing w:after="0" w:afterLines="0" w:line="360" w:lineRule="auto"/>
        <w:ind w:firstLine="480"/>
        <w:rPr>
          <w:rFonts w:cs="仿宋"/>
          <w:kern w:val="3"/>
        </w:rPr>
      </w:pPr>
      <w:r>
        <w:rPr>
          <w:rFonts w:hint="eastAsia" w:cs="仿宋"/>
          <w:kern w:val="3"/>
        </w:rPr>
        <w:t>⒁《公路工程施工安全技术规范》（JTG F90-2015）；</w:t>
      </w:r>
    </w:p>
    <w:p>
      <w:pPr>
        <w:spacing w:after="0" w:afterLines="0" w:line="360" w:lineRule="auto"/>
        <w:ind w:firstLine="480"/>
        <w:rPr>
          <w:rFonts w:cs="仿宋"/>
          <w:kern w:val="3"/>
        </w:rPr>
      </w:pPr>
      <w:r>
        <w:rPr>
          <w:rFonts w:hint="eastAsia" w:cs="仿宋"/>
          <w:kern w:val="3"/>
        </w:rPr>
        <w:t>⒂《建筑施工高处作业安全技术规范》（JGJ 80-2016）；</w:t>
      </w:r>
    </w:p>
    <w:p>
      <w:pPr>
        <w:spacing w:after="0" w:afterLines="0" w:line="360" w:lineRule="auto"/>
        <w:ind w:firstLine="480"/>
        <w:rPr>
          <w:rFonts w:cs="仿宋"/>
          <w:kern w:val="3"/>
        </w:rPr>
      </w:pPr>
      <w:r>
        <w:rPr>
          <w:rFonts w:hint="eastAsia" w:cs="仿宋"/>
          <w:kern w:val="3"/>
        </w:rPr>
        <w:t>⒃《一般用途钢丝绳吊索特性和技术条件》（GB/T16762-2009）；</w:t>
      </w:r>
    </w:p>
    <w:p>
      <w:pPr>
        <w:spacing w:after="0" w:afterLines="0" w:line="360" w:lineRule="auto"/>
        <w:ind w:firstLine="480"/>
        <w:rPr>
          <w:rFonts w:cs="仿宋"/>
          <w:kern w:val="3"/>
        </w:rPr>
      </w:pPr>
      <w:r>
        <w:rPr>
          <w:rFonts w:hint="eastAsia" w:cs="仿宋"/>
          <w:kern w:val="3"/>
        </w:rPr>
        <w:t>⒄《钢丝绳通用技术条件》（GB/T 20118-2017）；</w:t>
      </w:r>
    </w:p>
    <w:p>
      <w:pPr>
        <w:spacing w:after="0" w:afterLines="0" w:line="360" w:lineRule="auto"/>
        <w:ind w:firstLine="480"/>
        <w:rPr>
          <w:rFonts w:cs="仿宋"/>
          <w:kern w:val="3"/>
        </w:rPr>
      </w:pPr>
      <w:r>
        <w:rPr>
          <w:rFonts w:hint="eastAsia" w:cs="仿宋"/>
          <w:kern w:val="3"/>
        </w:rPr>
        <w:t>⒅《一般起重用D形和弓形锻造卸扣》（GB/T 25854-2010）；</w:t>
      </w:r>
    </w:p>
    <w:p>
      <w:pPr>
        <w:spacing w:after="0" w:afterLines="0" w:line="360" w:lineRule="auto"/>
        <w:ind w:firstLine="480"/>
        <w:rPr>
          <w:rFonts w:cs="仿宋"/>
          <w:kern w:val="3"/>
        </w:rPr>
      </w:pPr>
      <w:r>
        <w:rPr>
          <w:rFonts w:hint="eastAsia" w:cs="仿宋"/>
          <w:kern w:val="3"/>
        </w:rPr>
        <w:t>⒆《电气装置安装工程起重机电气装置施工及验收规范》（GB 50256-2014）；</w:t>
      </w:r>
    </w:p>
    <w:p>
      <w:pPr>
        <w:spacing w:after="0" w:afterLines="0" w:line="360" w:lineRule="auto"/>
        <w:ind w:firstLine="480"/>
        <w:rPr>
          <w:rFonts w:cs="仿宋"/>
          <w:kern w:val="3"/>
        </w:rPr>
      </w:pPr>
      <w:r>
        <w:rPr>
          <w:rFonts w:hint="eastAsia" w:cs="仿宋"/>
          <w:kern w:val="3"/>
        </w:rPr>
        <w:t>⒇《建筑地基基础设计规范》（GB 50007-2011）；</w:t>
      </w:r>
    </w:p>
    <w:p>
      <w:pPr>
        <w:spacing w:after="0" w:afterLines="0" w:line="360" w:lineRule="auto"/>
        <w:ind w:firstLine="368"/>
        <w:rPr>
          <w:rFonts w:cs="仿宋"/>
          <w:kern w:val="3"/>
        </w:rPr>
      </w:pPr>
      <w:r>
        <w:rPr>
          <w:rFonts w:hint="eastAsia" w:cs="仿宋"/>
          <w:spacing w:val="-28"/>
          <w:kern w:val="3"/>
        </w:rPr>
        <w:t>（21）</w:t>
      </w:r>
      <w:r>
        <w:rPr>
          <w:rFonts w:hint="eastAsia" w:cs="仿宋"/>
          <w:kern w:val="3"/>
        </w:rPr>
        <w:t>《起重机和起重机械 钢丝绳的选择 第2部分：流动式起重机》（GB/T 24811.2-2009）。</w:t>
      </w:r>
    </w:p>
    <w:p>
      <w:pPr>
        <w:pStyle w:val="8"/>
        <w:ind w:firstLine="480"/>
        <w:rPr>
          <w:sz w:val="24"/>
          <w:szCs w:val="24"/>
        </w:rPr>
      </w:pPr>
      <w:r>
        <w:rPr>
          <w:rFonts w:hint="eastAsia"/>
          <w:sz w:val="24"/>
          <w:szCs w:val="24"/>
        </w:rPr>
        <w:t>(22)《危险性较大的分部分项工程安全管理规定》（住建部令37号）</w:t>
      </w:r>
    </w:p>
    <w:p>
      <w:pPr>
        <w:numPr>
          <w:ilvl w:val="2"/>
          <w:numId w:val="3"/>
        </w:numPr>
        <w:spacing w:after="156" w:line="360" w:lineRule="auto"/>
        <w:ind w:firstLine="482"/>
        <w:outlineLvl w:val="2"/>
        <w:rPr>
          <w:rFonts w:cs="仿宋"/>
          <w:b/>
          <w:bCs/>
          <w:kern w:val="3"/>
        </w:rPr>
      </w:pPr>
      <w:bookmarkStart w:id="4" w:name="_Toc22225"/>
      <w:r>
        <w:rPr>
          <w:rFonts w:hint="eastAsia" w:cs="仿宋"/>
          <w:b/>
          <w:bCs/>
          <w:kern w:val="3"/>
        </w:rPr>
        <w:t>总体施工组织设计等前期文件</w:t>
      </w:r>
      <w:bookmarkEnd w:id="4"/>
    </w:p>
    <w:p>
      <w:pPr>
        <w:spacing w:after="0" w:afterLines="0" w:line="360" w:lineRule="auto"/>
        <w:ind w:firstLine="480"/>
        <w:rPr>
          <w:rFonts w:cs="仿宋"/>
          <w:kern w:val="3"/>
        </w:rPr>
      </w:pPr>
      <w:bookmarkStart w:id="5" w:name="_Hlk66180149"/>
      <w:bookmarkStart w:id="6" w:name="_Toc324"/>
      <w:r>
        <w:rPr>
          <w:rFonts w:hint="eastAsia" w:cs="仿宋"/>
          <w:kern w:val="3"/>
        </w:rPr>
        <w:t>⑴《鄂黄第二过江通道（燕矶长江大桥及接线）工程施工组织设计》；</w:t>
      </w:r>
    </w:p>
    <w:p>
      <w:pPr>
        <w:spacing w:after="0" w:afterLines="0" w:line="360" w:lineRule="auto"/>
        <w:ind w:firstLine="480"/>
        <w:rPr>
          <w:rFonts w:cs="仿宋"/>
          <w:kern w:val="3"/>
        </w:rPr>
      </w:pPr>
      <w:r>
        <w:rPr>
          <w:rFonts w:hint="eastAsia" w:cs="仿宋"/>
          <w:kern w:val="3"/>
        </w:rPr>
        <w:t>⑵现场地勘调查资料。</w:t>
      </w:r>
    </w:p>
    <w:bookmarkEnd w:id="5"/>
    <w:p>
      <w:pPr>
        <w:numPr>
          <w:ilvl w:val="2"/>
          <w:numId w:val="3"/>
        </w:numPr>
        <w:spacing w:after="156" w:line="360" w:lineRule="auto"/>
        <w:ind w:firstLine="482"/>
        <w:outlineLvl w:val="2"/>
        <w:rPr>
          <w:rFonts w:cs="仿宋"/>
          <w:b/>
          <w:bCs/>
          <w:kern w:val="3"/>
        </w:rPr>
      </w:pPr>
      <w:r>
        <w:rPr>
          <w:rFonts w:hint="eastAsia" w:cs="仿宋"/>
          <w:b/>
          <w:bCs/>
          <w:kern w:val="3"/>
        </w:rPr>
        <w:t>公司相关管理文件</w:t>
      </w:r>
      <w:bookmarkEnd w:id="6"/>
    </w:p>
    <w:p>
      <w:pPr>
        <w:spacing w:after="0" w:afterLines="0" w:line="360" w:lineRule="auto"/>
        <w:ind w:firstLine="480"/>
        <w:rPr>
          <w:rFonts w:cs="仿宋"/>
          <w:kern w:val="3"/>
        </w:rPr>
      </w:pPr>
      <w:bookmarkStart w:id="7" w:name="_Hlk66180183"/>
      <w:bookmarkStart w:id="8" w:name="_Hlk66180128"/>
      <w:r>
        <w:rPr>
          <w:rFonts w:hint="eastAsia" w:cs="仿宋"/>
          <w:kern w:val="3"/>
        </w:rPr>
        <w:t>⑴《XGT7528A-18S1塔式起重机使用说明书》</w:t>
      </w:r>
      <w:bookmarkEnd w:id="7"/>
    </w:p>
    <w:bookmarkEnd w:id="8"/>
    <w:p>
      <w:pPr>
        <w:pStyle w:val="3"/>
        <w:numPr>
          <w:ilvl w:val="0"/>
          <w:numId w:val="2"/>
        </w:numPr>
        <w:spacing w:before="156" w:after="156"/>
        <w:rPr>
          <w:rFonts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工程概况</w:t>
      </w:r>
      <w:bookmarkEnd w:id="2"/>
    </w:p>
    <w:p>
      <w:pPr>
        <w:pStyle w:val="4"/>
        <w:spacing w:before="156" w:after="156"/>
        <w:rPr>
          <w:rFonts w:ascii="宋体" w:hAnsi="宋体" w:eastAsia="宋体" w:cs="宋体"/>
          <w:bCs/>
          <w:color w:val="000000" w:themeColor="text1"/>
          <w:sz w:val="24"/>
          <w14:textFill>
            <w14:solidFill>
              <w14:schemeClr w14:val="tx1"/>
            </w14:solidFill>
          </w14:textFill>
        </w:rPr>
      </w:pPr>
      <w:bookmarkStart w:id="9" w:name="_Toc18940"/>
      <w:r>
        <w:rPr>
          <w:rFonts w:hint="eastAsia" w:ascii="宋体" w:hAnsi="宋体" w:eastAsia="宋体" w:cs="宋体"/>
          <w:bCs/>
          <w:color w:val="000000" w:themeColor="text1"/>
          <w:sz w:val="24"/>
          <w14:textFill>
            <w14:solidFill>
              <w14:schemeClr w14:val="tx1"/>
            </w14:solidFill>
          </w14:textFill>
        </w:rPr>
        <w:t>2.1工程总体概况</w:t>
      </w:r>
      <w:bookmarkEnd w:id="9"/>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工程总体简介见下表</w:t>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表2-1</w:t>
      </w:r>
    </w:p>
    <w:tbl>
      <w:tblPr>
        <w:tblStyle w:val="22"/>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516"/>
        <w:gridCol w:w="5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序号</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   目</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工程名称</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鄂黄第二过江通道（燕矶长江大桥及接线）工程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工程地址</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位于长江河道范围以外，鄂州侧防汛通道（自然高地） 远江侧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建设单位</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湖北交投燕矶长江大桥有限公司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总包单位</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中交第二航务工程局有限公司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监理单位</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武汉大通工程建设有限公司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设计单位</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中交第二公路勘察设计研究院有限公司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p>
        </w:tc>
        <w:tc>
          <w:tcPr>
            <w:tcW w:w="2276"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勘察单位</w:t>
            </w:r>
          </w:p>
        </w:tc>
        <w:tc>
          <w:tcPr>
            <w:tcW w:w="5364" w:type="dxa"/>
            <w:tcBorders>
              <w:tl2br w:val="nil"/>
              <w:tr2bl w:val="nil"/>
            </w:tcBorders>
            <w:vAlign w:val="center"/>
          </w:tcPr>
          <w:p>
            <w:pPr>
              <w:spacing w:after="0" w:afterLines="0" w:line="24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中交第二公路勘察设计研究院有限公司</w:t>
            </w:r>
          </w:p>
        </w:tc>
      </w:tr>
    </w:tbl>
    <w:p>
      <w:pPr>
        <w:pStyle w:val="61"/>
        <w:spacing w:after="156" w:line="546" w:lineRule="exact"/>
        <w:ind w:firstLine="480"/>
        <w:rPr>
          <w:sz w:val="24"/>
          <w:szCs w:val="24"/>
        </w:rPr>
      </w:pPr>
      <w:bookmarkStart w:id="10" w:name="_Toc32762"/>
      <w:r>
        <w:rPr>
          <w:color w:val="000000"/>
          <w:sz w:val="24"/>
          <w:szCs w:val="24"/>
        </w:rPr>
        <w:t>燕矶长江大桥鄂州侧锚碇位于长江河道范围以外，鄂州侧防汛通道（自然高地） 远江侧，该区域属构造剥蚀残丘区。主要是经过长期剥蚀切割、堆积，外貌呈低矮或 平缓的起伏地形。海拔高度</w:t>
      </w:r>
      <w:r>
        <w:rPr>
          <w:rFonts w:ascii="Times New Roman" w:hAnsi="Times New Roman" w:eastAsia="Times New Roman" w:cs="Times New Roman"/>
          <w:color w:val="000000"/>
          <w:sz w:val="24"/>
          <w:szCs w:val="24"/>
          <w:lang w:val="en-US" w:eastAsia="zh-CN" w:bidi="en-US"/>
        </w:rPr>
        <w:t>18.0</w:t>
      </w:r>
      <w:r>
        <w:rPr>
          <w:color w:val="000000"/>
          <w:sz w:val="24"/>
          <w:szCs w:val="24"/>
        </w:rPr>
        <w:t>〜</w:t>
      </w:r>
      <w:r>
        <w:rPr>
          <w:rFonts w:ascii="Times New Roman" w:hAnsi="Times New Roman" w:eastAsia="Times New Roman" w:cs="Times New Roman"/>
          <w:color w:val="000000"/>
          <w:sz w:val="24"/>
          <w:szCs w:val="24"/>
          <w:lang w:val="en-US" w:eastAsia="zh-CN" w:bidi="en-US"/>
        </w:rPr>
        <w:t>35.0m</w:t>
      </w:r>
      <w:r>
        <w:rPr>
          <w:color w:val="000000"/>
          <w:sz w:val="24"/>
          <w:szCs w:val="24"/>
        </w:rPr>
        <w:t>不等，锚碇附近的防汛通道路面标高为</w:t>
      </w:r>
      <w:r>
        <w:rPr>
          <w:rFonts w:ascii="Times New Roman" w:hAnsi="Times New Roman" w:eastAsia="Times New Roman" w:cs="Times New Roman"/>
          <w:color w:val="000000"/>
          <w:sz w:val="24"/>
          <w:szCs w:val="24"/>
          <w:lang w:val="en-US" w:eastAsia="zh-CN" w:bidi="en-US"/>
        </w:rPr>
        <w:t>29.36</w:t>
      </w:r>
      <w:r>
        <w:rPr>
          <w:color w:val="000000"/>
          <w:sz w:val="24"/>
          <w:szCs w:val="24"/>
        </w:rPr>
        <w:t xml:space="preserve">〜 </w:t>
      </w:r>
      <w:r>
        <w:rPr>
          <w:rFonts w:ascii="Times New Roman" w:hAnsi="Times New Roman" w:eastAsia="Times New Roman" w:cs="Times New Roman"/>
          <w:color w:val="000000"/>
          <w:sz w:val="24"/>
          <w:szCs w:val="24"/>
          <w:lang w:val="en-US" w:eastAsia="zh-CN" w:bidi="en-US"/>
        </w:rPr>
        <w:t>34.58m</w:t>
      </w:r>
      <w:r>
        <w:rPr>
          <w:color w:val="000000"/>
          <w:sz w:val="24"/>
          <w:szCs w:val="24"/>
        </w:rPr>
        <w:t>左右，自然高地之外的地表标高为</w:t>
      </w:r>
      <w:r>
        <w:rPr>
          <w:rFonts w:ascii="Times New Roman" w:hAnsi="Times New Roman" w:eastAsia="Times New Roman" w:cs="Times New Roman"/>
          <w:color w:val="000000"/>
          <w:sz w:val="24"/>
          <w:szCs w:val="24"/>
          <w:lang w:val="en-US" w:eastAsia="zh-CN" w:bidi="en-US"/>
        </w:rPr>
        <w:t>22.0</w:t>
      </w:r>
      <w:r>
        <w:rPr>
          <w:color w:val="000000"/>
          <w:sz w:val="24"/>
          <w:szCs w:val="24"/>
        </w:rPr>
        <w:t>〜</w:t>
      </w:r>
      <w:r>
        <w:rPr>
          <w:rFonts w:ascii="Times New Roman" w:hAnsi="Times New Roman" w:eastAsia="Times New Roman" w:cs="Times New Roman"/>
          <w:color w:val="000000"/>
          <w:sz w:val="24"/>
          <w:szCs w:val="24"/>
          <w:lang w:val="en-US" w:eastAsia="zh-CN" w:bidi="en-US"/>
        </w:rPr>
        <w:t>27.0m</w:t>
      </w:r>
      <w:r>
        <w:rPr>
          <w:color w:val="000000"/>
          <w:sz w:val="24"/>
          <w:szCs w:val="24"/>
        </w:rPr>
        <w:t>左右，总体山势平缓，相对高 差较小，局部山势较陡。植被发育，多以农作物和灌木为主。</w:t>
      </w:r>
    </w:p>
    <w:p>
      <w:pPr>
        <w:spacing w:after="156"/>
        <w:ind w:firstLine="480"/>
        <w:jc w:val="center"/>
      </w:pPr>
      <w:r>
        <w:drawing>
          <wp:inline distT="0" distB="0" distL="114300" distR="114300">
            <wp:extent cx="6059170" cy="4669790"/>
            <wp:effectExtent l="0" t="0" r="17780" b="16510"/>
            <wp:docPr id="16" name="Picutre 14"/>
            <wp:cNvGraphicFramePr/>
            <a:graphic xmlns:a="http://schemas.openxmlformats.org/drawingml/2006/main">
              <a:graphicData uri="http://schemas.openxmlformats.org/drawingml/2006/picture">
                <pic:pic xmlns:pic="http://schemas.openxmlformats.org/drawingml/2006/picture">
                  <pic:nvPicPr>
                    <pic:cNvPr id="16" name="Picutre 14"/>
                    <pic:cNvPicPr/>
                  </pic:nvPicPr>
                  <pic:blipFill>
                    <a:blip r:embed="rId16"/>
                    <a:stretch>
                      <a:fillRect/>
                    </a:stretch>
                  </pic:blipFill>
                  <pic:spPr>
                    <a:xfrm>
                      <a:off x="0" y="0"/>
                      <a:ext cx="6059170" cy="4669790"/>
                    </a:xfrm>
                    <a:prstGeom prst="rect">
                      <a:avLst/>
                    </a:prstGeom>
                  </pic:spPr>
                </pic:pic>
              </a:graphicData>
            </a:graphic>
          </wp:inline>
        </w:drawing>
      </w:r>
    </w:p>
    <w:p>
      <w:pPr>
        <w:autoSpaceDE w:val="0"/>
        <w:autoSpaceDN w:val="0"/>
        <w:spacing w:after="0" w:afterLines="0" w:line="360" w:lineRule="auto"/>
        <w:ind w:firstLine="480"/>
        <w:jc w:val="center"/>
        <w:rPr>
          <w:rFonts w:ascii="宋体" w:hAnsi="宋体" w:eastAsia="宋体" w:cs="宋体"/>
          <w:u w:val="double"/>
        </w:rPr>
      </w:pPr>
      <w:r>
        <w:rPr>
          <w:rFonts w:hint="eastAsia" w:ascii="宋体" w:hAnsi="宋体" w:eastAsia="宋体" w:cs="宋体"/>
          <w:u w:val="double"/>
        </w:rPr>
        <w:t>工程位置图</w:t>
      </w:r>
    </w:p>
    <w:p>
      <w:pPr>
        <w:pStyle w:val="2"/>
        <w:jc w:val="center"/>
        <w:rPr>
          <w:sz w:val="24"/>
        </w:rPr>
      </w:pPr>
      <w:r>
        <w:drawing>
          <wp:inline distT="0" distB="0" distL="114300" distR="114300">
            <wp:extent cx="5347970" cy="3790950"/>
            <wp:effectExtent l="0" t="0" r="1270" b="381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17"/>
                    <a:stretch>
                      <a:fillRect/>
                    </a:stretch>
                  </pic:blipFill>
                  <pic:spPr>
                    <a:xfrm>
                      <a:off x="0" y="0"/>
                      <a:ext cx="5347970" cy="3790950"/>
                    </a:xfrm>
                    <a:prstGeom prst="rect">
                      <a:avLst/>
                    </a:prstGeom>
                    <a:noFill/>
                    <a:ln>
                      <a:noFill/>
                    </a:ln>
                  </pic:spPr>
                </pic:pic>
              </a:graphicData>
            </a:graphic>
          </wp:inline>
        </w:drawing>
      </w:r>
    </w:p>
    <w:p>
      <w:pPr>
        <w:spacing w:after="156"/>
        <w:ind w:firstLine="0" w:firstLineChars="0"/>
        <w:jc w:val="center"/>
      </w:pPr>
      <w:r>
        <w:rPr>
          <w:rFonts w:hint="eastAsia"/>
        </w:rPr>
        <w:t>工程塔机平面布置图</w:t>
      </w:r>
    </w:p>
    <w:p>
      <w:pPr>
        <w:pStyle w:val="61"/>
        <w:spacing w:after="156" w:line="539" w:lineRule="exact"/>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锚碇区域周围共进行了 15处钻孔，钻孔揭露场区地层分述如下：</w:t>
      </w:r>
    </w:p>
    <w:p>
      <w:pPr>
        <w:pStyle w:val="61"/>
        <w:spacing w:after="156" w:line="539" w:lineRule="exact"/>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南锚锭区上部覆盖层主要为杂填土、素填土、粉质黏土，覆盖层厚2.1〜11.5m, 局部基岩出露，钻孔揭示覆盖层厚薄不均；下伏基岩为白垩〜第三系泥质粉砂岩、含 砾砂岩，钻孔揭示强风化层厚1.2-5.3m,风化层厚度略有起伏。中风化基岩强度较高, 属较软〜较硬岩，透水性轻微。锚碇下游侧山体局部岩石裸露，上游侧地表覆盖层较厚，覆盖层厚度桥轴线横向呈现明显减少趋势。</w:t>
      </w:r>
    </w:p>
    <w:p>
      <w:pPr>
        <w:pStyle w:val="65"/>
        <w:keepNext/>
        <w:keepLines/>
        <w:spacing w:after="156"/>
        <w:ind w:firstLine="482"/>
        <w:jc w:val="both"/>
        <w:outlineLvl w:val="1"/>
        <w:rPr>
          <w:sz w:val="24"/>
          <w:szCs w:val="24"/>
        </w:rPr>
      </w:pPr>
      <w:bookmarkStart w:id="11" w:name="bookmark112"/>
      <w:bookmarkStart w:id="12" w:name="bookmark114"/>
      <w:bookmarkStart w:id="13" w:name="bookmark113"/>
      <w:r>
        <w:rPr>
          <w:rFonts w:hint="eastAsia" w:ascii="Times New Roman" w:hAnsi="Times New Roman" w:eastAsia="宋体" w:cs="Times New Roman"/>
          <w:color w:val="000000"/>
          <w:sz w:val="24"/>
          <w:szCs w:val="24"/>
          <w:lang w:bidi="en-US"/>
        </w:rPr>
        <w:t>2.2</w:t>
      </w:r>
      <w:r>
        <w:rPr>
          <w:rFonts w:ascii="宋体" w:hAnsi="宋体" w:eastAsia="宋体" w:cs="宋体"/>
          <w:color w:val="000000"/>
          <w:sz w:val="24"/>
          <w:szCs w:val="24"/>
          <w:lang w:val="zh-TW" w:eastAsia="zh-TW" w:bidi="zh-TW"/>
        </w:rPr>
        <w:t>第四系冲洪积层</w:t>
      </w:r>
      <w:r>
        <w:rPr>
          <w:rFonts w:ascii="Times New Roman" w:hAnsi="Times New Roman" w:eastAsia="Times New Roman" w:cs="Times New Roman"/>
          <w:color w:val="000000"/>
          <w:sz w:val="24"/>
          <w:szCs w:val="24"/>
          <w:lang w:bidi="en-US"/>
        </w:rPr>
        <w:t>(Q4al+pl)</w:t>
      </w:r>
      <w:bookmarkEnd w:id="11"/>
      <w:bookmarkEnd w:id="12"/>
      <w:bookmarkEnd w:id="13"/>
    </w:p>
    <w:p>
      <w:pPr>
        <w:pStyle w:val="61"/>
        <w:spacing w:after="156" w:line="539" w:lineRule="exact"/>
        <w:ind w:firstLine="0" w:firstLineChars="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第①1层，素填土：两岸地表素填土主要由褐黄色可塑状黏性土组成，层厚0.6〜7.0m。</w:t>
      </w:r>
    </w:p>
    <w:p>
      <w:pPr>
        <w:pStyle w:val="61"/>
        <w:spacing w:after="156" w:line="539" w:lineRule="exact"/>
        <w:ind w:firstLine="0" w:firstLineChars="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第②2层，杂填土：主要由灰黄色半干硬〜硬塑状黏性土及碎石组成，层厚。</w:t>
      </w:r>
    </w:p>
    <w:p>
      <w:pPr>
        <w:pStyle w:val="61"/>
        <w:spacing w:after="156" w:line="539" w:lineRule="exact"/>
        <w:ind w:firstLine="0" w:firstLineChars="0"/>
        <w:rPr>
          <w:color w:val="000000" w:themeColor="text1"/>
          <w:sz w:val="24"/>
          <w:szCs w:val="24"/>
          <w:lang w:val="en-US" w:eastAsia="en-US" w:bidi="ar-SA"/>
          <w14:textFill>
            <w14:solidFill>
              <w14:schemeClr w14:val="tx1"/>
            </w14:solidFill>
          </w14:textFill>
        </w:rPr>
      </w:pPr>
      <w:r>
        <w:rPr>
          <w:rFonts w:hint="eastAsia"/>
          <w:color w:val="000000" w:themeColor="text1"/>
          <w:sz w:val="24"/>
          <w:szCs w:val="24"/>
          <w:lang w:val="en-US" w:eastAsia="en-US" w:bidi="ar-SA"/>
          <w14:textFill>
            <w14:solidFill>
              <w14:schemeClr w14:val="tx1"/>
            </w14:solidFill>
          </w14:textFill>
        </w:rPr>
        <w:t>第②12层，粉质黏土(Q4al+pl):黄褐色，可塑，土质均匀，切面光滑，局部 夹少量粉土，天然含水量27.89%，天然孔隙比e=0.79,垂直向渗透系数1.6E-06 (cm/s) 水平向渗透系数2.3E-06 (cm/s) Ck可取为22kpa，内摩擦角取为10°。</w:t>
      </w:r>
    </w:p>
    <w:p>
      <w:pPr>
        <w:pStyle w:val="62"/>
        <w:spacing w:after="156" w:line="401" w:lineRule="auto"/>
        <w:ind w:firstLine="480"/>
        <w:rPr>
          <w:sz w:val="24"/>
          <w:szCs w:val="24"/>
        </w:rPr>
      </w:pPr>
    </w:p>
    <w:p>
      <w:pPr>
        <w:pStyle w:val="62"/>
        <w:spacing w:after="156" w:line="401" w:lineRule="auto"/>
        <w:ind w:firstLine="480"/>
        <w:rPr>
          <w:rFonts w:ascii="Times New Roman" w:hAnsi="Times New Roman" w:eastAsia="Times New Roman" w:cs="Times New Roman"/>
          <w:b/>
          <w:bCs/>
          <w:color w:val="000000"/>
          <w:sz w:val="24"/>
          <w:szCs w:val="24"/>
          <w:lang w:eastAsia="en-US" w:bidi="en-US"/>
        </w:rPr>
      </w:pPr>
      <w:r>
        <w:rPr>
          <w:sz w:val="24"/>
          <w:szCs w:val="24"/>
        </w:rPr>
        <w:drawing>
          <wp:inline distT="0" distB="0" distL="114300" distR="114300">
            <wp:extent cx="4143375" cy="2419350"/>
            <wp:effectExtent l="0" t="0" r="9525" b="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18"/>
                    <a:stretch>
                      <a:fillRect/>
                    </a:stretch>
                  </pic:blipFill>
                  <pic:spPr>
                    <a:xfrm>
                      <a:off x="0" y="0"/>
                      <a:ext cx="4143375" cy="2419350"/>
                    </a:xfrm>
                    <a:prstGeom prst="rect">
                      <a:avLst/>
                    </a:prstGeom>
                    <a:noFill/>
                    <a:ln>
                      <a:noFill/>
                    </a:ln>
                  </pic:spPr>
                </pic:pic>
              </a:graphicData>
            </a:graphic>
          </wp:inline>
        </w:drawing>
      </w:r>
    </w:p>
    <w:p>
      <w:pPr>
        <w:pStyle w:val="62"/>
        <w:spacing w:after="156" w:line="401" w:lineRule="auto"/>
        <w:ind w:firstLine="482"/>
        <w:outlineLvl w:val="2"/>
        <w:rPr>
          <w:sz w:val="24"/>
          <w:szCs w:val="24"/>
        </w:rPr>
      </w:pPr>
      <w:r>
        <w:rPr>
          <w:rFonts w:hint="eastAsia" w:ascii="Times New Roman" w:hAnsi="Times New Roman" w:eastAsia="宋体" w:cs="Times New Roman"/>
          <w:b/>
          <w:bCs/>
          <w:color w:val="000000"/>
          <w:sz w:val="24"/>
          <w:szCs w:val="24"/>
          <w:lang w:bidi="en-US"/>
        </w:rPr>
        <w:t>2</w:t>
      </w:r>
      <w:r>
        <w:rPr>
          <w:rFonts w:ascii="Times New Roman" w:hAnsi="Times New Roman" w:eastAsia="Times New Roman" w:cs="Times New Roman"/>
          <w:b/>
          <w:bCs/>
          <w:color w:val="000000"/>
          <w:sz w:val="24"/>
          <w:szCs w:val="24"/>
          <w:lang w:bidi="en-US"/>
        </w:rPr>
        <w:t>.</w:t>
      </w:r>
      <w:r>
        <w:rPr>
          <w:rFonts w:hint="eastAsia" w:ascii="Times New Roman" w:hAnsi="Times New Roman" w:eastAsia="宋体" w:cs="Times New Roman"/>
          <w:b/>
          <w:bCs/>
          <w:color w:val="000000"/>
          <w:sz w:val="24"/>
          <w:szCs w:val="24"/>
          <w:lang w:bidi="en-US"/>
        </w:rPr>
        <w:t>2.1</w:t>
      </w:r>
      <w:r>
        <w:rPr>
          <w:rFonts w:ascii="宋体" w:hAnsi="宋体" w:eastAsia="宋体" w:cs="宋体"/>
          <w:b/>
          <w:bCs/>
          <w:color w:val="000000"/>
          <w:sz w:val="24"/>
          <w:szCs w:val="24"/>
          <w:lang w:val="zh-TW" w:eastAsia="zh-TW" w:bidi="zh-TW"/>
        </w:rPr>
        <w:t>基岩</w:t>
      </w:r>
    </w:p>
    <w:p>
      <w:pPr>
        <w:pStyle w:val="61"/>
        <w:spacing w:after="156" w:line="539" w:lineRule="exact"/>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场区基岩主要为白垩-第三系(K-R)东湖群泥质粉砂岩、含砾砂岩。</w:t>
      </w:r>
    </w:p>
    <w:p>
      <w:pPr>
        <w:pStyle w:val="61"/>
        <w:spacing w:after="156" w:line="539" w:lineRule="exact"/>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第⑥1层，强风化泥质粉砂岩：紫红色，泥质结构，不显层理，泥质胶结为主， 胶结较弱，岩质较软，局部岩芯呈硬土状。承载力特征值可取为450kpa, Ck可取为 32kpa，内摩擦角取为18 °。</w:t>
      </w:r>
    </w:p>
    <w:p>
      <w:pPr>
        <w:pStyle w:val="61"/>
        <w:spacing w:after="156" w:line="539" w:lineRule="exact"/>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第⑥2层，中风化泥质粉砂岩：紫红色，泥质结构，不显层理，泥质胶结为主, 胶结较好，岩质较硬，锤击声脆，遇水不易软化，裂隙不甚发育，在南锚碇地表附 近有出露。质量密度2.48g/cm3，含水率2.70%，吸水率3.22%。天然抗压强度标准值33.65MPa,饱和单轴抗压强度标准值27.68MPa。实验室直剪法，天然凝聚力</w:t>
      </w:r>
    </w:p>
    <w:p>
      <w:pPr>
        <w:pStyle w:val="61"/>
        <w:spacing w:after="156" w:line="240" w:lineRule="auto"/>
        <w:ind w:firstLine="480"/>
        <w:jc w:val="both"/>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C=1.5MPa,天然内摩擦角。=37.56。。参考湖北省地方标准《基坑工程技术规程》</w:t>
      </w:r>
    </w:p>
    <w:p>
      <w:pPr>
        <w:pStyle w:val="62"/>
        <w:spacing w:after="156" w:line="240" w:lineRule="auto"/>
        <w:ind w:firstLine="480"/>
        <w:jc w:val="both"/>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（DB42/T159-2012</w:t>
      </w:r>
      <w:r>
        <w:rPr>
          <w:rFonts w:hint="eastAsia" w:ascii="宋体" w:hAnsi="宋体" w:eastAsia="宋体" w:cs="宋体"/>
          <w:color w:val="000000" w:themeColor="text1"/>
          <w:sz w:val="24"/>
          <w:szCs w:val="24"/>
          <w:lang w:val="zh-TW" w:eastAsia="zh-TW"/>
          <w14:textFill>
            <w14:solidFill>
              <w14:schemeClr w14:val="tx1"/>
            </w14:solidFill>
          </w14:textFill>
        </w:rPr>
        <w:t>）附录</w:t>
      </w:r>
      <w:r>
        <w:rPr>
          <w:rFonts w:hint="eastAsia" w:ascii="宋体" w:hAnsi="宋体" w:eastAsia="宋体" w:cs="宋体"/>
          <w:color w:val="000000" w:themeColor="text1"/>
          <w:sz w:val="24"/>
          <w:szCs w:val="24"/>
          <w14:textFill>
            <w14:solidFill>
              <w14:schemeClr w14:val="tx1"/>
            </w14:solidFill>
          </w14:textFill>
        </w:rPr>
        <w:t>D,</w:t>
      </w:r>
      <w:r>
        <w:rPr>
          <w:rFonts w:hint="eastAsia" w:ascii="宋体" w:hAnsi="宋体" w:eastAsia="宋体" w:cs="宋体"/>
          <w:color w:val="000000" w:themeColor="text1"/>
          <w:sz w:val="24"/>
          <w:szCs w:val="24"/>
          <w:lang w:val="zh-TW" w:eastAsia="zh-TW"/>
          <w14:textFill>
            <w14:solidFill>
              <w14:schemeClr w14:val="tx1"/>
            </w14:solidFill>
          </w14:textFill>
        </w:rPr>
        <w:t>岩体等效内摩擦角巾</w:t>
      </w:r>
      <w:r>
        <w:rPr>
          <w:rFonts w:hint="eastAsia" w:ascii="宋体" w:hAnsi="宋体" w:eastAsia="宋体" w:cs="宋体"/>
          <w:color w:val="000000" w:themeColor="text1"/>
          <w:sz w:val="24"/>
          <w:szCs w:val="24"/>
          <w14:textFill>
            <w14:solidFill>
              <w14:schemeClr w14:val="tx1"/>
            </w14:solidFill>
          </w14:textFill>
        </w:rPr>
        <w:t>e</w:t>
      </w:r>
      <w:r>
        <w:rPr>
          <w:rFonts w:hint="eastAsia" w:ascii="宋体" w:hAnsi="宋体" w:eastAsia="宋体" w:cs="宋体"/>
          <w:color w:val="000000" w:themeColor="text1"/>
          <w:sz w:val="24"/>
          <w:szCs w:val="24"/>
          <w:lang w:val="zh-TW" w:eastAsia="zh-TW"/>
          <w14:textFill>
            <w14:solidFill>
              <w14:schemeClr w14:val="tx1"/>
            </w14:solidFill>
          </w14:textFill>
        </w:rPr>
        <w:t>为42° ,承载力特征值为</w:t>
      </w:r>
      <w:r>
        <w:rPr>
          <w:rFonts w:hint="eastAsia" w:ascii="宋体" w:hAnsi="宋体" w:eastAsia="宋体" w:cs="宋体"/>
          <w:color w:val="000000" w:themeColor="text1"/>
          <w:sz w:val="24"/>
          <w:szCs w:val="24"/>
          <w14:textFill>
            <w14:solidFill>
              <w14:schemeClr w14:val="tx1"/>
            </w14:solidFill>
          </w14:textFill>
        </w:rPr>
        <w:t>1200kpa.</w:t>
      </w:r>
    </w:p>
    <w:p>
      <w:pPr>
        <w:pStyle w:val="61"/>
        <w:spacing w:after="156" w:line="557" w:lineRule="exact"/>
        <w:ind w:firstLine="480"/>
        <w:jc w:val="both"/>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多为l-3cm,次棱角状，成份主要为硅质，砾石含量约15%；取出芯样多呈10-30cm柱 状；岩质较硬，锤击声脆，遇水不易软化，裂隙不甚发育，呈夹层状分布于泥质粉砂 岩中。2组天然抗压强度试验平均值为29.04MPa,饱和单轴抗压强度标准值28</w:t>
      </w:r>
      <w:r>
        <w:rPr>
          <w:rFonts w:hint="eastAsia"/>
          <w:color w:val="000000" w:themeColor="text1"/>
          <w:sz w:val="24"/>
          <w:szCs w:val="24"/>
          <w:lang w:val="en-US" w:eastAsia="en-US" w:bidi="ar-SA"/>
          <w14:textFill>
            <w14:solidFill>
              <w14:schemeClr w14:val="tx1"/>
            </w14:solidFill>
          </w14:textFill>
        </w:rPr>
        <w:t>・</w:t>
      </w:r>
      <w:r>
        <w:rPr>
          <w:rFonts w:hint="eastAsia"/>
          <w:color w:val="000000" w:themeColor="text1"/>
          <w:sz w:val="24"/>
          <w:szCs w:val="24"/>
          <w:lang w:val="en-US" w:eastAsia="zh-CN" w:bidi="ar-SA"/>
          <w14:textFill>
            <w14:solidFill>
              <w14:schemeClr w14:val="tx1"/>
            </w14:solidFill>
          </w14:textFill>
        </w:rPr>
        <w:t>36MPa。</w:t>
      </w:r>
    </w:p>
    <w:p>
      <w:pPr>
        <w:pStyle w:val="61"/>
        <w:spacing w:after="156" w:line="240" w:lineRule="auto"/>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岩体等效内摩擦角6。为46°,承载力特征值为1500kpa.</w:t>
      </w:r>
    </w:p>
    <w:p>
      <w:pPr>
        <w:pStyle w:val="61"/>
        <w:spacing w:after="156" w:line="240" w:lineRule="auto"/>
        <w:ind w:firstLine="480"/>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具体工程地质详见《鄂黄第二过江通道（燕矶长江大桥及接线）工程地质勘察报 告》（施工图设计阶段勘察）</w:t>
      </w:r>
    </w:p>
    <w:p>
      <w:pPr>
        <w:pStyle w:val="63"/>
        <w:keepNext/>
        <w:keepLines/>
        <w:spacing w:after="156" w:line="240" w:lineRule="auto"/>
        <w:ind w:firstLine="482"/>
        <w:rPr>
          <w:color w:val="000000" w:themeColor="text1"/>
          <w:sz w:val="24"/>
          <w:szCs w:val="24"/>
          <w:lang w:val="en-US" w:eastAsia="zh-CN" w:bidi="ar-SA"/>
          <w14:textFill>
            <w14:solidFill>
              <w14:schemeClr w14:val="tx1"/>
            </w14:solidFill>
          </w14:textFill>
        </w:rPr>
      </w:pPr>
      <w:bookmarkStart w:id="14" w:name="bookmark115"/>
      <w:bookmarkStart w:id="15" w:name="bookmark116"/>
      <w:bookmarkStart w:id="16" w:name="bookmark117"/>
      <w:r>
        <w:rPr>
          <w:rFonts w:hint="eastAsia"/>
          <w:color w:val="000000" w:themeColor="text1"/>
          <w:sz w:val="24"/>
          <w:szCs w:val="24"/>
          <w:lang w:val="en-US" w:eastAsia="zh-CN" w:bidi="ar-SA"/>
          <w14:textFill>
            <w14:solidFill>
              <w14:schemeClr w14:val="tx1"/>
            </w14:solidFill>
          </w14:textFill>
        </w:rPr>
        <w:t>2.2.2水文地质条件</w:t>
      </w:r>
      <w:bookmarkEnd w:id="14"/>
      <w:bookmarkEnd w:id="15"/>
      <w:bookmarkEnd w:id="16"/>
    </w:p>
    <w:p>
      <w:pPr>
        <w:pStyle w:val="61"/>
        <w:spacing w:after="156" w:line="548" w:lineRule="exact"/>
        <w:ind w:firstLine="480"/>
        <w:jc w:val="both"/>
        <w:rPr>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鄂州侧锚碇区地下水包括上层滞水、基岩裂隙水两种类型。其中上层滞水赋存于 人工填土中，无统一自由水面。下部基岩透水性轻微，其水量受节理裂隙发育程度控 制，水量一般，与长江水无直接联系。</w:t>
      </w:r>
    </w:p>
    <w:p>
      <w:pPr>
        <w:pStyle w:val="61"/>
        <w:spacing w:after="156" w:line="526" w:lineRule="exact"/>
        <w:ind w:firstLine="480"/>
        <w:jc w:val="both"/>
        <w:rPr>
          <w:bCs/>
          <w:color w:val="000000" w:themeColor="text1"/>
          <w:sz w:val="24"/>
          <w:szCs w:val="24"/>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鄂州侧锚碇处地表为锚碇前缘卢子湾池塘。锚碇处抽水试验得出中风化泥质粉砂 岩层渗透系数为0</w:t>
      </w:r>
      <w:r>
        <w:rPr>
          <w:rFonts w:hint="eastAsia"/>
          <w:color w:val="000000" w:themeColor="text1"/>
          <w:sz w:val="24"/>
          <w:szCs w:val="24"/>
          <w:lang w:val="en-US" w:eastAsia="en-US" w:bidi="ar-SA"/>
          <w14:textFill>
            <w14:solidFill>
              <w14:schemeClr w14:val="tx1"/>
            </w14:solidFill>
          </w14:textFill>
        </w:rPr>
        <w:t>・</w:t>
      </w:r>
      <w:r>
        <w:rPr>
          <w:rFonts w:hint="eastAsia"/>
          <w:color w:val="000000" w:themeColor="text1"/>
          <w:sz w:val="24"/>
          <w:szCs w:val="24"/>
          <w:lang w:val="en-US" w:eastAsia="zh-CN" w:bidi="ar-SA"/>
          <w14:textFill>
            <w14:solidFill>
              <w14:schemeClr w14:val="tx1"/>
            </w14:solidFill>
          </w14:textFill>
        </w:rPr>
        <w:t>06m/d。</w:t>
      </w:r>
    </w:p>
    <w:p>
      <w:pPr>
        <w:pStyle w:val="4"/>
        <w:spacing w:before="156" w:after="156"/>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2.3塔机安装工程概况</w:t>
      </w:r>
      <w:bookmarkEnd w:id="10"/>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根据本工程及周边环境情况，综合考虑施工效率、现场材料吊重要求、施工合同要求等，我公司现场拟定安装4台徐工XGT7528A-18S1塔式起重机,</w:t>
      </w:r>
      <w:r>
        <w:rPr>
          <w:rFonts w:hint="eastAsia" w:ascii="宋体" w:hAnsi="宋体" w:eastAsia="宋体" w:cs="宋体"/>
          <w:bCs/>
          <w:color w:val="000000" w:themeColor="text1"/>
          <w14:textFill>
            <w14:solidFill>
              <w14:schemeClr w14:val="tx1"/>
            </w14:solidFill>
          </w14:textFill>
        </w:rPr>
        <w:t>主要是主塔及周边材料进场和吊装，塔机概况如表2-2。</w:t>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表2-2</w:t>
      </w:r>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828"/>
        <w:gridCol w:w="981"/>
        <w:gridCol w:w="1219"/>
        <w:gridCol w:w="1012"/>
        <w:gridCol w:w="1256"/>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27" w:type="dxa"/>
            <w:tcBorders>
              <w:top w:val="single" w:color="auto" w:sz="8"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塔机编号</w:t>
            </w:r>
          </w:p>
        </w:tc>
        <w:tc>
          <w:tcPr>
            <w:tcW w:w="1828" w:type="dxa"/>
            <w:tcBorders>
              <w:top w:val="single" w:color="auto" w:sz="8"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塔机型号</w:t>
            </w:r>
          </w:p>
        </w:tc>
        <w:tc>
          <w:tcPr>
            <w:tcW w:w="981" w:type="dxa"/>
            <w:tcBorders>
              <w:top w:val="single" w:color="auto" w:sz="8"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安装高度m</w:t>
            </w:r>
          </w:p>
        </w:tc>
        <w:tc>
          <w:tcPr>
            <w:tcW w:w="1219" w:type="dxa"/>
            <w:tcBorders>
              <w:top w:val="single" w:color="auto" w:sz="8"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预埋形式</w:t>
            </w:r>
          </w:p>
        </w:tc>
        <w:tc>
          <w:tcPr>
            <w:tcW w:w="1012" w:type="dxa"/>
            <w:tcBorders>
              <w:top w:val="single" w:color="auto" w:sz="8"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起重臂长度</w:t>
            </w:r>
          </w:p>
        </w:tc>
        <w:tc>
          <w:tcPr>
            <w:tcW w:w="1256" w:type="dxa"/>
            <w:tcBorders>
              <w:top w:val="single" w:color="auto" w:sz="8"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顶升方向</w:t>
            </w:r>
          </w:p>
        </w:tc>
        <w:tc>
          <w:tcPr>
            <w:tcW w:w="2233" w:type="dxa"/>
            <w:tcBorders>
              <w:top w:val="single" w:color="auto" w:sz="8"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基础顶标高m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828"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60</w:t>
            </w:r>
          </w:p>
        </w:tc>
        <w:tc>
          <w:tcPr>
            <w:tcW w:w="1219"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828"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48</w:t>
            </w:r>
          </w:p>
        </w:tc>
        <w:tc>
          <w:tcPr>
            <w:tcW w:w="1219"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南</w:t>
            </w:r>
          </w:p>
        </w:tc>
        <w:tc>
          <w:tcPr>
            <w:tcW w:w="2233"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828"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48</w:t>
            </w:r>
          </w:p>
        </w:tc>
        <w:tc>
          <w:tcPr>
            <w:tcW w:w="1219"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828" w:type="dxa"/>
            <w:tcBorders>
              <w:top w:val="single" w:color="auto" w:sz="4" w:space="0"/>
              <w:left w:val="single" w:color="auto" w:sz="8"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981"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57</w:t>
            </w:r>
          </w:p>
        </w:tc>
        <w:tc>
          <w:tcPr>
            <w:tcW w:w="1219"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w:t>
            </w:r>
          </w:p>
        </w:tc>
        <w:tc>
          <w:tcPr>
            <w:tcW w:w="1256"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北</w:t>
            </w:r>
          </w:p>
        </w:tc>
        <w:tc>
          <w:tcPr>
            <w:tcW w:w="2233" w:type="dxa"/>
            <w:tcBorders>
              <w:top w:val="single" w:color="auto" w:sz="4" w:space="0"/>
              <w:left w:val="single" w:color="auto" w:sz="4" w:space="0"/>
              <w:bottom w:val="single" w:color="auto" w:sz="4" w:space="0"/>
              <w:right w:val="single" w:color="auto" w:sz="4" w:space="0"/>
            </w:tcBorders>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+23.0</w:t>
            </w:r>
          </w:p>
        </w:tc>
      </w:tr>
    </w:tbl>
    <w:p>
      <w:pPr>
        <w:spacing w:before="156" w:beforeLines="50" w:after="156" w:line="360" w:lineRule="auto"/>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安装前，塔机基础应验收合格，出具塔机基础合格表格后方能进行安装，安装前，应配置供电容量足够的符合要求的电源。安装时，应有足够的支设辅助汽车吊场地，及塔机零部件组装场地，支设汽车吊场地应有足够的地基承载能力。车辆行驶路线应满足车辆行驶。所有塔机利用辅助汽车吊安装的初次安装高度应超过其回转范围内最高施工机具的高度，以满足各塔机的顶升时臂架的旋转。</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塔机在初次安装完成后根据群塔作业要求进行顶升, 达到自由高度以上高度需附着后顶升。</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拆卸时，按说明书要求降节，降节至辅助起重设备可拆卸高度后，利用辅助起重设备拆卸塔机。</w:t>
      </w:r>
    </w:p>
    <w:p>
      <w:pPr>
        <w:pStyle w:val="4"/>
        <w:tabs>
          <w:tab w:val="center" w:pos="4535"/>
        </w:tabs>
        <w:spacing w:before="156" w:after="156"/>
        <w:rPr>
          <w:rFonts w:ascii="宋体" w:hAnsi="宋体" w:eastAsia="宋体" w:cs="宋体"/>
          <w:b/>
          <w:color w:val="000000" w:themeColor="text1"/>
          <w:sz w:val="24"/>
          <w14:textFill>
            <w14:solidFill>
              <w14:schemeClr w14:val="tx1"/>
            </w14:solidFill>
          </w14:textFill>
        </w:rPr>
      </w:pPr>
      <w:bookmarkStart w:id="17" w:name="_Toc2868"/>
      <w:r>
        <w:rPr>
          <w:rFonts w:hint="eastAsia" w:ascii="宋体" w:hAnsi="宋体" w:eastAsia="宋体" w:cs="宋体"/>
          <w:b/>
          <w:color w:val="000000" w:themeColor="text1"/>
          <w:sz w:val="24"/>
          <w14:textFill>
            <w14:solidFill>
              <w14:schemeClr w14:val="tx1"/>
            </w14:solidFill>
          </w14:textFill>
        </w:rPr>
        <w:t>2.4 危大工程概况</w:t>
      </w:r>
      <w:bookmarkEnd w:id="17"/>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表2-3</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188"/>
        <w:gridCol w:w="3714"/>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06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危大工程级别</w:t>
            </w:r>
          </w:p>
        </w:tc>
        <w:tc>
          <w:tcPr>
            <w:tcW w:w="1188"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勾选</w:t>
            </w:r>
          </w:p>
        </w:tc>
        <w:tc>
          <w:tcPr>
            <w:tcW w:w="371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明细</w:t>
            </w:r>
          </w:p>
        </w:tc>
        <w:tc>
          <w:tcPr>
            <w:tcW w:w="232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exact"/>
        </w:trPr>
        <w:tc>
          <w:tcPr>
            <w:tcW w:w="2063"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危险性较大的分部分项工程</w:t>
            </w:r>
          </w:p>
        </w:tc>
        <w:tc>
          <w:tcPr>
            <w:tcW w:w="1188"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c>
          <w:tcPr>
            <w:tcW w:w="371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采用非常规起重设备、方法，且单件起吊重量在10kN及以上的起重吊装工程</w:t>
            </w:r>
          </w:p>
        </w:tc>
        <w:tc>
          <w:tcPr>
            <w:tcW w:w="232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2063" w:type="dxa"/>
            <w:vMerge w:val="continue"/>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18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371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采用起重机械进行安装的工程</w:t>
            </w:r>
          </w:p>
        </w:tc>
        <w:tc>
          <w:tcPr>
            <w:tcW w:w="232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exact"/>
        </w:trPr>
        <w:tc>
          <w:tcPr>
            <w:tcW w:w="2063" w:type="dxa"/>
            <w:vMerge w:val="continue"/>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18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371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起重机械安装和拆卸工程</w:t>
            </w:r>
          </w:p>
        </w:tc>
        <w:tc>
          <w:tcPr>
            <w:tcW w:w="232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exact"/>
        </w:trPr>
        <w:tc>
          <w:tcPr>
            <w:tcW w:w="2063"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超过一定规模的危险性较大的分部分项工程</w:t>
            </w:r>
          </w:p>
        </w:tc>
        <w:tc>
          <w:tcPr>
            <w:tcW w:w="1188"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c>
          <w:tcPr>
            <w:tcW w:w="371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采用非常规起重设备、方法，且单件起吊重量在100kN及以上的起重吊装工程</w:t>
            </w:r>
          </w:p>
        </w:tc>
        <w:tc>
          <w:tcPr>
            <w:tcW w:w="232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exact"/>
        </w:trPr>
        <w:tc>
          <w:tcPr>
            <w:tcW w:w="2063" w:type="dxa"/>
            <w:vMerge w:val="continue"/>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18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371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起重量300kN及以上，或搭设总高度200m及以上，或搭设基础标高在200m及以上的起重机械安装和拆卸工程</w:t>
            </w:r>
          </w:p>
        </w:tc>
        <w:tc>
          <w:tcPr>
            <w:tcW w:w="232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p>
        </w:tc>
      </w:tr>
    </w:tbl>
    <w:p>
      <w:pPr>
        <w:pStyle w:val="3"/>
        <w:numPr>
          <w:ilvl w:val="0"/>
          <w:numId w:val="2"/>
        </w:numPr>
        <w:spacing w:before="156" w:after="156"/>
        <w:rPr>
          <w:rFonts w:ascii="宋体" w:hAnsi="宋体" w:eastAsia="宋体" w:cs="宋体"/>
          <w:b w:val="0"/>
          <w:bCs/>
          <w:color w:val="000000" w:themeColor="text1"/>
          <w:sz w:val="24"/>
          <w:szCs w:val="24"/>
          <w14:textFill>
            <w14:solidFill>
              <w14:schemeClr w14:val="tx1"/>
            </w14:solidFill>
          </w14:textFill>
        </w:rPr>
      </w:pPr>
      <w:bookmarkStart w:id="18" w:name="_Toc13461"/>
      <w:r>
        <w:rPr>
          <w:rFonts w:hint="eastAsia" w:ascii="宋体" w:hAnsi="宋体" w:eastAsia="宋体" w:cs="宋体"/>
          <w:b w:val="0"/>
          <w:bCs/>
          <w:color w:val="000000" w:themeColor="text1"/>
          <w:sz w:val="24"/>
          <w:szCs w:val="24"/>
          <w14:textFill>
            <w14:solidFill>
              <w14:schemeClr w14:val="tx1"/>
            </w14:solidFill>
          </w14:textFill>
        </w:rPr>
        <w:t>塔机概况</w:t>
      </w:r>
      <w:bookmarkEnd w:id="18"/>
    </w:p>
    <w:p>
      <w:pPr>
        <w:pStyle w:val="4"/>
        <w:spacing w:before="156" w:after="156"/>
        <w:rPr>
          <w:rFonts w:ascii="宋体" w:hAnsi="宋体" w:eastAsia="宋体" w:cs="宋体"/>
          <w:bCs/>
          <w:color w:val="000000" w:themeColor="text1"/>
          <w:sz w:val="24"/>
          <w14:textFill>
            <w14:solidFill>
              <w14:schemeClr w14:val="tx1"/>
            </w14:solidFill>
          </w14:textFill>
        </w:rPr>
      </w:pPr>
      <w:bookmarkStart w:id="19" w:name="_Toc7983"/>
      <w:r>
        <w:rPr>
          <w:rFonts w:hint="eastAsia" w:ascii="宋体" w:hAnsi="宋体" w:eastAsia="宋体" w:cs="宋体"/>
          <w:bCs/>
          <w:color w:val="000000" w:themeColor="text1"/>
          <w:sz w:val="24"/>
          <w14:textFill>
            <w14:solidFill>
              <w14:schemeClr w14:val="tx1"/>
            </w14:solidFill>
          </w14:textFill>
        </w:rPr>
        <w:t>3.1塔机基本性能参数表</w:t>
      </w:r>
      <w:bookmarkEnd w:id="19"/>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 xml:space="preserve">表3-1 </w:t>
      </w:r>
      <w:r>
        <w:rPr>
          <w:rFonts w:hint="eastAsia" w:ascii="宋体" w:hAnsi="宋体" w:eastAsia="宋体" w:cs="宋体"/>
        </w:rPr>
        <w:t>XGT7528A-18S1</w:t>
      </w:r>
      <w:r>
        <w:rPr>
          <w:rFonts w:hint="eastAsia" w:ascii="宋体" w:hAnsi="宋体" w:eastAsia="宋体" w:cs="宋体"/>
          <w:bCs/>
          <w:color w:val="000000" w:themeColor="text1"/>
          <w14:textFill>
            <w14:solidFill>
              <w14:schemeClr w14:val="tx1"/>
            </w14:solidFill>
          </w14:textFill>
        </w:rPr>
        <w:t>塔机性能参数表</w:t>
      </w:r>
    </w:p>
    <w:p>
      <w:pPr>
        <w:spacing w:after="0" w:afterLines="0"/>
        <w:ind w:firstLine="0" w:firstLineChars="0"/>
        <w:jc w:val="both"/>
        <w:rPr>
          <w:rFonts w:ascii="宋体" w:hAnsi="宋体" w:eastAsia="宋体" w:cs="宋体"/>
          <w:bCs/>
          <w:color w:val="000000" w:themeColor="text1"/>
          <w14:textFill>
            <w14:solidFill>
              <w14:schemeClr w14:val="tx1"/>
            </w14:solidFill>
          </w14:textFill>
        </w:rPr>
      </w:pPr>
      <w:r>
        <w:drawing>
          <wp:inline distT="0" distB="0" distL="114300" distR="114300">
            <wp:extent cx="5331460" cy="1042670"/>
            <wp:effectExtent l="0" t="0" r="254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a:stretch>
                      <a:fillRect/>
                    </a:stretch>
                  </pic:blipFill>
                  <pic:spPr>
                    <a:xfrm>
                      <a:off x="0" y="0"/>
                      <a:ext cx="5331460" cy="1042670"/>
                    </a:xfrm>
                    <a:prstGeom prst="rect">
                      <a:avLst/>
                    </a:prstGeom>
                    <a:noFill/>
                    <a:ln>
                      <a:noFill/>
                    </a:ln>
                  </pic:spPr>
                </pic:pic>
              </a:graphicData>
            </a:graphic>
          </wp:inline>
        </w:drawing>
      </w:r>
      <w:r>
        <w:drawing>
          <wp:inline distT="0" distB="0" distL="114300" distR="114300">
            <wp:extent cx="5349875" cy="6098540"/>
            <wp:effectExtent l="0" t="0" r="14605" b="1270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0"/>
                    <a:stretch>
                      <a:fillRect/>
                    </a:stretch>
                  </pic:blipFill>
                  <pic:spPr>
                    <a:xfrm>
                      <a:off x="0" y="0"/>
                      <a:ext cx="5349875" cy="6098540"/>
                    </a:xfrm>
                    <a:prstGeom prst="rect">
                      <a:avLst/>
                    </a:prstGeom>
                    <a:noFill/>
                    <a:ln>
                      <a:noFill/>
                    </a:ln>
                  </pic:spPr>
                </pic:pic>
              </a:graphicData>
            </a:graphic>
          </wp:inline>
        </w:drawing>
      </w:r>
      <w:bookmarkStart w:id="20" w:name="_Toc4958"/>
    </w:p>
    <w:p>
      <w:pPr>
        <w:pStyle w:val="4"/>
        <w:spacing w:before="156" w:after="156"/>
        <w:rPr>
          <w:rFonts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3.2塔机起重性能表</w:t>
      </w:r>
      <w:bookmarkEnd w:id="20"/>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br w:type="page"/>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 xml:space="preserve">表3-2  </w:t>
      </w:r>
      <w:r>
        <w:rPr>
          <w:rFonts w:hint="eastAsia" w:ascii="宋体" w:hAnsi="宋体" w:eastAsia="宋体" w:cs="宋体"/>
        </w:rPr>
        <w:t>XGT7528A-18S1</w:t>
      </w:r>
      <w:r>
        <w:rPr>
          <w:rFonts w:hint="eastAsia" w:ascii="宋体" w:hAnsi="宋体" w:eastAsia="宋体" w:cs="宋体"/>
          <w:bCs/>
          <w:color w:val="000000" w:themeColor="text1"/>
          <w14:textFill>
            <w14:solidFill>
              <w14:schemeClr w14:val="tx1"/>
            </w14:solidFill>
          </w14:textFill>
        </w:rPr>
        <w:t>塔机70米起重臂起重性能表</w:t>
      </w:r>
    </w:p>
    <w:p>
      <w:pPr>
        <w:spacing w:after="0" w:afterLines="0"/>
        <w:ind w:firstLine="0" w:firstLineChars="0"/>
        <w:jc w:val="center"/>
      </w:pPr>
      <w:r>
        <w:drawing>
          <wp:inline distT="0" distB="0" distL="114300" distR="114300">
            <wp:extent cx="5827395" cy="1052830"/>
            <wp:effectExtent l="0" t="0" r="1905" b="1397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1"/>
                    <a:stretch>
                      <a:fillRect/>
                    </a:stretch>
                  </pic:blipFill>
                  <pic:spPr>
                    <a:xfrm>
                      <a:off x="0" y="0"/>
                      <a:ext cx="5827395" cy="1052830"/>
                    </a:xfrm>
                    <a:prstGeom prst="rect">
                      <a:avLst/>
                    </a:prstGeom>
                    <a:noFill/>
                    <a:ln>
                      <a:noFill/>
                    </a:ln>
                  </pic:spPr>
                </pic:pic>
              </a:graphicData>
            </a:graphic>
          </wp:inline>
        </w:drawing>
      </w:r>
    </w:p>
    <w:p>
      <w:pPr>
        <w:spacing w:after="0" w:afterLines="0"/>
        <w:ind w:firstLine="0" w:firstLineChars="0"/>
        <w:jc w:val="center"/>
      </w:pPr>
    </w:p>
    <w:p>
      <w:pPr>
        <w:pStyle w:val="4"/>
        <w:spacing w:before="156" w:after="156"/>
        <w:rPr>
          <w:rFonts w:ascii="宋体" w:hAnsi="宋体" w:eastAsia="宋体" w:cs="宋体"/>
          <w:bCs/>
          <w:color w:val="000000" w:themeColor="text1"/>
          <w:sz w:val="24"/>
          <w14:textFill>
            <w14:solidFill>
              <w14:schemeClr w14:val="tx1"/>
            </w14:solidFill>
          </w14:textFill>
        </w:rPr>
      </w:pPr>
      <w:bookmarkStart w:id="21" w:name="_Toc8782"/>
      <w:r>
        <w:rPr>
          <w:rFonts w:hint="eastAsia" w:ascii="宋体" w:hAnsi="宋体" w:eastAsia="宋体" w:cs="宋体"/>
          <w:bCs/>
          <w:color w:val="000000" w:themeColor="text1"/>
          <w:sz w:val="24"/>
          <w14:textFill>
            <w14:solidFill>
              <w14:schemeClr w14:val="tx1"/>
            </w14:solidFill>
          </w14:textFill>
        </w:rPr>
        <w:t>3.3塔吊主要外形结构图</w:t>
      </w:r>
      <w:bookmarkEnd w:id="21"/>
    </w:p>
    <w:p>
      <w:pPr>
        <w:spacing w:after="156"/>
        <w:ind w:firstLine="0" w:firstLineChars="0"/>
        <w:jc w:val="center"/>
        <w:rPr>
          <w:rFonts w:ascii="宋体" w:hAnsi="宋体" w:eastAsia="宋体" w:cs="宋体"/>
          <w:bCs/>
          <w:color w:val="000000" w:themeColor="text1"/>
          <w14:textFill>
            <w14:solidFill>
              <w14:schemeClr w14:val="tx1"/>
            </w14:solidFill>
          </w14:textFill>
        </w:rPr>
      </w:pPr>
      <w:r>
        <w:drawing>
          <wp:inline distT="0" distB="0" distL="114300" distR="114300">
            <wp:extent cx="5562600" cy="4427220"/>
            <wp:effectExtent l="0" t="0" r="0" b="7620"/>
            <wp:docPr id="1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
                    <pic:cNvPicPr>
                      <a:picLocks noChangeAspect="1"/>
                    </pic:cNvPicPr>
                  </pic:nvPicPr>
                  <pic:blipFill>
                    <a:blip r:embed="rId22"/>
                    <a:stretch>
                      <a:fillRect/>
                    </a:stretch>
                  </pic:blipFill>
                  <pic:spPr>
                    <a:xfrm>
                      <a:off x="0" y="0"/>
                      <a:ext cx="5562600" cy="4427220"/>
                    </a:xfrm>
                    <a:prstGeom prst="rect">
                      <a:avLst/>
                    </a:prstGeom>
                    <a:noFill/>
                    <a:ln>
                      <a:noFill/>
                    </a:ln>
                  </pic:spPr>
                </pic:pic>
              </a:graphicData>
            </a:graphic>
          </wp:inline>
        </w:drawing>
      </w:r>
    </w:p>
    <w:p>
      <w:pPr>
        <w:spacing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图3-1 XGT7528A-18S1塔机整机外形尺寸图</w:t>
      </w:r>
    </w:p>
    <w:p>
      <w:pPr>
        <w:pStyle w:val="4"/>
        <w:spacing w:before="156" w:after="156"/>
        <w:rPr>
          <w:rFonts w:ascii="宋体" w:hAnsi="宋体" w:eastAsia="宋体" w:cs="宋体"/>
          <w:bCs/>
          <w:color w:val="000000" w:themeColor="text1"/>
          <w:sz w:val="24"/>
          <w14:textFill>
            <w14:solidFill>
              <w14:schemeClr w14:val="tx1"/>
            </w14:solidFill>
          </w14:textFill>
        </w:rPr>
      </w:pPr>
      <w:bookmarkStart w:id="22" w:name="_Toc23730"/>
      <w:r>
        <w:rPr>
          <w:rFonts w:hint="eastAsia" w:ascii="宋体" w:hAnsi="宋体" w:eastAsia="宋体" w:cs="宋体"/>
          <w:bCs/>
          <w:color w:val="000000" w:themeColor="text1"/>
          <w:sz w:val="24"/>
          <w14:textFill>
            <w14:solidFill>
              <w14:schemeClr w14:val="tx1"/>
            </w14:solidFill>
          </w14:textFill>
        </w:rPr>
        <w:t>3.4塔机主要零部件的重量及吊点位置</w:t>
      </w:r>
      <w:bookmarkEnd w:id="22"/>
    </w:p>
    <w:p>
      <w:pPr>
        <w:spacing w:before="156" w:beforeLines="50"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表3-3 XGT7528A-18S1塔机零部件重量表</w:t>
      </w:r>
    </w:p>
    <w:tbl>
      <w:tblPr>
        <w:tblStyle w:val="33"/>
        <w:tblW w:w="962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01"/>
        <w:gridCol w:w="977"/>
        <w:gridCol w:w="936"/>
        <w:gridCol w:w="2292"/>
        <w:gridCol w:w="1909"/>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名称</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外形尺寸</w:t>
            </w:r>
          </w:p>
          <w:p>
            <w:pPr>
              <w:spacing w:after="0" w:afterLines="0" w:line="240" w:lineRule="auto"/>
              <w:ind w:firstLine="0" w:firstLineChars="0"/>
              <w:jc w:val="center"/>
              <w:rPr>
                <w:rFonts w:ascii="宋体" w:hAnsi="宋体" w:eastAsia="宋体" w:cs="宋体"/>
              </w:rPr>
            </w:pPr>
            <w:r>
              <w:rPr>
                <w:rFonts w:hint="eastAsia" w:ascii="宋体" w:hAnsi="宋体" w:eastAsia="宋体" w:cs="宋体"/>
              </w:rPr>
              <w:t>长×宽×高（m）</w:t>
            </w:r>
          </w:p>
        </w:tc>
        <w:tc>
          <w:tcPr>
            <w:tcW w:w="977"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重量（t）</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数量</w:t>
            </w:r>
          </w:p>
          <w:p>
            <w:pPr>
              <w:spacing w:after="0" w:afterLines="0" w:line="240" w:lineRule="auto"/>
              <w:ind w:firstLine="0" w:firstLineChars="0"/>
              <w:jc w:val="center"/>
              <w:rPr>
                <w:rFonts w:ascii="宋体" w:hAnsi="宋体" w:eastAsia="宋体" w:cs="宋体"/>
              </w:rPr>
            </w:pPr>
            <w:r>
              <w:rPr>
                <w:rFonts w:hint="eastAsia" w:ascii="宋体" w:hAnsi="宋体" w:eastAsia="宋体" w:cs="宋体"/>
              </w:rPr>
              <w:t>（件）</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吊点位置</w:t>
            </w:r>
          </w:p>
        </w:tc>
        <w:tc>
          <w:tcPr>
            <w:tcW w:w="1909"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基础节Ⅰ（S</w:t>
            </w:r>
            <w:r>
              <w:t>69</w:t>
            </w:r>
            <w:r>
              <w:rPr>
                <w:rFonts w:hint="eastAsia"/>
              </w:rPr>
              <w:t>JT）</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2.0×2.0×7.5</w:t>
            </w:r>
          </w:p>
        </w:tc>
        <w:tc>
          <w:tcPr>
            <w:tcW w:w="977" w:type="dxa"/>
            <w:vAlign w:val="center"/>
          </w:tcPr>
          <w:p>
            <w:pPr>
              <w:spacing w:after="0" w:afterLines="0" w:line="240" w:lineRule="auto"/>
              <w:ind w:firstLine="0" w:firstLineChars="0"/>
              <w:jc w:val="center"/>
              <w:rPr>
                <w:rFonts w:ascii="宋体" w:hAnsi="宋体" w:eastAsia="宋体" w:cs="宋体"/>
              </w:rPr>
            </w:pPr>
            <w:r>
              <w:t>5.020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上部四角靠内侧四个销轴孔</w:t>
            </w:r>
          </w:p>
        </w:tc>
        <w:tc>
          <w:tcPr>
            <w:tcW w:w="1909" w:type="dxa"/>
            <w:vAlign w:val="center"/>
          </w:tcPr>
          <w:p>
            <w:pPr>
              <w:spacing w:after="0" w:afterLines="0" w:line="240" w:lineRule="auto"/>
              <w:ind w:firstLine="0" w:firstLineChars="0"/>
              <w:jc w:val="center"/>
              <w:rPr>
                <w:rFonts w:ascii="宋体" w:hAnsi="宋体" w:eastAsia="宋体" w:cs="宋体"/>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基础节Ⅱ（S</w:t>
            </w:r>
            <w:r>
              <w:t>69</w:t>
            </w:r>
            <w:r>
              <w:rPr>
                <w:rFonts w:hint="eastAsia"/>
              </w:rPr>
              <w:t>JTA）</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2.0×2.0×7.5</w:t>
            </w:r>
          </w:p>
        </w:tc>
        <w:tc>
          <w:tcPr>
            <w:tcW w:w="977" w:type="dxa"/>
            <w:vAlign w:val="center"/>
          </w:tcPr>
          <w:p>
            <w:pPr>
              <w:spacing w:after="0" w:afterLines="0" w:line="240" w:lineRule="auto"/>
              <w:ind w:firstLine="0" w:firstLineChars="0"/>
              <w:jc w:val="center"/>
              <w:rPr>
                <w:rFonts w:ascii="宋体" w:hAnsi="宋体" w:eastAsia="宋体" w:cs="宋体"/>
              </w:rPr>
            </w:pPr>
            <w:r>
              <w:t>4.100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上部四角靠内侧四个销轴孔</w:t>
            </w:r>
          </w:p>
        </w:tc>
        <w:tc>
          <w:tcPr>
            <w:tcW w:w="1909" w:type="dxa"/>
            <w:vAlign w:val="center"/>
          </w:tcPr>
          <w:p>
            <w:pPr>
              <w:spacing w:after="0" w:afterLines="0" w:line="240" w:lineRule="auto"/>
              <w:ind w:firstLine="0" w:firstLineChars="0"/>
              <w:jc w:val="center"/>
              <w:rPr>
                <w:rFonts w:ascii="宋体" w:hAnsi="宋体" w:eastAsia="宋体" w:cs="宋体"/>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pPr>
            <w:r>
              <w:rPr>
                <w:rFonts w:hint="eastAsia"/>
              </w:rPr>
              <w:t>标准节</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2.0×2.0×3.0</w:t>
            </w:r>
          </w:p>
        </w:tc>
        <w:tc>
          <w:tcPr>
            <w:tcW w:w="977" w:type="dxa"/>
            <w:vAlign w:val="center"/>
          </w:tcPr>
          <w:p>
            <w:pPr>
              <w:spacing w:after="0" w:afterLines="0" w:line="240" w:lineRule="auto"/>
              <w:ind w:firstLine="0" w:firstLineChars="0"/>
              <w:jc w:val="center"/>
            </w:pPr>
          </w:p>
        </w:tc>
        <w:tc>
          <w:tcPr>
            <w:tcW w:w="936" w:type="dxa"/>
            <w:vAlign w:val="center"/>
          </w:tcPr>
          <w:p>
            <w:pPr>
              <w:spacing w:after="0" w:afterLines="0" w:line="240" w:lineRule="auto"/>
              <w:ind w:firstLine="0" w:firstLineChars="0"/>
              <w:jc w:val="center"/>
              <w:rPr>
                <w:rFonts w:ascii="宋体" w:hAnsi="宋体" w:eastAsia="宋体" w:cs="宋体"/>
              </w:rPr>
            </w:pP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上部四角靠内侧四个销轴孔</w:t>
            </w:r>
          </w:p>
        </w:tc>
        <w:tc>
          <w:tcPr>
            <w:tcW w:w="1909"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按初装高度计算数量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爬升架总成</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7.25×2.55×2.81</w:t>
            </w:r>
          </w:p>
        </w:tc>
        <w:tc>
          <w:tcPr>
            <w:tcW w:w="977" w:type="dxa"/>
            <w:vAlign w:val="center"/>
          </w:tcPr>
          <w:p>
            <w:pPr>
              <w:spacing w:after="0" w:afterLines="0" w:line="240" w:lineRule="auto"/>
              <w:ind w:firstLine="0" w:firstLineChars="0"/>
              <w:jc w:val="center"/>
              <w:rPr>
                <w:rFonts w:ascii="宋体" w:hAnsi="宋体" w:eastAsia="宋体" w:cs="宋体"/>
              </w:rPr>
            </w:pPr>
            <w:r>
              <w:t>5.350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上部四角靠内侧四个销轴孔</w:t>
            </w:r>
          </w:p>
        </w:tc>
        <w:tc>
          <w:tcPr>
            <w:tcW w:w="1909"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含平台标准节，含液压泵站</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特殊节</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2.48×2.48×3.75</w:t>
            </w:r>
          </w:p>
        </w:tc>
        <w:tc>
          <w:tcPr>
            <w:tcW w:w="977" w:type="dxa"/>
            <w:vAlign w:val="center"/>
          </w:tcPr>
          <w:p>
            <w:pPr>
              <w:spacing w:after="0" w:afterLines="0" w:line="240" w:lineRule="auto"/>
              <w:ind w:firstLine="0" w:firstLineChars="0"/>
              <w:jc w:val="center"/>
              <w:rPr>
                <w:rFonts w:ascii="宋体" w:hAnsi="宋体" w:eastAsia="宋体" w:cs="宋体"/>
              </w:rPr>
            </w:pPr>
            <w:r>
              <w:t>2.380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上部四角靠内侧四个销轴孔</w:t>
            </w:r>
          </w:p>
        </w:tc>
        <w:tc>
          <w:tcPr>
            <w:tcW w:w="1909" w:type="dxa"/>
            <w:vAlign w:val="center"/>
          </w:tcPr>
          <w:p>
            <w:pPr>
              <w:spacing w:after="0" w:afterLines="0" w:line="240" w:lineRule="auto"/>
              <w:ind w:firstLine="0" w:firstLineChars="0"/>
              <w:jc w:val="center"/>
              <w:rPr>
                <w:rFonts w:ascii="宋体" w:hAnsi="宋体" w:eastAsia="宋体" w:cs="宋体"/>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回转总成</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2.65×2.33×4.66</w:t>
            </w:r>
          </w:p>
        </w:tc>
        <w:tc>
          <w:tcPr>
            <w:tcW w:w="977" w:type="dxa"/>
            <w:vAlign w:val="center"/>
          </w:tcPr>
          <w:p>
            <w:pPr>
              <w:spacing w:after="0" w:afterLines="0" w:line="240" w:lineRule="auto"/>
              <w:ind w:firstLine="0" w:firstLineChars="0"/>
              <w:jc w:val="center"/>
              <w:rPr>
                <w:rFonts w:ascii="宋体" w:hAnsi="宋体" w:eastAsia="宋体" w:cs="宋体"/>
              </w:rPr>
            </w:pPr>
            <w:r>
              <w:t>6.030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上部四个与回转下支座连四个销轴孔</w:t>
            </w:r>
          </w:p>
        </w:tc>
        <w:tc>
          <w:tcPr>
            <w:tcW w:w="1909"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含司机室</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臂根节</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11.33×1.64×2.51</w:t>
            </w:r>
          </w:p>
        </w:tc>
        <w:tc>
          <w:tcPr>
            <w:tcW w:w="977" w:type="dxa"/>
            <w:vAlign w:val="center"/>
          </w:tcPr>
          <w:p>
            <w:pPr>
              <w:spacing w:after="0" w:afterLines="0" w:line="240" w:lineRule="auto"/>
              <w:ind w:firstLine="0" w:firstLineChars="0"/>
              <w:jc w:val="center"/>
              <w:rPr>
                <w:rFonts w:ascii="宋体" w:hAnsi="宋体" w:eastAsia="宋体" w:cs="宋体"/>
              </w:rPr>
            </w:pPr>
            <w:r>
              <w:t>5.640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吊耳</w:t>
            </w:r>
          </w:p>
        </w:tc>
        <w:tc>
          <w:tcPr>
            <w:tcW w:w="1909" w:type="dxa"/>
            <w:vAlign w:val="center"/>
          </w:tcPr>
          <w:p>
            <w:pPr>
              <w:spacing w:after="0" w:afterLines="0" w:line="240" w:lineRule="auto"/>
              <w:ind w:firstLine="0" w:firstLineChars="0"/>
              <w:jc w:val="center"/>
              <w:rPr>
                <w:rFonts w:ascii="宋体" w:hAnsi="宋体" w:eastAsia="宋体" w:cs="宋体"/>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平衡臂总成</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15.59×1.66×0.75</w:t>
            </w:r>
          </w:p>
        </w:tc>
        <w:tc>
          <w:tcPr>
            <w:tcW w:w="977" w:type="dxa"/>
            <w:vAlign w:val="center"/>
          </w:tcPr>
          <w:p>
            <w:pPr>
              <w:spacing w:after="0" w:afterLines="0" w:line="240" w:lineRule="auto"/>
              <w:ind w:firstLine="0" w:firstLineChars="0"/>
              <w:jc w:val="center"/>
              <w:rPr>
                <w:rFonts w:ascii="宋体" w:hAnsi="宋体" w:eastAsia="宋体" w:cs="宋体"/>
              </w:rPr>
            </w:pPr>
            <w:r>
              <w:t>7.220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吊耳</w:t>
            </w:r>
          </w:p>
        </w:tc>
        <w:tc>
          <w:tcPr>
            <w:tcW w:w="1909"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含起升机构</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cs="仿宋"/>
                <w:bCs/>
              </w:rPr>
              <w:t>一块平衡重</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2×2.77×0.4</w:t>
            </w:r>
          </w:p>
        </w:tc>
        <w:tc>
          <w:tcPr>
            <w:tcW w:w="977" w:type="dxa"/>
            <w:vAlign w:val="center"/>
          </w:tcPr>
          <w:p>
            <w:pPr>
              <w:spacing w:after="0" w:afterLines="0" w:line="240" w:lineRule="auto"/>
              <w:ind w:firstLine="0" w:firstLineChars="0"/>
              <w:jc w:val="center"/>
              <w:rPr>
                <w:rFonts w:ascii="宋体" w:hAnsi="宋体" w:eastAsia="宋体" w:cs="宋体"/>
              </w:rPr>
            </w:pPr>
            <w:r>
              <w:t>3.320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吊耳</w:t>
            </w:r>
          </w:p>
        </w:tc>
        <w:tc>
          <w:tcPr>
            <w:tcW w:w="1909" w:type="dxa"/>
            <w:vAlign w:val="center"/>
          </w:tcPr>
          <w:p>
            <w:pPr>
              <w:spacing w:after="0" w:afterLines="0" w:line="240" w:lineRule="auto"/>
              <w:ind w:firstLine="0" w:firstLineChars="0"/>
              <w:jc w:val="center"/>
              <w:rPr>
                <w:rFonts w:ascii="宋体" w:hAnsi="宋体" w:eastAsia="宋体" w:cs="宋体"/>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剩余起重臂</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30×1.64×2.51</w:t>
            </w:r>
          </w:p>
        </w:tc>
        <w:tc>
          <w:tcPr>
            <w:tcW w:w="977" w:type="dxa"/>
            <w:vAlign w:val="center"/>
          </w:tcPr>
          <w:p>
            <w:pPr>
              <w:spacing w:after="0" w:afterLines="0" w:line="240" w:lineRule="auto"/>
              <w:ind w:firstLine="0" w:firstLineChars="0"/>
              <w:jc w:val="center"/>
              <w:rPr>
                <w:rFonts w:ascii="宋体" w:hAnsi="宋体" w:eastAsia="宋体" w:cs="宋体"/>
              </w:rPr>
            </w:pPr>
            <w:r>
              <w:t>10.560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吊耳</w:t>
            </w:r>
          </w:p>
        </w:tc>
        <w:tc>
          <w:tcPr>
            <w:tcW w:w="1909" w:type="dxa"/>
            <w:vAlign w:val="center"/>
          </w:tcPr>
          <w:p>
            <w:pPr>
              <w:spacing w:after="0" w:afterLines="0" w:line="240" w:lineRule="auto"/>
              <w:ind w:firstLine="0" w:firstLineChars="0"/>
              <w:jc w:val="center"/>
              <w:rPr>
                <w:rFonts w:ascii="宋体" w:hAnsi="宋体" w:eastAsia="宋体" w:cs="宋体"/>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spacing w:after="0" w:afterLines="0" w:line="240" w:lineRule="auto"/>
              <w:ind w:firstLine="0" w:firstLineChars="0"/>
              <w:jc w:val="center"/>
              <w:rPr>
                <w:rFonts w:ascii="宋体" w:hAnsi="宋体" w:eastAsia="宋体" w:cs="宋体"/>
              </w:rPr>
            </w:pPr>
            <w:r>
              <w:rPr>
                <w:rFonts w:hint="eastAsia"/>
              </w:rPr>
              <w:t>剩余平衡重</w:t>
            </w:r>
          </w:p>
        </w:tc>
        <w:tc>
          <w:tcPr>
            <w:tcW w:w="1701"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2×2.77×0.4</w:t>
            </w:r>
          </w:p>
        </w:tc>
        <w:tc>
          <w:tcPr>
            <w:tcW w:w="977" w:type="dxa"/>
            <w:vAlign w:val="center"/>
          </w:tcPr>
          <w:p>
            <w:pPr>
              <w:spacing w:after="0" w:afterLines="0" w:line="240" w:lineRule="auto"/>
              <w:ind w:firstLine="0" w:firstLineChars="0"/>
              <w:jc w:val="center"/>
              <w:rPr>
                <w:rFonts w:ascii="宋体" w:hAnsi="宋体" w:eastAsia="宋体" w:cs="宋体"/>
              </w:rPr>
            </w:pPr>
            <w:r>
              <w:t>3.320</w:t>
            </w:r>
          </w:p>
        </w:tc>
        <w:tc>
          <w:tcPr>
            <w:tcW w:w="936"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4</w:t>
            </w:r>
          </w:p>
        </w:tc>
        <w:tc>
          <w:tcPr>
            <w:tcW w:w="2292"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吊耳</w:t>
            </w:r>
          </w:p>
        </w:tc>
        <w:tc>
          <w:tcPr>
            <w:tcW w:w="1909" w:type="dxa"/>
            <w:vAlign w:val="center"/>
          </w:tcPr>
          <w:p>
            <w:pPr>
              <w:spacing w:after="0" w:afterLines="0" w:line="240" w:lineRule="auto"/>
              <w:ind w:firstLine="0" w:firstLineChars="0"/>
              <w:jc w:val="center"/>
              <w:rPr>
                <w:rFonts w:ascii="宋体" w:hAnsi="宋体" w:eastAsia="宋体" w:cs="宋体"/>
              </w:rPr>
            </w:pPr>
          </w:p>
        </w:tc>
      </w:tr>
    </w:tbl>
    <w:p>
      <w:pPr>
        <w:pStyle w:val="3"/>
        <w:numPr>
          <w:ilvl w:val="0"/>
          <w:numId w:val="2"/>
        </w:numPr>
        <w:spacing w:before="156" w:after="156"/>
        <w:rPr>
          <w:rFonts w:ascii="宋体" w:hAnsi="宋体" w:eastAsia="宋体" w:cs="宋体"/>
          <w:b w:val="0"/>
          <w:bCs/>
          <w:color w:val="000000" w:themeColor="text1"/>
          <w:sz w:val="24"/>
          <w:szCs w:val="24"/>
          <w14:textFill>
            <w14:solidFill>
              <w14:schemeClr w14:val="tx1"/>
            </w14:solidFill>
          </w14:textFill>
        </w:rPr>
      </w:pPr>
      <w:bookmarkStart w:id="23" w:name="_Toc15066"/>
      <w:r>
        <w:rPr>
          <w:rFonts w:hint="eastAsia" w:ascii="宋体" w:hAnsi="宋体" w:eastAsia="宋体" w:cs="宋体"/>
          <w:b w:val="0"/>
          <w:bCs/>
          <w:color w:val="000000" w:themeColor="text1"/>
          <w:sz w:val="24"/>
          <w:szCs w:val="24"/>
          <w14:textFill>
            <w14:solidFill>
              <w14:schemeClr w14:val="tx1"/>
            </w14:solidFill>
          </w14:textFill>
        </w:rPr>
        <w:t>基础设置</w:t>
      </w:r>
      <w:bookmarkEnd w:id="23"/>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塔吊及基础的基本情况见表4-1。</w:t>
      </w:r>
    </w:p>
    <w:p>
      <w:pPr>
        <w:spacing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表4-1塔吊基础基本信息</w:t>
      </w:r>
    </w:p>
    <w:tbl>
      <w:tblPr>
        <w:tblStyle w:val="22"/>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1"/>
        <w:gridCol w:w="1311"/>
        <w:gridCol w:w="1264"/>
        <w:gridCol w:w="1597"/>
        <w:gridCol w:w="1915"/>
        <w:gridCol w:w="1406"/>
        <w:gridCol w:w="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9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编号</w:t>
            </w:r>
          </w:p>
        </w:tc>
        <w:tc>
          <w:tcPr>
            <w:tcW w:w="131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型号</w:t>
            </w:r>
          </w:p>
        </w:tc>
        <w:tc>
          <w:tcPr>
            <w:tcW w:w="126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基础形式</w:t>
            </w:r>
          </w:p>
        </w:tc>
        <w:tc>
          <w:tcPr>
            <w:tcW w:w="1597"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基础承台尺寸</w:t>
            </w:r>
          </w:p>
        </w:tc>
        <w:tc>
          <w:tcPr>
            <w:tcW w:w="1915"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基础顶标高</w:t>
            </w:r>
          </w:p>
        </w:tc>
        <w:tc>
          <w:tcPr>
            <w:tcW w:w="140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起重臂工作半径</w:t>
            </w:r>
          </w:p>
        </w:tc>
        <w:tc>
          <w:tcPr>
            <w:tcW w:w="882"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9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31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6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桩基基础</w:t>
            </w:r>
          </w:p>
        </w:tc>
        <w:tc>
          <w:tcPr>
            <w:tcW w:w="1597"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5×5×1.7m</w:t>
            </w:r>
          </w:p>
        </w:tc>
        <w:tc>
          <w:tcPr>
            <w:tcW w:w="1915" w:type="dxa"/>
            <w:vAlign w:val="center"/>
          </w:tcPr>
          <w:p>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w:t>
            </w:r>
            <w:r>
              <w:rPr>
                <w:rFonts w:hint="eastAsia" w:ascii="宋体" w:hAnsi="宋体" w:eastAsia="宋体" w:cs="宋体"/>
                <w:bCs/>
                <w:color w:val="000000" w:themeColor="text1"/>
                <w:lang w:val="en-US" w:eastAsia="zh-CN"/>
                <w14:textFill>
                  <w14:solidFill>
                    <w14:schemeClr w14:val="tx1"/>
                  </w14:solidFill>
                </w14:textFill>
              </w:rPr>
              <w:t>2.866</w:t>
            </w:r>
          </w:p>
        </w:tc>
        <w:tc>
          <w:tcPr>
            <w:tcW w:w="1406" w:type="dxa"/>
            <w:vAlign w:val="center"/>
          </w:tcPr>
          <w:p>
            <w:pPr>
              <w:spacing w:after="0" w:afterLines="0" w:line="240" w:lineRule="auto"/>
              <w:ind w:firstLine="0" w:firstLineChars="0"/>
              <w:jc w:val="center"/>
            </w:pPr>
            <w:r>
              <w:rPr>
                <w:rFonts w:hint="eastAsia"/>
              </w:rPr>
              <w:t xml:space="preserve"> 70m</w:t>
            </w:r>
          </w:p>
        </w:tc>
        <w:tc>
          <w:tcPr>
            <w:tcW w:w="8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9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31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6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桩基基础</w:t>
            </w:r>
          </w:p>
        </w:tc>
        <w:tc>
          <w:tcPr>
            <w:tcW w:w="1597"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5×5×1.7m</w:t>
            </w:r>
          </w:p>
        </w:tc>
        <w:tc>
          <w:tcPr>
            <w:tcW w:w="1915" w:type="dxa"/>
            <w:vAlign w:val="center"/>
          </w:tcPr>
          <w:p>
            <w:pPr>
              <w:spacing w:after="0" w:afterLines="0"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r>
              <w:rPr>
                <w:rFonts w:hint="eastAsia" w:ascii="宋体" w:hAnsi="宋体" w:eastAsia="宋体" w:cs="宋体"/>
                <w:bCs/>
                <w:color w:val="000000" w:themeColor="text1"/>
                <w:lang w:val="en-US" w:eastAsia="zh-CN"/>
                <w14:textFill>
                  <w14:solidFill>
                    <w14:schemeClr w14:val="tx1"/>
                  </w14:solidFill>
                </w14:textFill>
              </w:rPr>
              <w:t>2.35</w:t>
            </w:r>
          </w:p>
        </w:tc>
        <w:tc>
          <w:tcPr>
            <w:tcW w:w="1406" w:type="dxa"/>
            <w:vAlign w:val="center"/>
          </w:tcPr>
          <w:p>
            <w:pPr>
              <w:spacing w:after="0" w:afterLines="0" w:line="240" w:lineRule="auto"/>
              <w:ind w:firstLine="480"/>
              <w:jc w:val="both"/>
              <w:rPr>
                <w:rFonts w:ascii="宋体" w:hAnsi="宋体" w:eastAsia="宋体" w:cs="宋体"/>
                <w:bCs/>
                <w:color w:val="000000" w:themeColor="text1"/>
                <w14:textFill>
                  <w14:solidFill>
                    <w14:schemeClr w14:val="tx1"/>
                  </w14:solidFill>
                </w14:textFill>
              </w:rPr>
            </w:pPr>
            <w:r>
              <w:rPr>
                <w:rFonts w:hint="eastAsia"/>
              </w:rPr>
              <w:t>70m</w:t>
            </w:r>
          </w:p>
        </w:tc>
        <w:tc>
          <w:tcPr>
            <w:tcW w:w="8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48m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9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31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6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桩基基础</w:t>
            </w:r>
          </w:p>
        </w:tc>
        <w:tc>
          <w:tcPr>
            <w:tcW w:w="1597"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5×5×1.7m</w:t>
            </w:r>
          </w:p>
        </w:tc>
        <w:tc>
          <w:tcPr>
            <w:tcW w:w="1915" w:type="dxa"/>
            <w:vAlign w:val="center"/>
          </w:tcPr>
          <w:p>
            <w:pPr>
              <w:spacing w:after="0" w:afterLines="0" w:line="240" w:lineRule="auto"/>
              <w:ind w:firstLine="0" w:firstLineChars="0"/>
              <w:jc w:val="center"/>
              <w:rPr>
                <w:rFonts w:hint="eastAsia"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w:t>
            </w:r>
            <w:r>
              <w:rPr>
                <w:rFonts w:hint="eastAsia" w:ascii="宋体" w:hAnsi="宋体" w:eastAsia="宋体" w:cs="宋体"/>
                <w:bCs/>
                <w:color w:val="000000" w:themeColor="text1"/>
                <w:lang w:val="en-US" w:eastAsia="zh-CN"/>
                <w14:textFill>
                  <w14:solidFill>
                    <w14:schemeClr w14:val="tx1"/>
                  </w14:solidFill>
                </w14:textFill>
              </w:rPr>
              <w:t>7</w:t>
            </w:r>
          </w:p>
        </w:tc>
        <w:tc>
          <w:tcPr>
            <w:tcW w:w="1406" w:type="dxa"/>
            <w:vAlign w:val="center"/>
          </w:tcPr>
          <w:p>
            <w:pPr>
              <w:spacing w:after="0" w:afterLines="0" w:line="240" w:lineRule="auto"/>
              <w:ind w:firstLine="480"/>
              <w:jc w:val="both"/>
              <w:rPr>
                <w:rFonts w:ascii="宋体" w:hAnsi="宋体" w:eastAsia="宋体" w:cs="宋体"/>
                <w:bCs/>
                <w:color w:val="000000" w:themeColor="text1"/>
                <w14:textFill>
                  <w14:solidFill>
                    <w14:schemeClr w14:val="tx1"/>
                  </w14:solidFill>
                </w14:textFill>
              </w:rPr>
            </w:pPr>
            <w:r>
              <w:rPr>
                <w:rFonts w:hint="eastAsia"/>
              </w:rPr>
              <w:t>70m</w:t>
            </w:r>
          </w:p>
        </w:tc>
        <w:tc>
          <w:tcPr>
            <w:tcW w:w="8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48m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9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31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6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桩基基础</w:t>
            </w:r>
          </w:p>
        </w:tc>
        <w:tc>
          <w:tcPr>
            <w:tcW w:w="1597"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5×5×1.7m</w:t>
            </w:r>
          </w:p>
        </w:tc>
        <w:tc>
          <w:tcPr>
            <w:tcW w:w="1915" w:type="dxa"/>
            <w:vAlign w:val="center"/>
          </w:tcPr>
          <w:p>
            <w:pPr>
              <w:spacing w:after="0" w:afterLines="0" w:line="240" w:lineRule="auto"/>
              <w:ind w:firstLine="0" w:firstLineChars="0"/>
              <w:jc w:val="center"/>
              <w:rPr>
                <w:rFonts w:hint="eastAsia" w:ascii="宋体" w:hAnsi="宋体" w:eastAsia="宋体" w:cs="宋体"/>
                <w:bCs/>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w:t>
            </w:r>
            <w:r>
              <w:rPr>
                <w:rFonts w:hint="eastAsia" w:ascii="宋体" w:hAnsi="宋体" w:eastAsia="宋体" w:cs="宋体"/>
                <w:bCs/>
                <w:color w:val="000000" w:themeColor="text1"/>
                <w:lang w:val="en-US" w:eastAsia="zh-CN"/>
                <w14:textFill>
                  <w14:solidFill>
                    <w14:schemeClr w14:val="tx1"/>
                  </w14:solidFill>
                </w14:textFill>
              </w:rPr>
              <w:t>7</w:t>
            </w:r>
            <w:bookmarkStart w:id="503" w:name="_GoBack"/>
            <w:bookmarkEnd w:id="503"/>
          </w:p>
        </w:tc>
        <w:tc>
          <w:tcPr>
            <w:tcW w:w="1406" w:type="dxa"/>
            <w:vAlign w:val="center"/>
          </w:tcPr>
          <w:p>
            <w:pPr>
              <w:spacing w:after="0" w:afterLines="0" w:line="240" w:lineRule="auto"/>
              <w:ind w:firstLine="480"/>
              <w:jc w:val="both"/>
              <w:rPr>
                <w:rFonts w:ascii="宋体" w:hAnsi="宋体" w:eastAsia="宋体" w:cs="宋体"/>
                <w:bCs/>
                <w:color w:val="000000" w:themeColor="text1"/>
                <w14:textFill>
                  <w14:solidFill>
                    <w14:schemeClr w14:val="tx1"/>
                  </w14:solidFill>
                </w14:textFill>
              </w:rPr>
            </w:pPr>
            <w:r>
              <w:rPr>
                <w:rFonts w:hint="eastAsia"/>
              </w:rPr>
              <w:t>70m</w:t>
            </w:r>
          </w:p>
        </w:tc>
        <w:tc>
          <w:tcPr>
            <w:tcW w:w="8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57m</w:t>
            </w:r>
          </w:p>
        </w:tc>
      </w:tr>
    </w:tbl>
    <w:p>
      <w:pPr>
        <w:spacing w:after="0" w:afterLines="0" w:line="360" w:lineRule="auto"/>
        <w:ind w:firstLine="480"/>
        <w:rPr>
          <w:rFonts w:cs="仿宋"/>
          <w:kern w:val="3"/>
        </w:rPr>
      </w:pPr>
      <w:r>
        <w:rPr>
          <w:rFonts w:hint="eastAsia" w:cs="仿宋"/>
          <w:kern w:val="3"/>
        </w:rPr>
        <w:t>塔吊基础预埋于混凝土承台中，首先将马凳摆放于承台模板内并安装底层钢筋，再将固定脚与塔身基础节连接后吊放于马凳上并焊接，经调整后在马凳上焊接斜拉筋并安装承台顶层钢筋，最后浇筑承台混凝土。</w:t>
      </w:r>
    </w:p>
    <w:p>
      <w:pPr>
        <w:pStyle w:val="41"/>
        <w:ind w:firstLine="0" w:firstLineChars="0"/>
        <w:rPr>
          <w:rFonts w:hint="default"/>
        </w:rPr>
      </w:pPr>
      <w:r>
        <w:drawing>
          <wp:inline distT="0" distB="0" distL="114300" distR="114300">
            <wp:extent cx="2519045" cy="2544445"/>
            <wp:effectExtent l="0" t="0" r="10795" b="63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3"/>
                    <a:stretch>
                      <a:fillRect/>
                    </a:stretch>
                  </pic:blipFill>
                  <pic:spPr>
                    <a:xfrm>
                      <a:off x="0" y="0"/>
                      <a:ext cx="2519045" cy="2544445"/>
                    </a:xfrm>
                    <a:prstGeom prst="rect">
                      <a:avLst/>
                    </a:prstGeom>
                    <a:noFill/>
                    <a:ln>
                      <a:noFill/>
                    </a:ln>
                  </pic:spPr>
                </pic:pic>
              </a:graphicData>
            </a:graphic>
          </wp:inline>
        </w:drawing>
      </w:r>
      <w:r>
        <w:drawing>
          <wp:inline distT="0" distB="0" distL="114300" distR="114300">
            <wp:extent cx="2759710" cy="2547620"/>
            <wp:effectExtent l="0" t="0" r="13970"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759710" cy="2547620"/>
                    </a:xfrm>
                    <a:prstGeom prst="rect">
                      <a:avLst/>
                    </a:prstGeom>
                    <a:noFill/>
                    <a:ln>
                      <a:noFill/>
                    </a:ln>
                  </pic:spPr>
                </pic:pic>
              </a:graphicData>
            </a:graphic>
          </wp:inline>
        </w:drawing>
      </w:r>
    </w:p>
    <w:p>
      <w:pPr>
        <w:pStyle w:val="41"/>
        <w:ind w:firstLine="482"/>
        <w:rPr>
          <w:rFonts w:hint="default"/>
        </w:rPr>
      </w:pPr>
      <w:r>
        <w:t>图3.1.3-3 塔吊基础施工示意图</w:t>
      </w:r>
    </w:p>
    <w:p>
      <w:pPr>
        <w:pStyle w:val="20"/>
        <w:ind w:firstLine="0"/>
      </w:pPr>
      <w:r>
        <w:drawing>
          <wp:inline distT="0" distB="0" distL="114300" distR="114300">
            <wp:extent cx="4104640" cy="5272405"/>
            <wp:effectExtent l="0" t="0" r="10160" b="6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5"/>
                    <a:stretch>
                      <a:fillRect/>
                    </a:stretch>
                  </pic:blipFill>
                  <pic:spPr>
                    <a:xfrm>
                      <a:off x="0" y="0"/>
                      <a:ext cx="4104640" cy="5272405"/>
                    </a:xfrm>
                    <a:prstGeom prst="rect">
                      <a:avLst/>
                    </a:prstGeom>
                    <a:noFill/>
                    <a:ln>
                      <a:noFill/>
                    </a:ln>
                  </pic:spPr>
                </pic:pic>
              </a:graphicData>
            </a:graphic>
          </wp:inline>
        </w:drawing>
      </w:r>
    </w:p>
    <w:p>
      <w:pPr>
        <w:pStyle w:val="20"/>
        <w:ind w:firstLine="0"/>
        <w:jc w:val="center"/>
      </w:pPr>
      <w:r>
        <w:rPr>
          <w:sz w:val="24"/>
        </w:rPr>
        <w:t>图</w:t>
      </w:r>
      <w:r>
        <w:rPr>
          <w:rFonts w:hint="eastAsia"/>
          <w:sz w:val="24"/>
        </w:rPr>
        <w:t>3.1.3</w:t>
      </w:r>
      <w:r>
        <w:rPr>
          <w:sz w:val="24"/>
        </w:rPr>
        <w:t>-</w:t>
      </w:r>
      <w:r>
        <w:rPr>
          <w:rFonts w:hint="eastAsia"/>
          <w:sz w:val="24"/>
        </w:rPr>
        <w:t>4基础施工外形图</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基础定位及施工详见基础施工专项方案，塔机安装前塔机基础预埋支腿四角水平度偏差小于2mm，基础砼强度应不小于标号为C40强度的80%，并由基础施工方出具基础验收合格资料方可立塔。</w:t>
      </w:r>
    </w:p>
    <w:p>
      <w:pPr>
        <w:pStyle w:val="3"/>
        <w:numPr>
          <w:ilvl w:val="0"/>
          <w:numId w:val="2"/>
        </w:numPr>
        <w:spacing w:before="156" w:after="156"/>
        <w:rPr>
          <w:rFonts w:ascii="宋体" w:hAnsi="宋体" w:eastAsia="宋体" w:cs="宋体"/>
          <w:b w:val="0"/>
          <w:bCs/>
          <w:color w:val="000000" w:themeColor="text1"/>
          <w:sz w:val="24"/>
          <w:szCs w:val="24"/>
          <w14:textFill>
            <w14:solidFill>
              <w14:schemeClr w14:val="tx1"/>
            </w14:solidFill>
          </w14:textFill>
        </w:rPr>
      </w:pPr>
      <w:bookmarkStart w:id="24" w:name="_Toc28568"/>
      <w:r>
        <w:rPr>
          <w:rFonts w:hint="eastAsia" w:ascii="宋体" w:hAnsi="宋体" w:eastAsia="宋体" w:cs="宋体"/>
          <w:b w:val="0"/>
          <w:bCs/>
          <w:color w:val="000000" w:themeColor="text1"/>
          <w:sz w:val="24"/>
          <w:szCs w:val="24"/>
          <w14:textFill>
            <w14:solidFill>
              <w14:schemeClr w14:val="tx1"/>
            </w14:solidFill>
          </w14:textFill>
        </w:rPr>
        <w:t>施工计划</w:t>
      </w:r>
      <w:bookmarkEnd w:id="24"/>
    </w:p>
    <w:p>
      <w:pPr>
        <w:pStyle w:val="4"/>
        <w:tabs>
          <w:tab w:val="left" w:pos="0"/>
        </w:tabs>
        <w:spacing w:before="156" w:after="156"/>
        <w:rPr>
          <w:rFonts w:ascii="宋体" w:hAnsi="宋体" w:eastAsia="宋体" w:cs="宋体"/>
          <w:bCs/>
          <w:color w:val="000000" w:themeColor="text1"/>
          <w:sz w:val="24"/>
          <w14:textFill>
            <w14:solidFill>
              <w14:schemeClr w14:val="tx1"/>
            </w14:solidFill>
          </w14:textFill>
        </w:rPr>
      </w:pPr>
      <w:bookmarkStart w:id="25" w:name="_Toc15921"/>
      <w:r>
        <w:rPr>
          <w:rFonts w:hint="eastAsia" w:ascii="宋体" w:hAnsi="宋体" w:eastAsia="宋体" w:cs="宋体"/>
          <w:bCs/>
          <w:color w:val="000000" w:themeColor="text1"/>
          <w:sz w:val="24"/>
          <w14:textFill>
            <w14:solidFill>
              <w14:schemeClr w14:val="tx1"/>
            </w14:solidFill>
          </w14:textFill>
        </w:rPr>
        <w:t>5.1工程总体目标</w:t>
      </w:r>
      <w:bookmarkEnd w:id="25"/>
    </w:p>
    <w:p>
      <w:pPr>
        <w:pStyle w:val="5"/>
        <w:numPr>
          <w:ilvl w:val="0"/>
          <w:numId w:val="4"/>
        </w:numPr>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吊装工程安全管理目标</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杜绝一般等级(含)以上安全生产责任事故。</w:t>
      </w:r>
    </w:p>
    <w:p>
      <w:pPr>
        <w:pStyle w:val="5"/>
        <w:numPr>
          <w:ilvl w:val="0"/>
          <w:numId w:val="4"/>
        </w:numPr>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吊装工程质量管理目标</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消除质量隐患,杜绝质量事故。</w:t>
      </w:r>
    </w:p>
    <w:p>
      <w:pPr>
        <w:pStyle w:val="5"/>
        <w:numPr>
          <w:ilvl w:val="0"/>
          <w:numId w:val="4"/>
        </w:numPr>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吊装工程文明施工及环境保护目标</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有效防范和降低环境污染,杜绝违法违规事件。</w:t>
      </w:r>
    </w:p>
    <w:p>
      <w:pPr>
        <w:pStyle w:val="4"/>
        <w:tabs>
          <w:tab w:val="left" w:pos="0"/>
        </w:tabs>
        <w:spacing w:before="156" w:after="156"/>
        <w:rPr>
          <w:rFonts w:ascii="宋体" w:hAnsi="宋体" w:eastAsia="宋体" w:cs="宋体"/>
          <w:bCs/>
          <w:color w:val="000000" w:themeColor="text1"/>
          <w:sz w:val="24"/>
          <w14:textFill>
            <w14:solidFill>
              <w14:schemeClr w14:val="tx1"/>
            </w14:solidFill>
          </w14:textFill>
        </w:rPr>
      </w:pPr>
      <w:bookmarkStart w:id="26" w:name="_Toc15513"/>
      <w:r>
        <w:rPr>
          <w:rFonts w:hint="eastAsia" w:ascii="宋体" w:hAnsi="宋体" w:eastAsia="宋体" w:cs="宋体"/>
          <w:bCs/>
          <w:color w:val="000000" w:themeColor="text1"/>
          <w:sz w:val="24"/>
          <w14:textFill>
            <w14:solidFill>
              <w14:schemeClr w14:val="tx1"/>
            </w14:solidFill>
          </w14:textFill>
        </w:rPr>
        <w:t>5.2施工生产管理机构设置及职责</w:t>
      </w:r>
      <w:bookmarkEnd w:id="26"/>
    </w:p>
    <w:p>
      <w:pPr>
        <w:pStyle w:val="5"/>
        <w:numPr>
          <w:ilvl w:val="0"/>
          <w:numId w:val="5"/>
        </w:numPr>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组织机构</w:t>
      </w:r>
    </w:p>
    <w:p>
      <w:pPr>
        <w:spacing w:after="156"/>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inline distT="0" distB="0" distL="114300" distR="114300">
            <wp:extent cx="4594860" cy="1885950"/>
            <wp:effectExtent l="0" t="0" r="1524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6"/>
                    <a:stretch>
                      <a:fillRect/>
                    </a:stretch>
                  </pic:blipFill>
                  <pic:spPr>
                    <a:xfrm>
                      <a:off x="0" y="0"/>
                      <a:ext cx="4594860" cy="1885950"/>
                    </a:xfrm>
                    <a:prstGeom prst="rect">
                      <a:avLst/>
                    </a:prstGeom>
                    <a:noFill/>
                    <a:ln w="9525">
                      <a:noFill/>
                    </a:ln>
                  </pic:spPr>
                </pic:pic>
              </a:graphicData>
            </a:graphic>
          </wp:inline>
        </w:drawing>
      </w:r>
    </w:p>
    <w:p>
      <w:pPr>
        <w:spacing w:after="156"/>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图5-1 组织机构图</w:t>
      </w:r>
    </w:p>
    <w:p>
      <w:pPr>
        <w:pStyle w:val="5"/>
        <w:numPr>
          <w:ilvl w:val="0"/>
          <w:numId w:val="5"/>
        </w:numPr>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主要职责分工</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表5-1</w:t>
      </w:r>
    </w:p>
    <w:tbl>
      <w:tblPr>
        <w:tblStyle w:val="23"/>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440"/>
        <w:gridCol w:w="6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职务</w:t>
            </w:r>
          </w:p>
        </w:tc>
        <w:tc>
          <w:tcPr>
            <w:tcW w:w="1440" w:type="dxa"/>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姓名</w:t>
            </w:r>
          </w:p>
        </w:tc>
        <w:tc>
          <w:tcPr>
            <w:tcW w:w="6118"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项目负责人</w:t>
            </w:r>
          </w:p>
        </w:tc>
        <w:tc>
          <w:tcPr>
            <w:tcW w:w="1440"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顾杰</w:t>
            </w:r>
          </w:p>
        </w:tc>
        <w:tc>
          <w:tcPr>
            <w:tcW w:w="6118"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负责整个项目实施,保证工期、质量安全处于受控状态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技术负责人</w:t>
            </w:r>
          </w:p>
        </w:tc>
        <w:tc>
          <w:tcPr>
            <w:tcW w:w="1440"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张存祥</w:t>
            </w:r>
          </w:p>
        </w:tc>
        <w:tc>
          <w:tcPr>
            <w:tcW w:w="6118"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负责技术方案审批,确保方案的正确性、科学性和可行性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技术员</w:t>
            </w:r>
          </w:p>
        </w:tc>
        <w:tc>
          <w:tcPr>
            <w:tcW w:w="1440"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王磊</w:t>
            </w:r>
          </w:p>
        </w:tc>
        <w:tc>
          <w:tcPr>
            <w:tcW w:w="6118"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负责现场勘查,方案编制,安装过程中技术指导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安全负责人</w:t>
            </w:r>
          </w:p>
        </w:tc>
        <w:tc>
          <w:tcPr>
            <w:tcW w:w="1440"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吕仕昌</w:t>
            </w:r>
          </w:p>
        </w:tc>
        <w:tc>
          <w:tcPr>
            <w:tcW w:w="6118"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落实安全责任制度,负责检查,监督现场人、机、物安全性、可靠性,制止违章作业,消除可能存在的安全隐患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82"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拆装负责人</w:t>
            </w:r>
          </w:p>
        </w:tc>
        <w:tc>
          <w:tcPr>
            <w:tcW w:w="1440" w:type="dxa"/>
            <w:vAlign w:val="center"/>
          </w:tcPr>
          <w:p>
            <w:pPr>
              <w:spacing w:after="0" w:afterLines="0" w:line="240" w:lineRule="auto"/>
              <w:ind w:firstLine="0" w:firstLineChars="0"/>
              <w:jc w:val="center"/>
              <w:rPr>
                <w:rFonts w:ascii="宋体" w:hAnsi="宋体" w:eastAsia="宋体" w:cs="宋体"/>
                <w:bCs/>
              </w:rPr>
            </w:pPr>
            <w:r>
              <w:rPr>
                <w:rFonts w:hint="eastAsia" w:ascii="宋体" w:hAnsi="宋体" w:eastAsia="宋体" w:cs="宋体"/>
                <w:bCs/>
              </w:rPr>
              <w:t>李玉成</w:t>
            </w:r>
          </w:p>
        </w:tc>
        <w:tc>
          <w:tcPr>
            <w:tcW w:w="6118"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负责现场的统一安排和现场指挥;负责现场的吊装指挥;负责每日的工作安排,安全交底、工作记录,严格执行施工方案,制止任何违章作业</w:t>
            </w:r>
          </w:p>
        </w:tc>
      </w:tr>
    </w:tbl>
    <w:p>
      <w:pPr>
        <w:pStyle w:val="5"/>
        <w:numPr>
          <w:ilvl w:val="0"/>
          <w:numId w:val="5"/>
        </w:numPr>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作业人员配置</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表5-2</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986"/>
        <w:gridCol w:w="729"/>
        <w:gridCol w:w="3034"/>
        <w:gridCol w:w="3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9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工种</w:t>
            </w:r>
          </w:p>
        </w:tc>
        <w:tc>
          <w:tcPr>
            <w:tcW w:w="729"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人数</w:t>
            </w:r>
          </w:p>
        </w:tc>
        <w:tc>
          <w:tcPr>
            <w:tcW w:w="3034"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资格</w:t>
            </w:r>
          </w:p>
        </w:tc>
        <w:tc>
          <w:tcPr>
            <w:tcW w:w="3782"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总指挥</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03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熟悉本专业施工工艺流程质量和安环要求,具备应有的协调和组织能力,能冷静地处理施工中突发事件</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1.全面负责施工中的质量和安全问题;</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2.对各个危险源进行监控;</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3.处理施工中的突发事件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班长</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034"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具有施工组织能力,熟悉本专业施工工艺流程,熟悉施工质量、安环要求</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1.负责组织安排施工人力、物力,严格按照作业指导书的施工工艺要求、质量要求和安全环境要求进行施工,全面负责质量、安全工作</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2.组织安装工作班前安全交底;</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3.负责安装前的安全设施的检查,对危险的地点设置安全监护人;</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4.发生质量、安全事故立即上报,组织本班组职工按照“四不放过”的原则认真分析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技术员</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03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熟悉本专业技术管理</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1.负责安装工作安全技术措施的编制和安全施工的监督;</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2.负责安装现场技术指导;</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3.对违章操作,有权制止,严重者可令其停工,并及时向有关领导汇报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安全员</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03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熟悉本专业安全管理</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1.负责安装工作安全技术交底</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2.负责安装工作安全施工的监督;</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3.监督检查施工措施的执行情况;</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4.协助班组长进行安装现场的安全检查,及时解决施工过程中出现的问题;</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5.对违章操作,有权制止,严重者可令其停工,并及时向有关领导汇报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辅助吊机司机</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1-2</w:t>
            </w:r>
          </w:p>
        </w:tc>
        <w:tc>
          <w:tcPr>
            <w:tcW w:w="303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掌握起重施工技术,持有效</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特种作业操作证</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1.负责设备的吊装作业</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3.掌握塔机各部件重量及汽车起重机起重性能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03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掌握电气技术,持有效特种</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作业操作证</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1.负责设备电气部分的作业;</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3.掌握塔机电气线路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安拆工</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303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掌握起重操作技术,持建委</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颁发有效特种作业操作证</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1.进行各部件的安装;</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3.掌握塔机安装程序及各部件吊点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8</w:t>
            </w:r>
          </w:p>
        </w:tc>
        <w:tc>
          <w:tcPr>
            <w:tcW w:w="98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信号司索工</w:t>
            </w:r>
          </w:p>
        </w:tc>
        <w:tc>
          <w:tcPr>
            <w:tcW w:w="72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03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熟悉本专业操作规程,持建</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委颁发的上岗证书</w:t>
            </w:r>
          </w:p>
        </w:tc>
        <w:tc>
          <w:tcPr>
            <w:tcW w:w="3782" w:type="dxa"/>
            <w:vAlign w:val="center"/>
          </w:tcPr>
          <w:p>
            <w:pPr>
              <w:spacing w:after="0" w:afterLines="0" w:line="240" w:lineRule="auto"/>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负责安装过程中的指挥信号</w:t>
            </w:r>
          </w:p>
        </w:tc>
      </w:tr>
    </w:tbl>
    <w:p>
      <w:pPr>
        <w:spacing w:after="156"/>
        <w:ind w:firstLine="480"/>
        <w:rPr>
          <w:rFonts w:ascii="宋体" w:hAnsi="宋体" w:eastAsia="宋体" w:cs="宋体"/>
          <w:bCs/>
          <w:color w:val="000000" w:themeColor="text1"/>
          <w14:textFill>
            <w14:solidFill>
              <w14:schemeClr w14:val="tx1"/>
            </w14:solidFill>
          </w14:textFill>
        </w:rPr>
      </w:pPr>
    </w:p>
    <w:p>
      <w:pPr>
        <w:pStyle w:val="4"/>
        <w:tabs>
          <w:tab w:val="left" w:pos="0"/>
        </w:tabs>
        <w:spacing w:before="156" w:after="156"/>
        <w:rPr>
          <w:rFonts w:ascii="宋体" w:hAnsi="宋体" w:eastAsia="宋体" w:cs="宋体"/>
          <w:bCs/>
          <w:color w:val="000000" w:themeColor="text1"/>
          <w:sz w:val="24"/>
          <w14:textFill>
            <w14:solidFill>
              <w14:schemeClr w14:val="tx1"/>
            </w14:solidFill>
          </w14:textFill>
        </w:rPr>
      </w:pPr>
      <w:bookmarkStart w:id="27" w:name="_Toc12474"/>
      <w:r>
        <w:rPr>
          <w:rFonts w:hint="eastAsia" w:ascii="宋体" w:hAnsi="宋体" w:eastAsia="宋体" w:cs="宋体"/>
          <w:bCs/>
          <w:color w:val="000000" w:themeColor="text1"/>
          <w:sz w:val="24"/>
          <w14:textFill>
            <w14:solidFill>
              <w14:schemeClr w14:val="tx1"/>
            </w14:solidFill>
          </w14:textFill>
        </w:rPr>
        <w:t>5.3施工进度计划</w:t>
      </w:r>
      <w:bookmarkEnd w:id="27"/>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每台塔机安装的施工进度见表5-3，如遇天气等其他不可控因素，工期顺延。</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表5-3</w:t>
      </w:r>
    </w:p>
    <w:p>
      <w:pPr>
        <w:pStyle w:val="42"/>
        <w:rPr>
          <w:color w:val="auto"/>
          <w:sz w:val="24"/>
        </w:rPr>
      </w:pPr>
      <w:r>
        <w:rPr>
          <w:rFonts w:hint="eastAsia"/>
          <w:color w:val="auto"/>
          <w:sz w:val="24"/>
        </w:rPr>
        <w:t>安装进度计划表</w:t>
      </w:r>
    </w:p>
    <w:tbl>
      <w:tblPr>
        <w:tblStyle w:val="22"/>
        <w:tblW w:w="91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809" w:type="dxa"/>
            <w:shd w:val="clear" w:color="auto" w:fill="DAE3F3"/>
            <w:vAlign w:val="center"/>
          </w:tcPr>
          <w:p>
            <w:pPr>
              <w:pStyle w:val="44"/>
              <w:spacing w:before="78"/>
              <w:rPr>
                <w:rStyle w:val="45"/>
                <w:sz w:val="24"/>
                <w:szCs w:val="24"/>
              </w:rPr>
            </w:pPr>
            <w:r>
              <w:rPr>
                <w:rStyle w:val="45"/>
                <w:rFonts w:hint="eastAsia"/>
                <w:sz w:val="24"/>
                <w:szCs w:val="24"/>
              </w:rPr>
              <w:t>序号</w:t>
            </w:r>
          </w:p>
        </w:tc>
        <w:tc>
          <w:tcPr>
            <w:tcW w:w="3950" w:type="dxa"/>
            <w:shd w:val="clear" w:color="auto" w:fill="DAE3F3"/>
            <w:vAlign w:val="center"/>
          </w:tcPr>
          <w:p>
            <w:pPr>
              <w:pStyle w:val="44"/>
              <w:spacing w:before="78"/>
              <w:rPr>
                <w:rStyle w:val="45"/>
                <w:sz w:val="24"/>
                <w:szCs w:val="24"/>
              </w:rPr>
            </w:pPr>
            <w:r>
              <w:rPr>
                <w:rStyle w:val="45"/>
                <w:rFonts w:hint="eastAsia"/>
                <w:sz w:val="24"/>
                <w:szCs w:val="24"/>
              </w:rPr>
              <w:t>安装内容</w:t>
            </w:r>
          </w:p>
        </w:tc>
        <w:tc>
          <w:tcPr>
            <w:tcW w:w="1760" w:type="dxa"/>
            <w:shd w:val="clear" w:color="auto" w:fill="DAE3F3"/>
            <w:vAlign w:val="center"/>
          </w:tcPr>
          <w:p>
            <w:pPr>
              <w:pStyle w:val="44"/>
              <w:spacing w:before="78"/>
              <w:rPr>
                <w:rStyle w:val="45"/>
                <w:sz w:val="24"/>
                <w:szCs w:val="24"/>
              </w:rPr>
            </w:pPr>
            <w:r>
              <w:rPr>
                <w:rStyle w:val="45"/>
                <w:rFonts w:hint="eastAsia"/>
                <w:sz w:val="24"/>
                <w:szCs w:val="24"/>
              </w:rPr>
              <w:t>关键设备</w:t>
            </w:r>
          </w:p>
        </w:tc>
        <w:tc>
          <w:tcPr>
            <w:tcW w:w="975" w:type="dxa"/>
            <w:shd w:val="clear" w:color="auto" w:fill="DAE3F3"/>
            <w:vAlign w:val="center"/>
          </w:tcPr>
          <w:p>
            <w:pPr>
              <w:pStyle w:val="44"/>
              <w:spacing w:before="78"/>
              <w:rPr>
                <w:rStyle w:val="45"/>
                <w:sz w:val="24"/>
                <w:szCs w:val="24"/>
              </w:rPr>
            </w:pPr>
            <w:r>
              <w:rPr>
                <w:rStyle w:val="45"/>
                <w:rFonts w:hint="eastAsia"/>
                <w:sz w:val="24"/>
                <w:szCs w:val="24"/>
              </w:rPr>
              <w:t>时间（天）</w:t>
            </w:r>
          </w:p>
        </w:tc>
        <w:tc>
          <w:tcPr>
            <w:tcW w:w="1623" w:type="dxa"/>
            <w:shd w:val="clear" w:color="auto" w:fill="DAE3F3"/>
            <w:vAlign w:val="center"/>
          </w:tcPr>
          <w:p>
            <w:pPr>
              <w:pStyle w:val="44"/>
              <w:spacing w:before="78"/>
              <w:rPr>
                <w:rStyle w:val="45"/>
                <w:sz w:val="24"/>
                <w:szCs w:val="24"/>
              </w:rPr>
            </w:pPr>
            <w:r>
              <w:rPr>
                <w:rStyle w:val="45"/>
                <w:rFonts w:hint="eastAsia"/>
                <w:sz w:val="24"/>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pPr>
              <w:pStyle w:val="44"/>
              <w:spacing w:before="78"/>
              <w:rPr>
                <w:rStyle w:val="45"/>
                <w:sz w:val="24"/>
                <w:szCs w:val="24"/>
              </w:rPr>
            </w:pPr>
            <w:r>
              <w:rPr>
                <w:rStyle w:val="45"/>
                <w:rFonts w:hint="eastAsia"/>
                <w:sz w:val="24"/>
                <w:szCs w:val="24"/>
              </w:rPr>
              <w:t>1</w:t>
            </w:r>
          </w:p>
        </w:tc>
        <w:tc>
          <w:tcPr>
            <w:tcW w:w="3950" w:type="dxa"/>
            <w:vAlign w:val="center"/>
          </w:tcPr>
          <w:p>
            <w:pPr>
              <w:pStyle w:val="44"/>
              <w:spacing w:before="78"/>
              <w:rPr>
                <w:rStyle w:val="45"/>
                <w:sz w:val="24"/>
                <w:szCs w:val="24"/>
              </w:rPr>
            </w:pPr>
            <w:r>
              <w:rPr>
                <w:rStyle w:val="45"/>
                <w:rFonts w:hint="eastAsia"/>
                <w:sz w:val="24"/>
                <w:szCs w:val="24"/>
              </w:rPr>
              <w:t>塔吊基础验收</w:t>
            </w:r>
          </w:p>
        </w:tc>
        <w:tc>
          <w:tcPr>
            <w:tcW w:w="1760" w:type="dxa"/>
            <w:vAlign w:val="center"/>
          </w:tcPr>
          <w:p>
            <w:pPr>
              <w:pStyle w:val="44"/>
              <w:spacing w:before="78"/>
              <w:rPr>
                <w:rStyle w:val="45"/>
                <w:sz w:val="24"/>
                <w:szCs w:val="24"/>
              </w:rPr>
            </w:pPr>
            <w:r>
              <w:rPr>
                <w:rStyle w:val="45"/>
                <w:rFonts w:hint="eastAsia"/>
                <w:sz w:val="24"/>
                <w:szCs w:val="24"/>
              </w:rPr>
              <w:t>-</w:t>
            </w:r>
          </w:p>
        </w:tc>
        <w:tc>
          <w:tcPr>
            <w:tcW w:w="975" w:type="dxa"/>
            <w:vAlign w:val="center"/>
          </w:tcPr>
          <w:p>
            <w:pPr>
              <w:pStyle w:val="44"/>
              <w:spacing w:before="78"/>
              <w:rPr>
                <w:rStyle w:val="45"/>
                <w:sz w:val="24"/>
                <w:szCs w:val="24"/>
              </w:rPr>
            </w:pPr>
            <w:r>
              <w:rPr>
                <w:rStyle w:val="45"/>
                <w:rFonts w:hint="eastAsia"/>
                <w:sz w:val="24"/>
                <w:szCs w:val="24"/>
              </w:rPr>
              <w:t>0.5</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pPr>
              <w:pStyle w:val="44"/>
              <w:spacing w:before="78"/>
              <w:rPr>
                <w:rStyle w:val="45"/>
                <w:sz w:val="24"/>
                <w:szCs w:val="24"/>
              </w:rPr>
            </w:pPr>
            <w:r>
              <w:rPr>
                <w:rStyle w:val="45"/>
                <w:rFonts w:hint="eastAsia"/>
                <w:sz w:val="24"/>
                <w:szCs w:val="24"/>
              </w:rPr>
              <w:t>2</w:t>
            </w:r>
          </w:p>
        </w:tc>
        <w:tc>
          <w:tcPr>
            <w:tcW w:w="3950" w:type="dxa"/>
            <w:vAlign w:val="center"/>
          </w:tcPr>
          <w:p>
            <w:pPr>
              <w:pStyle w:val="44"/>
              <w:spacing w:before="78"/>
              <w:rPr>
                <w:rStyle w:val="45"/>
                <w:sz w:val="24"/>
                <w:szCs w:val="24"/>
              </w:rPr>
            </w:pPr>
            <w:r>
              <w:rPr>
                <w:rStyle w:val="45"/>
                <w:rFonts w:hint="eastAsia"/>
                <w:sz w:val="24"/>
                <w:szCs w:val="24"/>
              </w:rPr>
              <w:t>过渡节、标准节、套架安装</w:t>
            </w:r>
          </w:p>
        </w:tc>
        <w:tc>
          <w:tcPr>
            <w:tcW w:w="1760" w:type="dxa"/>
            <w:vAlign w:val="center"/>
          </w:tcPr>
          <w:p>
            <w:pPr>
              <w:pStyle w:val="44"/>
              <w:spacing w:before="78"/>
              <w:rPr>
                <w:rStyle w:val="45"/>
                <w:sz w:val="24"/>
                <w:szCs w:val="24"/>
              </w:rPr>
            </w:pPr>
            <w:r>
              <w:rPr>
                <w:rStyle w:val="45"/>
                <w:rFonts w:hint="eastAsia"/>
                <w:sz w:val="24"/>
                <w:szCs w:val="24"/>
              </w:rPr>
              <w:t>80t起重设备</w:t>
            </w:r>
          </w:p>
        </w:tc>
        <w:tc>
          <w:tcPr>
            <w:tcW w:w="975" w:type="dxa"/>
            <w:vAlign w:val="center"/>
          </w:tcPr>
          <w:p>
            <w:pPr>
              <w:pStyle w:val="44"/>
              <w:spacing w:before="78"/>
              <w:rPr>
                <w:rStyle w:val="45"/>
                <w:sz w:val="24"/>
                <w:szCs w:val="24"/>
              </w:rPr>
            </w:pPr>
            <w:r>
              <w:rPr>
                <w:rStyle w:val="45"/>
                <w:rFonts w:hint="eastAsia"/>
                <w:sz w:val="24"/>
                <w:szCs w:val="24"/>
              </w:rPr>
              <w:t>0.5</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pPr>
              <w:pStyle w:val="44"/>
              <w:spacing w:before="78"/>
              <w:rPr>
                <w:rStyle w:val="45"/>
                <w:sz w:val="24"/>
                <w:szCs w:val="24"/>
              </w:rPr>
            </w:pPr>
            <w:r>
              <w:rPr>
                <w:rStyle w:val="45"/>
                <w:rFonts w:hint="eastAsia"/>
                <w:sz w:val="24"/>
                <w:szCs w:val="24"/>
              </w:rPr>
              <w:t>3</w:t>
            </w:r>
          </w:p>
        </w:tc>
        <w:tc>
          <w:tcPr>
            <w:tcW w:w="3950" w:type="dxa"/>
            <w:vAlign w:val="center"/>
          </w:tcPr>
          <w:p>
            <w:pPr>
              <w:pStyle w:val="44"/>
              <w:spacing w:before="78"/>
              <w:rPr>
                <w:rStyle w:val="45"/>
                <w:sz w:val="24"/>
                <w:szCs w:val="24"/>
              </w:rPr>
            </w:pPr>
            <w:r>
              <w:rPr>
                <w:rStyle w:val="45"/>
                <w:rFonts w:hint="eastAsia"/>
                <w:sz w:val="24"/>
                <w:szCs w:val="24"/>
              </w:rPr>
              <w:t>回转总成、回转塔身、司机室</w:t>
            </w:r>
            <w:r>
              <w:rPr>
                <w:rStyle w:val="45"/>
                <w:sz w:val="24"/>
                <w:szCs w:val="24"/>
              </w:rPr>
              <w:t>\</w:t>
            </w:r>
            <w:r>
              <w:rPr>
                <w:rStyle w:val="45"/>
                <w:rFonts w:hint="eastAsia"/>
                <w:sz w:val="24"/>
                <w:szCs w:val="24"/>
              </w:rPr>
              <w:t>塔顶</w:t>
            </w:r>
          </w:p>
        </w:tc>
        <w:tc>
          <w:tcPr>
            <w:tcW w:w="1760" w:type="dxa"/>
            <w:vAlign w:val="center"/>
          </w:tcPr>
          <w:p>
            <w:pPr>
              <w:pStyle w:val="44"/>
              <w:spacing w:before="78"/>
              <w:rPr>
                <w:rStyle w:val="45"/>
                <w:sz w:val="24"/>
                <w:szCs w:val="24"/>
              </w:rPr>
            </w:pPr>
            <w:r>
              <w:rPr>
                <w:rStyle w:val="45"/>
                <w:rFonts w:hint="eastAsia"/>
                <w:sz w:val="24"/>
                <w:szCs w:val="24"/>
              </w:rPr>
              <w:t>80t起重设备</w:t>
            </w:r>
          </w:p>
        </w:tc>
        <w:tc>
          <w:tcPr>
            <w:tcW w:w="975" w:type="dxa"/>
            <w:vAlign w:val="center"/>
          </w:tcPr>
          <w:p>
            <w:pPr>
              <w:pStyle w:val="44"/>
              <w:spacing w:before="78"/>
              <w:rPr>
                <w:rStyle w:val="45"/>
                <w:sz w:val="24"/>
                <w:szCs w:val="24"/>
              </w:rPr>
            </w:pPr>
            <w:r>
              <w:rPr>
                <w:rStyle w:val="45"/>
                <w:rFonts w:hint="eastAsia"/>
                <w:sz w:val="24"/>
                <w:szCs w:val="24"/>
              </w:rPr>
              <w:t>1</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pPr>
              <w:pStyle w:val="44"/>
              <w:spacing w:before="78"/>
              <w:rPr>
                <w:rStyle w:val="45"/>
                <w:sz w:val="24"/>
                <w:szCs w:val="24"/>
              </w:rPr>
            </w:pPr>
            <w:r>
              <w:rPr>
                <w:rStyle w:val="45"/>
                <w:rFonts w:hint="eastAsia"/>
                <w:sz w:val="24"/>
                <w:szCs w:val="24"/>
              </w:rPr>
              <w:t>4</w:t>
            </w:r>
          </w:p>
        </w:tc>
        <w:tc>
          <w:tcPr>
            <w:tcW w:w="3950" w:type="dxa"/>
            <w:vAlign w:val="center"/>
          </w:tcPr>
          <w:p>
            <w:pPr>
              <w:pStyle w:val="44"/>
              <w:spacing w:before="78"/>
              <w:rPr>
                <w:rStyle w:val="45"/>
                <w:sz w:val="24"/>
                <w:szCs w:val="24"/>
              </w:rPr>
            </w:pPr>
            <w:r>
              <w:rPr>
                <w:rStyle w:val="45"/>
                <w:rFonts w:hint="eastAsia"/>
                <w:sz w:val="24"/>
                <w:szCs w:val="24"/>
              </w:rPr>
              <w:t>平衡臂、主卷扬、起重臂、配重、安装</w:t>
            </w:r>
          </w:p>
        </w:tc>
        <w:tc>
          <w:tcPr>
            <w:tcW w:w="1760" w:type="dxa"/>
            <w:vAlign w:val="center"/>
          </w:tcPr>
          <w:p>
            <w:pPr>
              <w:widowControl/>
              <w:adjustRightInd w:val="0"/>
              <w:snapToGrid w:val="0"/>
              <w:spacing w:after="0" w:afterLines="0" w:line="360" w:lineRule="auto"/>
              <w:ind w:firstLine="0" w:firstLineChars="0"/>
              <w:jc w:val="both"/>
              <w:rPr>
                <w:rStyle w:val="45"/>
                <w:rFonts w:ascii="宋体" w:hAnsi="宋体" w:cs="Times New Roman"/>
                <w:sz w:val="24"/>
              </w:rPr>
            </w:pPr>
            <w:r>
              <w:rPr>
                <w:rStyle w:val="45"/>
                <w:rFonts w:hint="eastAsia" w:cs="Times New Roman"/>
                <w:sz w:val="24"/>
              </w:rPr>
              <w:t>80t起重设备</w:t>
            </w:r>
          </w:p>
        </w:tc>
        <w:tc>
          <w:tcPr>
            <w:tcW w:w="975" w:type="dxa"/>
            <w:vAlign w:val="center"/>
          </w:tcPr>
          <w:p>
            <w:pPr>
              <w:pStyle w:val="44"/>
              <w:spacing w:before="78"/>
              <w:rPr>
                <w:rStyle w:val="45"/>
                <w:sz w:val="24"/>
                <w:szCs w:val="24"/>
              </w:rPr>
            </w:pPr>
            <w:r>
              <w:rPr>
                <w:rStyle w:val="45"/>
                <w:sz w:val="24"/>
                <w:szCs w:val="24"/>
              </w:rPr>
              <w:t>1</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pPr>
              <w:pStyle w:val="44"/>
              <w:spacing w:before="78"/>
              <w:rPr>
                <w:rStyle w:val="45"/>
                <w:sz w:val="24"/>
                <w:szCs w:val="24"/>
              </w:rPr>
            </w:pPr>
            <w:r>
              <w:rPr>
                <w:rStyle w:val="45"/>
                <w:rFonts w:hint="eastAsia"/>
                <w:sz w:val="24"/>
                <w:szCs w:val="24"/>
              </w:rPr>
              <w:t>5</w:t>
            </w:r>
          </w:p>
        </w:tc>
        <w:tc>
          <w:tcPr>
            <w:tcW w:w="3950" w:type="dxa"/>
            <w:vAlign w:val="center"/>
          </w:tcPr>
          <w:p>
            <w:pPr>
              <w:pStyle w:val="44"/>
              <w:spacing w:before="78"/>
              <w:rPr>
                <w:rStyle w:val="45"/>
                <w:sz w:val="24"/>
                <w:szCs w:val="24"/>
              </w:rPr>
            </w:pPr>
            <w:r>
              <w:rPr>
                <w:rStyle w:val="45"/>
                <w:rFonts w:hint="eastAsia"/>
                <w:sz w:val="24"/>
                <w:szCs w:val="24"/>
              </w:rPr>
              <w:t>电气调试、钢丝绳穿绕</w:t>
            </w:r>
          </w:p>
        </w:tc>
        <w:tc>
          <w:tcPr>
            <w:tcW w:w="1760" w:type="dxa"/>
            <w:vAlign w:val="center"/>
          </w:tcPr>
          <w:p>
            <w:pPr>
              <w:widowControl/>
              <w:adjustRightInd w:val="0"/>
              <w:snapToGrid w:val="0"/>
              <w:spacing w:after="0" w:afterLines="0" w:line="360" w:lineRule="auto"/>
              <w:ind w:firstLine="0" w:firstLineChars="0"/>
              <w:jc w:val="both"/>
              <w:rPr>
                <w:rStyle w:val="45"/>
                <w:rFonts w:ascii="宋体" w:hAnsi="宋体" w:cs="Times New Roman"/>
                <w:sz w:val="24"/>
              </w:rPr>
            </w:pPr>
            <w:r>
              <w:rPr>
                <w:rStyle w:val="45"/>
                <w:rFonts w:hint="eastAsia" w:cs="Times New Roman"/>
                <w:sz w:val="24"/>
              </w:rPr>
              <w:t>80t起重设备</w:t>
            </w:r>
          </w:p>
        </w:tc>
        <w:tc>
          <w:tcPr>
            <w:tcW w:w="975" w:type="dxa"/>
            <w:vAlign w:val="center"/>
          </w:tcPr>
          <w:p>
            <w:pPr>
              <w:pStyle w:val="44"/>
              <w:spacing w:before="78"/>
              <w:rPr>
                <w:rStyle w:val="45"/>
                <w:sz w:val="24"/>
                <w:szCs w:val="24"/>
              </w:rPr>
            </w:pPr>
            <w:r>
              <w:rPr>
                <w:rStyle w:val="45"/>
                <w:rFonts w:hint="eastAsia"/>
                <w:sz w:val="24"/>
                <w:szCs w:val="24"/>
              </w:rPr>
              <w:t>1</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pPr>
              <w:pStyle w:val="44"/>
              <w:spacing w:before="78"/>
              <w:rPr>
                <w:rStyle w:val="45"/>
                <w:sz w:val="24"/>
                <w:szCs w:val="24"/>
              </w:rPr>
            </w:pPr>
            <w:r>
              <w:rPr>
                <w:rStyle w:val="45"/>
                <w:rFonts w:hint="eastAsia"/>
                <w:sz w:val="24"/>
                <w:szCs w:val="24"/>
              </w:rPr>
              <w:t>6</w:t>
            </w:r>
          </w:p>
        </w:tc>
        <w:tc>
          <w:tcPr>
            <w:tcW w:w="3950" w:type="dxa"/>
            <w:vAlign w:val="center"/>
          </w:tcPr>
          <w:p>
            <w:pPr>
              <w:pStyle w:val="44"/>
              <w:spacing w:before="78"/>
              <w:rPr>
                <w:rStyle w:val="45"/>
                <w:sz w:val="24"/>
                <w:szCs w:val="24"/>
              </w:rPr>
            </w:pPr>
            <w:r>
              <w:rPr>
                <w:rStyle w:val="45"/>
                <w:rFonts w:hint="eastAsia"/>
                <w:sz w:val="24"/>
                <w:szCs w:val="24"/>
              </w:rPr>
              <w:t>顶升加节</w:t>
            </w:r>
          </w:p>
        </w:tc>
        <w:tc>
          <w:tcPr>
            <w:tcW w:w="1760" w:type="dxa"/>
            <w:vAlign w:val="center"/>
          </w:tcPr>
          <w:p>
            <w:pPr>
              <w:widowControl/>
              <w:adjustRightInd w:val="0"/>
              <w:snapToGrid w:val="0"/>
              <w:spacing w:after="0" w:afterLines="0" w:line="360" w:lineRule="auto"/>
              <w:ind w:firstLine="0" w:firstLineChars="0"/>
              <w:jc w:val="both"/>
              <w:rPr>
                <w:rStyle w:val="45"/>
                <w:rFonts w:ascii="宋体" w:hAnsi="宋体" w:cs="Times New Roman"/>
                <w:sz w:val="24"/>
              </w:rPr>
            </w:pPr>
            <w:r>
              <w:rPr>
                <w:rStyle w:val="45"/>
                <w:rFonts w:hint="eastAsia" w:cs="Times New Roman"/>
                <w:sz w:val="24"/>
              </w:rPr>
              <w:t>80t起重设备</w:t>
            </w:r>
          </w:p>
        </w:tc>
        <w:tc>
          <w:tcPr>
            <w:tcW w:w="975" w:type="dxa"/>
            <w:vAlign w:val="center"/>
          </w:tcPr>
          <w:p>
            <w:pPr>
              <w:pStyle w:val="44"/>
              <w:spacing w:before="78"/>
              <w:rPr>
                <w:rStyle w:val="45"/>
                <w:sz w:val="24"/>
                <w:szCs w:val="24"/>
              </w:rPr>
            </w:pPr>
            <w:r>
              <w:rPr>
                <w:rStyle w:val="45"/>
                <w:rFonts w:hint="eastAsia"/>
                <w:sz w:val="24"/>
                <w:szCs w:val="24"/>
              </w:rPr>
              <w:t>3</w:t>
            </w:r>
          </w:p>
        </w:tc>
        <w:tc>
          <w:tcPr>
            <w:tcW w:w="1623" w:type="dxa"/>
            <w:vAlign w:val="center"/>
          </w:tcPr>
          <w:p>
            <w:pPr>
              <w:pStyle w:val="44"/>
              <w:spacing w:before="78"/>
              <w:rPr>
                <w:rStyle w:val="45"/>
                <w:sz w:val="24"/>
                <w:szCs w:val="24"/>
              </w:rPr>
            </w:pPr>
            <w:r>
              <w:rPr>
                <w:rStyle w:val="45"/>
                <w:rFonts w:hint="eastAsia"/>
                <w:sz w:val="24"/>
                <w:szCs w:val="24"/>
              </w:rPr>
              <w:t>初装高度60米（暂定）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pPr>
              <w:pStyle w:val="44"/>
              <w:spacing w:before="78"/>
              <w:rPr>
                <w:rStyle w:val="45"/>
                <w:sz w:val="24"/>
                <w:szCs w:val="24"/>
              </w:rPr>
            </w:pPr>
            <w:r>
              <w:rPr>
                <w:rStyle w:val="45"/>
                <w:rFonts w:hint="eastAsia"/>
                <w:sz w:val="24"/>
                <w:szCs w:val="24"/>
              </w:rPr>
              <w:t>7</w:t>
            </w:r>
          </w:p>
        </w:tc>
        <w:tc>
          <w:tcPr>
            <w:tcW w:w="3950" w:type="dxa"/>
            <w:vAlign w:val="center"/>
          </w:tcPr>
          <w:p>
            <w:pPr>
              <w:pStyle w:val="44"/>
              <w:spacing w:before="78"/>
              <w:rPr>
                <w:rStyle w:val="45"/>
                <w:sz w:val="24"/>
                <w:szCs w:val="24"/>
              </w:rPr>
            </w:pPr>
            <w:r>
              <w:rPr>
                <w:rStyle w:val="45"/>
                <w:rFonts w:hint="eastAsia"/>
                <w:sz w:val="24"/>
                <w:szCs w:val="24"/>
              </w:rPr>
              <w:t>试吊验收</w:t>
            </w:r>
          </w:p>
        </w:tc>
        <w:tc>
          <w:tcPr>
            <w:tcW w:w="1760" w:type="dxa"/>
            <w:vAlign w:val="center"/>
          </w:tcPr>
          <w:p>
            <w:pPr>
              <w:pStyle w:val="44"/>
              <w:spacing w:before="78"/>
              <w:rPr>
                <w:rStyle w:val="45"/>
                <w:sz w:val="24"/>
                <w:szCs w:val="24"/>
              </w:rPr>
            </w:pPr>
          </w:p>
        </w:tc>
        <w:tc>
          <w:tcPr>
            <w:tcW w:w="975" w:type="dxa"/>
            <w:vAlign w:val="center"/>
          </w:tcPr>
          <w:p>
            <w:pPr>
              <w:pStyle w:val="44"/>
              <w:spacing w:before="78"/>
              <w:rPr>
                <w:rStyle w:val="45"/>
                <w:sz w:val="24"/>
                <w:szCs w:val="24"/>
              </w:rPr>
            </w:pPr>
            <w:r>
              <w:rPr>
                <w:rStyle w:val="45"/>
                <w:rFonts w:hint="eastAsia"/>
                <w:sz w:val="24"/>
                <w:szCs w:val="24"/>
              </w:rPr>
              <w:t>1</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6519" w:type="dxa"/>
            <w:gridSpan w:val="3"/>
            <w:vAlign w:val="center"/>
          </w:tcPr>
          <w:p>
            <w:pPr>
              <w:pStyle w:val="44"/>
              <w:spacing w:before="78"/>
              <w:rPr>
                <w:rStyle w:val="45"/>
                <w:sz w:val="24"/>
                <w:szCs w:val="24"/>
              </w:rPr>
            </w:pPr>
            <w:r>
              <w:rPr>
                <w:rStyle w:val="45"/>
                <w:rFonts w:hint="eastAsia"/>
                <w:sz w:val="24"/>
                <w:szCs w:val="24"/>
              </w:rPr>
              <w:t>合计</w:t>
            </w:r>
          </w:p>
        </w:tc>
        <w:tc>
          <w:tcPr>
            <w:tcW w:w="975" w:type="dxa"/>
            <w:vAlign w:val="center"/>
          </w:tcPr>
          <w:p>
            <w:pPr>
              <w:pStyle w:val="44"/>
              <w:spacing w:before="78"/>
              <w:rPr>
                <w:rStyle w:val="45"/>
                <w:sz w:val="24"/>
                <w:szCs w:val="24"/>
              </w:rPr>
            </w:pPr>
            <w:r>
              <w:rPr>
                <w:rStyle w:val="45"/>
                <w:rFonts w:hint="eastAsia"/>
                <w:sz w:val="24"/>
                <w:szCs w:val="24"/>
              </w:rPr>
              <w:t>8</w:t>
            </w:r>
          </w:p>
        </w:tc>
        <w:tc>
          <w:tcPr>
            <w:tcW w:w="1623" w:type="dxa"/>
            <w:vAlign w:val="center"/>
          </w:tcPr>
          <w:p>
            <w:pPr>
              <w:pStyle w:val="44"/>
              <w:spacing w:before="78"/>
              <w:rPr>
                <w:rStyle w:val="45"/>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6519" w:type="dxa"/>
            <w:gridSpan w:val="3"/>
            <w:vAlign w:val="center"/>
          </w:tcPr>
          <w:p>
            <w:pPr>
              <w:pStyle w:val="44"/>
              <w:spacing w:before="78"/>
              <w:rPr>
                <w:rStyle w:val="45"/>
                <w:sz w:val="24"/>
                <w:szCs w:val="24"/>
              </w:rPr>
            </w:pPr>
            <w:r>
              <w:rPr>
                <w:rStyle w:val="45"/>
                <w:rFonts w:hint="eastAsia"/>
                <w:sz w:val="24"/>
                <w:szCs w:val="24"/>
              </w:rPr>
              <w:t>起重设备暂定</w:t>
            </w:r>
          </w:p>
        </w:tc>
        <w:tc>
          <w:tcPr>
            <w:tcW w:w="975" w:type="dxa"/>
            <w:vAlign w:val="center"/>
          </w:tcPr>
          <w:p>
            <w:pPr>
              <w:pStyle w:val="44"/>
              <w:spacing w:before="78"/>
              <w:rPr>
                <w:rStyle w:val="45"/>
                <w:sz w:val="24"/>
                <w:szCs w:val="24"/>
              </w:rPr>
            </w:pPr>
          </w:p>
        </w:tc>
        <w:tc>
          <w:tcPr>
            <w:tcW w:w="1623" w:type="dxa"/>
            <w:vAlign w:val="center"/>
          </w:tcPr>
          <w:p>
            <w:pPr>
              <w:pStyle w:val="44"/>
              <w:spacing w:before="78"/>
              <w:rPr>
                <w:rStyle w:val="45"/>
                <w:sz w:val="24"/>
                <w:szCs w:val="24"/>
              </w:rPr>
            </w:pPr>
          </w:p>
        </w:tc>
      </w:tr>
    </w:tbl>
    <w:p>
      <w:pPr>
        <w:pStyle w:val="4"/>
        <w:tabs>
          <w:tab w:val="left" w:pos="0"/>
        </w:tabs>
        <w:spacing w:before="156" w:after="156"/>
        <w:rPr>
          <w:rFonts w:ascii="宋体" w:hAnsi="宋体" w:eastAsia="宋体" w:cs="宋体"/>
          <w:bCs/>
          <w:color w:val="000000" w:themeColor="text1"/>
          <w:sz w:val="24"/>
          <w14:textFill>
            <w14:solidFill>
              <w14:schemeClr w14:val="tx1"/>
            </w14:solidFill>
          </w14:textFill>
        </w:rPr>
      </w:pPr>
      <w:bookmarkStart w:id="28" w:name="_Toc15486"/>
      <w:r>
        <w:rPr>
          <w:rFonts w:hint="eastAsia" w:ascii="宋体" w:hAnsi="宋体" w:eastAsia="宋体" w:cs="宋体"/>
          <w:bCs/>
          <w:color w:val="000000" w:themeColor="text1"/>
          <w:sz w:val="24"/>
          <w14:textFill>
            <w14:solidFill>
              <w14:schemeClr w14:val="tx1"/>
            </w14:solidFill>
          </w14:textFill>
        </w:rPr>
        <w:t>5.4材料及设备计划</w:t>
      </w:r>
      <w:bookmarkEnd w:id="28"/>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为保证现场设备安拆，材料及设备计划见表5-5:</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表5-5</w:t>
      </w:r>
    </w:p>
    <w:tbl>
      <w:tblPr>
        <w:tblStyle w:val="22"/>
        <w:tblpPr w:leftFromText="180" w:rightFromText="180" w:vertAnchor="text" w:horzAnchor="margin" w:tblpXSpec="center" w:tblpY="8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723"/>
        <w:gridCol w:w="1400"/>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规格</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辅助汽车吊</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80t</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1台</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主要配合安拆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运输设备</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13米半挂车</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若干辆</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每台塔机进场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18LB</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4把</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22LB</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八角铁锤</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4磅</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3T</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重型套管</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300mm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150mm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内六角扳手</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梅花扳手</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开口扳手</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眼冲子</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钳工常用工具</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撬棍</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5把</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钢卷尺</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1个</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卸扣</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1T、2T、5T、8T</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各4个</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6×19-24-1700，8m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6×19-16-1700，6m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6×19-24-1700，3m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白棕绳</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φ16mm×50m</w:t>
            </w: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1根</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对讲机</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4部</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电工常用工具</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万用表</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钳式电流表</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绝缘摇表</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水平仪、经纬仪</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各1架</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安全带、安全帽</w:t>
            </w:r>
          </w:p>
        </w:tc>
        <w:tc>
          <w:tcPr>
            <w:tcW w:w="2723"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400"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每人一套</w:t>
            </w:r>
          </w:p>
        </w:tc>
        <w:tc>
          <w:tcPr>
            <w:tcW w:w="2939" w:type="dxa"/>
            <w:vAlign w:val="center"/>
          </w:tcPr>
          <w:p>
            <w:pPr>
              <w:spacing w:before="62" w:beforeLines="20" w:after="62" w:afterLines="20" w:line="240" w:lineRule="auto"/>
              <w:ind w:firstLine="0" w:firstLineChars="0"/>
              <w:jc w:val="center"/>
              <w:rPr>
                <w:rFonts w:ascii="宋体" w:hAnsi="宋体" w:eastAsia="宋体" w:cs="宋体"/>
                <w:bCs/>
                <w:color w:val="000000" w:themeColor="text1"/>
                <w14:textFill>
                  <w14:solidFill>
                    <w14:schemeClr w14:val="tx1"/>
                  </w14:solidFill>
                </w14:textFill>
              </w:rPr>
            </w:pPr>
          </w:p>
        </w:tc>
      </w:tr>
    </w:tbl>
    <w:p>
      <w:pPr>
        <w:pStyle w:val="3"/>
        <w:numPr>
          <w:ilvl w:val="0"/>
          <w:numId w:val="2"/>
        </w:numPr>
        <w:spacing w:before="156" w:after="156"/>
        <w:rPr>
          <w:rFonts w:ascii="宋体" w:hAnsi="宋体" w:eastAsia="宋体" w:cs="宋体"/>
          <w:b w:val="0"/>
          <w:bCs/>
          <w:color w:val="000000" w:themeColor="text1"/>
          <w:sz w:val="24"/>
          <w:szCs w:val="24"/>
          <w14:textFill>
            <w14:solidFill>
              <w14:schemeClr w14:val="tx1"/>
            </w14:solidFill>
          </w14:textFill>
        </w:rPr>
      </w:pPr>
      <w:bookmarkStart w:id="29" w:name="_Toc32295"/>
      <w:r>
        <w:rPr>
          <w:rFonts w:hint="eastAsia" w:ascii="宋体" w:hAnsi="宋体" w:eastAsia="宋体" w:cs="宋体"/>
          <w:b w:val="0"/>
          <w:bCs/>
          <w:color w:val="000000" w:themeColor="text1"/>
          <w:sz w:val="24"/>
          <w:szCs w:val="24"/>
          <w14:textFill>
            <w14:solidFill>
              <w14:schemeClr w14:val="tx1"/>
            </w14:solidFill>
          </w14:textFill>
        </w:rPr>
        <w:t>安装工艺</w:t>
      </w:r>
      <w:bookmarkEnd w:id="29"/>
    </w:p>
    <w:p>
      <w:pPr>
        <w:pStyle w:val="4"/>
        <w:spacing w:before="156" w:after="156"/>
        <w:rPr>
          <w:rFonts w:ascii="宋体" w:hAnsi="宋体" w:eastAsia="宋体" w:cs="宋体"/>
          <w:bCs/>
          <w:color w:val="000000" w:themeColor="text1"/>
          <w:sz w:val="24"/>
          <w14:textFill>
            <w14:solidFill>
              <w14:schemeClr w14:val="tx1"/>
            </w14:solidFill>
          </w14:textFill>
        </w:rPr>
      </w:pPr>
      <w:bookmarkStart w:id="30" w:name="_Toc29179"/>
      <w:r>
        <w:rPr>
          <w:rFonts w:hint="eastAsia" w:ascii="宋体" w:hAnsi="宋体" w:eastAsia="宋体" w:cs="宋体"/>
          <w:bCs/>
          <w:color w:val="000000" w:themeColor="text1"/>
          <w:sz w:val="24"/>
          <w14:textFill>
            <w14:solidFill>
              <w14:schemeClr w14:val="tx1"/>
            </w14:solidFill>
          </w14:textFill>
        </w:rPr>
        <w:t>6.1安装前的条件</w:t>
      </w:r>
      <w:bookmarkEnd w:id="30"/>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表6-1</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6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660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安装前需具备条件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660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基础验收合格并出具验收表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660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配置符合要求的塔机专用配电箱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660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现场具备汽车吊及运输车辆的行驶条件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660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现场具备辅助汽车吊支设的场地及塔机拼装场地</w:t>
            </w:r>
          </w:p>
        </w:tc>
      </w:tr>
    </w:tbl>
    <w:p>
      <w:pPr>
        <w:pStyle w:val="4"/>
        <w:spacing w:before="156" w:after="156"/>
        <w:rPr>
          <w:rFonts w:ascii="宋体" w:hAnsi="宋体" w:eastAsia="宋体" w:cs="宋体"/>
          <w:bCs/>
          <w:color w:val="000000" w:themeColor="text1"/>
          <w:sz w:val="24"/>
          <w14:textFill>
            <w14:solidFill>
              <w14:schemeClr w14:val="tx1"/>
            </w14:solidFill>
          </w14:textFill>
        </w:rPr>
      </w:pPr>
      <w:bookmarkStart w:id="31" w:name="_Toc29958"/>
      <w:r>
        <w:rPr>
          <w:rFonts w:hint="eastAsia" w:ascii="宋体" w:hAnsi="宋体" w:eastAsia="宋体" w:cs="宋体"/>
          <w:bCs/>
          <w:color w:val="000000" w:themeColor="text1"/>
          <w:sz w:val="24"/>
          <w14:textFill>
            <w14:solidFill>
              <w14:schemeClr w14:val="tx1"/>
            </w14:solidFill>
          </w14:textFill>
        </w:rPr>
        <w:t>6.2安装辅助设备的选择</w:t>
      </w:r>
      <w:bookmarkEnd w:id="31"/>
    </w:p>
    <w:p>
      <w:pPr>
        <w:spacing w:after="156"/>
        <w:ind w:firstLine="480"/>
        <w:rPr>
          <w:rFonts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安装时，现场场地平整后，辅助安装的汽车起重机可行驶并支设于塔吊基础旁，塔机安装均选用一台80t型汽车起重机，满足塔机的安装。</w:t>
      </w:r>
    </w:p>
    <w:p>
      <w:pPr>
        <w:pStyle w:val="4"/>
        <w:spacing w:before="156" w:after="156"/>
        <w:rPr>
          <w:rFonts w:ascii="宋体" w:hAnsi="宋体" w:eastAsia="宋体" w:cs="宋体"/>
          <w:bCs/>
          <w:color w:val="000000" w:themeColor="text1"/>
          <w:sz w:val="24"/>
          <w14:textFill>
            <w14:solidFill>
              <w14:schemeClr w14:val="tx1"/>
            </w14:solidFill>
          </w14:textFill>
        </w:rPr>
      </w:pPr>
      <w:bookmarkStart w:id="32" w:name="_Toc30077"/>
      <w:r>
        <w:rPr>
          <w:rFonts w:hint="eastAsia" w:ascii="宋体" w:hAnsi="宋体" w:eastAsia="宋体" w:cs="宋体"/>
          <w:bCs/>
          <w:color w:val="000000" w:themeColor="text1"/>
          <w:sz w:val="24"/>
          <w14:textFill>
            <w14:solidFill>
              <w14:schemeClr w14:val="tx1"/>
            </w14:solidFill>
          </w14:textFill>
        </w:rPr>
        <w:t>6.3安装工艺流程及技术要求</w:t>
      </w:r>
      <w:bookmarkEnd w:id="32"/>
    </w:p>
    <w:p>
      <w:pPr>
        <w:pStyle w:val="5"/>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6.3.1塔机安装</w:t>
      </w:r>
    </w:p>
    <w:p>
      <w:pPr>
        <w:spacing w:after="156"/>
        <w:ind w:firstLine="0" w:firstLineChars="0"/>
        <w:rPr>
          <w:rFonts w:ascii="宋体" w:hAnsi="宋体" w:eastAsia="宋体" w:cs="宋体"/>
        </w:rPr>
      </w:pPr>
      <w:r>
        <w:drawing>
          <wp:inline distT="0" distB="0" distL="0" distR="0">
            <wp:extent cx="5760085" cy="2634615"/>
            <wp:effectExtent l="0" t="0" r="635" b="190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760085" cy="2634615"/>
                    </a:xfrm>
                    <a:prstGeom prst="rect">
                      <a:avLst/>
                    </a:prstGeom>
                  </pic:spPr>
                </pic:pic>
              </a:graphicData>
            </a:graphic>
          </wp:inline>
        </w:drawing>
      </w:r>
    </w:p>
    <w:p>
      <w:pPr>
        <w:pStyle w:val="43"/>
        <w:rPr>
          <w:rFonts w:ascii="宋体" w:hAnsi="宋体" w:eastAsia="宋体" w:cs="宋体"/>
        </w:rPr>
      </w:pPr>
    </w:p>
    <w:p>
      <w:pPr>
        <w:tabs>
          <w:tab w:val="left" w:pos="2006"/>
        </w:tabs>
        <w:spacing w:after="0" w:afterLines="0" w:line="240" w:lineRule="auto"/>
        <w:ind w:firstLine="0"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图6-1 塔机安装程序图</w:t>
      </w:r>
    </w:p>
    <w:p>
      <w:pPr>
        <w:tabs>
          <w:tab w:val="left" w:pos="2006"/>
        </w:tabs>
        <w:spacing w:after="0" w:afterLines="0" w:line="240" w:lineRule="auto"/>
        <w:ind w:firstLineChars="0"/>
        <w:jc w:val="center"/>
        <w:rPr>
          <w:rFonts w:ascii="宋体" w:hAnsi="宋体" w:eastAsia="宋体" w:cs="宋体"/>
          <w:bCs/>
          <w:color w:val="000000" w:themeColor="text1"/>
          <w14:textFill>
            <w14:solidFill>
              <w14:schemeClr w14:val="tx1"/>
            </w14:solidFill>
          </w14:textFill>
        </w:rPr>
      </w:pPr>
    </w:p>
    <w:p>
      <w:pPr>
        <w:spacing w:after="0" w:afterLines="0" w:line="240" w:lineRule="auto"/>
        <w:ind w:left="403"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
          <w:bCs/>
        </w:rPr>
        <w:t>表6-2 辅助汽车吊安装负载率表</w:t>
      </w:r>
    </w:p>
    <w:tbl>
      <w:tblPr>
        <w:tblStyle w:val="22"/>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02"/>
        <w:gridCol w:w="1130"/>
        <w:gridCol w:w="849"/>
        <w:gridCol w:w="1335"/>
        <w:gridCol w:w="1147"/>
        <w:gridCol w:w="858"/>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零部件名称</w:t>
            </w:r>
          </w:p>
        </w:tc>
        <w:tc>
          <w:tcPr>
            <w:tcW w:w="1402"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吊索型号</w:t>
            </w:r>
          </w:p>
        </w:tc>
        <w:tc>
          <w:tcPr>
            <w:tcW w:w="1130"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卸扣规格</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跨距</w:t>
            </w:r>
          </w:p>
        </w:tc>
        <w:tc>
          <w:tcPr>
            <w:tcW w:w="1335" w:type="dxa"/>
            <w:shd w:val="clear" w:color="auto" w:fill="auto"/>
            <w:vAlign w:val="center"/>
          </w:tcPr>
          <w:p>
            <w:pPr>
              <w:spacing w:before="240" w:after="0" w:afterLines="0" w:line="240" w:lineRule="auto"/>
              <w:ind w:firstLine="0" w:firstLineChars="0"/>
              <w:jc w:val="center"/>
              <w:rPr>
                <w:rFonts w:cs="仿宋"/>
                <w:bCs/>
                <w:color w:val="000000"/>
              </w:rPr>
            </w:pPr>
            <w:r>
              <w:rPr>
                <w:rFonts w:hint="eastAsia" w:cs="仿宋"/>
                <w:bCs/>
                <w:color w:val="000000"/>
              </w:rPr>
              <w:t>重量（t）</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吊车出杆长度</w:t>
            </w:r>
          </w:p>
        </w:tc>
        <w:tc>
          <w:tcPr>
            <w:tcW w:w="858" w:type="dxa"/>
            <w:shd w:val="clear" w:color="auto" w:fill="auto"/>
            <w:vAlign w:val="center"/>
          </w:tcPr>
          <w:p>
            <w:pPr>
              <w:spacing w:after="0" w:afterLines="0" w:line="240" w:lineRule="auto"/>
              <w:ind w:firstLine="0" w:firstLineChars="0"/>
              <w:jc w:val="center"/>
              <w:rPr>
                <w:rFonts w:cs="仿宋"/>
                <w:bCs/>
                <w:color w:val="000000"/>
                <w:highlight w:val="red"/>
              </w:rPr>
            </w:pPr>
            <w:r>
              <w:rPr>
                <w:rFonts w:hint="eastAsia" w:cs="仿宋"/>
                <w:bCs/>
                <w:color w:val="000000"/>
              </w:rPr>
              <w:t>起重性能t</w:t>
            </w:r>
          </w:p>
        </w:tc>
        <w:tc>
          <w:tcPr>
            <w:tcW w:w="1094"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吊车负载率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基础节Ⅰ（S</w:t>
            </w:r>
            <w:r>
              <w:t>69</w:t>
            </w:r>
            <w:r>
              <w:rPr>
                <w:rFonts w:hint="eastAsia"/>
              </w:rPr>
              <w:t>JT）</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5.020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36.38%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基础节Ⅱ（S</w:t>
            </w:r>
            <w:r>
              <w:t>69</w:t>
            </w:r>
            <w:r>
              <w:rPr>
                <w:rFonts w:hint="eastAsia"/>
              </w:rPr>
              <w:t>JTA）</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4.100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29.71%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爬升架总成</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5.350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38.77%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特殊节</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2.380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回转总成</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6.030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43.70%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臂根节</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5.640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40.87%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rPr>
              <w:t>平衡臂总成</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7.220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41"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一块平衡重</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2根</w:t>
            </w:r>
          </w:p>
          <w:p>
            <w:pPr>
              <w:spacing w:after="0" w:afterLines="0" w:line="240" w:lineRule="auto"/>
              <w:ind w:firstLine="0" w:firstLineChars="0"/>
              <w:jc w:val="center"/>
              <w:rPr>
                <w:rFonts w:cs="仿宋"/>
                <w:bCs/>
                <w:color w:val="0000FF"/>
              </w:rPr>
            </w:pPr>
            <w:r>
              <w:rPr>
                <w:rFonts w:hint="eastAsia" w:cs="仿宋"/>
                <w:bCs/>
                <w:color w:val="0000FF"/>
              </w:rPr>
              <w:t>Φ24-3米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rPr>
                <w:rFonts w:cs="仿宋"/>
                <w:bCs/>
                <w:color w:val="000000"/>
              </w:rPr>
            </w:pPr>
            <w:r>
              <w:t>3.320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rFonts w:cs="仿宋"/>
                <w:bCs/>
                <w:color w:val="000000"/>
              </w:rPr>
            </w:pPr>
            <w:r>
              <w:rPr>
                <w:rFonts w:hint="eastAsia" w:ascii="等线" w:hAnsi="等线" w:eastAsia="等线" w:cs="等线"/>
                <w:color w:val="000000"/>
                <w:kern w:val="0"/>
                <w:sz w:val="22"/>
                <w:szCs w:val="22"/>
                <w:lang w:bidi="ar"/>
              </w:rPr>
              <w:t>24.06%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pPr>
            <w:r>
              <w:rPr>
                <w:rFonts w:hint="eastAsia"/>
              </w:rPr>
              <w:t>剩余起重臂</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pPr>
            <w:r>
              <w:t>10.560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color w:val="000000"/>
              </w:rPr>
            </w:pPr>
            <w:r>
              <w:rPr>
                <w:rFonts w:hint="eastAsia" w:ascii="等线" w:hAnsi="等线" w:eastAsia="等线" w:cs="等线"/>
                <w:color w:val="000000"/>
                <w:kern w:val="0"/>
                <w:sz w:val="22"/>
                <w:szCs w:val="22"/>
                <w:lang w:bidi="ar"/>
              </w:rPr>
              <w:t>76.52%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1" w:type="dxa"/>
            <w:shd w:val="clear" w:color="auto" w:fill="auto"/>
            <w:vAlign w:val="center"/>
          </w:tcPr>
          <w:p>
            <w:pPr>
              <w:spacing w:after="0" w:afterLines="0" w:line="240" w:lineRule="auto"/>
              <w:ind w:firstLine="0" w:firstLineChars="0"/>
              <w:jc w:val="center"/>
            </w:pPr>
            <w:r>
              <w:rPr>
                <w:rFonts w:hint="eastAsia"/>
              </w:rPr>
              <w:t>剩余平衡重</w:t>
            </w:r>
          </w:p>
        </w:tc>
        <w:tc>
          <w:tcPr>
            <w:tcW w:w="1402"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4根</w:t>
            </w:r>
          </w:p>
          <w:p>
            <w:pPr>
              <w:spacing w:after="0" w:afterLines="0" w:line="240" w:lineRule="auto"/>
              <w:ind w:firstLine="0" w:firstLineChars="0"/>
              <w:jc w:val="center"/>
              <w:rPr>
                <w:rFonts w:cs="仿宋"/>
                <w:bCs/>
                <w:color w:val="0000FF"/>
              </w:rPr>
            </w:pPr>
            <w:r>
              <w:rPr>
                <w:rFonts w:hint="eastAsia" w:cs="仿宋"/>
                <w:bCs/>
                <w:color w:val="0000FF"/>
              </w:rPr>
              <w:t>Φ24-6米</w:t>
            </w:r>
          </w:p>
        </w:tc>
        <w:tc>
          <w:tcPr>
            <w:tcW w:w="1130" w:type="dxa"/>
            <w:shd w:val="clear" w:color="auto" w:fill="auto"/>
            <w:vAlign w:val="center"/>
          </w:tcPr>
          <w:p>
            <w:pPr>
              <w:spacing w:after="0" w:afterLines="0" w:line="240" w:lineRule="auto"/>
              <w:ind w:firstLine="0" w:firstLineChars="0"/>
              <w:jc w:val="center"/>
              <w:rPr>
                <w:rFonts w:cs="仿宋"/>
                <w:bCs/>
                <w:color w:val="0000FF"/>
              </w:rPr>
            </w:pPr>
            <w:r>
              <w:rPr>
                <w:rFonts w:hint="eastAsia" w:cs="仿宋"/>
                <w:bCs/>
                <w:color w:val="0000FF"/>
              </w:rPr>
              <w:t>WLL=5t，</w:t>
            </w:r>
          </w:p>
          <w:p>
            <w:pPr>
              <w:spacing w:after="0" w:afterLines="0" w:line="240" w:lineRule="auto"/>
              <w:ind w:firstLine="0" w:firstLineChars="0"/>
              <w:jc w:val="center"/>
              <w:rPr>
                <w:rFonts w:cs="仿宋"/>
                <w:bCs/>
                <w:color w:val="0000FF"/>
              </w:rPr>
            </w:pPr>
            <w:r>
              <w:rPr>
                <w:rFonts w:hint="eastAsia" w:cs="仿宋"/>
                <w:bCs/>
                <w:color w:val="0000FF"/>
              </w:rPr>
              <w:t>4个</w:t>
            </w:r>
          </w:p>
        </w:tc>
        <w:tc>
          <w:tcPr>
            <w:tcW w:w="849"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10m</w:t>
            </w:r>
          </w:p>
        </w:tc>
        <w:tc>
          <w:tcPr>
            <w:tcW w:w="1335" w:type="dxa"/>
            <w:shd w:val="clear" w:color="auto" w:fill="auto"/>
            <w:vAlign w:val="center"/>
          </w:tcPr>
          <w:p>
            <w:pPr>
              <w:spacing w:after="0" w:afterLines="0" w:line="240" w:lineRule="auto"/>
              <w:ind w:firstLine="0" w:firstLineChars="0"/>
              <w:jc w:val="center"/>
            </w:pPr>
            <w:r>
              <w:t>3.320</w:t>
            </w:r>
          </w:p>
        </w:tc>
        <w:tc>
          <w:tcPr>
            <w:tcW w:w="1147" w:type="dxa"/>
            <w:shd w:val="clear" w:color="auto" w:fill="auto"/>
            <w:vAlign w:val="center"/>
          </w:tcPr>
          <w:p>
            <w:pPr>
              <w:spacing w:after="0" w:afterLines="0" w:line="240" w:lineRule="auto"/>
              <w:ind w:firstLine="0" w:firstLineChars="0"/>
              <w:jc w:val="center"/>
              <w:rPr>
                <w:rFonts w:cs="仿宋"/>
                <w:bCs/>
                <w:color w:val="000000"/>
              </w:rPr>
            </w:pPr>
            <w:r>
              <w:rPr>
                <w:rFonts w:hint="eastAsia" w:cs="仿宋"/>
                <w:bCs/>
                <w:color w:val="000000"/>
              </w:rPr>
              <w:t>36.75m</w:t>
            </w:r>
          </w:p>
        </w:tc>
        <w:tc>
          <w:tcPr>
            <w:tcW w:w="858" w:type="dxa"/>
            <w:shd w:val="clear" w:color="auto" w:fill="auto"/>
          </w:tcPr>
          <w:p>
            <w:pPr>
              <w:spacing w:after="0" w:afterLines="0" w:line="240" w:lineRule="auto"/>
              <w:ind w:firstLine="0" w:firstLineChars="0"/>
              <w:jc w:val="both"/>
              <w:rPr>
                <w:rFonts w:cs="仿宋"/>
                <w:bCs/>
                <w:color w:val="000000"/>
              </w:rPr>
            </w:pPr>
            <w:r>
              <w:rPr>
                <w:rFonts w:hint="eastAsia" w:cs="仿宋"/>
                <w:bCs/>
                <w:color w:val="000000"/>
              </w:rPr>
              <w:t>13.8</w:t>
            </w:r>
          </w:p>
        </w:tc>
        <w:tc>
          <w:tcPr>
            <w:tcW w:w="1094" w:type="dxa"/>
            <w:shd w:val="clear" w:color="auto" w:fill="auto"/>
            <w:vAlign w:val="bottom"/>
          </w:tcPr>
          <w:p>
            <w:pPr>
              <w:widowControl/>
              <w:spacing w:after="156"/>
              <w:ind w:firstLine="0" w:firstLineChars="0"/>
              <w:jc w:val="right"/>
              <w:textAlignment w:val="bottom"/>
              <w:rPr>
                <w:color w:val="000000"/>
              </w:rPr>
            </w:pPr>
            <w:r>
              <w:rPr>
                <w:rFonts w:hint="eastAsia" w:ascii="等线" w:hAnsi="等线" w:eastAsia="等线" w:cs="等线"/>
                <w:color w:val="000000"/>
                <w:kern w:val="0"/>
                <w:sz w:val="22"/>
                <w:szCs w:val="22"/>
                <w:lang w:bidi="ar"/>
              </w:rPr>
              <w:t>24.06%</w:t>
            </w:r>
          </w:p>
        </w:tc>
      </w:tr>
    </w:tbl>
    <w:p>
      <w:pPr>
        <w:tabs>
          <w:tab w:val="left" w:pos="2006"/>
        </w:tabs>
        <w:spacing w:after="0" w:afterLines="0" w:line="240" w:lineRule="auto"/>
        <w:ind w:firstLineChars="0"/>
        <w:jc w:val="center"/>
        <w:rPr>
          <w:rFonts w:ascii="宋体" w:hAnsi="宋体" w:eastAsia="宋体" w:cs="宋体"/>
          <w:bCs/>
          <w:color w:val="000000" w:themeColor="text1"/>
          <w14:textFill>
            <w14:solidFill>
              <w14:schemeClr w14:val="tx1"/>
            </w14:solidFill>
          </w14:textFill>
        </w:rPr>
      </w:pPr>
    </w:p>
    <w:p>
      <w:p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（1）基础验收</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检查基础验</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收表上凝泥土强度是否达到设计强度（C40）的80%以上。支设水准仪，观测基础预埋件四角点水平度最大偏差不大于2mm。确认上述数据合格后方可进行下一步安装。</w:t>
      </w:r>
    </w:p>
    <w:p>
      <w:pPr>
        <w:pStyle w:val="2"/>
        <w:jc w:val="center"/>
        <w:rPr>
          <w:rFonts w:eastAsia="宋体"/>
        </w:rPr>
      </w:pPr>
      <w:r>
        <w:rPr>
          <w:rFonts w:hint="eastAsia" w:eastAsia="宋体"/>
        </w:rPr>
        <w:drawing>
          <wp:inline distT="0" distB="0" distL="114300" distR="114300">
            <wp:extent cx="4142105" cy="2787650"/>
            <wp:effectExtent l="0" t="0" r="3175" b="1270"/>
            <wp:docPr id="61" name="图片 61" descr="165975461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59754617095"/>
                    <pic:cNvPicPr>
                      <a:picLocks noChangeAspect="1"/>
                    </pic:cNvPicPr>
                  </pic:nvPicPr>
                  <pic:blipFill>
                    <a:blip r:embed="rId28"/>
                    <a:stretch>
                      <a:fillRect/>
                    </a:stretch>
                  </pic:blipFill>
                  <pic:spPr>
                    <a:xfrm>
                      <a:off x="0" y="0"/>
                      <a:ext cx="4142105" cy="2787650"/>
                    </a:xfrm>
                    <a:prstGeom prst="rect">
                      <a:avLst/>
                    </a:prstGeom>
                  </pic:spPr>
                </pic:pic>
              </a:graphicData>
            </a:graphic>
          </wp:inline>
        </w:drawing>
      </w:r>
    </w:p>
    <w:p>
      <w:pPr>
        <w:spacing w:after="156"/>
        <w:ind w:firstLine="480"/>
        <w:jc w:val="center"/>
        <w:rPr>
          <w:rFonts w:eastAsia="宋体"/>
        </w:rPr>
      </w:pPr>
      <w:r>
        <w:rPr>
          <w:rFonts w:hint="eastAsia" w:eastAsia="宋体"/>
        </w:rPr>
        <w:t>1#塔机安装时汽车吊就位示意图</w:t>
      </w:r>
    </w:p>
    <w:p>
      <w:pPr>
        <w:pStyle w:val="2"/>
        <w:jc w:val="center"/>
      </w:pPr>
      <w:r>
        <w:drawing>
          <wp:inline distT="0" distB="0" distL="114300" distR="114300">
            <wp:extent cx="4232275" cy="3093085"/>
            <wp:effectExtent l="0" t="0" r="4445" b="635"/>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29"/>
                    <a:stretch>
                      <a:fillRect/>
                    </a:stretch>
                  </pic:blipFill>
                  <pic:spPr>
                    <a:xfrm>
                      <a:off x="0" y="0"/>
                      <a:ext cx="4232275" cy="3093085"/>
                    </a:xfrm>
                    <a:prstGeom prst="rect">
                      <a:avLst/>
                    </a:prstGeom>
                    <a:noFill/>
                    <a:ln>
                      <a:noFill/>
                    </a:ln>
                  </pic:spPr>
                </pic:pic>
              </a:graphicData>
            </a:graphic>
          </wp:inline>
        </w:drawing>
      </w:r>
    </w:p>
    <w:p>
      <w:pPr>
        <w:spacing w:after="156"/>
        <w:ind w:firstLine="480"/>
        <w:jc w:val="center"/>
        <w:rPr>
          <w:rFonts w:eastAsia="宋体"/>
        </w:rPr>
      </w:pPr>
      <w:r>
        <w:rPr>
          <w:rFonts w:hint="eastAsia" w:eastAsia="宋体"/>
        </w:rPr>
        <w:t>2#塔机安装时汽车吊就位示意图</w:t>
      </w:r>
    </w:p>
    <w:p>
      <w:pPr>
        <w:spacing w:after="156"/>
        <w:ind w:firstLine="480"/>
      </w:pPr>
      <w:r>
        <w:drawing>
          <wp:inline distT="0" distB="0" distL="114300" distR="114300">
            <wp:extent cx="4629785" cy="3144520"/>
            <wp:effectExtent l="0" t="0" r="3175" b="1016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30"/>
                    <a:stretch>
                      <a:fillRect/>
                    </a:stretch>
                  </pic:blipFill>
                  <pic:spPr>
                    <a:xfrm>
                      <a:off x="0" y="0"/>
                      <a:ext cx="4629785" cy="3144520"/>
                    </a:xfrm>
                    <a:prstGeom prst="rect">
                      <a:avLst/>
                    </a:prstGeom>
                    <a:noFill/>
                    <a:ln>
                      <a:noFill/>
                    </a:ln>
                  </pic:spPr>
                </pic:pic>
              </a:graphicData>
            </a:graphic>
          </wp:inline>
        </w:drawing>
      </w:r>
    </w:p>
    <w:p>
      <w:pPr>
        <w:spacing w:after="156"/>
        <w:ind w:firstLine="480"/>
        <w:jc w:val="center"/>
        <w:rPr>
          <w:rFonts w:eastAsia="宋体"/>
        </w:rPr>
      </w:pPr>
      <w:r>
        <w:rPr>
          <w:rFonts w:hint="eastAsia" w:eastAsia="宋体"/>
        </w:rPr>
        <w:t>3#塔机安装时汽车吊就位示意图</w:t>
      </w:r>
    </w:p>
    <w:p>
      <w:pPr>
        <w:pStyle w:val="2"/>
        <w:jc w:val="center"/>
      </w:pPr>
      <w:r>
        <w:drawing>
          <wp:inline distT="0" distB="0" distL="114300" distR="114300">
            <wp:extent cx="4420235" cy="2793365"/>
            <wp:effectExtent l="0" t="0" r="14605" b="1079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31"/>
                    <a:stretch>
                      <a:fillRect/>
                    </a:stretch>
                  </pic:blipFill>
                  <pic:spPr>
                    <a:xfrm>
                      <a:off x="0" y="0"/>
                      <a:ext cx="4420235" cy="2793365"/>
                    </a:xfrm>
                    <a:prstGeom prst="rect">
                      <a:avLst/>
                    </a:prstGeom>
                    <a:noFill/>
                    <a:ln>
                      <a:noFill/>
                    </a:ln>
                  </pic:spPr>
                </pic:pic>
              </a:graphicData>
            </a:graphic>
          </wp:inline>
        </w:drawing>
      </w:r>
    </w:p>
    <w:p>
      <w:pPr>
        <w:spacing w:after="156"/>
        <w:ind w:firstLine="480"/>
        <w:jc w:val="center"/>
        <w:rPr>
          <w:rFonts w:eastAsia="宋体"/>
        </w:rPr>
      </w:pPr>
      <w:r>
        <w:rPr>
          <w:rFonts w:hint="eastAsia" w:eastAsia="宋体"/>
        </w:rPr>
        <w:t>4#塔机安装时汽车吊就位示意图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安装基础节及标准节</w:t>
      </w:r>
    </w:p>
    <w:p>
      <w:pPr>
        <w:spacing w:after="156"/>
        <w:ind w:firstLine="480"/>
        <w:rPr>
          <w:rFonts w:ascii="宋体" w:hAnsi="宋体" w:eastAsia="宋体" w:cs="宋体"/>
        </w:rPr>
      </w:pPr>
      <w:r>
        <w:rPr>
          <w:rFonts w:hint="eastAsia" w:ascii="宋体" w:hAnsi="宋体" w:eastAsia="宋体" w:cs="宋体"/>
        </w:rPr>
        <w:t>XGT7528A-18S1塔机初次安装2节基础节和4节标准节。</w:t>
      </w:r>
    </w:p>
    <w:p>
      <w:pPr>
        <w:spacing w:after="156"/>
        <w:ind w:firstLine="480"/>
        <w:rPr>
          <w:rFonts w:ascii="宋体" w:hAnsi="宋体" w:eastAsia="宋体" w:cs="宋体"/>
        </w:rPr>
      </w:pPr>
      <w:r>
        <w:rPr>
          <w:rFonts w:hint="eastAsia" w:ascii="宋体" w:hAnsi="宋体" w:eastAsia="宋体" w:cs="宋体"/>
        </w:rPr>
        <w:t>塔身节的安装顺序为安装2节基础节----安装4节标准节。</w:t>
      </w:r>
    </w:p>
    <w:p>
      <w:pPr>
        <w:spacing w:after="156"/>
        <w:ind w:firstLine="480"/>
        <w:rPr>
          <w:rFonts w:ascii="宋体" w:hAnsi="宋体" w:eastAsia="宋体" w:cs="宋体"/>
          <w:bCs/>
        </w:rPr>
      </w:pPr>
      <w:r>
        <w:rPr>
          <w:rFonts w:hint="eastAsia" w:ascii="宋体" w:hAnsi="宋体" w:eastAsia="宋体" w:cs="宋体"/>
          <w:bCs/>
        </w:rPr>
        <w:t>吊装基础节前，将基础节爬梯组装好，爬梯护圈完全展开，准备好基础节与基础预埋件连接的8个基础销、4个立销和4个立销开口销，检查基础节结构及焊缝有无开裂现象，如有异常立即停止安装。用4根6m长直径24mm吊索和四个额定载荷5t的卸扣吊装基础节，将四个卸扣锁在基础节上口四角内侧四个销轴孔上，起吊至基础预埋件上部，将基础节的安装方向调整至与方案制定顶升方向一致，将基础节安装至预埋件上部，用大锤分别打入8个基础销轴至基础销轴的肩头紧贴预埋件外边，锤击基础销前，注意观察基础销上安装立销的孔的方向，以免无法安装立销。分别安装四角的立销及开口销。</w:t>
      </w:r>
    </w:p>
    <w:p>
      <w:pPr>
        <w:spacing w:after="156"/>
        <w:ind w:firstLine="0" w:firstLineChars="0"/>
        <w:jc w:val="center"/>
        <w:rPr>
          <w:rFonts w:ascii="宋体" w:hAnsi="宋体" w:eastAsia="宋体" w:cs="宋体"/>
        </w:rPr>
      </w:pPr>
      <w:r>
        <w:drawing>
          <wp:inline distT="0" distB="0" distL="114300" distR="114300">
            <wp:extent cx="1743075" cy="1647825"/>
            <wp:effectExtent l="0" t="0" r="9525" b="952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2"/>
                    <a:stretch>
                      <a:fillRect/>
                    </a:stretch>
                  </pic:blipFill>
                  <pic:spPr>
                    <a:xfrm>
                      <a:off x="0" y="0"/>
                      <a:ext cx="1743075" cy="1647825"/>
                    </a:xfrm>
                    <a:prstGeom prst="rect">
                      <a:avLst/>
                    </a:prstGeom>
                    <a:noFill/>
                    <a:ln>
                      <a:noFill/>
                    </a:ln>
                  </pic:spPr>
                </pic:pic>
              </a:graphicData>
            </a:graphic>
          </wp:inline>
        </w:drawing>
      </w:r>
      <w:r>
        <w:drawing>
          <wp:inline distT="0" distB="0" distL="114300" distR="114300">
            <wp:extent cx="3857625" cy="2733675"/>
            <wp:effectExtent l="0" t="0" r="9525" b="952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3"/>
                    <a:stretch>
                      <a:fillRect/>
                    </a:stretch>
                  </pic:blipFill>
                  <pic:spPr>
                    <a:xfrm>
                      <a:off x="0" y="0"/>
                      <a:ext cx="3857625" cy="2733675"/>
                    </a:xfrm>
                    <a:prstGeom prst="rect">
                      <a:avLst/>
                    </a:prstGeom>
                    <a:noFill/>
                    <a:ln>
                      <a:noFill/>
                    </a:ln>
                  </pic:spPr>
                </pic:pic>
              </a:graphicData>
            </a:graphic>
          </wp:inline>
        </w:drawing>
      </w:r>
    </w:p>
    <w:p>
      <w:pPr>
        <w:spacing w:after="156"/>
        <w:ind w:firstLine="482"/>
        <w:jc w:val="center"/>
        <w:rPr>
          <w:rFonts w:ascii="宋体" w:hAnsi="宋体" w:eastAsia="宋体" w:cs="宋体"/>
          <w:b/>
          <w:bCs/>
        </w:rPr>
      </w:pPr>
      <w:r>
        <w:rPr>
          <w:rFonts w:hint="eastAsia" w:ascii="宋体" w:hAnsi="宋体" w:eastAsia="宋体" w:cs="宋体"/>
          <w:b/>
          <w:bCs/>
        </w:rPr>
        <w:t>图6-2 安装塔身节、套架、过渡节、回转总成等平面示意图</w:t>
      </w:r>
    </w:p>
    <w:p>
      <w:pPr>
        <w:spacing w:after="156"/>
        <w:ind w:firstLine="480"/>
        <w:rPr>
          <w:rFonts w:ascii="宋体" w:hAnsi="宋体" w:eastAsia="宋体" w:cs="宋体"/>
          <w:bCs/>
        </w:rPr>
      </w:pPr>
      <w:r>
        <w:rPr>
          <w:rFonts w:hint="eastAsia" w:ascii="宋体" w:hAnsi="宋体" w:eastAsia="宋体" w:cs="宋体"/>
        </w:rPr>
        <w:t>依次吊装4节标准节，</w:t>
      </w:r>
      <w:r>
        <w:rPr>
          <w:rFonts w:hint="eastAsia" w:ascii="宋体" w:hAnsi="宋体" w:eastAsia="宋体" w:cs="宋体"/>
          <w:bCs/>
        </w:rPr>
        <w:t>准备好塔身节与基础节连接的8个销轴、立销和立销开口销，检查各塔身节结构及焊缝有无开裂现象，如有异常立即停止安装。用4根6m长直径24mm吊索和四个额定载荷5t的卸扣吊装基础节，将四个卸扣锁在基础节上口四角内侧四个销轴孔上，起吊至下一节塔身节上部，将基础节的安装方向调整至与方案制定顶升方一致，将基础节安装至预埋件上部，用大锤分别打入8个基础销轴至基础销轴的肩头贴预埋件外边，锤击基础销前，注意观察基础销上安装立销的孔的方向，以免无法安装立销。分别安装四角的立销及开口销。</w:t>
      </w:r>
    </w:p>
    <w:p>
      <w:pPr>
        <w:tabs>
          <w:tab w:val="left" w:pos="2006"/>
        </w:tabs>
        <w:spacing w:after="0" w:afterLines="0" w:line="240" w:lineRule="auto"/>
        <w:ind w:left="403" w:firstLine="0" w:firstLineChars="0"/>
        <w:jc w:val="center"/>
        <w:rPr>
          <w:rFonts w:ascii="宋体" w:hAnsi="宋体" w:eastAsia="宋体" w:cs="宋体"/>
          <w:b/>
          <w:bCs/>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296545</wp:posOffset>
            </wp:positionH>
            <wp:positionV relativeFrom="paragraph">
              <wp:posOffset>121920</wp:posOffset>
            </wp:positionV>
            <wp:extent cx="4263390" cy="2119630"/>
            <wp:effectExtent l="0" t="0" r="3810" b="13970"/>
            <wp:wrapTopAndBottom/>
            <wp:docPr id="44" name="图片 44" descr="C:\Users\魏亚运\Desktop\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魏亚运\Desktop\001.jpg001"/>
                    <pic:cNvPicPr>
                      <a:picLocks noChangeAspect="1" noChangeArrowheads="1"/>
                    </pic:cNvPicPr>
                  </pic:nvPicPr>
                  <pic:blipFill>
                    <a:blip r:embed="rId34"/>
                    <a:srcRect/>
                    <a:stretch>
                      <a:fillRect/>
                    </a:stretch>
                  </pic:blipFill>
                  <pic:spPr>
                    <a:xfrm>
                      <a:off x="0" y="0"/>
                      <a:ext cx="4263390" cy="2119630"/>
                    </a:xfrm>
                    <a:prstGeom prst="rect">
                      <a:avLst/>
                    </a:prstGeom>
                    <a:noFill/>
                    <a:ln>
                      <a:noFill/>
                    </a:ln>
                  </pic:spPr>
                </pic:pic>
              </a:graphicData>
            </a:graphic>
          </wp:anchor>
        </w:drawing>
      </w:r>
    </w:p>
    <w:p>
      <w:pPr>
        <w:tabs>
          <w:tab w:val="left" w:pos="2006"/>
        </w:tabs>
        <w:spacing w:after="0" w:afterLines="0" w:line="240" w:lineRule="auto"/>
        <w:ind w:left="403" w:firstLine="0" w:firstLineChars="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rPr>
        <w:t>图</w:t>
      </w:r>
      <w:bookmarkStart w:id="33" w:name="_Hlk42199953"/>
      <w:r>
        <w:rPr>
          <w:rFonts w:hint="eastAsia" w:ascii="宋体" w:hAnsi="宋体" w:eastAsia="宋体" w:cs="宋体"/>
          <w:b/>
          <w:bCs/>
        </w:rPr>
        <w:t>6-3  安装塔身节立面示意图</w:t>
      </w:r>
      <w:bookmarkEnd w:id="33"/>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rPr>
        <w:t>安装爬升架</w:t>
      </w:r>
    </w:p>
    <w:p>
      <w:pPr>
        <w:spacing w:after="156"/>
        <w:ind w:firstLine="480" w:firstLineChars="0"/>
        <w:rPr>
          <w:rFonts w:ascii="宋体" w:hAnsi="宋体" w:eastAsia="宋体" w:cs="宋体"/>
        </w:rPr>
      </w:pPr>
      <w:r>
        <w:rPr>
          <w:rFonts w:hint="eastAsia" w:ascii="宋体" w:hAnsi="宋体" w:eastAsia="宋体" w:cs="宋体"/>
        </w:rPr>
        <w:t>检查爬升架的爬梯、爬升滚轮、爬升换步挂板、爬升架的结构及油缸等爬升架所有结构的连接情况及结构有无开裂、开焊等异常情况，如有异常，应立即停止安装，向技术人员反映异常情况。</w:t>
      </w:r>
    </w:p>
    <w:p>
      <w:pPr>
        <w:spacing w:after="156"/>
        <w:ind w:firstLine="480" w:firstLineChars="0"/>
        <w:rPr>
          <w:rFonts w:ascii="宋体" w:hAnsi="宋体" w:eastAsia="宋体" w:cs="宋体"/>
        </w:rPr>
      </w:pPr>
      <w:r>
        <w:rPr>
          <w:rFonts w:hint="eastAsia" w:ascii="宋体" w:hAnsi="宋体" w:eastAsia="宋体" w:cs="宋体"/>
        </w:rPr>
        <w:t>将爬升架的作业平台分别安装在爬升架的平台安装座内，将平台护栏安装在平台的栏杆座内，并安装好开口销，护栏与护栏之间，安装好休息平台夹板。</w:t>
      </w:r>
    </w:p>
    <w:p>
      <w:pPr>
        <w:spacing w:after="156"/>
        <w:ind w:firstLine="480" w:firstLineChars="0"/>
        <w:rPr>
          <w:rFonts w:ascii="宋体" w:hAnsi="宋体" w:eastAsia="宋体" w:cs="宋体"/>
        </w:rPr>
      </w:pPr>
      <w:r>
        <w:rPr>
          <w:rFonts w:hint="eastAsia" w:ascii="宋体" w:hAnsi="宋体" w:eastAsia="宋体" w:cs="宋体"/>
        </w:rPr>
        <w:t>用4根6m长直径24mm吊索和四个额定载荷5t的卸扣吊装爬升架，将四个卸扣锁在爬升架上口四角与过渡节连接的四个销轴孔上，起吊至标准节上部，调整爬升架的方向与标准节安装的顶升方向一致，缓慢将爬升架安装至标准节上，待爬升架上口低于最上处一节标准节上口时，操作爬升架上的换步挂板，将换步挂板卡在距离换步挂板下部最近的标准节踏步上，注意观察两个换步挂板均应可靠的卡在标准节踏步上，再指挥汽车吊缓慢落钩，完成爬升架的安装。</w:t>
      </w:r>
    </w:p>
    <w:p>
      <w:pPr>
        <w:spacing w:after="156"/>
        <w:ind w:firstLine="0" w:firstLineChars="0"/>
        <w:jc w:val="center"/>
        <w:rPr>
          <w:rFonts w:ascii="宋体" w:hAnsi="宋体" w:eastAsia="宋体" w:cs="宋体"/>
        </w:rPr>
      </w:pPr>
      <w:r>
        <w:rPr>
          <w:rFonts w:hint="eastAsia" w:ascii="宋体" w:hAnsi="宋体" w:eastAsia="宋体" w:cs="宋体"/>
        </w:rPr>
        <w:drawing>
          <wp:inline distT="0" distB="0" distL="114300" distR="114300">
            <wp:extent cx="2044700" cy="4427855"/>
            <wp:effectExtent l="0" t="0" r="12700" b="10795"/>
            <wp:docPr id="18" name="图片 1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2"/>
                    <pic:cNvPicPr>
                      <a:picLocks noChangeAspect="1"/>
                    </pic:cNvPicPr>
                  </pic:nvPicPr>
                  <pic:blipFill>
                    <a:blip r:embed="rId35"/>
                    <a:stretch>
                      <a:fillRect/>
                    </a:stretch>
                  </pic:blipFill>
                  <pic:spPr>
                    <a:xfrm>
                      <a:off x="0" y="0"/>
                      <a:ext cx="2044700" cy="4427855"/>
                    </a:xfrm>
                    <a:prstGeom prst="rect">
                      <a:avLst/>
                    </a:prstGeom>
                  </pic:spPr>
                </pic:pic>
              </a:graphicData>
            </a:graphic>
          </wp:inline>
        </w:drawing>
      </w:r>
    </w:p>
    <w:p>
      <w:pPr>
        <w:tabs>
          <w:tab w:val="left" w:pos="2006"/>
        </w:tabs>
        <w:spacing w:after="0" w:afterLines="0" w:line="240" w:lineRule="auto"/>
        <w:ind w:firstLine="0"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图6-4 安装爬升架立面示意图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w:t>
      </w:r>
      <w:r>
        <w:rPr>
          <w:rFonts w:hint="eastAsia" w:ascii="宋体" w:hAnsi="宋体" w:eastAsia="宋体" w:cs="宋体"/>
          <w:bCs/>
        </w:rPr>
        <w:t>过渡节</w:t>
      </w:r>
    </w:p>
    <w:p>
      <w:pPr>
        <w:spacing w:after="156"/>
        <w:ind w:firstLine="480" w:firstLineChars="0"/>
        <w:rPr>
          <w:rFonts w:ascii="宋体" w:hAnsi="宋体" w:eastAsia="宋体" w:cs="宋体"/>
        </w:rPr>
      </w:pPr>
      <w:r>
        <w:rPr>
          <w:rFonts w:hint="eastAsia" w:ascii="宋体" w:hAnsi="宋体" w:eastAsia="宋体" w:cs="宋体"/>
        </w:rPr>
        <w:t>安装特殊节，用销轴分别与爬升架连接。然后将引进装置中的一根引进梁用人力抬 入下支座下面，并将引进梁前端抬起用销轴和开口销固定，向下压下引进梁前端使引进梁后端抬起就位后，用销轴和开口销将引进梁后端固定。用同样方法安装另一引进梁。引进装置安好后，再将这一套部件吊起至已安装好的过渡节上方，使引进梁处于顶升套架开口方向，下降整套部件使回转下支座四条支脚插入过渡节鱼尾板内，打入八根φ55×136.5（182）带肩锥头销轴和 4 根φ20×183.5（252）锁销，装上 5×36 开口销，并将开口销充分打开。在地面上，先将上、下支座以及回转机构、回转支承、平台等装为一体，安装到特殊节上。</w:t>
      </w:r>
    </w:p>
    <w:p>
      <w:pPr>
        <w:spacing w:after="156"/>
        <w:ind w:firstLine="0" w:firstLineChars="0"/>
        <w:jc w:val="center"/>
        <w:rPr>
          <w:rFonts w:ascii="宋体" w:hAnsi="宋体" w:eastAsia="宋体" w:cs="宋体"/>
        </w:rPr>
      </w:pPr>
      <w:r>
        <w:rPr>
          <w:rFonts w:hint="eastAsia" w:ascii="宋体" w:hAnsi="宋体" w:eastAsia="宋体" w:cs="宋体"/>
        </w:rPr>
        <w:drawing>
          <wp:inline distT="0" distB="0" distL="114300" distR="114300">
            <wp:extent cx="2212340" cy="5298440"/>
            <wp:effectExtent l="0" t="0" r="16510" b="16510"/>
            <wp:docPr id="19" name="图片 1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3"/>
                    <pic:cNvPicPr>
                      <a:picLocks noChangeAspect="1"/>
                    </pic:cNvPicPr>
                  </pic:nvPicPr>
                  <pic:blipFill>
                    <a:blip r:embed="rId36"/>
                    <a:stretch>
                      <a:fillRect/>
                    </a:stretch>
                  </pic:blipFill>
                  <pic:spPr>
                    <a:xfrm>
                      <a:off x="0" y="0"/>
                      <a:ext cx="2212340" cy="5298440"/>
                    </a:xfrm>
                    <a:prstGeom prst="rect">
                      <a:avLst/>
                    </a:prstGeom>
                  </pic:spPr>
                </pic:pic>
              </a:graphicData>
            </a:graphic>
          </wp:inline>
        </w:drawing>
      </w:r>
    </w:p>
    <w:p>
      <w:pPr>
        <w:tabs>
          <w:tab w:val="left" w:pos="2006"/>
        </w:tabs>
        <w:spacing w:after="0" w:afterLines="0" w:line="240" w:lineRule="auto"/>
        <w:ind w:firstLine="0"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图6-5 安装</w:t>
      </w:r>
      <w:r>
        <w:rPr>
          <w:rFonts w:hint="eastAsia" w:ascii="宋体" w:hAnsi="宋体" w:eastAsia="宋体" w:cs="宋体"/>
          <w:b/>
        </w:rPr>
        <w:t>特殊节</w:t>
      </w:r>
      <w:r>
        <w:rPr>
          <w:rFonts w:hint="eastAsia" w:ascii="宋体" w:hAnsi="宋体" w:eastAsia="宋体" w:cs="宋体"/>
          <w:b/>
          <w:color w:val="000000" w:themeColor="text1"/>
          <w14:textFill>
            <w14:solidFill>
              <w14:schemeClr w14:val="tx1"/>
            </w14:solidFill>
          </w14:textFill>
        </w:rPr>
        <w:t>立面图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安装回转总成（含司机室）</w:t>
      </w:r>
    </w:p>
    <w:p>
      <w:pPr>
        <w:spacing w:after="156"/>
        <w:ind w:firstLine="480" w:firstLineChars="0"/>
        <w:rPr>
          <w:rFonts w:ascii="宋体" w:hAnsi="宋体" w:eastAsia="宋体" w:cs="宋体"/>
        </w:rPr>
      </w:pPr>
      <w:r>
        <w:rPr>
          <w:rFonts w:hint="eastAsia" w:ascii="宋体" w:hAnsi="宋体" w:eastAsia="宋体" w:cs="宋体"/>
        </w:rPr>
        <w:t>回转总成包括回转下支座、回转支承、上支座、回转机构、回转限位装置、司机室、电控柜、电阻柜和平台组成。出厂时，回转上下支座、回转支承、回转机构、回转限位装置已组装好，设备转场不将上下支座与回转支承拆散。</w:t>
      </w:r>
    </w:p>
    <w:p>
      <w:pPr>
        <w:spacing w:after="156"/>
        <w:ind w:firstLine="480" w:firstLineChars="0"/>
        <w:rPr>
          <w:rFonts w:ascii="宋体" w:hAnsi="宋体" w:eastAsia="宋体" w:cs="宋体"/>
        </w:rPr>
      </w:pPr>
      <w:r>
        <w:rPr>
          <w:rFonts w:hint="eastAsia" w:ascii="宋体" w:hAnsi="宋体" w:eastAsia="宋体" w:cs="宋体"/>
        </w:rPr>
        <w:t>将平台安装在回转总成上，销轴安装好并装好开口销，平台护栏按尺寸安装在平台的护栏安装座上，将开口销安装好。用4根6m长直径24mm吊索和四个额定载荷1t的卸扣吊装司机室，将司机室安装在回转总成的驾驶室安装位置，安装好司机室与回转总成连接的所有销轴，并安装好开口销。将电控柜及电阻柜依次安装于回转总成上的专用位置，并安装好所有的固定螺栓。</w:t>
      </w:r>
    </w:p>
    <w:p>
      <w:pPr>
        <w:spacing w:after="156"/>
        <w:ind w:firstLine="480" w:firstLineChars="0"/>
        <w:rPr>
          <w:rFonts w:ascii="宋体" w:hAnsi="宋体" w:eastAsia="宋体" w:cs="宋体"/>
        </w:rPr>
      </w:pPr>
      <w:r>
        <w:rPr>
          <w:rFonts w:hint="eastAsia" w:ascii="宋体" w:hAnsi="宋体" w:eastAsia="宋体" w:cs="宋体"/>
        </w:rPr>
        <w:t>吊装前，检查组装好的回转总成上所有结构及焊缝有无异常，如有异常立即停止安装。准备好过渡节与回转总成连接的8个标准销轴、立销及开口销。</w:t>
      </w:r>
    </w:p>
    <w:p>
      <w:pPr>
        <w:spacing w:after="156"/>
        <w:ind w:firstLine="48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rPr>
        <w:t>用4根6m长直径24mm吊索和四个额定载荷5t的卸扣吊装回转总成，将四个卸扣锁在回转总成上部四个与平衡臂连接的销轴孔上，起吊至过渡节上部，调整回转总成的方向，使回转总成内的爬梯与过渡节爬梯对齐，缓慢落钩，将回转总成与过渡节连接，用大锤分别打入8个标准销轴至标准销轴的肩头紧贴预埋件外边，锤击标准销前，注意观察标准销上安装立销的孔的方向，以免无法安装立销。分别安装四角的立销及开口销。</w:t>
      </w:r>
    </w:p>
    <w:p>
      <w:pPr>
        <w:spacing w:after="156"/>
        <w:ind w:firstLine="480"/>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2266315" cy="5316855"/>
            <wp:effectExtent l="0" t="0" r="635" b="17145"/>
            <wp:docPr id="21" name="图片 2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5"/>
                    <pic:cNvPicPr>
                      <a:picLocks noChangeAspect="1"/>
                    </pic:cNvPicPr>
                  </pic:nvPicPr>
                  <pic:blipFill>
                    <a:blip r:embed="rId37"/>
                    <a:stretch>
                      <a:fillRect/>
                    </a:stretch>
                  </pic:blipFill>
                  <pic:spPr>
                    <a:xfrm>
                      <a:off x="0" y="0"/>
                      <a:ext cx="2266315" cy="5316855"/>
                    </a:xfrm>
                    <a:prstGeom prst="rect">
                      <a:avLst/>
                    </a:prstGeom>
                  </pic:spPr>
                </pic:pic>
              </a:graphicData>
            </a:graphic>
          </wp:inline>
        </w:drawing>
      </w:r>
    </w:p>
    <w:p>
      <w:pPr>
        <w:tabs>
          <w:tab w:val="left" w:pos="2006"/>
        </w:tabs>
        <w:spacing w:after="0" w:afterLines="0" w:line="240" w:lineRule="auto"/>
        <w:ind w:firstLine="0"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图6-6 XGT7528A-18S1安装回转总成立面图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安装起重臂根节</w:t>
      </w:r>
    </w:p>
    <w:p>
      <w:pPr>
        <w:spacing w:after="156"/>
        <w:ind w:firstLine="480" w:firstLineChars="0"/>
        <w:rPr>
          <w:rFonts w:ascii="宋体" w:hAnsi="宋体" w:eastAsia="宋体" w:cs="宋体"/>
        </w:rPr>
      </w:pPr>
      <w:r>
        <w:rPr>
          <w:rFonts w:hint="eastAsia" w:ascii="宋体" w:hAnsi="宋体" w:eastAsia="宋体" w:cs="宋体"/>
        </w:rPr>
        <w:t>如下图所示，在吊装臂根节时，选用四根钢丝绳分别穿过吊耳，最终统一悬挂在吊钩上，吊装中保证吊装平衡，实现臂根节的吊装。将臂根节与上支座通过</w:t>
      </w:r>
      <w:r>
        <w:rPr>
          <w:rFonts w:ascii="宋体" w:hAnsi="宋体" w:eastAsia="宋体" w:cs="宋体"/>
        </w:rPr>
        <w:t>4</w:t>
      </w:r>
      <w:r>
        <w:rPr>
          <w:rFonts w:hint="eastAsia" w:ascii="宋体" w:hAnsi="宋体" w:eastAsia="宋体" w:cs="宋体"/>
        </w:rPr>
        <w:t>根销轴装配到一起， 穿入短轴并用圆形卡锁住。</w:t>
      </w:r>
    </w:p>
    <w:p>
      <w:pPr>
        <w:pStyle w:val="43"/>
      </w:pPr>
    </w:p>
    <w:p>
      <w:pPr>
        <w:pStyle w:val="43"/>
      </w:pPr>
    </w:p>
    <w:p>
      <w:pPr>
        <w:pStyle w:val="43"/>
      </w:pPr>
    </w:p>
    <w:p>
      <w:pPr>
        <w:pStyle w:val="43"/>
      </w:pPr>
    </w:p>
    <w:p>
      <w:pPr>
        <w:pStyle w:val="43"/>
      </w:pPr>
    </w:p>
    <w:p>
      <w:pPr>
        <w:pStyle w:val="43"/>
      </w:pP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w:t>
      </w:r>
      <w:r>
        <w:rPr>
          <w:rFonts w:hint="eastAsia" w:ascii="宋体" w:hAnsi="宋体" w:eastAsia="宋体" w:cs="宋体"/>
          <w:bCs/>
        </w:rPr>
        <w:t>平衡臂臂节</w:t>
      </w:r>
    </w:p>
    <w:p>
      <w:pPr>
        <w:spacing w:after="156"/>
        <w:ind w:firstLine="480" w:firstLineChars="0"/>
        <w:rPr>
          <w:rFonts w:ascii="宋体" w:hAnsi="宋体" w:eastAsia="宋体" w:cs="宋体"/>
        </w:rPr>
      </w:pPr>
      <w:r>
        <w:rPr>
          <w:rFonts w:hint="eastAsia" w:ascii="宋体" w:hAnsi="宋体" w:eastAsia="宋体" w:cs="宋体"/>
        </w:rPr>
        <w:t>将中臂节与前臂节通过销轴及螺栓联结，吊装前，检查组装好的回转总成上所有结构及焊缝有无异常，如有异常立即停止安装。准备好4个φ80mm的专用平衡臂与回转总成连接销轴。</w:t>
      </w:r>
    </w:p>
    <w:p>
      <w:pPr>
        <w:spacing w:after="156"/>
        <w:ind w:firstLine="480" w:firstLineChars="0"/>
        <w:rPr>
          <w:rFonts w:ascii="宋体" w:hAnsi="宋体" w:eastAsia="宋体" w:cs="宋体"/>
        </w:rPr>
      </w:pPr>
      <w:r>
        <w:rPr>
          <w:rFonts w:hint="eastAsia" w:ascii="宋体" w:hAnsi="宋体" w:eastAsia="宋体" w:cs="宋体"/>
        </w:rPr>
        <w:t>用4根6m长直径24mm吊索和四个额定载荷5t的卸扣吊装平衡臂前段臂节，将四个卸扣锁在平衡臂前段臂节顶部的四个专用吊耳上，起吊至回转总成上部，缓慢就位，将平衡臂前臂节上的销轴孔与回转总成上部的销轴孔对正，打入4个φ80mm的专用平衡臂与回转总成连接销轴，穿好平垫及开口销。</w:t>
      </w:r>
    </w:p>
    <w:p>
      <w:pPr>
        <w:spacing w:after="156"/>
        <w:ind w:firstLine="0" w:firstLineChars="0"/>
        <w:jc w:val="center"/>
        <w:rPr>
          <w:rFonts w:ascii="宋体" w:hAnsi="宋体" w:eastAsia="宋体" w:cs="宋体"/>
        </w:rPr>
      </w:pPr>
    </w:p>
    <w:p>
      <w:pPr>
        <w:pStyle w:val="43"/>
        <w:rPr>
          <w:rFonts w:ascii="宋体" w:hAnsi="宋体" w:eastAsia="宋体" w:cs="宋体"/>
        </w:rPr>
      </w:pPr>
    </w:p>
    <w:p>
      <w:pPr>
        <w:pStyle w:val="43"/>
        <w:rPr>
          <w:rFonts w:ascii="宋体" w:hAnsi="宋体" w:eastAsia="宋体" w:cs="宋体"/>
        </w:rPr>
      </w:pPr>
    </w:p>
    <w:p>
      <w:pPr>
        <w:tabs>
          <w:tab w:val="left" w:pos="2006"/>
        </w:tabs>
        <w:spacing w:after="0" w:afterLines="0" w:line="240" w:lineRule="auto"/>
        <w:ind w:firstLine="0" w:firstLineChars="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drawing>
          <wp:inline distT="0" distB="0" distL="114300" distR="114300">
            <wp:extent cx="4646295" cy="2633345"/>
            <wp:effectExtent l="0" t="0" r="1905" b="3175"/>
            <wp:docPr id="24" name="图片 2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6"/>
                    <pic:cNvPicPr>
                      <a:picLocks noChangeAspect="1"/>
                    </pic:cNvPicPr>
                  </pic:nvPicPr>
                  <pic:blipFill>
                    <a:blip r:embed="rId38"/>
                    <a:stretch>
                      <a:fillRect/>
                    </a:stretch>
                  </pic:blipFill>
                  <pic:spPr>
                    <a:xfrm>
                      <a:off x="0" y="0"/>
                      <a:ext cx="4646295" cy="2633345"/>
                    </a:xfrm>
                    <a:prstGeom prst="rect">
                      <a:avLst/>
                    </a:prstGeom>
                  </pic:spPr>
                </pic:pic>
              </a:graphicData>
            </a:graphic>
          </wp:inline>
        </w:drawing>
      </w:r>
    </w:p>
    <w:p>
      <w:pPr>
        <w:tabs>
          <w:tab w:val="left" w:pos="2006"/>
        </w:tabs>
        <w:spacing w:after="0" w:afterLines="0" w:line="240" w:lineRule="auto"/>
        <w:ind w:firstLine="0" w:firstLineChars="0"/>
        <w:jc w:val="center"/>
        <w:rPr>
          <w:rFonts w:ascii="宋体" w:hAnsi="宋体" w:eastAsia="宋体" w:cs="宋体"/>
          <w:b/>
          <w:bCs/>
          <w:color w:val="000000" w:themeColor="text1"/>
          <w14:textFill>
            <w14:solidFill>
              <w14:schemeClr w14:val="tx1"/>
            </w14:solidFill>
          </w14:textFill>
        </w:rPr>
      </w:pPr>
    </w:p>
    <w:p>
      <w:pPr>
        <w:tabs>
          <w:tab w:val="left" w:pos="2006"/>
        </w:tabs>
        <w:spacing w:after="0" w:afterLines="0" w:line="240" w:lineRule="auto"/>
        <w:ind w:firstLine="0" w:firstLineChars="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图6-8 XGT7528A-18S1型塔机安装起重臂根节与平衡臂示意图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rPr>
        <w:t>安装平衡臂端部臂节</w:t>
      </w:r>
    </w:p>
    <w:p>
      <w:pPr>
        <w:spacing w:after="156"/>
        <w:ind w:firstLine="480" w:firstLineChars="0"/>
        <w:rPr>
          <w:rFonts w:ascii="宋体" w:hAnsi="宋体" w:eastAsia="宋体" w:cs="宋体"/>
        </w:rPr>
      </w:pPr>
      <w:r>
        <w:rPr>
          <w:rFonts w:hint="eastAsia" w:ascii="宋体" w:hAnsi="宋体" w:eastAsia="宋体" w:cs="宋体"/>
        </w:rPr>
        <w:t>平衡臂后臂节两侧平台及护栏组装好，安装好连接处的销轴及开口销。将起升机构安装于平衡臂后臂节的专用安装位置，注意起升机构电机朝向平衡臂尾部，安装好连接销轴及开口销。将维修吊杆安装在平衡臂专用底座上，安装好所有固定螺栓及防松背母。将两根拉杆安装在平衡臂起升机构后部专用销轴孔上，并安装好拉杆支承杆架，将两根平衡臂拉杆放在专用支承架上，拉杆与平衡臂后臂节连接销轴安装好开口销。</w:t>
      </w:r>
    </w:p>
    <w:p>
      <w:pPr>
        <w:spacing w:after="156"/>
        <w:ind w:firstLine="480" w:firstLineChars="0"/>
        <w:rPr>
          <w:rFonts w:ascii="宋体" w:hAnsi="宋体" w:eastAsia="宋体" w:cs="宋体"/>
        </w:rPr>
      </w:pPr>
      <w:r>
        <w:rPr>
          <w:rFonts w:hint="eastAsia" w:ascii="宋体" w:hAnsi="宋体" w:eastAsia="宋体" w:cs="宋体"/>
        </w:rPr>
        <w:t>吊装前，准备好平衡臂前后段臂节连接的两个销轴，安装于平衡臂后臂节上，准备好平衡臂前段臂节拉杆与平衡臂后臂节拉杆连接的两个销轴和开口销放置在平衡臂前段臂节上。检查平衡臂后臂节的所有结构及焊缝位置有无异常，如有异常，停止安装。</w:t>
      </w:r>
    </w:p>
    <w:p>
      <w:pPr>
        <w:spacing w:after="156"/>
        <w:ind w:firstLine="0" w:firstLineChars="0"/>
        <w:rPr>
          <w:rFonts w:ascii="宋体" w:hAnsi="宋体" w:eastAsia="宋体" w:cs="宋体"/>
        </w:rPr>
      </w:pPr>
      <w:r>
        <w:rPr>
          <w:rFonts w:hint="eastAsia" w:ascii="宋体" w:hAnsi="宋体" w:eastAsia="宋体" w:cs="宋体"/>
        </w:rPr>
        <w:t>用4根6m长直径24mm吊索和四个额定载荷5t的卸扣吊装平衡臂后臂节，将四个卸扣锁在平衡臂后臂节的四个专用吊耳上，用麻绳系在平衡臂后臂节的一端，起吊至平衡臂前段臂节尾部，缓慢牵引麻绳，使平衡臂后臂节的前部与平衡臂前段臂节的尾部对正，将平衡臂后臂节的两个高强螺栓孔与前段臂节对正，安装好连接螺栓，缓慢起钩或者落钩，调整两节平衡臂拉杆的连接位置，直到两节平衡臂拉杆能顺利连接，并能安装销轴，穿好开口销后缓慢落钩，完成平衡臂后臂节的安装。</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安装1块平衡重</w:t>
      </w:r>
    </w:p>
    <w:p>
      <w:pPr>
        <w:spacing w:after="156"/>
        <w:ind w:firstLine="480"/>
        <w:rPr>
          <w:rFonts w:ascii="宋体" w:hAnsi="宋体" w:eastAsia="宋体" w:cs="宋体"/>
        </w:rPr>
      </w:pPr>
      <w:r>
        <w:rPr>
          <w:rFonts w:hint="eastAsia" w:ascii="宋体" w:hAnsi="宋体" w:eastAsia="宋体" w:cs="宋体"/>
        </w:rPr>
        <w:t>根据该型号塔机说明书要求，XGT7528A-18S1塔机在安装起重臂前应安装1块3.32吨重的平衡重。吊装平衡重前，检查平衡重的外观质量情况和吊耳处的连接情况，如有异常，停止安装。准备两个平衡重安装销轴安装于平衡重两侧。</w:t>
      </w:r>
    </w:p>
    <w:p>
      <w:pPr>
        <w:spacing w:after="156"/>
        <w:ind w:firstLine="480"/>
        <w:jc w:val="both"/>
        <w:rPr>
          <w:rFonts w:ascii="宋体" w:hAnsi="宋体" w:eastAsia="宋体" w:cs="宋体"/>
        </w:rPr>
      </w:pPr>
      <w:r>
        <w:rPr>
          <w:rFonts w:hint="eastAsia" w:ascii="宋体" w:hAnsi="宋体" w:eastAsia="宋体" w:cs="宋体"/>
        </w:rPr>
        <w:t>用1根直径24mm长3m的吊索和1个额定载荷5t的卸扣吊装平衡重，将平衡重吊起至平衡臂上平衡重安装位置上部，缓慢落钩，将平衡重放置于安装第一块平衡重的安装槽内，继续缓慢落钩，调整两个平衡重安装销轴的位置，使平衡重可靠安装于平衡臂上。安装平面及立面示意图如下图。</w:t>
      </w:r>
    </w:p>
    <w:p>
      <w:pPr>
        <w:spacing w:after="156"/>
        <w:ind w:firstLine="480"/>
        <w:jc w:val="center"/>
        <w:rPr>
          <w:rFonts w:ascii="宋体" w:hAnsi="宋体" w:eastAsia="宋体" w:cs="宋体"/>
        </w:rPr>
      </w:pPr>
    </w:p>
    <w:p>
      <w:pPr>
        <w:spacing w:after="156"/>
        <w:ind w:firstLine="0" w:firstLineChars="0"/>
        <w:jc w:val="center"/>
        <w:rPr>
          <w:rFonts w:ascii="宋体" w:hAnsi="宋体" w:eastAsia="宋体" w:cs="宋体"/>
          <w:b/>
          <w:bCs/>
        </w:rPr>
      </w:pPr>
      <w:r>
        <w:rPr>
          <w:rFonts w:hint="eastAsia" w:ascii="宋体" w:hAnsi="宋体" w:eastAsia="宋体" w:cs="宋体"/>
          <w:b/>
          <w:bCs/>
        </w:rPr>
        <w:drawing>
          <wp:inline distT="0" distB="0" distL="114300" distR="114300">
            <wp:extent cx="3759200" cy="4230370"/>
            <wp:effectExtent l="0" t="0" r="12700" b="17780"/>
            <wp:docPr id="26" name="图片 2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07"/>
                    <pic:cNvPicPr>
                      <a:picLocks noChangeAspect="1"/>
                    </pic:cNvPicPr>
                  </pic:nvPicPr>
                  <pic:blipFill>
                    <a:blip r:embed="rId39"/>
                    <a:stretch>
                      <a:fillRect/>
                    </a:stretch>
                  </pic:blipFill>
                  <pic:spPr>
                    <a:xfrm>
                      <a:off x="0" y="0"/>
                      <a:ext cx="3759200" cy="4230370"/>
                    </a:xfrm>
                    <a:prstGeom prst="rect">
                      <a:avLst/>
                    </a:prstGeom>
                  </pic:spPr>
                </pic:pic>
              </a:graphicData>
            </a:graphic>
          </wp:inline>
        </w:drawing>
      </w:r>
    </w:p>
    <w:p>
      <w:pPr>
        <w:tabs>
          <w:tab w:val="left" w:pos="2006"/>
        </w:tabs>
        <w:spacing w:after="0" w:afterLines="0" w:line="240" w:lineRule="auto"/>
        <w:ind w:firstLineChars="0"/>
        <w:jc w:val="center"/>
        <w:rPr>
          <w:rFonts w:ascii="宋体" w:hAnsi="宋体" w:eastAsia="宋体" w:cs="宋体"/>
          <w:b/>
          <w:bCs/>
        </w:rPr>
      </w:pPr>
      <w:r>
        <w:rPr>
          <w:rFonts w:hint="eastAsia" w:ascii="宋体" w:hAnsi="宋体" w:eastAsia="宋体" w:cs="宋体"/>
          <w:b/>
          <w:bCs/>
        </w:rPr>
        <w:t>图6-11  安装第一块平衡重立面示意图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安装剩余起重臂总成</w:t>
      </w:r>
    </w:p>
    <w:p>
      <w:pPr>
        <w:spacing w:after="156"/>
        <w:ind w:firstLine="480"/>
        <w:rPr>
          <w:rFonts w:ascii="宋体" w:hAnsi="宋体" w:eastAsia="宋体" w:cs="宋体"/>
        </w:rPr>
      </w:pPr>
      <w:r>
        <w:rPr>
          <w:rFonts w:hint="eastAsia" w:ascii="宋体" w:hAnsi="宋体" w:eastAsia="宋体" w:cs="宋体"/>
        </w:rPr>
        <w:t>本工程该塔机安装70米起重臂，</w:t>
      </w:r>
    </w:p>
    <w:p>
      <w:pPr>
        <w:pStyle w:val="43"/>
        <w:rPr>
          <w:rFonts w:ascii="宋体" w:hAnsi="宋体" w:eastAsia="宋体" w:cs="宋体"/>
        </w:rPr>
      </w:pPr>
    </w:p>
    <w:p>
      <w:pPr>
        <w:pStyle w:val="43"/>
        <w:rPr>
          <w:rFonts w:ascii="宋体" w:hAnsi="宋体" w:eastAsia="宋体" w:cs="宋体"/>
        </w:rPr>
      </w:pPr>
      <w:r>
        <w:drawing>
          <wp:inline distT="0" distB="0" distL="114300" distR="114300">
            <wp:extent cx="5828665" cy="3999230"/>
            <wp:effectExtent l="0" t="0" r="635" b="127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0"/>
                    <a:stretch>
                      <a:fillRect/>
                    </a:stretch>
                  </pic:blipFill>
                  <pic:spPr>
                    <a:xfrm>
                      <a:off x="0" y="0"/>
                      <a:ext cx="5828665" cy="3999230"/>
                    </a:xfrm>
                    <a:prstGeom prst="rect">
                      <a:avLst/>
                    </a:prstGeom>
                    <a:noFill/>
                    <a:ln>
                      <a:noFill/>
                    </a:ln>
                  </pic:spPr>
                </pic:pic>
              </a:graphicData>
            </a:graphic>
          </wp:inline>
        </w:drawing>
      </w:r>
    </w:p>
    <w:p>
      <w:pPr>
        <w:pStyle w:val="43"/>
        <w:rPr>
          <w:rFonts w:ascii="宋体" w:hAnsi="宋体" w:eastAsia="宋体" w:cs="宋体"/>
        </w:rPr>
      </w:pPr>
    </w:p>
    <w:p>
      <w:pPr>
        <w:spacing w:after="156"/>
        <w:ind w:firstLine="0" w:firstLineChars="0"/>
        <w:jc w:val="center"/>
        <w:rPr>
          <w:rFonts w:ascii="宋体" w:hAnsi="宋体" w:eastAsia="宋体" w:cs="宋体"/>
          <w:b/>
          <w:bCs/>
        </w:rPr>
      </w:pPr>
      <w:r>
        <w:rPr>
          <w:rFonts w:hint="eastAsia" w:ascii="宋体" w:hAnsi="宋体" w:eastAsia="宋体" w:cs="宋体"/>
          <w:b/>
          <w:bCs/>
        </w:rPr>
        <w:t>图6-12 塔吊剩余30米起重臂组成示意图</w:t>
      </w:r>
    </w:p>
    <w:p>
      <w:pPr>
        <w:pStyle w:val="43"/>
      </w:pPr>
      <w:r>
        <mc:AlternateContent>
          <mc:Choice Requires="wps">
            <w:drawing>
              <wp:anchor distT="0" distB="0" distL="114300" distR="114300" simplePos="0" relativeHeight="251666432" behindDoc="0" locked="0" layoutInCell="1" allowOverlap="1">
                <wp:simplePos x="0" y="0"/>
                <wp:positionH relativeFrom="column">
                  <wp:posOffset>1612265</wp:posOffset>
                </wp:positionH>
                <wp:positionV relativeFrom="paragraph">
                  <wp:posOffset>603250</wp:posOffset>
                </wp:positionV>
                <wp:extent cx="436880" cy="664845"/>
                <wp:effectExtent l="6350" t="6350" r="13970" b="14605"/>
                <wp:wrapNone/>
                <wp:docPr id="10" name="矩形 10"/>
                <wp:cNvGraphicFramePr/>
                <a:graphic xmlns:a="http://schemas.openxmlformats.org/drawingml/2006/main">
                  <a:graphicData uri="http://schemas.microsoft.com/office/word/2010/wordprocessingShape">
                    <wps:wsp>
                      <wps:cNvSpPr/>
                      <wps:spPr>
                        <a:xfrm>
                          <a:off x="2607310" y="6187440"/>
                          <a:ext cx="436880" cy="664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95pt;margin-top:47.5pt;height:52.35pt;width:34.4pt;z-index:251666432;v-text-anchor:middle;mso-width-relative:page;mso-height-relative:page;" filled="f" stroked="t" coordsize="21600,21600" o:gfxdata="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qw7DLXAAAACgEAAA8AAAAAAAAAAQAgAAAAIgAAAGRycy9k&#10;b3ducmV2LnhtbFBLAQIUABQAAAAIAIdO4kB6EChHdQIAANgEAAAOAAAAAAAAAAEAIAAAACYBAABk&#10;cnMvZTJvRG9jLnhtbFBLBQYAAAAABgAGAFkBAAANBgAAAAA=&#10;">
                <v:fill on="f" focussize="0,0"/>
                <v:stroke weight="1pt" color="#FF0000 [3204]" miterlimit="8" joinstyle="miter"/>
                <v:imagedata o:title=""/>
                <o:lock v:ext="edit" aspectratio="f"/>
              </v:rect>
            </w:pict>
          </mc:Fallback>
        </mc:AlternateContent>
      </w:r>
      <w:r>
        <w:drawing>
          <wp:inline distT="0" distB="0" distL="114300" distR="114300">
            <wp:extent cx="5487035" cy="2503170"/>
            <wp:effectExtent l="0" t="0" r="14605" b="11430"/>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41"/>
                    <a:stretch>
                      <a:fillRect/>
                    </a:stretch>
                  </pic:blipFill>
                  <pic:spPr>
                    <a:xfrm>
                      <a:off x="0" y="0"/>
                      <a:ext cx="5487035" cy="2503170"/>
                    </a:xfrm>
                    <a:prstGeom prst="rect">
                      <a:avLst/>
                    </a:prstGeom>
                    <a:noFill/>
                    <a:ln>
                      <a:noFill/>
                    </a:ln>
                  </pic:spPr>
                </pic:pic>
              </a:graphicData>
            </a:graphic>
          </wp:inline>
        </w:drawing>
      </w:r>
    </w:p>
    <w:p>
      <w:pPr>
        <w:spacing w:after="156"/>
        <w:ind w:firstLine="0" w:firstLineChars="0"/>
        <w:jc w:val="center"/>
        <w:rPr>
          <w:rFonts w:ascii="宋体" w:hAnsi="宋体" w:eastAsia="宋体" w:cs="宋体"/>
        </w:rPr>
      </w:pPr>
      <w:r>
        <w:rPr>
          <w:rFonts w:hint="eastAsia" w:ascii="宋体" w:hAnsi="宋体" w:eastAsia="宋体" w:cs="宋体"/>
          <w:bCs/>
        </w:rPr>
        <w:drawing>
          <wp:inline distT="0" distB="0" distL="114300" distR="114300">
            <wp:extent cx="3184525" cy="2043430"/>
            <wp:effectExtent l="0" t="0" r="0" b="0"/>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pic:cNvPicPr>
                      <a:picLocks noChangeAspect="1"/>
                    </pic:cNvPicPr>
                  </pic:nvPicPr>
                  <pic:blipFill>
                    <a:blip r:embed="rId42"/>
                    <a:stretch>
                      <a:fillRect/>
                    </a:stretch>
                  </pic:blipFill>
                  <pic:spPr>
                    <a:xfrm>
                      <a:off x="0" y="0"/>
                      <a:ext cx="3191991" cy="2047974"/>
                    </a:xfrm>
                    <a:prstGeom prst="rect">
                      <a:avLst/>
                    </a:prstGeom>
                    <a:noFill/>
                    <a:ln w="9525">
                      <a:noFill/>
                    </a:ln>
                  </pic:spPr>
                </pic:pic>
              </a:graphicData>
            </a:graphic>
          </wp:inline>
        </w:drawing>
      </w:r>
    </w:p>
    <w:p>
      <w:pPr>
        <w:spacing w:after="156"/>
        <w:ind w:firstLine="0" w:firstLineChars="0"/>
        <w:jc w:val="center"/>
        <w:rPr>
          <w:rFonts w:ascii="宋体" w:hAnsi="宋体" w:eastAsia="宋体" w:cs="宋体"/>
          <w:b/>
          <w:bCs/>
        </w:rPr>
      </w:pPr>
      <w:r>
        <w:rPr>
          <w:rFonts w:hint="eastAsia" w:ascii="宋体" w:hAnsi="宋体" w:eastAsia="宋体" w:cs="宋体"/>
          <w:b/>
          <w:bCs/>
        </w:rPr>
        <w:t>图6-15 起重臂吊点挂绳方式示意图</w:t>
      </w:r>
    </w:p>
    <w:p>
      <w:pPr>
        <w:spacing w:after="156"/>
        <w:ind w:firstLine="720" w:firstLineChars="300"/>
        <w:rPr>
          <w:rFonts w:ascii="宋体" w:hAnsi="宋体" w:eastAsia="宋体" w:cs="宋体"/>
        </w:rPr>
      </w:pPr>
      <w:r>
        <w:rPr>
          <w:rFonts w:hint="eastAsia" w:ascii="宋体" w:hAnsi="宋体" w:eastAsia="宋体" w:cs="宋体"/>
        </w:rPr>
        <w:t>安装起重臂节3-8及臂头：</w:t>
      </w:r>
    </w:p>
    <w:p>
      <w:pPr>
        <w:spacing w:after="156"/>
        <w:ind w:firstLine="720" w:firstLineChars="300"/>
        <w:rPr>
          <w:rFonts w:ascii="宋体" w:hAnsi="宋体" w:eastAsia="宋体" w:cs="宋体"/>
          <w:bCs/>
        </w:rPr>
      </w:pPr>
      <w:r>
        <w:rPr>
          <w:rFonts w:hint="eastAsia" w:ascii="宋体" w:hAnsi="宋体" w:eastAsia="宋体" w:cs="宋体"/>
          <w:bCs/>
        </w:rPr>
        <w:t>在地面按说明书所示将起重臂节按顺序拼装，上弦销轴及下弦连接用的高强螺栓应采用专用连接件。用4根6m长直径24mm和4个额定载荷5t的卸扣吊装起重臂臂节总成，试吊起重臂，是根部稍倾斜，倾斜角度不合适，应适当调整，并再次试吊，直至起重臂角度最佳为止，在起重臂上弦做好标志，以便拆卸时吊点选择。起吊前，将麻绳固定于便于牵引的一端，缓慢起吊起重臂总成至平衡臂前段臂节前端，可通过电力或手动摇动回转机构回转到安装起重臂总成的最佳角度，将起重臂上弦杆1个用φ100mm-290mm销轴与平衡臂连接，穿好立销及开口销。缓慢落钩至起重臂下弦与平衡臂下弦连接口对正后，缓慢落下起重臂总成，安装下弦连接M30-95专用高强螺栓，完成起重臂的安装。</w:t>
      </w:r>
    </w:p>
    <w:p>
      <w:pPr>
        <w:spacing w:after="156"/>
        <w:ind w:firstLine="0" w:firstLineChars="0"/>
        <w:jc w:val="center"/>
        <w:rPr>
          <w:rFonts w:ascii="宋体" w:hAnsi="宋体" w:eastAsia="宋体" w:cs="宋体"/>
          <w:bCs/>
        </w:rPr>
      </w:pPr>
    </w:p>
    <w:p>
      <w:pPr>
        <w:spacing w:after="156"/>
        <w:ind w:firstLine="0" w:firstLineChars="0"/>
        <w:jc w:val="center"/>
        <w:rPr>
          <w:rFonts w:ascii="宋体" w:hAnsi="宋体" w:eastAsia="宋体" w:cs="宋体"/>
          <w:b/>
          <w:bCs/>
        </w:rPr>
      </w:pPr>
      <w:r>
        <w:rPr>
          <w:rFonts w:hint="eastAsia" w:ascii="宋体" w:hAnsi="宋体" w:eastAsia="宋体" w:cs="宋体"/>
          <w:b/>
          <w:bCs/>
        </w:rPr>
        <w:t>图6-18 安装剩余起重臂臂节总成平面示意图</w:t>
      </w:r>
    </w:p>
    <w:p>
      <w:pPr>
        <w:spacing w:after="156"/>
        <w:ind w:firstLine="0" w:firstLineChars="0"/>
        <w:jc w:val="center"/>
        <w:rPr>
          <w:rFonts w:ascii="宋体" w:hAnsi="宋体" w:eastAsia="宋体" w:cs="宋体"/>
          <w:b/>
          <w:bCs/>
        </w:rPr>
      </w:pPr>
      <w:r>
        <w:rPr>
          <w:rFonts w:hint="eastAsia" w:ascii="宋体" w:hAnsi="宋体" w:eastAsia="宋体" w:cs="宋体"/>
          <w:b/>
          <w:bCs/>
        </w:rPr>
        <w:drawing>
          <wp:inline distT="0" distB="0" distL="114300" distR="114300">
            <wp:extent cx="5175250" cy="2160270"/>
            <wp:effectExtent l="0" t="0" r="6350" b="11430"/>
            <wp:docPr id="32" name="图片 32"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10"/>
                    <pic:cNvPicPr>
                      <a:picLocks noChangeAspect="1"/>
                    </pic:cNvPicPr>
                  </pic:nvPicPr>
                  <pic:blipFill>
                    <a:blip r:embed="rId43"/>
                    <a:stretch>
                      <a:fillRect/>
                    </a:stretch>
                  </pic:blipFill>
                  <pic:spPr>
                    <a:xfrm>
                      <a:off x="0" y="0"/>
                      <a:ext cx="5175250" cy="2160270"/>
                    </a:xfrm>
                    <a:prstGeom prst="rect">
                      <a:avLst/>
                    </a:prstGeom>
                  </pic:spPr>
                </pic:pic>
              </a:graphicData>
            </a:graphic>
          </wp:inline>
        </w:drawing>
      </w:r>
    </w:p>
    <w:p>
      <w:pPr>
        <w:spacing w:after="156"/>
        <w:ind w:firstLine="0" w:firstLineChars="0"/>
        <w:rPr>
          <w:rFonts w:ascii="宋体" w:hAnsi="宋体" w:eastAsia="宋体" w:cs="宋体"/>
        </w:rPr>
      </w:pPr>
      <w:r>
        <w:rPr>
          <w:rFonts w:hint="eastAsia" w:ascii="宋体" w:hAnsi="宋体" w:eastAsia="宋体" w:cs="宋体"/>
        </w:rPr>
        <w:t>安装变幅钢丝绳：</w:t>
      </w:r>
    </w:p>
    <w:p>
      <w:pPr>
        <w:spacing w:after="156"/>
        <w:ind w:firstLine="0" w:firstLineChars="0"/>
        <w:jc w:val="center"/>
        <w:rPr>
          <w:rFonts w:ascii="宋体" w:hAnsi="宋体" w:eastAsia="宋体" w:cs="宋体"/>
          <w:b/>
          <w:bCs/>
        </w:rPr>
      </w:pPr>
      <w:r>
        <w:rPr>
          <w:rFonts w:hint="eastAsia" w:ascii="宋体" w:hAnsi="宋体" w:eastAsia="宋体" w:cs="宋体"/>
        </w:rPr>
        <w:drawing>
          <wp:inline distT="0" distB="0" distL="114300" distR="114300">
            <wp:extent cx="5363210" cy="2188210"/>
            <wp:effectExtent l="0" t="0" r="8890" b="254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4"/>
                    <a:stretch>
                      <a:fillRect/>
                    </a:stretch>
                  </pic:blipFill>
                  <pic:spPr>
                    <a:xfrm>
                      <a:off x="0" y="0"/>
                      <a:ext cx="5363210" cy="2188210"/>
                    </a:xfrm>
                    <a:prstGeom prst="rect">
                      <a:avLst/>
                    </a:prstGeom>
                    <a:noFill/>
                    <a:ln>
                      <a:noFill/>
                    </a:ln>
                  </pic:spPr>
                </pic:pic>
              </a:graphicData>
            </a:graphic>
          </wp:inline>
        </w:drawing>
      </w:r>
    </w:p>
    <w:p>
      <w:pPr>
        <w:spacing w:after="156"/>
        <w:ind w:firstLine="0" w:firstLineChars="0"/>
        <w:jc w:val="center"/>
        <w:rPr>
          <w:rFonts w:ascii="宋体" w:hAnsi="宋体" w:eastAsia="宋体" w:cs="宋体"/>
          <w:b/>
          <w:bCs/>
        </w:rPr>
      </w:pPr>
      <w:r>
        <w:rPr>
          <w:rFonts w:hint="eastAsia" w:ascii="宋体" w:hAnsi="宋体" w:eastAsia="宋体" w:cs="宋体"/>
          <w:b/>
          <w:bCs/>
        </w:rPr>
        <w:t>图6-20变幅钢丝绳穿绕示意图</w:t>
      </w:r>
    </w:p>
    <w:p>
      <w:pPr>
        <w:spacing w:after="156"/>
        <w:ind w:firstLine="720" w:firstLineChars="300"/>
        <w:rPr>
          <w:rFonts w:ascii="宋体" w:hAnsi="宋体" w:eastAsia="宋体" w:cs="宋体"/>
          <w:bCs/>
        </w:rPr>
      </w:pPr>
      <w:r>
        <w:rPr>
          <w:rFonts w:hint="eastAsia" w:ascii="宋体" w:hAnsi="宋体" w:eastAsia="宋体" w:cs="宋体"/>
          <w:bCs/>
        </w:rPr>
        <w:t>将起升钢丝绳引经塔顶导向滑轮后，绕过在起重臂根部上的起重量限制器滑轮，再引向小车滑轮与吊钩滑轮穿绕，最后，将绳端固定在臂头上（见图）。</w:t>
      </w:r>
    </w:p>
    <w:p>
      <w:pPr>
        <w:numPr>
          <w:ilvl w:val="0"/>
          <w:numId w:val="6"/>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安装剩余平衡重</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rPr>
        <w:t>用1根直径24mm长3m的吊索和1个额定载荷5t的卸扣吊装平衡重，将平衡重吊起至平衡臂后段臂节平衡重安装位置上部，缓慢落钩，靠近安装的一块平衡重后侧，继续缓慢落钩，调整两个平衡重安装销轴的位置，使平衡重可靠安装于平衡臂后段臂节上。依次安装剩余的平衡重。</w:t>
      </w:r>
    </w:p>
    <w:p>
      <w:pPr>
        <w:spacing w:after="156"/>
        <w:ind w:firstLine="0"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表6-4 安装起重臂后剩余配重数量统计表</w:t>
      </w:r>
    </w:p>
    <w:tbl>
      <w:tblPr>
        <w:tblStyle w:val="23"/>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375"/>
        <w:gridCol w:w="1276"/>
        <w:gridCol w:w="1984"/>
        <w:gridCol w:w="4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8"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塔吊</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编号</w:t>
            </w:r>
          </w:p>
        </w:tc>
        <w:tc>
          <w:tcPr>
            <w:tcW w:w="1375"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塔吊</w:t>
            </w:r>
          </w:p>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型号</w:t>
            </w:r>
          </w:p>
        </w:tc>
        <w:tc>
          <w:tcPr>
            <w:tcW w:w="1276"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安装起重臂长度</w:t>
            </w:r>
          </w:p>
        </w:tc>
        <w:tc>
          <w:tcPr>
            <w:tcW w:w="1984"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安装起重臂前安装平衡重数量</w:t>
            </w: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剩余平衡重明细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restart"/>
            <w:vAlign w:val="center"/>
          </w:tcPr>
          <w:p>
            <w:pPr>
              <w:spacing w:after="0" w:afterLines="0" w:line="48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375"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76" w:type="dxa"/>
            <w:vMerge w:val="restart"/>
            <w:vAlign w:val="center"/>
          </w:tcPr>
          <w:p>
            <w:pPr>
              <w:spacing w:after="0" w:afterLines="0" w:line="240" w:lineRule="auto"/>
              <w:ind w:firstLine="0" w:firstLineChars="0"/>
              <w:jc w:val="left"/>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 xml:space="preserve">    70m</w:t>
            </w:r>
          </w:p>
        </w:tc>
        <w:tc>
          <w:tcPr>
            <w:tcW w:w="1984"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1块3.32t</w:t>
            </w: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3.32t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375"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276" w:type="dxa"/>
            <w:vMerge w:val="continue"/>
            <w:vAlign w:val="center"/>
          </w:tcPr>
          <w:p>
            <w:pPr>
              <w:spacing w:after="0" w:afterLines="0" w:line="240" w:lineRule="auto"/>
              <w:ind w:firstLine="0" w:firstLineChars="0"/>
              <w:jc w:val="left"/>
              <w:rPr>
                <w:rFonts w:ascii="宋体" w:hAnsi="宋体" w:eastAsia="宋体" w:cs="宋体"/>
                <w:bCs/>
                <w:color w:val="000000" w:themeColor="text1"/>
                <w14:textFill>
                  <w14:solidFill>
                    <w14:schemeClr w14:val="tx1"/>
                  </w14:solidFill>
                </w14:textFill>
              </w:rPr>
            </w:pPr>
          </w:p>
        </w:tc>
        <w:tc>
          <w:tcPr>
            <w:tcW w:w="1984"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375"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76" w:type="dxa"/>
            <w:vMerge w:val="restart"/>
            <w:vAlign w:val="center"/>
          </w:tcPr>
          <w:p>
            <w:pPr>
              <w:spacing w:after="0" w:afterLines="0" w:line="240" w:lineRule="auto"/>
              <w:ind w:firstLine="480"/>
              <w:jc w:val="left"/>
            </w:pPr>
            <w:r>
              <w:rPr>
                <w:rFonts w:hint="eastAsia" w:ascii="宋体" w:hAnsi="宋体" w:eastAsia="宋体" w:cs="宋体"/>
                <w:bCs/>
                <w:color w:val="000000" w:themeColor="text1"/>
                <w14:textFill>
                  <w14:solidFill>
                    <w14:schemeClr w14:val="tx1"/>
                  </w14:solidFill>
                </w14:textFill>
              </w:rPr>
              <w:t>70m</w:t>
            </w:r>
          </w:p>
        </w:tc>
        <w:tc>
          <w:tcPr>
            <w:tcW w:w="1984"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1块3.32t</w:t>
            </w: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3.32t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375"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276" w:type="dxa"/>
            <w:vMerge w:val="continue"/>
            <w:vAlign w:val="center"/>
          </w:tcPr>
          <w:p>
            <w:pPr>
              <w:spacing w:after="0" w:afterLines="0" w:line="240" w:lineRule="auto"/>
              <w:ind w:firstLine="0" w:firstLineChars="0"/>
              <w:jc w:val="left"/>
              <w:rPr>
                <w:rFonts w:ascii="宋体" w:hAnsi="宋体" w:eastAsia="宋体" w:cs="宋体"/>
                <w:bCs/>
                <w:color w:val="000000" w:themeColor="text1"/>
                <w14:textFill>
                  <w14:solidFill>
                    <w14:schemeClr w14:val="tx1"/>
                  </w14:solidFill>
                </w14:textFill>
              </w:rPr>
            </w:pPr>
          </w:p>
        </w:tc>
        <w:tc>
          <w:tcPr>
            <w:tcW w:w="1984"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375"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76" w:type="dxa"/>
            <w:vMerge w:val="restart"/>
            <w:vAlign w:val="center"/>
          </w:tcPr>
          <w:p>
            <w:pPr>
              <w:spacing w:after="0" w:afterLines="0" w:line="240" w:lineRule="auto"/>
              <w:ind w:firstLine="480"/>
              <w:jc w:val="left"/>
            </w:pPr>
            <w:r>
              <w:rPr>
                <w:rFonts w:hint="eastAsia" w:ascii="宋体" w:hAnsi="宋体" w:eastAsia="宋体" w:cs="宋体"/>
                <w:bCs/>
                <w:color w:val="000000" w:themeColor="text1"/>
                <w14:textFill>
                  <w14:solidFill>
                    <w14:schemeClr w14:val="tx1"/>
                  </w14:solidFill>
                </w14:textFill>
              </w:rPr>
              <w:t>70m</w:t>
            </w:r>
          </w:p>
        </w:tc>
        <w:tc>
          <w:tcPr>
            <w:tcW w:w="1984"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1块3.32t</w:t>
            </w: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3.32t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375"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276" w:type="dxa"/>
            <w:vMerge w:val="continue"/>
            <w:vAlign w:val="center"/>
          </w:tcPr>
          <w:p>
            <w:pPr>
              <w:spacing w:after="0" w:afterLines="0" w:line="240" w:lineRule="auto"/>
              <w:ind w:firstLine="0" w:firstLineChars="0"/>
              <w:jc w:val="left"/>
              <w:rPr>
                <w:rFonts w:ascii="宋体" w:hAnsi="宋体" w:eastAsia="宋体" w:cs="宋体"/>
                <w:bCs/>
                <w:color w:val="000000" w:themeColor="text1"/>
                <w14:textFill>
                  <w14:solidFill>
                    <w14:schemeClr w14:val="tx1"/>
                  </w14:solidFill>
                </w14:textFill>
              </w:rPr>
            </w:pPr>
          </w:p>
        </w:tc>
        <w:tc>
          <w:tcPr>
            <w:tcW w:w="1984"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375"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XGT7528A-18S1</w:t>
            </w:r>
          </w:p>
        </w:tc>
        <w:tc>
          <w:tcPr>
            <w:tcW w:w="1276" w:type="dxa"/>
            <w:vMerge w:val="restart"/>
            <w:vAlign w:val="center"/>
          </w:tcPr>
          <w:p>
            <w:pPr>
              <w:spacing w:after="0" w:afterLines="0" w:line="240" w:lineRule="auto"/>
              <w:ind w:firstLine="480"/>
              <w:jc w:val="left"/>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70m</w:t>
            </w:r>
          </w:p>
        </w:tc>
        <w:tc>
          <w:tcPr>
            <w:tcW w:w="1984" w:type="dxa"/>
            <w:vMerge w:val="restart"/>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1块3.32t</w:t>
            </w: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3.32t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18"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375"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276"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1984" w:type="dxa"/>
            <w:vMerge w:val="continue"/>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p>
        </w:tc>
        <w:tc>
          <w:tcPr>
            <w:tcW w:w="4003"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4块</w:t>
            </w:r>
          </w:p>
        </w:tc>
      </w:tr>
    </w:tbl>
    <w:p>
      <w:pPr>
        <w:spacing w:after="156"/>
        <w:ind w:firstLine="0" w:firstLineChars="0"/>
        <w:jc w:val="center"/>
        <w:rPr>
          <w:rFonts w:ascii="宋体" w:hAnsi="宋体" w:eastAsia="宋体" w:cs="宋体"/>
          <w:b/>
          <w:bCs/>
        </w:rPr>
      </w:pPr>
    </w:p>
    <w:p>
      <w:pPr>
        <w:spacing w:after="156"/>
        <w:ind w:firstLine="0" w:firstLineChars="0"/>
        <w:jc w:val="center"/>
        <w:rPr>
          <w:rFonts w:ascii="宋体" w:hAnsi="宋体" w:eastAsia="宋体" w:cs="宋体"/>
          <w:b/>
          <w:bCs/>
        </w:rPr>
      </w:pPr>
      <w:r>
        <w:rPr>
          <w:rFonts w:hint="eastAsia" w:ascii="宋体" w:hAnsi="宋体" w:eastAsia="宋体" w:cs="宋体"/>
          <w:b/>
          <w:bCs/>
        </w:rPr>
        <w:drawing>
          <wp:inline distT="0" distB="0" distL="114300" distR="114300">
            <wp:extent cx="4521835" cy="4029075"/>
            <wp:effectExtent l="0" t="0" r="12065" b="9525"/>
            <wp:docPr id="35" name="图片 35" descr="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80"/>
                    <pic:cNvPicPr>
                      <a:picLocks noChangeAspect="1"/>
                    </pic:cNvPicPr>
                  </pic:nvPicPr>
                  <pic:blipFill>
                    <a:blip r:embed="rId45"/>
                    <a:stretch>
                      <a:fillRect/>
                    </a:stretch>
                  </pic:blipFill>
                  <pic:spPr>
                    <a:xfrm>
                      <a:off x="0" y="0"/>
                      <a:ext cx="4521835" cy="4029075"/>
                    </a:xfrm>
                    <a:prstGeom prst="rect">
                      <a:avLst/>
                    </a:prstGeom>
                  </pic:spPr>
                </pic:pic>
              </a:graphicData>
            </a:graphic>
          </wp:inline>
        </w:drawing>
      </w:r>
      <w:r>
        <w:rPr>
          <w:rFonts w:hint="eastAsia" w:ascii="宋体" w:hAnsi="宋体" w:eastAsia="宋体" w:cs="宋体"/>
          <w:b/>
          <w:bCs/>
        </w:rPr>
        <w:t xml:space="preserve"> </w:t>
      </w:r>
    </w:p>
    <w:p>
      <w:pPr>
        <w:spacing w:after="156"/>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
          <w:bCs/>
        </w:rPr>
        <w:t>图6-21 安装剩余平衡重立面示意图</w:t>
      </w:r>
    </w:p>
    <w:p>
      <w:pPr>
        <w:pStyle w:val="5"/>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6.3.3穿绕起升钢丝绳</w:t>
      </w:r>
    </w:p>
    <w:p>
      <w:pPr>
        <w:spacing w:after="156"/>
        <w:ind w:firstLine="480"/>
        <w:jc w:val="center"/>
        <w:rPr>
          <w:rFonts w:ascii="宋体" w:hAnsi="宋体" w:eastAsia="宋体" w:cs="宋体"/>
        </w:rPr>
      </w:pPr>
      <w:r>
        <w:rPr>
          <w:rFonts w:hint="eastAsia" w:ascii="宋体" w:hAnsi="宋体" w:eastAsia="宋体" w:cs="宋体"/>
        </w:rPr>
        <w:drawing>
          <wp:inline distT="0" distB="0" distL="114300" distR="114300">
            <wp:extent cx="5756275" cy="3710305"/>
            <wp:effectExtent l="0" t="0" r="15875" b="444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6"/>
                    <a:stretch>
                      <a:fillRect/>
                    </a:stretch>
                  </pic:blipFill>
                  <pic:spPr>
                    <a:xfrm>
                      <a:off x="0" y="0"/>
                      <a:ext cx="5756275" cy="3710305"/>
                    </a:xfrm>
                    <a:prstGeom prst="rect">
                      <a:avLst/>
                    </a:prstGeom>
                    <a:noFill/>
                    <a:ln>
                      <a:noFill/>
                    </a:ln>
                  </pic:spPr>
                </pic:pic>
              </a:graphicData>
            </a:graphic>
          </wp:inline>
        </w:drawing>
      </w:r>
      <w:r>
        <w:rPr>
          <w:rFonts w:hint="eastAsia" w:ascii="宋体" w:hAnsi="宋体" w:eastAsia="宋体" w:cs="宋体"/>
          <w:b/>
          <w:bCs/>
        </w:rPr>
        <w:t>图6-22 起升钢丝绳穿绕示意图</w:t>
      </w:r>
    </w:p>
    <w:p>
      <w:pPr>
        <w:spacing w:after="156"/>
        <w:ind w:firstLine="480"/>
        <w:rPr>
          <w:rFonts w:ascii="宋体" w:hAnsi="宋体" w:eastAsia="宋体" w:cs="宋体"/>
        </w:rPr>
      </w:pPr>
      <w:r>
        <w:rPr>
          <w:rFonts w:hint="eastAsia" w:ascii="宋体" w:hAnsi="宋体" w:eastAsia="宋体" w:cs="宋体"/>
        </w:rPr>
        <w:t>如图6-22所示，起升钢丝绳由起升机构卷筒放出，绕过塔顶导向滑轮向下进入塔头上起重量限制器滑轮，向前再绕到载重小车和吊钩滑轮组，最后将绳头通过绳夹，用销轴固定在起重臂头部的防扭装置。</w:t>
      </w:r>
    </w:p>
    <w:p>
      <w:pPr>
        <w:spacing w:after="156"/>
        <w:ind w:firstLine="480"/>
        <w:rPr>
          <w:rFonts w:ascii="宋体" w:hAnsi="宋体" w:eastAsia="宋体" w:cs="宋体"/>
          <w:bCs/>
        </w:rPr>
      </w:pPr>
      <w:r>
        <w:rPr>
          <w:rFonts w:hint="eastAsia" w:ascii="宋体" w:hAnsi="宋体" w:eastAsia="宋体" w:cs="宋体"/>
        </w:rPr>
        <w:drawing>
          <wp:inline distT="0" distB="0" distL="0" distR="0">
            <wp:extent cx="3907155" cy="10255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907155" cy="1025525"/>
                    </a:xfrm>
                    <a:prstGeom prst="rect">
                      <a:avLst/>
                    </a:prstGeom>
                    <a:noFill/>
                    <a:ln>
                      <a:noFill/>
                    </a:ln>
                  </pic:spPr>
                </pic:pic>
              </a:graphicData>
            </a:graphic>
          </wp:inline>
        </w:drawing>
      </w:r>
    </w:p>
    <w:p>
      <w:pPr>
        <w:spacing w:after="156"/>
        <w:ind w:firstLine="482"/>
        <w:jc w:val="center"/>
        <w:rPr>
          <w:rFonts w:ascii="宋体" w:hAnsi="宋体" w:eastAsia="宋体" w:cs="宋体"/>
          <w:b/>
          <w:bCs/>
        </w:rPr>
      </w:pPr>
      <w:r>
        <w:rPr>
          <w:rFonts w:hint="eastAsia" w:ascii="宋体" w:hAnsi="宋体" w:eastAsia="宋体" w:cs="宋体"/>
          <w:b/>
          <w:bCs/>
        </w:rPr>
        <w:t>图6-23 钢丝绳末端钢丝绳安装示意图</w:t>
      </w:r>
    </w:p>
    <w:p>
      <w:pPr>
        <w:pStyle w:val="5"/>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6.3.4安全装置调试</w:t>
      </w:r>
    </w:p>
    <w:p>
      <w:pPr>
        <w:numPr>
          <w:ilvl w:val="0"/>
          <w:numId w:val="7"/>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起升高度限位器调试</w:t>
      </w:r>
    </w:p>
    <w:p>
      <w:pPr>
        <w:spacing w:after="156"/>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inline distT="0" distB="0" distL="114300" distR="114300">
            <wp:extent cx="2934970" cy="3014345"/>
            <wp:effectExtent l="0" t="0" r="17780" b="1460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48"/>
                    <a:stretch>
                      <a:fillRect/>
                    </a:stretch>
                  </pic:blipFill>
                  <pic:spPr>
                    <a:xfrm>
                      <a:off x="0" y="0"/>
                      <a:ext cx="2934970" cy="3014345"/>
                    </a:xfrm>
                    <a:prstGeom prst="rect">
                      <a:avLst/>
                    </a:prstGeom>
                    <a:noFill/>
                    <a:ln w="9525">
                      <a:noFill/>
                    </a:ln>
                  </pic:spPr>
                </pic:pic>
              </a:graphicData>
            </a:graphic>
          </wp:inline>
        </w:drawing>
      </w:r>
    </w:p>
    <w:p>
      <w:pPr>
        <w:tabs>
          <w:tab w:val="left" w:pos="2006"/>
        </w:tabs>
        <w:spacing w:after="0" w:afterLines="0" w:line="240" w:lineRule="auto"/>
        <w:ind w:firstLine="0"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图6-24起升高度限位器示意图</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起升高度限位器的型号一致，调试方法相同，如图6-24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pPr>
        <w:numPr>
          <w:ilvl w:val="0"/>
          <w:numId w:val="7"/>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幅度限位器调试</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塔机幅度限位器的型号一致，调试方法相同，且和起升高度限位器型号一致。如图6-25拆开幅度限位器的上罩壳，检查并拧紧2个M3×55螺钉，松开M5螺母，调整在空载下进行。</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向内变幅及减速和起重臂臂根限位调整：调整方法同“向外变幅及减速和起重臂臂尖极限限位调整”，分别距起重臂臂根缓冲器4.6m和220mm处进行（3Z-3T-3WK，4T-4T-4WK）减速和起重臂臂根限位的调整。</w:t>
      </w:r>
    </w:p>
    <w:p>
      <w:pPr>
        <w:numPr>
          <w:ilvl w:val="0"/>
          <w:numId w:val="7"/>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回转限位器调试</w:t>
      </w:r>
    </w:p>
    <w:p>
      <w:pPr>
        <w:spacing w:after="156"/>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inline distT="0" distB="0" distL="114300" distR="114300">
            <wp:extent cx="3054985" cy="2847975"/>
            <wp:effectExtent l="0" t="0" r="0" b="0"/>
            <wp:docPr id="51" name="图片 51"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61885424(1)"/>
                    <pic:cNvPicPr>
                      <a:picLocks noChangeAspect="1"/>
                    </pic:cNvPicPr>
                  </pic:nvPicPr>
                  <pic:blipFill>
                    <a:blip r:embed="rId49"/>
                    <a:srcRect t="5453"/>
                    <a:stretch>
                      <a:fillRect/>
                    </a:stretch>
                  </pic:blipFill>
                  <pic:spPr>
                    <a:xfrm>
                      <a:off x="0" y="0"/>
                      <a:ext cx="3057606" cy="2849915"/>
                    </a:xfrm>
                    <a:prstGeom prst="rect">
                      <a:avLst/>
                    </a:prstGeom>
                  </pic:spPr>
                </pic:pic>
              </a:graphicData>
            </a:graphic>
          </wp:inline>
        </w:drawing>
      </w:r>
    </w:p>
    <w:p>
      <w:pPr>
        <w:tabs>
          <w:tab w:val="left" w:pos="2006"/>
        </w:tabs>
        <w:spacing w:after="0" w:afterLines="0" w:line="240" w:lineRule="auto"/>
        <w:ind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图6-25 回转限位示意图</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如图6-26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pPr>
        <w:numPr>
          <w:ilvl w:val="0"/>
          <w:numId w:val="7"/>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力矩限制器调试</w:t>
      </w:r>
    </w:p>
    <w:p>
      <w:pPr>
        <w:tabs>
          <w:tab w:val="left" w:pos="2006"/>
        </w:tabs>
        <w:spacing w:after="0" w:afterLines="0" w:line="240" w:lineRule="auto"/>
        <w:ind w:firstLineChars="0"/>
        <w:jc w:val="center"/>
        <w:rPr>
          <w:rFonts w:ascii="宋体" w:hAnsi="宋体" w:eastAsia="宋体" w:cs="宋体"/>
        </w:rPr>
      </w:pPr>
      <w:r>
        <w:rPr>
          <w:rFonts w:hint="eastAsia" w:ascii="宋体" w:hAnsi="宋体" w:eastAsia="宋体" w:cs="宋体"/>
        </w:rPr>
        <w:drawing>
          <wp:inline distT="0" distB="0" distL="114300" distR="114300">
            <wp:extent cx="5095875" cy="3076575"/>
            <wp:effectExtent l="0" t="0" r="9525"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50"/>
                    <a:stretch>
                      <a:fillRect/>
                    </a:stretch>
                  </pic:blipFill>
                  <pic:spPr>
                    <a:xfrm>
                      <a:off x="0" y="0"/>
                      <a:ext cx="5095875" cy="3076575"/>
                    </a:xfrm>
                    <a:prstGeom prst="rect">
                      <a:avLst/>
                    </a:prstGeom>
                    <a:noFill/>
                    <a:ln>
                      <a:noFill/>
                    </a:ln>
                  </pic:spPr>
                </pic:pic>
              </a:graphicData>
            </a:graphic>
          </wp:inline>
        </w:drawing>
      </w:r>
    </w:p>
    <w:p>
      <w:pPr>
        <w:tabs>
          <w:tab w:val="left" w:pos="2006"/>
        </w:tabs>
        <w:spacing w:after="0" w:afterLines="0" w:line="240" w:lineRule="auto"/>
        <w:ind w:firstLineChars="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图6-26 力矩限制器示意图</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力矩限制器为机械式保护装置，当力矩达到额定值的90%左右时司机室的预警灯点亮，变幅只能有低速变幅，当达到额定值的100%-110%时，起升向上断电，变幅小车向外变幅断电，同时发出声光报警。</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该装置安装在塔顶靠平衡臂一侧，它由一对弓形板，三个微动开关及安装底座，调节螺钉，外罩等组成。当有载荷时，在载荷力矩的作用下，弓形板弯曲变形(两弹性板距离变小)，当载荷超过规定值时，其中一弓形板上的调整螺栓压下固定在另一弓形板上的开关触头，使开关动作切断其控制电路，机构停止运行，达到保护目的。</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力矩限制器的校核（四倍率）：</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分别按定码变幅和定幅变码的方式校核力矩限制器，每种方式校核不少于3次，力矩限制器应灵敏可靠。</w:t>
      </w:r>
    </w:p>
    <w:p>
      <w:pPr>
        <w:numPr>
          <w:ilvl w:val="0"/>
          <w:numId w:val="7"/>
        </w:numPr>
        <w:spacing w:after="156"/>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起重量限制器调试</w:t>
      </w:r>
    </w:p>
    <w:p>
      <w:pPr>
        <w:spacing w:after="156"/>
        <w:ind w:firstLineChars="0"/>
        <w:rPr>
          <w:rFonts w:ascii="宋体" w:hAnsi="宋体" w:eastAsia="宋体" w:cs="宋体"/>
        </w:rPr>
      </w:pPr>
      <w:r>
        <w:rPr>
          <w:rFonts w:hint="eastAsia" w:ascii="宋体" w:hAnsi="宋体" w:eastAsia="宋体" w:cs="宋体"/>
        </w:rPr>
        <w:t>起重量限制器的作用是防止塔机吊重超过额定最大起重量。起重量限制器是一个由金属变形板和若干个行程开关组成的测力环,螺钉与行程开关对应,塔机吊重通过起升钢丝绳使测力环受到一作用力，测力环内的金属板在该力的作用下产生变形,使得调节螺钉与行程开关接触,即可将超载变形的信号传递出去,以提醒塔机司机或使塔吊操作者的操作无效。通过调节螺钉与行程开关的间距,可使开关根据吊重在安全控制回路内动作。起重量限制器调整时使用四倍率滑轮组。</w:t>
      </w:r>
    </w:p>
    <w:p>
      <w:pPr>
        <w:spacing w:after="156"/>
        <w:ind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rPr>
        <w:t>每台塔机起重量限制器高低速调整完成后，重复额定吊载试验3次以上。</w:t>
      </w:r>
    </w:p>
    <w:p>
      <w:pPr>
        <w:pStyle w:val="5"/>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6.3.5红色障碍灯安装</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分别在平衡臂尾部、塔顶（平头塔平衡臂根部上端）及起重臂端部的位置安装红色障碍灯，用U型螺栓障碍灯座可靠固定。安装完成后，将障碍灯开关置于开的位置。</w:t>
      </w:r>
    </w:p>
    <w:p>
      <w:pPr>
        <w:pStyle w:val="5"/>
        <w:keepNext w:val="0"/>
        <w:keepLines w:val="0"/>
        <w:spacing w:before="0" w:beforeLines="0" w:after="0" w:afterLines="0"/>
        <w:ind w:firstLine="480" w:firstLineChars="200"/>
        <w:rPr>
          <w:rFonts w:ascii="宋体" w:hAnsi="宋体" w:eastAsia="宋体" w:cs="Times New Roman"/>
        </w:rPr>
      </w:pPr>
      <w:r>
        <w:rPr>
          <w:rFonts w:hint="eastAsia" w:ascii="宋体" w:hAnsi="宋体" w:eastAsia="宋体" w:cs="宋体"/>
          <w:bCs/>
          <w:color w:val="000000" w:themeColor="text1"/>
          <w14:textFill>
            <w14:solidFill>
              <w14:schemeClr w14:val="tx1"/>
            </w14:solidFill>
          </w14:textFill>
        </w:rPr>
        <w:t>6.3.6</w:t>
      </w:r>
      <w:r>
        <w:rPr>
          <w:rFonts w:hint="eastAsia" w:ascii="宋体" w:hAnsi="宋体" w:eastAsia="宋体" w:cs="Times New Roman"/>
        </w:rPr>
        <w:t>顶升加节</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4.3.12.2顶升前的准备工作</w:t>
      </w:r>
    </w:p>
    <w:p>
      <w:pPr>
        <w:spacing w:after="0" w:afterLines="0" w:line="360" w:lineRule="auto"/>
        <w:ind w:firstLine="480"/>
        <w:jc w:val="both"/>
        <w:rPr>
          <w:rFonts w:ascii="宋体" w:hAnsi="宋体" w:eastAsia="宋体" w:cs="宋体"/>
        </w:rPr>
      </w:pPr>
      <w:r>
        <w:rPr>
          <w:rFonts w:hint="eastAsia" w:ascii="宋体" w:hAnsi="宋体" w:eastAsia="宋体" w:cs="宋体"/>
        </w:rPr>
        <w:t>（1）按液压泵站说明书要求加注液压油，将顶升横梁通过销轴与套架上的油缸连好；</w:t>
      </w:r>
    </w:p>
    <w:p>
      <w:pPr>
        <w:spacing w:after="0" w:afterLines="0" w:line="360" w:lineRule="auto"/>
        <w:ind w:firstLine="480"/>
        <w:jc w:val="both"/>
        <w:rPr>
          <w:rFonts w:ascii="宋体" w:hAnsi="宋体" w:eastAsia="宋体" w:cs="宋体"/>
        </w:rPr>
      </w:pPr>
      <w:r>
        <w:rPr>
          <w:rFonts w:hint="eastAsia" w:ascii="宋体" w:hAnsi="宋体" w:eastAsia="宋体" w:cs="宋体"/>
        </w:rPr>
        <w:t>（2）清理好各个标准节，在标准节连接销孔内涂上黄油，将待顶升加高用的标准节在顶升位置时的起重臂下排成一排，这样能使塔机在整个顶升加节过程中不用回转机构，能使顶升加节过程所用时间最短；</w:t>
      </w:r>
    </w:p>
    <w:p>
      <w:pPr>
        <w:spacing w:after="0" w:afterLines="0" w:line="360" w:lineRule="auto"/>
        <w:ind w:firstLine="480"/>
        <w:jc w:val="both"/>
        <w:rPr>
          <w:rFonts w:ascii="宋体" w:hAnsi="宋体" w:eastAsia="宋体" w:cs="宋体"/>
        </w:rPr>
      </w:pPr>
      <w:r>
        <w:rPr>
          <w:rFonts w:hint="eastAsia" w:ascii="宋体" w:hAnsi="宋体" w:eastAsia="宋体" w:cs="宋体"/>
        </w:rPr>
        <w:t>（3）放松电缆长度略大于总的顶升高度，并紧固好电缆；</w:t>
      </w:r>
    </w:p>
    <w:p>
      <w:pPr>
        <w:spacing w:after="0" w:afterLines="0" w:line="360" w:lineRule="auto"/>
        <w:ind w:firstLine="480"/>
        <w:jc w:val="both"/>
        <w:rPr>
          <w:rFonts w:ascii="宋体" w:hAnsi="宋体" w:eastAsia="宋体" w:cs="宋体"/>
        </w:rPr>
      </w:pPr>
      <w:r>
        <w:rPr>
          <w:rFonts w:hint="eastAsia" w:ascii="宋体" w:hAnsi="宋体" w:eastAsia="宋体" w:cs="宋体"/>
        </w:rPr>
        <w:t>（4）将起重臂旋转至套架前方，平衡臂处于套架的后方（ 顶升油缸必须位于平衡臂下方）；</w:t>
      </w:r>
    </w:p>
    <w:p>
      <w:pPr>
        <w:spacing w:after="0" w:afterLines="0" w:line="360" w:lineRule="auto"/>
        <w:ind w:firstLine="480"/>
        <w:jc w:val="both"/>
        <w:rPr>
          <w:rFonts w:ascii="宋体" w:hAnsi="宋体" w:eastAsia="宋体" w:cs="宋体"/>
        </w:rPr>
      </w:pPr>
      <w:r>
        <w:rPr>
          <w:rFonts w:hint="eastAsia" w:ascii="宋体" w:hAnsi="宋体" w:eastAsia="宋体" w:cs="宋体"/>
        </w:rPr>
        <w:t>（5）在爬升架上层平台上准备好 4 根塔身与下支座安装用临时销轴，在爬升架中层平台上准备好 8 根塔身标准节连接销轴。</w:t>
      </w:r>
    </w:p>
    <w:p>
      <w:pPr>
        <w:spacing w:after="0" w:afterLines="0" w:line="360" w:lineRule="auto"/>
        <w:ind w:firstLine="480"/>
        <w:jc w:val="both"/>
        <w:rPr>
          <w:rFonts w:ascii="宋体" w:hAnsi="宋体" w:eastAsia="宋体" w:cs="宋体"/>
        </w:rPr>
      </w:pPr>
      <w:r>
        <w:rPr>
          <w:rFonts w:hint="eastAsia" w:ascii="宋体" w:hAnsi="宋体" w:eastAsia="宋体" w:cs="宋体"/>
        </w:rPr>
        <w:t>（6）检查、调试并确认顶升机构工作正确、可靠， 保证套架能按塔机爬升规定的程序上升、下降、可靠停止；运行过程中应平稳，无爬行、振动现象；</w:t>
      </w:r>
    </w:p>
    <w:p>
      <w:pPr>
        <w:spacing w:after="0" w:afterLines="0" w:line="360" w:lineRule="auto"/>
        <w:ind w:firstLine="480"/>
        <w:jc w:val="both"/>
        <w:rPr>
          <w:rFonts w:ascii="宋体" w:hAnsi="宋体" w:eastAsia="宋体" w:cs="宋体"/>
        </w:rPr>
      </w:pPr>
      <w:r>
        <w:rPr>
          <w:rFonts w:hint="eastAsia" w:ascii="宋体" w:hAnsi="宋体" w:eastAsia="宋体" w:cs="宋体"/>
        </w:rPr>
        <w:t>（7）检查套架支承系统，确保各部分运动灵活，承重可靠；</w:t>
      </w:r>
    </w:p>
    <w:p>
      <w:pPr>
        <w:spacing w:after="0" w:afterLines="0" w:line="360" w:lineRule="auto"/>
        <w:ind w:firstLine="480"/>
        <w:jc w:val="both"/>
        <w:rPr>
          <w:rFonts w:ascii="宋体" w:hAnsi="宋体" w:eastAsia="宋体" w:cs="宋体"/>
        </w:rPr>
      </w:pPr>
      <w:r>
        <w:rPr>
          <w:rFonts w:hint="eastAsia" w:ascii="宋体" w:hAnsi="宋体" w:eastAsia="宋体" w:cs="宋体"/>
        </w:rPr>
        <w:t>（8）液压顶升机构应保证安全，溢流阀的调整压力不得大于系统额定工作压力的 110%。</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4.3.12.3顶升规则</w:t>
      </w:r>
    </w:p>
    <w:p>
      <w:pPr>
        <w:pStyle w:val="46"/>
        <w:numPr>
          <w:ilvl w:val="0"/>
          <w:numId w:val="8"/>
        </w:numPr>
        <w:snapToGrid w:val="0"/>
        <w:ind w:firstLineChars="0"/>
        <w:rPr>
          <w:rFonts w:ascii="宋体" w:hAnsi="宋体"/>
          <w:szCs w:val="24"/>
        </w:rPr>
      </w:pPr>
      <w:r>
        <w:rPr>
          <w:rFonts w:ascii="宋体" w:hAnsi="宋体"/>
          <w:szCs w:val="24"/>
        </w:rPr>
        <w:t>顶升前塔机旋转部分必须进行配平。</w:t>
      </w:r>
    </w:p>
    <w:p>
      <w:pPr>
        <w:pStyle w:val="46"/>
        <w:numPr>
          <w:ilvl w:val="0"/>
          <w:numId w:val="8"/>
        </w:numPr>
        <w:snapToGrid w:val="0"/>
        <w:ind w:left="0" w:firstLine="480"/>
        <w:rPr>
          <w:rFonts w:ascii="宋体" w:hAnsi="宋体"/>
          <w:szCs w:val="24"/>
        </w:rPr>
      </w:pPr>
      <w:r>
        <w:rPr>
          <w:rFonts w:ascii="宋体" w:hAnsi="宋体"/>
          <w:szCs w:val="24"/>
        </w:rPr>
        <w:t>塔机最高处风速大于 12m/s 时，不得进行顶升作业。</w:t>
      </w:r>
    </w:p>
    <w:p>
      <w:pPr>
        <w:pStyle w:val="46"/>
        <w:numPr>
          <w:ilvl w:val="0"/>
          <w:numId w:val="8"/>
        </w:numPr>
        <w:snapToGrid w:val="0"/>
        <w:ind w:left="0" w:firstLine="480"/>
        <w:rPr>
          <w:rFonts w:ascii="宋体" w:hAnsi="宋体"/>
          <w:szCs w:val="24"/>
        </w:rPr>
      </w:pPr>
      <w:r>
        <w:rPr>
          <w:rFonts w:ascii="宋体" w:hAnsi="宋体"/>
          <w:szCs w:val="24"/>
        </w:rPr>
        <w:t>严禁在顶升系统正在顶起或已顶起时进行吊重（上升或下降）。</w:t>
      </w:r>
    </w:p>
    <w:p>
      <w:pPr>
        <w:pStyle w:val="46"/>
        <w:numPr>
          <w:ilvl w:val="0"/>
          <w:numId w:val="8"/>
        </w:numPr>
        <w:snapToGrid w:val="0"/>
        <w:ind w:left="0" w:firstLine="480"/>
        <w:rPr>
          <w:rFonts w:ascii="宋体" w:hAnsi="宋体"/>
          <w:szCs w:val="24"/>
        </w:rPr>
      </w:pPr>
      <w:r>
        <w:rPr>
          <w:rFonts w:ascii="宋体" w:hAnsi="宋体"/>
          <w:szCs w:val="24"/>
        </w:rPr>
        <w:t>严禁在顶升系统正在顶起或已顶起时进行小车移动。</w:t>
      </w:r>
    </w:p>
    <w:p>
      <w:pPr>
        <w:pStyle w:val="46"/>
        <w:numPr>
          <w:ilvl w:val="0"/>
          <w:numId w:val="8"/>
        </w:numPr>
        <w:snapToGrid w:val="0"/>
        <w:ind w:left="0" w:firstLine="480"/>
        <w:rPr>
          <w:rFonts w:ascii="宋体" w:hAnsi="宋体"/>
          <w:szCs w:val="24"/>
        </w:rPr>
      </w:pPr>
      <w:r>
        <w:rPr>
          <w:rFonts w:ascii="宋体" w:hAnsi="宋体"/>
          <w:szCs w:val="24"/>
        </w:rPr>
        <w:t>顶升过程中必须保证起重臂与引入标准节方向一致，并利用回转机构制动器将起重臂制动住，载重小车必须停在顶升配平位置。</w:t>
      </w:r>
    </w:p>
    <w:p>
      <w:pPr>
        <w:pStyle w:val="46"/>
        <w:numPr>
          <w:ilvl w:val="0"/>
          <w:numId w:val="8"/>
        </w:numPr>
        <w:snapToGrid w:val="0"/>
        <w:ind w:left="0" w:firstLine="480"/>
        <w:rPr>
          <w:rFonts w:ascii="宋体" w:hAnsi="宋体"/>
          <w:szCs w:val="24"/>
        </w:rPr>
      </w:pPr>
      <w:r>
        <w:rPr>
          <w:rFonts w:ascii="宋体" w:hAnsi="宋体"/>
          <w:szCs w:val="24"/>
        </w:rPr>
        <w:t>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pPr>
        <w:pStyle w:val="46"/>
        <w:numPr>
          <w:ilvl w:val="0"/>
          <w:numId w:val="8"/>
        </w:numPr>
        <w:snapToGrid w:val="0"/>
        <w:ind w:left="0" w:firstLine="480"/>
        <w:rPr>
          <w:rFonts w:ascii="宋体" w:hAnsi="宋体"/>
          <w:szCs w:val="24"/>
        </w:rPr>
      </w:pPr>
      <w:r>
        <w:rPr>
          <w:rFonts w:ascii="宋体" w:hAnsi="宋体"/>
          <w:szCs w:val="24"/>
        </w:rPr>
        <w:t>若要连续加高几节标准节，则每加完一节后，塔机起吊下一节标准节前，塔身各主弦杆和下支座必须有 4 根φ60 销轴连接，唯有在这种情况下，允许用 4 根φ60 销轴。</w:t>
      </w:r>
    </w:p>
    <w:p>
      <w:pPr>
        <w:pStyle w:val="46"/>
        <w:numPr>
          <w:ilvl w:val="0"/>
          <w:numId w:val="8"/>
        </w:numPr>
        <w:snapToGrid w:val="0"/>
        <w:ind w:left="0" w:firstLine="480"/>
        <w:rPr>
          <w:rFonts w:ascii="宋体" w:hAnsi="宋体"/>
          <w:szCs w:val="24"/>
        </w:rPr>
      </w:pPr>
      <w:r>
        <w:rPr>
          <w:rFonts w:ascii="宋体" w:hAnsi="宋体"/>
          <w:szCs w:val="24"/>
        </w:rPr>
        <w:t>所加标准节上的踏步，必须与已有标准节对正。</w:t>
      </w:r>
    </w:p>
    <w:p>
      <w:pPr>
        <w:pStyle w:val="46"/>
        <w:numPr>
          <w:ilvl w:val="0"/>
          <w:numId w:val="8"/>
        </w:numPr>
        <w:snapToGrid w:val="0"/>
        <w:ind w:left="0" w:firstLine="480"/>
        <w:rPr>
          <w:rFonts w:ascii="宋体" w:hAnsi="宋体"/>
          <w:szCs w:val="24"/>
        </w:rPr>
      </w:pPr>
      <w:r>
        <w:rPr>
          <w:rFonts w:ascii="宋体" w:hAnsi="宋体"/>
          <w:szCs w:val="24"/>
        </w:rPr>
        <w:t>在下支座与塔身没有用 8 根φ60 销轴连接好之前，严禁回转、变幅和吊装作业。</w:t>
      </w:r>
    </w:p>
    <w:p>
      <w:pPr>
        <w:pStyle w:val="46"/>
        <w:numPr>
          <w:ilvl w:val="0"/>
          <w:numId w:val="8"/>
        </w:numPr>
        <w:snapToGrid w:val="0"/>
        <w:ind w:left="0" w:firstLine="480"/>
        <w:rPr>
          <w:rFonts w:ascii="宋体" w:hAnsi="宋体"/>
          <w:szCs w:val="24"/>
        </w:rPr>
      </w:pPr>
      <w:r>
        <w:rPr>
          <w:rFonts w:ascii="宋体" w:hAnsi="宋体"/>
          <w:szCs w:val="24"/>
        </w:rPr>
        <w:t>在顶升过程中，若液压顶升系统出现异常， 应立即停止顶升，收回油缸，将下支座落在塔身顶部，并用 8 根φ60 销轴将下支座与塔身连接牢靠后， 再排除液压系统的故障。</w:t>
      </w:r>
    </w:p>
    <w:p>
      <w:pPr>
        <w:pStyle w:val="46"/>
        <w:numPr>
          <w:ilvl w:val="0"/>
          <w:numId w:val="8"/>
        </w:numPr>
        <w:snapToGrid w:val="0"/>
        <w:ind w:left="0" w:firstLine="480"/>
        <w:rPr>
          <w:rFonts w:ascii="宋体" w:hAnsi="宋体"/>
          <w:szCs w:val="24"/>
        </w:rPr>
      </w:pPr>
      <w:r>
        <w:rPr>
          <w:rFonts w:ascii="宋体" w:hAnsi="宋体"/>
          <w:szCs w:val="24"/>
        </w:rPr>
        <w:t>顶升结束后，所有标准节之间均是用 8 根φ60 的标准销轴连接，最顶部标准节与下支座之间是用 8 根φ60 销轴连接。</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4.3.12.4顶升前的配平</w:t>
      </w:r>
    </w:p>
    <w:p>
      <w:pPr>
        <w:pStyle w:val="46"/>
        <w:numPr>
          <w:ilvl w:val="0"/>
          <w:numId w:val="9"/>
        </w:numPr>
        <w:snapToGrid w:val="0"/>
        <w:ind w:left="0" w:firstLine="480"/>
        <w:rPr>
          <w:rFonts w:ascii="宋体" w:hAnsi="宋体"/>
          <w:szCs w:val="24"/>
        </w:rPr>
      </w:pPr>
      <w:r>
        <w:rPr>
          <w:rFonts w:ascii="宋体" w:hAnsi="宋体"/>
          <w:szCs w:val="24"/>
        </w:rPr>
        <w:t>塔机配平前，必须先吊一节标准节放在下支座的引进横梁上（标准节的平台、平台栏杆和爬梯要固定好）</w:t>
      </w:r>
      <w:r>
        <w:rPr>
          <w:rFonts w:hint="eastAsia" w:ascii="宋体" w:hAnsi="宋体"/>
          <w:szCs w:val="24"/>
        </w:rPr>
        <w:t>，标准节的吊装见图</w:t>
      </w:r>
      <w:r>
        <w:rPr>
          <w:rFonts w:hint="eastAsia" w:ascii="宋体" w:hAnsi="宋体"/>
          <w:szCs w:val="24"/>
          <w:lang w:val="en-US"/>
        </w:rPr>
        <w:t>3.2.23，</w:t>
      </w:r>
      <w:r>
        <w:rPr>
          <w:rFonts w:ascii="宋体" w:hAnsi="宋体"/>
          <w:szCs w:val="24"/>
        </w:rPr>
        <w:t>钢丝绳挂在标准节的对角吊耳上，再将载重小车吊一节标准节运行到配平参考位置，然后拆除下支座 4 个支腿与标准节连接的 8 个销轴</w:t>
      </w:r>
      <w:r>
        <w:rPr>
          <w:rFonts w:hint="eastAsia" w:ascii="宋体" w:hAnsi="宋体"/>
          <w:szCs w:val="24"/>
        </w:rPr>
        <w:t>。</w:t>
      </w:r>
    </w:p>
    <w:p>
      <w:pPr>
        <w:pStyle w:val="46"/>
        <w:numPr>
          <w:ilvl w:val="0"/>
          <w:numId w:val="9"/>
        </w:numPr>
        <w:snapToGrid w:val="0"/>
        <w:ind w:left="0" w:firstLine="480"/>
        <w:rPr>
          <w:rFonts w:ascii="宋体" w:hAnsi="宋体"/>
          <w:szCs w:val="24"/>
        </w:rPr>
      </w:pPr>
      <w:r>
        <w:rPr>
          <w:rFonts w:ascii="宋体" w:hAnsi="宋体"/>
          <w:szCs w:val="24"/>
        </w:rPr>
        <w:t>将液压顶升系统操纵杆推至“顶升”方向，使套架顶升至下支座支腿刚刚脱离塔身的主弦杆的位置</w:t>
      </w:r>
      <w:r>
        <w:rPr>
          <w:rFonts w:hint="eastAsia" w:ascii="宋体" w:hAnsi="宋体"/>
          <w:szCs w:val="24"/>
        </w:rPr>
        <w:t>。</w:t>
      </w:r>
    </w:p>
    <w:p>
      <w:pPr>
        <w:pStyle w:val="46"/>
        <w:numPr>
          <w:ilvl w:val="0"/>
          <w:numId w:val="9"/>
        </w:numPr>
        <w:snapToGrid w:val="0"/>
        <w:ind w:left="0" w:firstLine="480"/>
        <w:rPr>
          <w:rFonts w:ascii="宋体" w:hAnsi="宋体"/>
          <w:szCs w:val="24"/>
        </w:rPr>
      </w:pPr>
      <w:r>
        <w:rPr>
          <w:rFonts w:ascii="宋体" w:hAnsi="宋体"/>
          <w:szCs w:val="24"/>
        </w:rPr>
        <w:t>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r>
        <w:rPr>
          <w:rFonts w:hint="eastAsia" w:ascii="宋体" w:hAnsi="宋体"/>
          <w:szCs w:val="24"/>
        </w:rPr>
        <w:t>。</w:t>
      </w:r>
    </w:p>
    <w:p>
      <w:pPr>
        <w:spacing w:after="0" w:afterLines="0" w:line="240" w:lineRule="auto"/>
        <w:ind w:firstLine="480"/>
        <w:jc w:val="center"/>
        <w:rPr>
          <w:rFonts w:ascii="宋体" w:hAnsi="宋体" w:eastAsia="宋体" w:cs="Times New Roman"/>
        </w:rPr>
      </w:pPr>
      <w:r>
        <w:rPr>
          <w:rFonts w:ascii="宋体" w:hAnsi="宋体" w:eastAsia="宋体" w:cs="Times New Roman"/>
        </w:rPr>
        <w:drawing>
          <wp:inline distT="0" distB="0" distL="0" distR="0">
            <wp:extent cx="5838825" cy="4410075"/>
            <wp:effectExtent l="0" t="0" r="13335" b="952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38825" cy="4410075"/>
                    </a:xfrm>
                    <a:prstGeom prst="rect">
                      <a:avLst/>
                    </a:prstGeom>
                    <a:noFill/>
                    <a:ln>
                      <a:noFill/>
                    </a:ln>
                  </pic:spPr>
                </pic:pic>
              </a:graphicData>
            </a:graphic>
          </wp:inline>
        </w:drawing>
      </w:r>
    </w:p>
    <w:p>
      <w:pPr>
        <w:spacing w:after="0" w:afterLines="0" w:line="240" w:lineRule="auto"/>
        <w:ind w:firstLine="480"/>
        <w:jc w:val="center"/>
        <w:rPr>
          <w:rFonts w:ascii="宋体" w:hAnsi="宋体" w:eastAsia="宋体" w:cs="Times New Roman"/>
        </w:rPr>
      </w:pPr>
      <w:r>
        <w:rPr>
          <w:rFonts w:ascii="宋体" w:hAnsi="宋体" w:eastAsia="宋体" w:cs="Times New Roman"/>
        </w:rPr>
        <w:t>图</w:t>
      </w:r>
      <w:r>
        <w:rPr>
          <w:rFonts w:hint="eastAsia" w:ascii="宋体" w:hAnsi="宋体" w:eastAsia="宋体" w:cs="Times New Roman"/>
        </w:rPr>
        <w:t>4.3-24 顶升前的平衡</w:t>
      </w:r>
      <w:r>
        <w:rPr>
          <w:rFonts w:ascii="宋体" w:hAnsi="宋体" w:eastAsia="宋体" w:cs="Times New Roman"/>
        </w:rPr>
        <w:t>示意图</w:t>
      </w:r>
    </w:p>
    <w:p>
      <w:pPr>
        <w:spacing w:after="0" w:afterLines="0" w:line="240" w:lineRule="auto"/>
        <w:ind w:firstLine="480"/>
        <w:jc w:val="center"/>
        <w:rPr>
          <w:rFonts w:ascii="宋体" w:hAnsi="宋体" w:eastAsia="宋体" w:cs="Times New Roman"/>
        </w:rPr>
      </w:pPr>
      <w:r>
        <w:drawing>
          <wp:inline distT="0" distB="0" distL="114300" distR="114300">
            <wp:extent cx="5367020" cy="1577975"/>
            <wp:effectExtent l="0" t="0" r="5080" b="317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2"/>
                    <a:stretch>
                      <a:fillRect/>
                    </a:stretch>
                  </pic:blipFill>
                  <pic:spPr>
                    <a:xfrm>
                      <a:off x="0" y="0"/>
                      <a:ext cx="5367020" cy="1577975"/>
                    </a:xfrm>
                    <a:prstGeom prst="rect">
                      <a:avLst/>
                    </a:prstGeom>
                    <a:noFill/>
                    <a:ln>
                      <a:noFill/>
                    </a:ln>
                  </pic:spPr>
                </pic:pic>
              </a:graphicData>
            </a:graphic>
          </wp:inline>
        </w:drawing>
      </w:r>
    </w:p>
    <w:p>
      <w:pPr>
        <w:spacing w:after="0" w:afterLines="0" w:line="240" w:lineRule="auto"/>
        <w:ind w:firstLine="480"/>
        <w:jc w:val="center"/>
        <w:rPr>
          <w:rFonts w:ascii="宋体" w:hAnsi="宋体" w:eastAsia="宋体" w:cs="Times New Roman"/>
        </w:rPr>
      </w:pPr>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表4.3-1 载重小车平衡位置</w:t>
      </w:r>
    </w:p>
    <w:p>
      <w:pPr>
        <w:spacing w:after="0" w:afterLines="0" w:line="360" w:lineRule="auto"/>
        <w:ind w:firstLine="480"/>
        <w:rPr>
          <w:rFonts w:ascii="宋体" w:hAnsi="宋体" w:eastAsia="宋体" w:cs="Times New Roman"/>
        </w:rPr>
      </w:pPr>
      <w:r>
        <w:rPr>
          <w:rFonts w:hint="eastAsia" w:ascii="宋体" w:hAnsi="宋体" w:eastAsia="宋体" w:cs="Times New Roman"/>
        </w:rPr>
        <w:t>记录下载重小车的配平位置。但要注意该位置随起重臂长度不同而改变；</w:t>
      </w:r>
    </w:p>
    <w:p>
      <w:pPr>
        <w:spacing w:after="0" w:afterLines="0" w:line="360" w:lineRule="auto"/>
        <w:ind w:firstLine="480"/>
        <w:rPr>
          <w:rFonts w:ascii="宋体" w:hAnsi="宋体" w:eastAsia="宋体" w:cs="宋体"/>
        </w:rPr>
      </w:pPr>
      <w:r>
        <w:rPr>
          <w:rFonts w:hint="eastAsia" w:ascii="宋体" w:hAnsi="宋体" w:eastAsia="宋体" w:cs="宋体"/>
        </w:rPr>
        <w:t>（4）操纵液压系统使套架下降，连接好下支座和塔身节间顶升用临时销轴。</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4.3.12.5顶升作业</w:t>
      </w:r>
    </w:p>
    <w:p>
      <w:pPr>
        <w:spacing w:after="0" w:afterLines="0" w:line="360" w:lineRule="auto"/>
        <w:ind w:firstLine="480"/>
        <w:jc w:val="both"/>
        <w:rPr>
          <w:rFonts w:ascii="宋体" w:hAnsi="宋体" w:eastAsia="宋体" w:cs="Times New Roman"/>
        </w:rPr>
      </w:pPr>
      <w:r>
        <w:rPr>
          <w:rFonts w:ascii="宋体" w:hAnsi="宋体" w:eastAsia="宋体" w:cs="Times New Roman"/>
        </w:rPr>
        <w:t>顶升作业为多人配合作业，专人负责操作泵站、其余人负责操作标准节及销轴。</w:t>
      </w:r>
    </w:p>
    <w:p>
      <w:pPr>
        <w:spacing w:after="0" w:afterLines="0" w:line="360" w:lineRule="auto"/>
        <w:ind w:firstLine="480"/>
        <w:jc w:val="both"/>
        <w:rPr>
          <w:rFonts w:ascii="宋体" w:hAnsi="宋体" w:eastAsia="宋体" w:cs="Times New Roman"/>
        </w:rPr>
      </w:pPr>
      <w:r>
        <w:rPr>
          <w:rFonts w:ascii="宋体" w:hAnsi="宋体" w:eastAsia="宋体" w:cs="Times New Roman"/>
        </w:rPr>
        <w:t>a) 按在引进梁上吊挂标准节的方法将一节标准节吊挂在引进梁上，并保证标准节上端面与引进小车下端面的距离在 100～250mm 之间。</w:t>
      </w:r>
    </w:p>
    <w:p>
      <w:pPr>
        <w:spacing w:after="0" w:afterLines="0" w:line="360" w:lineRule="auto"/>
        <w:ind w:firstLine="480"/>
        <w:jc w:val="both"/>
        <w:rPr>
          <w:rFonts w:ascii="宋体" w:hAnsi="宋体" w:eastAsia="宋体" w:cs="Times New Roman"/>
        </w:rPr>
      </w:pPr>
      <w:r>
        <w:rPr>
          <w:rFonts w:ascii="宋体" w:hAnsi="宋体" w:eastAsia="宋体" w:cs="Times New Roman"/>
        </w:rPr>
        <w:t>b) 再吊配平标准节，将载重小车开至顶升平衡位置，塔机处于配平状态。</w:t>
      </w:r>
    </w:p>
    <w:p>
      <w:pPr>
        <w:spacing w:after="0" w:afterLines="0" w:line="360" w:lineRule="auto"/>
        <w:ind w:firstLine="480"/>
        <w:jc w:val="both"/>
        <w:rPr>
          <w:rFonts w:ascii="宋体" w:hAnsi="宋体" w:eastAsia="宋体" w:cs="Times New Roman"/>
        </w:rPr>
      </w:pPr>
      <w:r>
        <w:rPr>
          <w:rFonts w:ascii="宋体" w:hAnsi="宋体" w:eastAsia="宋体" w:cs="Times New Roman"/>
        </w:rPr>
        <w:t>c) 使用回转机构上的回转制动器，将塔机上部机构处于制动状态；</w:t>
      </w:r>
    </w:p>
    <w:p>
      <w:pPr>
        <w:spacing w:after="0" w:afterLines="0" w:line="360" w:lineRule="auto"/>
        <w:ind w:firstLine="480"/>
        <w:jc w:val="both"/>
        <w:rPr>
          <w:rFonts w:ascii="宋体" w:hAnsi="宋体" w:eastAsia="宋体" w:cs="Times New Roman"/>
        </w:rPr>
      </w:pPr>
      <w:r>
        <w:rPr>
          <w:rFonts w:ascii="宋体" w:hAnsi="宋体" w:eastAsia="宋体" w:cs="Times New Roman"/>
        </w:rPr>
        <w:t>d) 卸下塔身顶部与下支座连接的顶升用临时销轴。</w:t>
      </w:r>
    </w:p>
    <w:p>
      <w:pPr>
        <w:spacing w:after="0" w:afterLines="0" w:line="360" w:lineRule="auto"/>
        <w:ind w:firstLine="480"/>
        <w:jc w:val="both"/>
        <w:rPr>
          <w:rFonts w:ascii="宋体" w:hAnsi="宋体" w:eastAsia="宋体" w:cs="Times New Roman"/>
        </w:rPr>
      </w:pPr>
      <w:r>
        <w:rPr>
          <w:rFonts w:ascii="宋体" w:hAnsi="宋体" w:eastAsia="宋体" w:cs="Times New Roman"/>
        </w:rPr>
        <w:t>e) 开动液压顶升系统，使油缸活塞杆伸出，将顶升横梁两端的止动靴挂在距顶升横梁最近的塔身节踏步上（要设专人负责观察顶升横梁两端止动靴都必须落入踏步圆弧槽内）；</w:t>
      </w:r>
    </w:p>
    <w:p>
      <w:pPr>
        <w:spacing w:after="0" w:afterLines="0" w:line="360" w:lineRule="auto"/>
        <w:ind w:firstLine="480"/>
        <w:jc w:val="both"/>
        <w:rPr>
          <w:rFonts w:ascii="宋体" w:hAnsi="宋体" w:eastAsia="宋体" w:cs="Times New Roman"/>
        </w:rPr>
      </w:pPr>
      <w:r>
        <w:rPr>
          <w:rFonts w:ascii="宋体" w:hAnsi="宋体" w:eastAsia="宋体" w:cs="Times New Roman"/>
        </w:rPr>
        <w:t>f) 打开套架上止动靴操纵杆，使套架止动靴与塔身分开，继续顶升，将套架及以上部分顶起 0.1~0.5m 时停止。</w:t>
      </w:r>
    </w:p>
    <w:p>
      <w:pPr>
        <w:spacing w:after="0" w:afterLines="0" w:line="360" w:lineRule="auto"/>
        <w:ind w:firstLine="480"/>
        <w:jc w:val="both"/>
        <w:rPr>
          <w:rFonts w:ascii="宋体" w:hAnsi="宋体" w:eastAsia="宋体" w:cs="Times New Roman"/>
        </w:rPr>
      </w:pPr>
      <w:r>
        <w:rPr>
          <w:rFonts w:ascii="宋体" w:hAnsi="宋体" w:eastAsia="宋体" w:cs="Times New Roman"/>
        </w:rPr>
        <w:t>g) 当液压油缸活塞接近下止点位置时，推动套架止动靴操纵杆使上止动靴挂入踏步上的圆弧槽内，使塔机套架以上部分临时固定在顶升踏步上。</w:t>
      </w:r>
    </w:p>
    <w:p>
      <w:pPr>
        <w:spacing w:after="0" w:afterLines="0" w:line="360" w:lineRule="auto"/>
        <w:ind w:firstLine="480"/>
        <w:jc w:val="both"/>
        <w:rPr>
          <w:rFonts w:ascii="宋体" w:hAnsi="宋体" w:eastAsia="宋体" w:cs="Times New Roman"/>
        </w:rPr>
      </w:pPr>
      <w:r>
        <w:rPr>
          <w:rFonts w:ascii="宋体" w:hAnsi="宋体" w:eastAsia="宋体" w:cs="Times New Roman"/>
        </w:rPr>
        <w:t>h) 将顶升横梁上的止动靴从塔身节踏步上脱开。</w:t>
      </w:r>
    </w:p>
    <w:p>
      <w:pPr>
        <w:spacing w:after="0" w:afterLines="0" w:line="360" w:lineRule="auto"/>
        <w:ind w:firstLine="480"/>
        <w:jc w:val="both"/>
        <w:rPr>
          <w:rFonts w:ascii="宋体" w:hAnsi="宋体" w:eastAsia="宋体" w:cs="Times New Roman"/>
        </w:rPr>
      </w:pPr>
      <w:r>
        <w:rPr>
          <w:rFonts w:ascii="宋体" w:hAnsi="宋体" w:eastAsia="宋体" w:cs="Times New Roman"/>
        </w:rPr>
        <w:t>i) 液压泵站操纵杆搬向“向下”位置，使顶升横梁收回。在收回的过程中，注意不要使顶升梁与塔身上螺栓或鱼尾板卡住，防止造成事故。</w:t>
      </w:r>
    </w:p>
    <w:p>
      <w:pPr>
        <w:spacing w:after="0" w:afterLines="0" w:line="360" w:lineRule="auto"/>
        <w:ind w:firstLine="480"/>
        <w:jc w:val="both"/>
        <w:rPr>
          <w:rFonts w:ascii="宋体" w:hAnsi="宋体" w:eastAsia="宋体" w:cs="Times New Roman"/>
        </w:rPr>
      </w:pPr>
      <w:r>
        <w:rPr>
          <w:rFonts w:ascii="宋体" w:hAnsi="宋体" w:eastAsia="宋体" w:cs="Times New Roman"/>
        </w:rPr>
        <w:t>j) 当顶升横梁止动靴开口与上一级顶升踏步对齐时，搬动顶升横梁止动靴使其挂入顶升踏步上。</w:t>
      </w:r>
    </w:p>
    <w:p>
      <w:pPr>
        <w:spacing w:after="0" w:afterLines="0" w:line="360" w:lineRule="auto"/>
        <w:ind w:firstLine="480"/>
        <w:jc w:val="both"/>
        <w:rPr>
          <w:rFonts w:ascii="宋体" w:hAnsi="宋体" w:eastAsia="宋体" w:cs="Times New Roman"/>
        </w:rPr>
      </w:pPr>
      <w:r>
        <w:rPr>
          <w:rFonts w:ascii="宋体" w:hAnsi="宋体" w:eastAsia="宋体" w:cs="Times New Roman"/>
        </w:rPr>
        <w:t>k) 打开顶升套架上止动靴操纵杆，使套架止动靴与塔身分开，液压泵站操纵杆搬向“向上”位置，继续顶升。</w:t>
      </w:r>
    </w:p>
    <w:p>
      <w:pPr>
        <w:spacing w:after="0" w:afterLines="0" w:line="360" w:lineRule="auto"/>
        <w:ind w:firstLine="480"/>
        <w:jc w:val="both"/>
        <w:rPr>
          <w:rFonts w:ascii="宋体" w:hAnsi="宋体" w:eastAsia="宋体" w:cs="Times New Roman"/>
        </w:rPr>
      </w:pPr>
      <w:r>
        <w:rPr>
          <w:rFonts w:ascii="宋体" w:hAnsi="宋体" w:eastAsia="宋体" w:cs="Times New Roman"/>
        </w:rPr>
        <w:t>l) 该过程要重复三次方能形成可将一节标准节放进顶升套架内的空间。</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4.3.12.6引进标准节</w:t>
      </w:r>
    </w:p>
    <w:p>
      <w:pPr>
        <w:spacing w:after="0" w:afterLines="0" w:line="360" w:lineRule="auto"/>
        <w:ind w:firstLine="480"/>
        <w:jc w:val="both"/>
        <w:rPr>
          <w:rFonts w:ascii="宋体" w:hAnsi="宋体" w:eastAsia="宋体" w:cs="Times New Roman"/>
        </w:rPr>
      </w:pPr>
      <w:r>
        <w:rPr>
          <w:rFonts w:ascii="宋体" w:hAnsi="宋体" w:eastAsia="宋体" w:cs="Times New Roman"/>
        </w:rPr>
        <w:t>a) 当顶升第三循环接近完成、顶升套架内空间可以容纳标准节时，将挂在引进梁上的标准节轻轻推向塔身、引入套架内；</w:t>
      </w:r>
    </w:p>
    <w:p>
      <w:pPr>
        <w:spacing w:after="0" w:afterLines="0" w:line="360" w:lineRule="auto"/>
        <w:ind w:firstLine="480"/>
        <w:jc w:val="both"/>
        <w:rPr>
          <w:rFonts w:ascii="宋体" w:hAnsi="宋体" w:eastAsia="宋体" w:cs="Times New Roman"/>
        </w:rPr>
      </w:pPr>
      <w:r>
        <w:rPr>
          <w:rFonts w:ascii="宋体" w:hAnsi="宋体" w:eastAsia="宋体" w:cs="Times New Roman"/>
        </w:rPr>
        <w:t>b) 液压泵站操纵杆搬向“向下”位置，引进的标准节下端与塔身原标准节上端鱼尾板对齐相联，打入 8 个标准节联接销轴，并用锁销固定。在联接标准节时注意使两标准节上爬梯对正，上下插接在一起。</w:t>
      </w:r>
    </w:p>
    <w:p>
      <w:pPr>
        <w:spacing w:after="0" w:afterLines="0" w:line="360" w:lineRule="auto"/>
        <w:ind w:firstLine="480"/>
        <w:jc w:val="both"/>
        <w:rPr>
          <w:rFonts w:ascii="宋体" w:hAnsi="宋体" w:eastAsia="宋体" w:cs="Times New Roman"/>
        </w:rPr>
      </w:pPr>
      <w:r>
        <w:rPr>
          <w:rFonts w:ascii="宋体" w:hAnsi="宋体" w:eastAsia="宋体" w:cs="Times New Roman"/>
        </w:rPr>
        <w:t>c) 拆下引进小车上 4 根固定标准节的螺栓，将螺栓装在引进小车吊环内。向外推出引进小车至标准节以外位置；</w:t>
      </w:r>
    </w:p>
    <w:p>
      <w:pPr>
        <w:spacing w:after="0" w:afterLines="0" w:line="360" w:lineRule="auto"/>
        <w:ind w:firstLine="480"/>
        <w:jc w:val="both"/>
        <w:rPr>
          <w:rFonts w:ascii="宋体" w:hAnsi="宋体" w:eastAsia="宋体" w:cs="Times New Roman"/>
        </w:rPr>
      </w:pPr>
      <w:r>
        <w:rPr>
          <w:rFonts w:ascii="宋体" w:hAnsi="宋体" w:eastAsia="宋体" w:cs="Times New Roman"/>
        </w:rPr>
        <w:t>d) 继续下降顶升套架使下支座 4 个支腿落在新安装好的标准节上端鱼尾板内。用顶升套架上附带的四个临时固定销轴将下支座与标准节联接起来；</w:t>
      </w:r>
    </w:p>
    <w:p>
      <w:pPr>
        <w:spacing w:after="0" w:afterLines="0" w:line="360" w:lineRule="auto"/>
        <w:ind w:firstLine="480"/>
        <w:jc w:val="both"/>
        <w:rPr>
          <w:rFonts w:ascii="宋体" w:hAnsi="宋体" w:eastAsia="宋体" w:cs="Times New Roman"/>
        </w:rPr>
      </w:pPr>
      <w:r>
        <w:rPr>
          <w:rFonts w:ascii="宋体" w:hAnsi="宋体" w:eastAsia="宋体" w:cs="Times New Roman"/>
        </w:rPr>
        <w:t>e) 重复上述顶升程序，直到塔机顶升作业完成为止。</w:t>
      </w:r>
    </w:p>
    <w:p>
      <w:pPr>
        <w:spacing w:after="0" w:afterLines="0" w:line="360" w:lineRule="auto"/>
        <w:ind w:firstLine="480"/>
        <w:jc w:val="both"/>
        <w:rPr>
          <w:rFonts w:ascii="宋体" w:hAnsi="宋体" w:eastAsia="宋体" w:cs="Times New Roman"/>
        </w:rPr>
      </w:pPr>
      <w:r>
        <w:rPr>
          <w:rFonts w:ascii="宋体" w:hAnsi="宋体" w:eastAsia="宋体" w:cs="Times New Roman"/>
        </w:rPr>
        <w:t>注意： 在 4 个临时销轴没有安装以前， 塔机不能做任何动作 （包括小车、 起升和回转）。否则有可能造成塔机倾翻的事故。</w:t>
      </w:r>
    </w:p>
    <w:p>
      <w:pPr>
        <w:spacing w:after="0" w:afterLines="0" w:line="360" w:lineRule="auto"/>
        <w:ind w:firstLine="480"/>
        <w:jc w:val="both"/>
        <w:rPr>
          <w:rFonts w:ascii="宋体" w:hAnsi="宋体" w:eastAsia="宋体" w:cs="Times New Roman"/>
        </w:rPr>
      </w:pPr>
      <w:r>
        <w:rPr>
          <w:rFonts w:ascii="宋体" w:hAnsi="宋体" w:eastAsia="宋体" w:cs="Times New Roman"/>
        </w:rPr>
        <w:t>关于顶升用临时销轴的说明：</w:t>
      </w:r>
    </w:p>
    <w:p>
      <w:pPr>
        <w:spacing w:after="0" w:afterLines="0" w:line="360" w:lineRule="auto"/>
        <w:ind w:firstLine="480"/>
        <w:jc w:val="both"/>
        <w:rPr>
          <w:rFonts w:ascii="宋体" w:hAnsi="宋体" w:eastAsia="宋体" w:cs="Times New Roman"/>
        </w:rPr>
      </w:pPr>
      <w:r>
        <w:rPr>
          <w:rFonts w:ascii="宋体" w:hAnsi="宋体" w:eastAsia="宋体" w:cs="Times New Roman"/>
        </w:rPr>
        <w:t>为方便顶升作业，配有 4 个临时销轴，此销轴直径比标准节销轴小 2mm 。此销轴只做顶升时联接下支座与塔身用， 塔机正式作业时不允许用此销轴替代标准节销轴。</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4.3.12.7顶升过程的注意事项</w:t>
      </w:r>
    </w:p>
    <w:p>
      <w:pPr>
        <w:spacing w:after="0" w:afterLines="0" w:line="360" w:lineRule="auto"/>
        <w:ind w:firstLine="480"/>
        <w:jc w:val="both"/>
        <w:rPr>
          <w:rFonts w:ascii="宋体" w:hAnsi="宋体" w:eastAsia="宋体" w:cs="Times New Roman"/>
        </w:rPr>
      </w:pPr>
      <w:r>
        <w:rPr>
          <w:rFonts w:ascii="宋体" w:hAnsi="宋体" w:eastAsia="宋体" w:cs="Times New Roman"/>
        </w:rPr>
        <w:t>a) 塔机最高处风速大于 12m/s 时，不得进行顶升作业；</w:t>
      </w:r>
    </w:p>
    <w:p>
      <w:pPr>
        <w:spacing w:after="0" w:afterLines="0" w:line="360" w:lineRule="auto"/>
        <w:ind w:firstLine="480"/>
        <w:jc w:val="both"/>
        <w:rPr>
          <w:rFonts w:ascii="宋体" w:hAnsi="宋体" w:eastAsia="宋体" w:cs="Times New Roman"/>
        </w:rPr>
      </w:pPr>
      <w:r>
        <w:rPr>
          <w:rFonts w:ascii="宋体" w:hAnsi="宋体" w:eastAsia="宋体" w:cs="Times New Roman"/>
        </w:rPr>
        <w:t>b) 塔机的爬升机构，其爬升作业时应确保套架上支承在塔身上的受力部位与塔身顶升支承部位应可靠定位和结合。并应及时查看顶升支承部位焊缝情况，若有异常情况应排除后才能继续进行爬升作业。</w:t>
      </w:r>
    </w:p>
    <w:p>
      <w:pPr>
        <w:spacing w:after="0" w:afterLines="0" w:line="360" w:lineRule="auto"/>
        <w:ind w:firstLine="480"/>
        <w:jc w:val="both"/>
        <w:rPr>
          <w:rFonts w:ascii="宋体" w:hAnsi="宋体" w:eastAsia="宋体" w:cs="Times New Roman"/>
        </w:rPr>
      </w:pPr>
      <w:r>
        <w:rPr>
          <w:rFonts w:ascii="宋体" w:hAnsi="宋体" w:eastAsia="宋体" w:cs="Times New Roman"/>
        </w:rPr>
        <w:t>c) 顶升过程中必须保证起重臂与引入标准节方向一致，并利用回转机构制动器将起重臂制动住，载重小车必须停靠在顶升配平位置；</w:t>
      </w:r>
    </w:p>
    <w:p>
      <w:pPr>
        <w:spacing w:after="0" w:afterLines="0" w:line="360" w:lineRule="auto"/>
        <w:ind w:firstLine="480"/>
        <w:jc w:val="both"/>
        <w:rPr>
          <w:rFonts w:ascii="宋体" w:hAnsi="宋体" w:eastAsia="宋体" w:cs="Times New Roman"/>
        </w:rPr>
      </w:pPr>
      <w:r>
        <w:rPr>
          <w:rFonts w:ascii="宋体" w:hAnsi="宋体" w:eastAsia="宋体" w:cs="Times New Roman"/>
        </w:rPr>
        <w:t>d) 所加标准节上的踏步，必须与已有塔身节对正；</w:t>
      </w:r>
    </w:p>
    <w:p>
      <w:pPr>
        <w:spacing w:after="0" w:afterLines="0" w:line="360" w:lineRule="auto"/>
        <w:ind w:firstLine="480"/>
        <w:jc w:val="both"/>
        <w:rPr>
          <w:rFonts w:ascii="宋体" w:hAnsi="宋体" w:eastAsia="宋体" w:cs="Times New Roman"/>
        </w:rPr>
      </w:pPr>
      <w:r>
        <w:rPr>
          <w:rFonts w:ascii="宋体" w:hAnsi="宋体" w:eastAsia="宋体" w:cs="Times New Roman"/>
        </w:rPr>
        <w:t>e) 在下支座与塔身没有用销轴连接好之前，严禁起重臂回转、载重小车变幅和吊装作业；</w:t>
      </w:r>
    </w:p>
    <w:p>
      <w:pPr>
        <w:spacing w:after="0" w:afterLines="0" w:line="360" w:lineRule="auto"/>
        <w:ind w:firstLine="480"/>
        <w:jc w:val="both"/>
        <w:rPr>
          <w:rFonts w:ascii="宋体" w:hAnsi="宋体" w:eastAsia="宋体" w:cs="Times New Roman"/>
        </w:rPr>
      </w:pPr>
      <w:r>
        <w:rPr>
          <w:rFonts w:ascii="宋体" w:hAnsi="宋体" w:eastAsia="宋体" w:cs="Times New Roman"/>
        </w:rPr>
        <w:t>f) 在顶升过程中，若液压顶升系统出现异常，应立即停止顶升，收回油缸，将下支座落在塔身顶部，并用 8 个销轴将下支座与塔身连接牢靠后，再排除液压系统的故障；</w:t>
      </w:r>
    </w:p>
    <w:p>
      <w:pPr>
        <w:pStyle w:val="6"/>
        <w:ind w:firstLine="480"/>
        <w:rPr>
          <w:rFonts w:asciiTheme="minorEastAsia" w:hAnsiTheme="minorEastAsia"/>
          <w:b w:val="0"/>
          <w:bCs w:val="0"/>
          <w:szCs w:val="24"/>
        </w:rPr>
      </w:pPr>
      <w:r>
        <w:rPr>
          <w:rFonts w:hint="eastAsia" w:asciiTheme="minorEastAsia" w:hAnsiTheme="minorEastAsia"/>
          <w:b w:val="0"/>
          <w:bCs w:val="0"/>
          <w:szCs w:val="24"/>
        </w:rPr>
        <w:t>4.3.12.8顶升作业完成后注意事项</w:t>
      </w:r>
    </w:p>
    <w:p>
      <w:pPr>
        <w:spacing w:after="0" w:afterLines="0" w:line="360" w:lineRule="auto"/>
        <w:ind w:firstLine="480"/>
        <w:jc w:val="both"/>
        <w:rPr>
          <w:rFonts w:ascii="宋体" w:hAnsi="宋体" w:eastAsia="宋体" w:cs="Times New Roman"/>
        </w:rPr>
      </w:pPr>
      <w:r>
        <w:rPr>
          <w:rFonts w:ascii="宋体" w:hAnsi="宋体" w:eastAsia="宋体" w:cs="Times New Roman"/>
        </w:rPr>
        <w:t>a) 最后一节标准节要带有休息平台；</w:t>
      </w:r>
    </w:p>
    <w:p>
      <w:pPr>
        <w:spacing w:after="0" w:afterLines="0" w:line="360" w:lineRule="auto"/>
        <w:ind w:firstLine="480"/>
        <w:jc w:val="both"/>
        <w:rPr>
          <w:rFonts w:ascii="宋体" w:hAnsi="宋体" w:eastAsia="宋体" w:cs="Times New Roman"/>
        </w:rPr>
      </w:pPr>
      <w:r>
        <w:rPr>
          <w:rFonts w:ascii="宋体" w:hAnsi="宋体" w:eastAsia="宋体" w:cs="Times New Roman"/>
        </w:rPr>
        <w:t>b) 引进小车不要放在塔身内；</w:t>
      </w:r>
    </w:p>
    <w:p>
      <w:pPr>
        <w:spacing w:after="0" w:afterLines="0" w:line="360" w:lineRule="auto"/>
        <w:ind w:firstLine="480"/>
        <w:jc w:val="both"/>
        <w:rPr>
          <w:rFonts w:ascii="宋体" w:hAnsi="宋体" w:eastAsia="宋体" w:cs="Times New Roman"/>
        </w:rPr>
      </w:pPr>
      <w:r>
        <w:rPr>
          <w:rFonts w:ascii="宋体" w:hAnsi="宋体" w:eastAsia="宋体" w:cs="Times New Roman"/>
        </w:rPr>
        <w:t>c) 必要时可以放下引进梁；</w:t>
      </w:r>
    </w:p>
    <w:p>
      <w:pPr>
        <w:spacing w:after="0" w:afterLines="0" w:line="360" w:lineRule="auto"/>
        <w:ind w:firstLine="480"/>
        <w:jc w:val="both"/>
        <w:rPr>
          <w:rFonts w:ascii="宋体" w:hAnsi="宋体" w:eastAsia="宋体" w:cs="Times New Roman"/>
        </w:rPr>
      </w:pPr>
      <w:r>
        <w:rPr>
          <w:rFonts w:ascii="宋体" w:hAnsi="宋体" w:eastAsia="宋体" w:cs="Times New Roman"/>
        </w:rPr>
        <w:t>d) 下支座与塔身必须用 8 个标准节销轴联接好并用锁销固定；</w:t>
      </w:r>
    </w:p>
    <w:p>
      <w:pPr>
        <w:spacing w:after="0" w:afterLines="0" w:line="360" w:lineRule="auto"/>
        <w:ind w:firstLine="480"/>
        <w:jc w:val="both"/>
        <w:rPr>
          <w:rFonts w:ascii="宋体" w:hAnsi="宋体" w:eastAsia="宋体" w:cs="Times New Roman"/>
        </w:rPr>
      </w:pPr>
      <w:r>
        <w:rPr>
          <w:rFonts w:ascii="宋体" w:hAnsi="宋体" w:eastAsia="宋体" w:cs="Times New Roman"/>
        </w:rPr>
        <w:t>e) 顶升梁必须轻挂在最后一级顶升踏步上，注意要使液压油缸卸荷；</w:t>
      </w:r>
    </w:p>
    <w:p>
      <w:pPr>
        <w:spacing w:after="0" w:afterLines="0" w:line="360" w:lineRule="auto"/>
        <w:ind w:firstLine="480"/>
        <w:jc w:val="both"/>
        <w:rPr>
          <w:rFonts w:ascii="宋体" w:hAnsi="宋体" w:eastAsia="宋体" w:cs="Times New Roman"/>
        </w:rPr>
      </w:pPr>
      <w:r>
        <w:rPr>
          <w:rFonts w:ascii="宋体" w:hAnsi="宋体" w:eastAsia="宋体" w:cs="Times New Roman"/>
        </w:rPr>
        <w:t>f) 拆掉液压泵站的电源线，整理好塔机电源随线；</w:t>
      </w:r>
    </w:p>
    <w:p>
      <w:pPr>
        <w:spacing w:after="0" w:afterLines="0" w:line="360" w:lineRule="auto"/>
        <w:ind w:firstLine="480"/>
        <w:jc w:val="both"/>
        <w:rPr>
          <w:rFonts w:ascii="宋体" w:hAnsi="宋体" w:eastAsia="宋体" w:cs="Times New Roman"/>
        </w:rPr>
      </w:pPr>
      <w:r>
        <w:rPr>
          <w:rFonts w:ascii="宋体" w:hAnsi="宋体" w:eastAsia="宋体" w:cs="Times New Roman"/>
        </w:rPr>
        <w:t>g) 整个塔机安装完毕后，将套架降到塔身最底部，固定牢固，以降低风载；</w:t>
      </w:r>
    </w:p>
    <w:p>
      <w:pPr>
        <w:tabs>
          <w:tab w:val="left" w:pos="2006"/>
        </w:tabs>
        <w:spacing w:after="0" w:afterLines="0" w:line="240" w:lineRule="auto"/>
        <w:ind w:firstLine="0" w:firstLineChars="0"/>
        <w:jc w:val="center"/>
        <w:rPr>
          <w:rFonts w:ascii="宋体" w:hAnsi="宋体" w:eastAsia="宋体" w:cs="宋体"/>
          <w:b/>
          <w:color w:val="000000" w:themeColor="text1"/>
          <w14:textFill>
            <w14:solidFill>
              <w14:schemeClr w14:val="tx1"/>
            </w14:solidFill>
          </w14:textFill>
        </w:rPr>
      </w:pPr>
    </w:p>
    <w:p>
      <w:pPr>
        <w:pStyle w:val="5"/>
        <w:spacing w:before="156" w:after="156"/>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6.3.7试验</w:t>
      </w:r>
    </w:p>
    <w:p>
      <w:pPr>
        <w:numPr>
          <w:ilvl w:val="0"/>
          <w:numId w:val="10"/>
        </w:num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空载试验</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机构应分别进行数次运行，然后再做三次综合动作运行，运行过程中各机构不得发生任何异常现象，各机构制动器、操作系统、控制系统、联锁装置及各限位器、限制器应动作准确、可靠，否则应及时排除故障。</w:t>
      </w:r>
    </w:p>
    <w:p>
      <w:pPr>
        <w:numPr>
          <w:ilvl w:val="0"/>
          <w:numId w:val="10"/>
        </w:num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负荷试验</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在最大幅度处分别吊对应额定起重量的25%，50%，75%，100%，按空载试验要求进行实验。运行过程中不得发生任何异常现象，各机构制动器、操作系统、控制系统、联锁装置及各限位器、限制器应动作准确、可靠。</w:t>
      </w:r>
    </w:p>
    <w:p>
      <w:pPr>
        <w:numPr>
          <w:ilvl w:val="0"/>
          <w:numId w:val="10"/>
        </w:num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超载10%静态试验</w:t>
      </w:r>
    </w:p>
    <w:p>
      <w:pPr>
        <w:spacing w:after="156"/>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在最大幅度处，吊重额定起重量的110%，对各机构对应的全程范围内动作三次，各机构应动作灵活，制动器动作可靠。机构及结构各部件无异常，连接无松动和破坏。</w:t>
      </w:r>
    </w:p>
    <w:p>
      <w:pPr>
        <w:numPr>
          <w:ilvl w:val="1"/>
          <w:numId w:val="3"/>
        </w:numPr>
        <w:spacing w:before="163" w:after="163" w:afterLines="0" w:line="240" w:lineRule="auto"/>
        <w:ind w:left="0" w:firstLine="200" w:firstLineChars="0"/>
        <w:outlineLvl w:val="1"/>
        <w:rPr>
          <w:rFonts w:ascii="宋体" w:hAnsi="宋体" w:eastAsia="宋体" w:cs="宋体"/>
          <w:b/>
          <w:bCs/>
        </w:rPr>
      </w:pPr>
      <w:r>
        <w:rPr>
          <w:rFonts w:hint="eastAsia" w:ascii="宋体" w:hAnsi="宋体" w:eastAsia="宋体" w:cs="宋体"/>
          <w:b/>
          <w:bCs/>
        </w:rPr>
        <w:t>XGT7528A-18S1S塔吊的拆卸</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施工准备</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整机检查</w:t>
      </w:r>
    </w:p>
    <w:p>
      <w:pPr>
        <w:spacing w:after="0" w:afterLines="0" w:line="360" w:lineRule="auto"/>
        <w:ind w:firstLine="480"/>
        <w:rPr>
          <w:rFonts w:ascii="宋体" w:hAnsi="宋体" w:eastAsia="宋体" w:cs="宋体"/>
        </w:rPr>
      </w:pPr>
      <w:r>
        <w:rPr>
          <w:rFonts w:hint="eastAsia" w:ascii="宋体" w:hAnsi="宋体" w:eastAsia="宋体" w:cs="宋体"/>
        </w:rPr>
        <w:t>塔吊拆塔之前，顶升机构由于长期停止使用，应对顶升机构进行保养和试运转。</w:t>
      </w:r>
      <w:r>
        <w:rPr>
          <w:rFonts w:ascii="宋体" w:hAnsi="宋体" w:eastAsia="宋体" w:cs="宋体"/>
        </w:rPr>
        <w:t xml:space="preserve"> </w:t>
      </w:r>
    </w:p>
    <w:p>
      <w:pPr>
        <w:spacing w:after="0" w:afterLines="0" w:line="360" w:lineRule="auto"/>
        <w:ind w:firstLine="480"/>
        <w:rPr>
          <w:rFonts w:ascii="宋体" w:hAnsi="宋体" w:eastAsia="宋体" w:cs="宋体"/>
        </w:rPr>
      </w:pPr>
      <w:r>
        <w:rPr>
          <w:rFonts w:hint="eastAsia" w:ascii="宋体" w:hAnsi="宋体" w:eastAsia="宋体" w:cs="宋体"/>
        </w:rPr>
        <w:t>在试运转过程中，应有目的地对限位器、回转机构的制动器等进行可靠性检查。</w:t>
      </w:r>
      <w:r>
        <w:rPr>
          <w:rFonts w:ascii="宋体" w:hAnsi="宋体" w:eastAsia="宋体" w:cs="宋体"/>
        </w:rPr>
        <w:t xml:space="preserve"> </w:t>
      </w:r>
    </w:p>
    <w:p>
      <w:pPr>
        <w:spacing w:after="0" w:afterLines="0" w:line="360" w:lineRule="auto"/>
        <w:ind w:firstLine="480"/>
        <w:rPr>
          <w:rFonts w:ascii="宋体" w:hAnsi="宋体" w:eastAsia="宋体" w:cs="宋体"/>
        </w:rPr>
      </w:pPr>
      <w:r>
        <w:rPr>
          <w:rFonts w:hint="eastAsia" w:ascii="宋体" w:hAnsi="宋体" w:eastAsia="宋体" w:cs="宋体"/>
        </w:rPr>
        <w:t>在塔吊标准节已拆出，但下支座与塔身还没有用</w:t>
      </w:r>
      <w:r>
        <w:rPr>
          <w:rFonts w:ascii="宋体" w:hAnsi="宋体" w:eastAsia="宋体" w:cs="宋体"/>
        </w:rPr>
        <w:t>Φ55</w:t>
      </w:r>
      <w:r>
        <w:rPr>
          <w:rFonts w:hint="eastAsia" w:ascii="宋体" w:hAnsi="宋体" w:eastAsia="宋体" w:cs="宋体"/>
        </w:rPr>
        <w:t>销轴连接好之前，严禁使用回转机构、牵引机构和起升机构。</w:t>
      </w:r>
      <w:r>
        <w:rPr>
          <w:rFonts w:ascii="宋体" w:hAnsi="宋体" w:eastAsia="宋体" w:cs="宋体"/>
        </w:rPr>
        <w:t xml:space="preserve"> </w:t>
      </w:r>
    </w:p>
    <w:p>
      <w:pPr>
        <w:spacing w:after="0" w:afterLines="0" w:line="360" w:lineRule="auto"/>
        <w:ind w:firstLine="480"/>
        <w:rPr>
          <w:rFonts w:ascii="宋体" w:hAnsi="宋体" w:eastAsia="宋体" w:cs="宋体"/>
        </w:rPr>
      </w:pPr>
      <w:r>
        <w:rPr>
          <w:rFonts w:hint="eastAsia" w:ascii="宋体" w:hAnsi="宋体" w:eastAsia="宋体" w:cs="宋体"/>
        </w:rPr>
        <w:t>顶升机构工作时，所有操作人员应集中精力观察各相对运动件的相对位置是否正常</w:t>
      </w:r>
      <w:r>
        <w:rPr>
          <w:rFonts w:ascii="宋体" w:hAnsi="宋体" w:eastAsia="宋体" w:cs="宋体"/>
        </w:rPr>
        <w:t>(</w:t>
      </w:r>
      <w:r>
        <w:rPr>
          <w:rFonts w:hint="eastAsia" w:ascii="宋体" w:hAnsi="宋体" w:eastAsia="宋体" w:cs="宋体"/>
        </w:rPr>
        <w:t>如滚轮与主弦杆之间，爬升架与塔身之间</w:t>
      </w:r>
      <w:r>
        <w:rPr>
          <w:rFonts w:ascii="宋体" w:hAnsi="宋体" w:eastAsia="宋体" w:cs="宋体"/>
        </w:rPr>
        <w:t>)</w:t>
      </w:r>
      <w:r>
        <w:rPr>
          <w:rFonts w:hint="eastAsia" w:ascii="宋体" w:hAnsi="宋体" w:eastAsia="宋体" w:cs="宋体"/>
        </w:rPr>
        <w:t>，</w:t>
      </w:r>
      <w:r>
        <w:rPr>
          <w:rFonts w:ascii="宋体" w:hAnsi="宋体" w:eastAsia="宋体" w:cs="宋体"/>
        </w:rPr>
        <w:t xml:space="preserve"> </w:t>
      </w:r>
      <w:r>
        <w:rPr>
          <w:rFonts w:hint="eastAsia" w:ascii="宋体" w:hAnsi="宋体" w:eastAsia="宋体" w:cs="宋体"/>
        </w:rPr>
        <w:t>如果爬升架在上升时，爬升架与塔身之间发生偏斜，应停止顶升，并立即下降。</w:t>
      </w:r>
      <w:r>
        <w:rPr>
          <w:rFonts w:ascii="宋体" w:hAnsi="宋体" w:eastAsia="宋体" w:cs="宋体"/>
        </w:rPr>
        <w:t xml:space="preserve"> </w:t>
      </w:r>
    </w:p>
    <w:p>
      <w:pPr>
        <w:spacing w:after="0" w:afterLines="0" w:line="360" w:lineRule="auto"/>
        <w:ind w:firstLine="480"/>
        <w:rPr>
          <w:rFonts w:ascii="宋体" w:hAnsi="宋体" w:eastAsia="宋体" w:cs="宋体"/>
        </w:rPr>
      </w:pPr>
      <w:r>
        <w:rPr>
          <w:rFonts w:hint="eastAsia" w:ascii="宋体" w:hAnsi="宋体" w:eastAsia="宋体" w:cs="宋体"/>
        </w:rPr>
        <w:t>拆卸前，按下表所示内容对塔吊进行检查，确认无误后方可作业。</w:t>
      </w:r>
    </w:p>
    <w:tbl>
      <w:tblPr>
        <w:tblStyle w:val="22"/>
        <w:tblW w:w="9039" w:type="dxa"/>
        <w:jc w:val="center"/>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675"/>
        <w:gridCol w:w="1577"/>
        <w:gridCol w:w="2268"/>
        <w:gridCol w:w="2128"/>
        <w:gridCol w:w="2391"/>
      </w:tblGrid>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塔吊型号</w:t>
            </w:r>
          </w:p>
        </w:tc>
        <w:tc>
          <w:tcPr>
            <w:tcW w:w="2269" w:type="dxa"/>
            <w:vAlign w:val="center"/>
          </w:tcPr>
          <w:p>
            <w:pPr>
              <w:spacing w:after="0" w:afterLines="0" w:line="240" w:lineRule="auto"/>
              <w:ind w:firstLine="0" w:firstLineChars="0"/>
              <w:jc w:val="center"/>
              <w:rPr>
                <w:rFonts w:ascii="Times New Roman" w:hAnsi="Times New Roman" w:eastAsia="宋体" w:cs="Times New Roman"/>
                <w:b/>
                <w:bCs/>
              </w:rPr>
            </w:pPr>
          </w:p>
        </w:tc>
        <w:tc>
          <w:tcPr>
            <w:tcW w:w="2126"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检查日期</w:t>
            </w:r>
          </w:p>
        </w:tc>
        <w:tc>
          <w:tcPr>
            <w:tcW w:w="2392" w:type="dxa"/>
            <w:vAlign w:val="center"/>
          </w:tcPr>
          <w:p>
            <w:pPr>
              <w:spacing w:after="0" w:afterLines="0" w:line="240" w:lineRule="auto"/>
              <w:ind w:firstLine="0" w:firstLineChars="0"/>
              <w:jc w:val="center"/>
              <w:rPr>
                <w:rFonts w:ascii="Times New Roman" w:hAnsi="Times New Roman" w:eastAsia="宋体" w:cs="Times New Roman"/>
                <w:b/>
                <w:bCs/>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工程名称</w:t>
            </w:r>
          </w:p>
        </w:tc>
        <w:tc>
          <w:tcPr>
            <w:tcW w:w="2269" w:type="dxa"/>
            <w:vAlign w:val="center"/>
          </w:tcPr>
          <w:p>
            <w:pPr>
              <w:spacing w:after="0" w:afterLines="0" w:line="240" w:lineRule="auto"/>
              <w:ind w:firstLine="0" w:firstLineChars="0"/>
              <w:jc w:val="center"/>
              <w:rPr>
                <w:rFonts w:ascii="Times New Roman" w:hAnsi="Times New Roman" w:eastAsia="宋体" w:cs="Times New Roman"/>
                <w:b/>
                <w:bCs/>
              </w:rPr>
            </w:pPr>
          </w:p>
        </w:tc>
        <w:tc>
          <w:tcPr>
            <w:tcW w:w="2126"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拆卸时高度</w:t>
            </w:r>
          </w:p>
        </w:tc>
        <w:tc>
          <w:tcPr>
            <w:tcW w:w="2392" w:type="dxa"/>
            <w:vAlign w:val="center"/>
          </w:tcPr>
          <w:p>
            <w:pPr>
              <w:spacing w:after="0" w:afterLines="0" w:line="240" w:lineRule="auto"/>
              <w:ind w:firstLine="0" w:firstLineChars="0"/>
              <w:jc w:val="center"/>
              <w:rPr>
                <w:rFonts w:ascii="Times New Roman" w:hAnsi="Times New Roman" w:eastAsia="宋体" w:cs="Times New Roman"/>
                <w:b/>
                <w:bCs/>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使用单位</w:t>
            </w:r>
          </w:p>
        </w:tc>
        <w:tc>
          <w:tcPr>
            <w:tcW w:w="2269" w:type="dxa"/>
            <w:vAlign w:val="center"/>
          </w:tcPr>
          <w:p>
            <w:pPr>
              <w:spacing w:after="0" w:afterLines="0" w:line="240" w:lineRule="auto"/>
              <w:ind w:firstLine="0" w:firstLineChars="0"/>
              <w:jc w:val="center"/>
              <w:rPr>
                <w:rFonts w:ascii="Times New Roman" w:hAnsi="Times New Roman" w:eastAsia="宋体" w:cs="Times New Roman"/>
                <w:b/>
                <w:bCs/>
              </w:rPr>
            </w:pPr>
          </w:p>
        </w:tc>
        <w:tc>
          <w:tcPr>
            <w:tcW w:w="2126"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拆卸施工班组</w:t>
            </w:r>
          </w:p>
        </w:tc>
        <w:tc>
          <w:tcPr>
            <w:tcW w:w="2392" w:type="dxa"/>
            <w:vAlign w:val="center"/>
          </w:tcPr>
          <w:p>
            <w:pPr>
              <w:spacing w:after="0" w:afterLines="0" w:line="240" w:lineRule="auto"/>
              <w:ind w:firstLine="0" w:firstLineChars="0"/>
              <w:jc w:val="center"/>
              <w:rPr>
                <w:rFonts w:ascii="Times New Roman" w:hAnsi="Times New Roman" w:eastAsia="宋体" w:cs="Times New Roman"/>
                <w:b/>
                <w:bCs/>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序号</w:t>
            </w:r>
          </w:p>
        </w:tc>
        <w:tc>
          <w:tcPr>
            <w:tcW w:w="1577"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项  目</w:t>
            </w:r>
          </w:p>
        </w:tc>
        <w:tc>
          <w:tcPr>
            <w:tcW w:w="4395" w:type="dxa"/>
            <w:gridSpan w:val="2"/>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验收标准</w:t>
            </w:r>
          </w:p>
        </w:tc>
        <w:tc>
          <w:tcPr>
            <w:tcW w:w="2392"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检查记录</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w:t>
            </w:r>
          </w:p>
        </w:tc>
        <w:tc>
          <w:tcPr>
            <w:tcW w:w="1577" w:type="dxa"/>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配 重</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外观检查和销轴状况</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2</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安全防护装置</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力矩限制器手动是否灵敏</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重量限制器手动是否灵敏、可靠</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高度限位是否灵敏、可靠</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幅度限位是否灵敏、可靠</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回转限位是否灵敏、可靠</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吊钩防脱保险是否可靠</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操作室玻璃是否完好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防跳绳保险装置正常</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3</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联接件</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传动件润滑良好，无损伤</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销轴定位符合是否要求（使用开口销）</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连接螺栓、销轴是否齐全</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4</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起升机构</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减速箱运转是否正常，无异响</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刹车制动是否灵敏</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5</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变幅机构</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运转是否正常，无异响</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制动是否灵敏</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钢丝绳是否完好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障碍灯是否齐全</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6</w:t>
            </w:r>
          </w:p>
        </w:tc>
        <w:tc>
          <w:tcPr>
            <w:tcW w:w="1577" w:type="dxa"/>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回转机构</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运转是否正常，无异响。制动是否灵敏</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7</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电气系统</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配电箱固定，电线无损、绝缘良好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电机运转正常，电器元件完好。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8</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操纵系统</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操纵件完好灵敏、指示信号齐全、完好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报警装置完好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restart"/>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9</w:t>
            </w:r>
          </w:p>
        </w:tc>
        <w:tc>
          <w:tcPr>
            <w:tcW w:w="1577" w:type="dxa"/>
            <w:vMerge w:val="restart"/>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液压系统</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油缸及泵站有无渗漏、压力是否正常</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Merge w:val="continue"/>
            <w:vAlign w:val="center"/>
          </w:tcPr>
          <w:p>
            <w:pPr>
              <w:spacing w:after="0" w:afterLines="0" w:line="240" w:lineRule="auto"/>
              <w:ind w:firstLine="0" w:firstLineChars="0"/>
              <w:jc w:val="center"/>
              <w:rPr>
                <w:rFonts w:ascii="Times New Roman" w:hAnsi="Times New Roman" w:eastAsia="宋体" w:cs="Times New Roman"/>
                <w:b/>
                <w:bCs/>
              </w:rPr>
            </w:pPr>
          </w:p>
        </w:tc>
        <w:tc>
          <w:tcPr>
            <w:tcW w:w="1577" w:type="dxa"/>
            <w:vMerge w:val="continue"/>
            <w:vAlign w:val="center"/>
          </w:tcPr>
          <w:p>
            <w:pPr>
              <w:spacing w:after="0" w:afterLines="0" w:line="240" w:lineRule="auto"/>
              <w:ind w:firstLine="0" w:firstLineChars="0"/>
              <w:jc w:val="center"/>
              <w:rPr>
                <w:rFonts w:ascii="Times New Roman" w:hAnsi="Times New Roman" w:eastAsia="宋体" w:cs="宋体"/>
              </w:rPr>
            </w:pP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各阀、油管、接头完好。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10</w:t>
            </w:r>
          </w:p>
        </w:tc>
        <w:tc>
          <w:tcPr>
            <w:tcW w:w="1577" w:type="dxa"/>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钢丝绳</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主卷扬钢丝绳状况，有无断丝，断在多少米处</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11</w:t>
            </w:r>
          </w:p>
        </w:tc>
        <w:tc>
          <w:tcPr>
            <w:tcW w:w="1577" w:type="dxa"/>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金属结构</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无变形、裂纹。主要部位焊缝完好，无开裂、严重锈蚀。受力点油漆无起壳、脱落</w:t>
            </w: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675"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12</w:t>
            </w:r>
          </w:p>
        </w:tc>
        <w:tc>
          <w:tcPr>
            <w:tcW w:w="1577" w:type="dxa"/>
            <w:vAlign w:val="center"/>
          </w:tcPr>
          <w:p>
            <w:pPr>
              <w:spacing w:after="0" w:afterLines="0" w:line="240" w:lineRule="auto"/>
              <w:ind w:firstLine="0" w:firstLineChars="0"/>
              <w:jc w:val="center"/>
              <w:rPr>
                <w:rFonts w:ascii="Times New Roman" w:hAnsi="Times New Roman" w:eastAsia="宋体" w:cs="宋体"/>
              </w:rPr>
            </w:pPr>
            <w:r>
              <w:rPr>
                <w:rFonts w:hint="eastAsia" w:ascii="Times New Roman" w:hAnsi="Times New Roman" w:eastAsia="宋体" w:cs="宋体"/>
              </w:rPr>
              <w:t>其 它</w:t>
            </w:r>
          </w:p>
        </w:tc>
        <w:tc>
          <w:tcPr>
            <w:tcW w:w="4395" w:type="dxa"/>
            <w:gridSpan w:val="2"/>
            <w:vAlign w:val="center"/>
          </w:tcPr>
          <w:p>
            <w:pPr>
              <w:spacing w:after="0" w:afterLines="0" w:line="240" w:lineRule="auto"/>
              <w:ind w:firstLine="0" w:firstLineChars="0"/>
              <w:jc w:val="center"/>
              <w:rPr>
                <w:rFonts w:ascii="Times New Roman" w:hAnsi="Times New Roman" w:eastAsia="宋体" w:cs="宋体"/>
              </w:rPr>
            </w:pPr>
          </w:p>
        </w:tc>
        <w:tc>
          <w:tcPr>
            <w:tcW w:w="2392" w:type="dxa"/>
            <w:vAlign w:val="center"/>
          </w:tcPr>
          <w:p>
            <w:pPr>
              <w:spacing w:after="0" w:afterLines="0" w:line="240" w:lineRule="auto"/>
              <w:ind w:firstLine="0" w:firstLineChars="0"/>
              <w:jc w:val="center"/>
              <w:rPr>
                <w:rFonts w:ascii="Times New Roman" w:hAnsi="Times New Roman" w:eastAsia="宋体" w:cs="宋体"/>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质量安全部</w:t>
            </w:r>
          </w:p>
        </w:tc>
        <w:tc>
          <w:tcPr>
            <w:tcW w:w="2267" w:type="dxa"/>
            <w:vAlign w:val="center"/>
          </w:tcPr>
          <w:p>
            <w:pPr>
              <w:spacing w:after="0" w:afterLines="0" w:line="240" w:lineRule="auto"/>
              <w:ind w:firstLine="0" w:firstLineChars="0"/>
              <w:jc w:val="center"/>
              <w:rPr>
                <w:rFonts w:ascii="Times New Roman" w:hAnsi="Times New Roman" w:eastAsia="宋体" w:cs="Times New Roman"/>
                <w:b/>
                <w:bCs/>
              </w:rPr>
            </w:pPr>
          </w:p>
        </w:tc>
        <w:tc>
          <w:tcPr>
            <w:tcW w:w="2128"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操作司机</w:t>
            </w:r>
          </w:p>
        </w:tc>
        <w:tc>
          <w:tcPr>
            <w:tcW w:w="2392" w:type="dxa"/>
            <w:vAlign w:val="center"/>
          </w:tcPr>
          <w:p>
            <w:pPr>
              <w:spacing w:after="0" w:afterLines="0" w:line="240" w:lineRule="auto"/>
              <w:ind w:firstLine="0" w:firstLineChars="0"/>
              <w:jc w:val="center"/>
              <w:rPr>
                <w:rFonts w:ascii="Times New Roman" w:hAnsi="Times New Roman" w:eastAsia="宋体" w:cs="Times New Roman"/>
                <w:b/>
                <w:bCs/>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340" w:hRule="atLeast"/>
          <w:jc w:val="center"/>
        </w:trPr>
        <w:tc>
          <w:tcPr>
            <w:tcW w:w="2252" w:type="dxa"/>
            <w:gridSpan w:val="2"/>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安拆班组长</w:t>
            </w:r>
          </w:p>
        </w:tc>
        <w:tc>
          <w:tcPr>
            <w:tcW w:w="2267" w:type="dxa"/>
            <w:vAlign w:val="center"/>
          </w:tcPr>
          <w:p>
            <w:pPr>
              <w:spacing w:after="0" w:afterLines="0" w:line="240" w:lineRule="auto"/>
              <w:ind w:firstLine="0" w:firstLineChars="0"/>
              <w:jc w:val="center"/>
              <w:rPr>
                <w:rFonts w:ascii="Times New Roman" w:hAnsi="Times New Roman" w:eastAsia="宋体" w:cs="Times New Roman"/>
                <w:b/>
                <w:bCs/>
              </w:rPr>
            </w:pPr>
          </w:p>
        </w:tc>
        <w:tc>
          <w:tcPr>
            <w:tcW w:w="2128" w:type="dxa"/>
            <w:vAlign w:val="center"/>
          </w:tcPr>
          <w:p>
            <w:pPr>
              <w:spacing w:after="0" w:afterLines="0" w:line="240" w:lineRule="auto"/>
              <w:ind w:firstLine="0" w:firstLineChars="0"/>
              <w:jc w:val="center"/>
              <w:rPr>
                <w:rFonts w:ascii="Times New Roman" w:hAnsi="Times New Roman" w:eastAsia="宋体" w:cs="Times New Roman"/>
                <w:b/>
                <w:bCs/>
              </w:rPr>
            </w:pPr>
            <w:r>
              <w:rPr>
                <w:rFonts w:hint="eastAsia" w:ascii="Times New Roman" w:hAnsi="Times New Roman" w:eastAsia="宋体" w:cs="Times New Roman"/>
                <w:b/>
                <w:bCs/>
              </w:rPr>
              <w:t>电工</w:t>
            </w:r>
          </w:p>
        </w:tc>
        <w:tc>
          <w:tcPr>
            <w:tcW w:w="2392" w:type="dxa"/>
            <w:vAlign w:val="center"/>
          </w:tcPr>
          <w:p>
            <w:pPr>
              <w:spacing w:after="0" w:afterLines="0" w:line="240" w:lineRule="auto"/>
              <w:ind w:firstLine="0" w:firstLineChars="0"/>
              <w:jc w:val="center"/>
              <w:rPr>
                <w:rFonts w:ascii="Times New Roman" w:hAnsi="Times New Roman" w:eastAsia="宋体" w:cs="Times New Roman"/>
                <w:b/>
                <w:bCs/>
              </w:rPr>
            </w:pPr>
          </w:p>
        </w:tc>
      </w:tr>
    </w:tbl>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现场勘查，拆除用汽车吊站位的勘查、拆除各个部件的吊点勘查、拆除下来的部件的摆放位置的勘查等。</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施工场地事先清理，必须坚实、开阔，没有与施工机械相干扰的障碍物，吊车工作区域必须确保地基坚实可靠，必要时用专用垫板铺垫。</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清楚现场所有不安全的因素，有不安全的因素不允许拆除。</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检查各个起吊要的钢丝绳、吊钩、溜绳等设备的安全性。</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施工人员必须熟悉施工现场，熟悉本方案，技术人员做好重要施工工序的技术和安全交底。</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对配合安装吊车及其他配合机具进行一次全面检查，所有的安全装置必须齐全可靠，并消除机械缺陷。</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对所有用于安装作业的工、器具进行全面检查。</w:t>
      </w:r>
    </w:p>
    <w:p>
      <w:pPr>
        <w:numPr>
          <w:ilvl w:val="3"/>
          <w:numId w:val="3"/>
        </w:numPr>
        <w:spacing w:after="0" w:afterLines="0" w:line="360" w:lineRule="auto"/>
        <w:ind w:left="0" w:firstLine="480"/>
        <w:rPr>
          <w:rFonts w:ascii="宋体" w:hAnsi="宋体" w:eastAsia="宋体" w:cs="宋体"/>
          <w:bCs/>
        </w:rPr>
      </w:pPr>
      <w:r>
        <w:rPr>
          <w:rFonts w:hint="eastAsia" w:ascii="宋体" w:hAnsi="宋体" w:eastAsia="宋体" w:cs="宋体"/>
          <w:bCs/>
        </w:rPr>
        <w:t>作业中使用的安全带、保险绳应检验合格，严防安全设施不安全。</w:t>
      </w:r>
    </w:p>
    <w:p>
      <w:pPr>
        <w:spacing w:after="0" w:afterLines="0" w:line="360" w:lineRule="auto"/>
        <w:ind w:firstLine="480"/>
        <w:rPr>
          <w:rFonts w:ascii="宋体" w:hAnsi="宋体" w:eastAsia="宋体" w:cs="宋体"/>
          <w:bCs/>
          <w:color w:val="000000"/>
        </w:rPr>
      </w:pPr>
      <w:r>
        <w:rPr>
          <w:rFonts w:hint="eastAsia" w:ascii="宋体" w:hAnsi="宋体" w:eastAsia="宋体" w:cs="宋体"/>
          <w:bCs/>
          <w:color w:val="000000"/>
        </w:rPr>
        <w:t>(10)材料及工器具计划</w:t>
      </w:r>
    </w:p>
    <w:p>
      <w:pPr>
        <w:pStyle w:val="7"/>
        <w:rPr>
          <w:szCs w:val="24"/>
        </w:rPr>
      </w:pPr>
      <w:r>
        <w:rPr>
          <w:szCs w:val="24"/>
        </w:rPr>
        <w:t xml:space="preserve">  </w:t>
      </w:r>
      <w:r>
        <w:rPr>
          <w:rFonts w:hint="eastAsia"/>
          <w:szCs w:val="24"/>
        </w:rPr>
        <w:t>临时辅助材料及工器具计划</w:t>
      </w:r>
    </w:p>
    <w:tbl>
      <w:tblPr>
        <w:tblStyle w:val="22"/>
        <w:tblW w:w="5000" w:type="pct"/>
        <w:jc w:val="center"/>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Layout w:type="autofit"/>
        <w:tblCellMar>
          <w:top w:w="0" w:type="dxa"/>
          <w:left w:w="108" w:type="dxa"/>
          <w:bottom w:w="0" w:type="dxa"/>
          <w:right w:w="108" w:type="dxa"/>
        </w:tblCellMar>
      </w:tblPr>
      <w:tblGrid>
        <w:gridCol w:w="919"/>
        <w:gridCol w:w="1983"/>
        <w:gridCol w:w="2515"/>
        <w:gridCol w:w="1132"/>
        <w:gridCol w:w="1132"/>
        <w:gridCol w:w="1719"/>
      </w:tblGrid>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序号</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材料名称</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型号规格</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单位</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数量</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备注</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手动葫芦</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5 t</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个</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2</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专用工具</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主要是扳手</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套</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厂家配置</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3</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安 全 帽</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顶</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6</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4</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安 全 带</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条</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6</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5</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起重用钢丝绳</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6×19+1-φ28-1770</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根</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4</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L = 4 m</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6</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起重用钢丝绳</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6×37+1-φ28-1770</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根</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4</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L = 10 m</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7</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卸 扣</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GB/T 25854-4-DW8</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个</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4</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8</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焊 条</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J507</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箱</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9</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撬 棍</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Φ30</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根</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2</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10</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大 锤</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18磅</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把</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4</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11</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麻 绳</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Φ18</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m</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50</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12</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铁 丝</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Φ8</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公斤</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10</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13</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冲 销</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Φ24、Φ36</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根</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各1</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长度300mm</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14</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对讲机</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台</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4</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　</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15</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劳保用品</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手套、防滑鞋等</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套</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若干</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16</w:t>
            </w:r>
          </w:p>
        </w:tc>
        <w:tc>
          <w:tcPr>
            <w:tcW w:w="1055"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安全警戒绳</w:t>
            </w:r>
          </w:p>
        </w:tc>
        <w:tc>
          <w:tcPr>
            <w:tcW w:w="1338"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m</w:t>
            </w:r>
          </w:p>
        </w:tc>
        <w:tc>
          <w:tcPr>
            <w:tcW w:w="602"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r>
              <w:rPr>
                <w:rFonts w:hint="eastAsia"/>
                <w:kern w:val="2"/>
                <w:sz w:val="24"/>
                <w:szCs w:val="24"/>
              </w:rPr>
              <w:t>200</w:t>
            </w:r>
          </w:p>
        </w:tc>
        <w:tc>
          <w:tcPr>
            <w:tcW w:w="914" w:type="pct"/>
            <w:tcBorders>
              <w:top w:val="single" w:color="auto" w:sz="4" w:space="0"/>
              <w:left w:val="single" w:color="auto" w:sz="4" w:space="0"/>
              <w:bottom w:val="single" w:color="auto" w:sz="4" w:space="0"/>
              <w:right w:val="single" w:color="auto" w:sz="4" w:space="0"/>
            </w:tcBorders>
            <w:vAlign w:val="center"/>
          </w:tcPr>
          <w:p>
            <w:pPr>
              <w:pStyle w:val="58"/>
              <w:spacing w:line="360" w:lineRule="exact"/>
              <w:rPr>
                <w:kern w:val="2"/>
                <w:sz w:val="24"/>
                <w:szCs w:val="24"/>
              </w:rPr>
            </w:pPr>
          </w:p>
        </w:tc>
      </w:tr>
    </w:tbl>
    <w:p>
      <w:pPr>
        <w:spacing w:after="0" w:afterLines="0" w:line="360" w:lineRule="auto"/>
        <w:ind w:firstLine="480"/>
        <w:rPr>
          <w:rFonts w:ascii="宋体" w:hAnsi="宋体" w:eastAsia="宋体" w:cs="宋体"/>
          <w:bCs/>
          <w:color w:val="000000"/>
        </w:rPr>
      </w:pPr>
      <w:r>
        <w:rPr>
          <w:rFonts w:hint="eastAsia" w:ascii="宋体" w:hAnsi="宋体" w:eastAsia="宋体" w:cs="宋体"/>
          <w:bCs/>
          <w:color w:val="000000"/>
        </w:rPr>
        <w:t>(11)  设备计划</w:t>
      </w:r>
    </w:p>
    <w:tbl>
      <w:tblPr>
        <w:tblStyle w:val="22"/>
        <w:tblW w:w="5000" w:type="pct"/>
        <w:jc w:val="center"/>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Layout w:type="autofit"/>
        <w:tblCellMar>
          <w:top w:w="0" w:type="dxa"/>
          <w:left w:w="108" w:type="dxa"/>
          <w:bottom w:w="0" w:type="dxa"/>
          <w:right w:w="108" w:type="dxa"/>
        </w:tblCellMar>
      </w:tblPr>
      <w:tblGrid>
        <w:gridCol w:w="899"/>
        <w:gridCol w:w="1878"/>
        <w:gridCol w:w="2051"/>
        <w:gridCol w:w="973"/>
        <w:gridCol w:w="901"/>
        <w:gridCol w:w="1799"/>
        <w:gridCol w:w="899"/>
      </w:tblGrid>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序号</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设备名称</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型号规格</w:t>
            </w: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单位</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数量</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进场时间</w:t>
            </w: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备注</w:t>
            </w: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1</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80t汽车吊</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台</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1</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2</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平板车</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9.6m</w:t>
            </w: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台</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2</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3</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经纬仪</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J2—2</w:t>
            </w: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套</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1</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4</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直流电焊机</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ZX5—400—1</w:t>
            </w: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台</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1</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5</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氧割设备</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套</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1</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6</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全站仪</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TS09</w:t>
            </w: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套</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1</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r>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7</w:t>
            </w:r>
          </w:p>
        </w:tc>
        <w:tc>
          <w:tcPr>
            <w:tcW w:w="99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水准仪</w:t>
            </w:r>
          </w:p>
        </w:tc>
        <w:tc>
          <w:tcPr>
            <w:tcW w:w="1090"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DS3</w:t>
            </w:r>
          </w:p>
        </w:tc>
        <w:tc>
          <w:tcPr>
            <w:tcW w:w="517"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台</w:t>
            </w:r>
          </w:p>
        </w:tc>
        <w:tc>
          <w:tcPr>
            <w:tcW w:w="479"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r>
              <w:rPr>
                <w:rFonts w:hint="eastAsia"/>
                <w:sz w:val="24"/>
                <w:szCs w:val="24"/>
              </w:rPr>
              <w:t>2</w:t>
            </w:r>
          </w:p>
        </w:tc>
        <w:tc>
          <w:tcPr>
            <w:tcW w:w="956"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c>
          <w:tcPr>
            <w:tcW w:w="478" w:type="pct"/>
            <w:tcBorders>
              <w:top w:val="single" w:color="auto" w:sz="4" w:space="0"/>
              <w:left w:val="single" w:color="auto" w:sz="4" w:space="0"/>
              <w:bottom w:val="single" w:color="auto" w:sz="4" w:space="0"/>
              <w:right w:val="single" w:color="auto" w:sz="4" w:space="0"/>
            </w:tcBorders>
            <w:vAlign w:val="center"/>
          </w:tcPr>
          <w:p>
            <w:pPr>
              <w:pStyle w:val="59"/>
              <w:spacing w:line="360" w:lineRule="exact"/>
              <w:rPr>
                <w:sz w:val="24"/>
                <w:szCs w:val="24"/>
              </w:rPr>
            </w:pPr>
          </w:p>
        </w:tc>
      </w:tr>
    </w:tbl>
    <w:p>
      <w:pPr>
        <w:pStyle w:val="21"/>
        <w:ind w:firstLine="528"/>
        <w:rPr>
          <w:szCs w:val="24"/>
        </w:rPr>
      </w:pP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降节</w:t>
      </w:r>
    </w:p>
    <w:p>
      <w:pPr>
        <w:spacing w:after="0" w:afterLines="0" w:line="360" w:lineRule="auto"/>
        <w:ind w:firstLine="480"/>
        <w:rPr>
          <w:rFonts w:ascii="宋体" w:hAnsi="宋体" w:eastAsia="宋体" w:cs="宋体"/>
        </w:rPr>
      </w:pPr>
      <w:r>
        <w:rPr>
          <w:rFonts w:hint="eastAsia" w:ascii="宋体" w:hAnsi="宋体" w:eastAsia="宋体" w:cs="宋体"/>
        </w:rPr>
        <w:t>两个活动爬爪因锈蚀等原因，很可能不能自动恢复到水平状态，拆卸标准节时，对爬爪应特别注意，应事先进行检查和保养。</w:t>
      </w:r>
      <w:r>
        <w:rPr>
          <w:rFonts w:ascii="宋体" w:hAnsi="宋体" w:eastAsia="宋体" w:cs="宋体"/>
        </w:rPr>
        <w:t xml:space="preserve"> </w:t>
      </w:r>
    </w:p>
    <w:p>
      <w:pPr>
        <w:spacing w:after="0" w:afterLines="0" w:line="360" w:lineRule="auto"/>
        <w:ind w:firstLine="480"/>
        <w:rPr>
          <w:rFonts w:ascii="宋体" w:hAnsi="宋体" w:eastAsia="宋体" w:cs="宋体"/>
        </w:rPr>
      </w:pPr>
      <w:r>
        <w:rPr>
          <w:rFonts w:hint="eastAsia" w:ascii="宋体" w:hAnsi="宋体" w:eastAsia="宋体" w:cs="宋体"/>
        </w:rPr>
        <w:t>将起重臂回转到标准节的引进方向</w:t>
      </w:r>
      <w:r>
        <w:rPr>
          <w:rFonts w:ascii="宋体" w:hAnsi="宋体" w:eastAsia="宋体" w:cs="宋体"/>
        </w:rPr>
        <w:t>(</w:t>
      </w:r>
      <w:r>
        <w:rPr>
          <w:rFonts w:hint="eastAsia" w:ascii="宋体" w:hAnsi="宋体" w:eastAsia="宋体" w:cs="宋体"/>
        </w:rPr>
        <w:t>即爬升架中有开口的一侧</w:t>
      </w:r>
      <w:r>
        <w:rPr>
          <w:rFonts w:ascii="宋体" w:hAnsi="宋体" w:eastAsia="宋体" w:cs="宋体"/>
        </w:rPr>
        <w:t>)</w:t>
      </w:r>
      <w:r>
        <w:rPr>
          <w:rFonts w:hint="eastAsia" w:ascii="宋体" w:hAnsi="宋体" w:eastAsia="宋体" w:cs="宋体"/>
        </w:rPr>
        <w:t>，使回转制动器处于制动状态，载重小车停在配平位置</w:t>
      </w:r>
      <w:r>
        <w:rPr>
          <w:rFonts w:ascii="宋体" w:hAnsi="宋体" w:eastAsia="宋体" w:cs="宋体"/>
        </w:rPr>
        <w:t>(</w:t>
      </w:r>
      <w:r>
        <w:rPr>
          <w:rFonts w:hint="eastAsia" w:ascii="宋体" w:hAnsi="宋体" w:eastAsia="宋体" w:cs="宋体"/>
        </w:rPr>
        <w:t>即与安装塔吊中顶升加节时载重小车的配平位置一致</w:t>
      </w:r>
      <w:r>
        <w:rPr>
          <w:rFonts w:ascii="宋体" w:hAnsi="宋体" w:eastAsia="宋体" w:cs="宋体"/>
        </w:rPr>
        <w:t>)</w:t>
      </w:r>
      <w:r>
        <w:rPr>
          <w:rFonts w:hint="eastAsia" w:ascii="宋体" w:hAnsi="宋体" w:eastAsia="宋体" w:cs="宋体"/>
        </w:rPr>
        <w:t>。</w:t>
      </w:r>
    </w:p>
    <w:p>
      <w:pPr>
        <w:spacing w:after="0" w:afterLines="0" w:line="360" w:lineRule="auto"/>
        <w:ind w:firstLine="480"/>
        <w:rPr>
          <w:rFonts w:ascii="宋体" w:hAnsi="宋体" w:eastAsia="宋体" w:cs="宋体"/>
        </w:rPr>
      </w:pPr>
      <w:r>
        <w:rPr>
          <w:rFonts w:hint="eastAsia" w:ascii="宋体" w:hAnsi="宋体" w:eastAsia="宋体" w:cs="宋体"/>
        </w:rPr>
        <w:t>拆掉最上面标准节的上、下连接销轴，并将提升装置吊钩挂在该标准节上；</w:t>
      </w:r>
      <w:r>
        <w:rPr>
          <w:rFonts w:ascii="宋体" w:hAnsi="宋体" w:eastAsia="宋体" w:cs="宋体"/>
        </w:rPr>
        <w:t xml:space="preserve"> </w:t>
      </w:r>
    </w:p>
    <w:p>
      <w:pPr>
        <w:spacing w:after="0" w:afterLines="0" w:line="360" w:lineRule="auto"/>
        <w:ind w:firstLine="480"/>
        <w:rPr>
          <w:rFonts w:ascii="宋体" w:hAnsi="宋体" w:eastAsia="宋体" w:cs="宋体"/>
        </w:rPr>
      </w:pPr>
      <w:r>
        <w:rPr>
          <w:rFonts w:hint="eastAsia" w:ascii="宋体" w:hAnsi="宋体" w:eastAsia="宋体" w:cs="宋体"/>
        </w:rPr>
        <w:t>伸长顶升油缸，将顶升横梁顶在从上往下数第四个踏步的圆弧槽内，将上部结构顶起；当最上一节标准节离开第二节标准节顶面</w:t>
      </w:r>
      <w:r>
        <w:rPr>
          <w:rFonts w:ascii="宋体" w:hAnsi="宋体" w:eastAsia="宋体" w:cs="宋体"/>
        </w:rPr>
        <w:t>2</w:t>
      </w:r>
      <w:r>
        <w:rPr>
          <w:rFonts w:hint="eastAsia" w:ascii="宋体" w:hAnsi="宋体" w:eastAsia="宋体" w:cs="宋体"/>
        </w:rPr>
        <w:t>～</w:t>
      </w:r>
      <w:r>
        <w:rPr>
          <w:rFonts w:ascii="宋体" w:hAnsi="宋体" w:eastAsia="宋体" w:cs="宋体"/>
        </w:rPr>
        <w:t>5cm</w:t>
      </w:r>
      <w:r>
        <w:rPr>
          <w:rFonts w:hint="eastAsia" w:ascii="宋体" w:hAnsi="宋体" w:eastAsia="宋体" w:cs="宋体"/>
        </w:rPr>
        <w:t>左右，即停止顶升。</w:t>
      </w:r>
    </w:p>
    <w:p>
      <w:pPr>
        <w:spacing w:after="0" w:afterLines="0" w:line="360" w:lineRule="auto"/>
        <w:ind w:firstLine="480"/>
        <w:rPr>
          <w:rFonts w:ascii="宋体" w:hAnsi="宋体" w:eastAsia="宋体" w:cs="宋体"/>
        </w:rPr>
      </w:pPr>
      <w:r>
        <w:rPr>
          <w:rFonts w:hint="eastAsia" w:ascii="宋体" w:hAnsi="宋体" w:eastAsia="宋体" w:cs="宋体"/>
        </w:rPr>
        <w:t>将最上一节标准节沿引进梁推出，扳开活动爬爪，回缩油缸，让活动爬爪躲过距它最近的一对踏步后，复位放平，继续下降至活动爬爪支承在下一对踏步上，支承住上部结构后，再回缩油缸。</w:t>
      </w:r>
    </w:p>
    <w:p>
      <w:pPr>
        <w:spacing w:after="0" w:afterLines="0" w:line="360" w:lineRule="auto"/>
        <w:ind w:firstLine="480"/>
        <w:rPr>
          <w:rFonts w:ascii="宋体" w:hAnsi="宋体" w:eastAsia="宋体" w:cs="宋体"/>
        </w:rPr>
      </w:pPr>
      <w:r>
        <w:rPr>
          <w:rFonts w:hint="eastAsia" w:ascii="宋体" w:hAnsi="宋体" w:eastAsia="宋体" w:cs="宋体"/>
        </w:rPr>
        <w:t>将顶升横梁顶在下一对踏步上，稍微顶升至爬爪翻转时能躲过原来支撑的踏步后停止，拨开爬爪，继续回缩油缸，至下一标准节与下支座相接触时为止，下支座与标准节之间用销轴连接好后，用小车吊钩将标准节吊至地面。</w:t>
      </w:r>
    </w:p>
    <w:p>
      <w:pPr>
        <w:spacing w:after="0" w:afterLines="0" w:line="360" w:lineRule="auto"/>
        <w:ind w:firstLine="480"/>
        <w:rPr>
          <w:rFonts w:ascii="宋体" w:hAnsi="宋体" w:eastAsia="宋体" w:cs="宋体"/>
        </w:rPr>
      </w:pPr>
      <w:r>
        <w:rPr>
          <w:rFonts w:hint="eastAsia" w:ascii="宋体" w:hAnsi="宋体" w:eastAsia="宋体" w:cs="宋体"/>
        </w:rPr>
        <w:t>注意：将拆掉的标准节推到引进横梁的外端后，在爬升架的下落过程中，当爬升架上的活动爬爪通过塔身标准节主弦杆踏步和标准节连接销轴时，须用人工翻转活动爬爪，同时派专人看管顶升横梁和导向轮，观察爬升架下降时有无被障碍物卡住的现象，以便爬升架能顺利地下降。</w:t>
      </w:r>
    </w:p>
    <w:p>
      <w:pPr>
        <w:spacing w:after="0" w:afterLines="0" w:line="360" w:lineRule="auto"/>
        <w:ind w:firstLine="480"/>
        <w:rPr>
          <w:rFonts w:ascii="宋体" w:hAnsi="宋体" w:eastAsia="宋体" w:cs="宋体"/>
        </w:rPr>
      </w:pPr>
      <w:r>
        <w:rPr>
          <w:rFonts w:hint="eastAsia" w:ascii="宋体" w:hAnsi="宋体" w:eastAsia="宋体" w:cs="宋体"/>
        </w:rPr>
        <w:t>拆除到附着位置时，用钢丝绳吊起附着撑杆，拆除附着撑杆与墩身预埋件的连接销和拉杆与附着框之间的连接销，将附着拉杆吊至地面。</w:t>
      </w:r>
    </w:p>
    <w:p>
      <w:pPr>
        <w:spacing w:after="0" w:afterLines="0" w:line="360" w:lineRule="auto"/>
        <w:ind w:firstLine="480"/>
        <w:rPr>
          <w:rFonts w:ascii="宋体" w:hAnsi="宋体" w:eastAsia="宋体" w:cs="宋体"/>
        </w:rPr>
      </w:pPr>
      <w:r>
        <w:rPr>
          <w:rFonts w:hint="eastAsia" w:ascii="宋体" w:hAnsi="宋体" w:eastAsia="宋体" w:cs="宋体"/>
        </w:rPr>
        <w:t>按附着框安装步骤反向拆除附着框。</w:t>
      </w:r>
    </w:p>
    <w:p>
      <w:pPr>
        <w:spacing w:after="0" w:afterLines="0" w:line="360" w:lineRule="auto"/>
        <w:ind w:firstLine="480"/>
        <w:rPr>
          <w:rFonts w:ascii="宋体" w:hAnsi="宋体" w:eastAsia="宋体" w:cs="宋体"/>
        </w:rPr>
      </w:pPr>
      <w:r>
        <w:rPr>
          <w:rFonts w:hint="eastAsia" w:ascii="宋体" w:hAnsi="宋体" w:eastAsia="宋体" w:cs="宋体"/>
        </w:rPr>
        <w:t>重复上述动作，将塔身标准节依次拆下。</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拆卸配重</w:t>
      </w:r>
    </w:p>
    <w:p>
      <w:pPr>
        <w:spacing w:after="0" w:afterLines="0" w:line="360" w:lineRule="auto"/>
        <w:ind w:firstLine="480"/>
        <w:rPr>
          <w:rFonts w:ascii="宋体" w:hAnsi="宋体" w:eastAsia="宋体" w:cs="宋体"/>
        </w:rPr>
      </w:pPr>
      <w:r>
        <w:rPr>
          <w:rFonts w:hint="eastAsia" w:ascii="宋体" w:hAnsi="宋体" w:eastAsia="宋体" w:cs="宋体"/>
        </w:rPr>
        <w:t>将小车固定在起重臂根部，借助汽车吊依次拆除配重，保留根部一块3.32</w:t>
      </w:r>
      <w:r>
        <w:rPr>
          <w:rFonts w:ascii="宋体" w:hAnsi="宋体" w:eastAsia="宋体" w:cs="宋体"/>
        </w:rPr>
        <w:t>t</w:t>
      </w:r>
      <w:r>
        <w:rPr>
          <w:rFonts w:hint="eastAsia" w:ascii="宋体" w:hAnsi="宋体" w:eastAsia="宋体" w:cs="宋体"/>
        </w:rPr>
        <w:t>的配重。</w:t>
      </w:r>
    </w:p>
    <w:p>
      <w:pPr>
        <w:spacing w:after="0" w:afterLines="0" w:line="360" w:lineRule="auto"/>
        <w:ind w:firstLine="482"/>
        <w:rPr>
          <w:rFonts w:ascii="宋体" w:hAnsi="宋体" w:eastAsia="宋体" w:cs="宋体"/>
          <w:b/>
        </w:rPr>
      </w:pPr>
      <w:r>
        <w:rPr>
          <w:rFonts w:hint="eastAsia" w:ascii="宋体" w:hAnsi="宋体" w:eastAsia="宋体" w:cs="宋体"/>
          <w:b/>
        </w:rPr>
        <w:t>说明：拆除程序与工艺与安装刚好相反，不在详细叙述；</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拆卸起升钢丝绳</w:t>
      </w:r>
    </w:p>
    <w:p>
      <w:pPr>
        <w:spacing w:after="0" w:afterLines="0" w:line="360" w:lineRule="auto"/>
        <w:ind w:firstLine="480"/>
        <w:rPr>
          <w:rFonts w:ascii="宋体" w:hAnsi="宋体" w:eastAsia="宋体" w:cs="宋体"/>
        </w:rPr>
      </w:pPr>
      <w:r>
        <w:rPr>
          <w:rFonts w:hint="eastAsia" w:ascii="宋体" w:hAnsi="宋体" w:eastAsia="宋体" w:cs="宋体"/>
        </w:rPr>
        <w:t>将吊钩升起，用销轴将吊钩与小车固定，将臂端的起升绳绳卡打开，开动起升机构，将起升绳绕至起升卷筒之上，待用。</w:t>
      </w:r>
    </w:p>
    <w:p>
      <w:pPr>
        <w:spacing w:after="0" w:afterLines="0" w:line="360" w:lineRule="auto"/>
        <w:ind w:firstLine="480"/>
        <w:rPr>
          <w:rFonts w:ascii="Times New Roman" w:hAnsi="Times New Roman" w:eastAsia="宋体" w:cs="宋体"/>
        </w:rPr>
      </w:pPr>
      <w:r>
        <w:rPr>
          <w:rFonts w:hint="eastAsia" w:ascii="宋体" w:hAnsi="宋体" w:eastAsia="宋体" w:cs="宋体"/>
        </w:rPr>
        <w:t>将小跑车跑到起重臂根部指定位置（距离起重臂根部3m处）用手拉葫芦和钢丝绳将小车固定在起重臂上，防止小车在起重臂上发生位移。</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拆卸起重臂总成</w:t>
      </w:r>
    </w:p>
    <w:p>
      <w:pPr>
        <w:spacing w:after="0" w:afterLines="0" w:line="360" w:lineRule="auto"/>
        <w:ind w:firstLine="480"/>
        <w:rPr>
          <w:rFonts w:ascii="宋体" w:hAnsi="宋体" w:eastAsia="宋体" w:cs="宋体"/>
        </w:rPr>
      </w:pPr>
      <w:r>
        <w:rPr>
          <w:rFonts w:hint="eastAsia" w:ascii="宋体" w:hAnsi="宋体" w:eastAsia="宋体" w:cs="宋体"/>
        </w:rPr>
        <w:t>拆除起重臂前先将起升钢丝绳穿绕于塔帽与前连接拉杆的滑轮组上；开动卷扬机使钢丝绳受力，汽车吊缓缓起钩，起升卷扬机缓缓落钩，将前臂拉杆放置到前臂上拉杆托架内，穿好销轴，然后用铁丝固定，绑扎牢固。将前臂两根拉杆销轴打出；在调整汽车吊高度将前臂根部节销轴打出；打出销轴前应用2个2t手拉葫芦将起重臂与平衡臂固定，防止打出销轴大臂左右晃动碰撞设备及人员，发生事故。缓缓落钩将前臂放置于地面。</w:t>
      </w:r>
    </w:p>
    <w:p>
      <w:pPr>
        <w:numPr>
          <w:ilvl w:val="2"/>
          <w:numId w:val="3"/>
        </w:numPr>
        <w:spacing w:before="163" w:after="0" w:afterLines="0" w:line="360" w:lineRule="auto"/>
        <w:ind w:firstLine="200" w:firstLineChars="0"/>
        <w:outlineLvl w:val="2"/>
        <w:rPr>
          <w:rFonts w:ascii="Times New Roman" w:hAnsi="Times New Roman" w:eastAsia="宋体" w:cs="宋体"/>
          <w:b/>
          <w:bCs/>
        </w:rPr>
      </w:pPr>
      <w:r>
        <w:rPr>
          <w:rFonts w:hint="eastAsia" w:ascii="宋体" w:hAnsi="宋体" w:eastAsia="宋体" w:cs="宋体"/>
          <w:b/>
          <w:bCs/>
        </w:rPr>
        <w:t>拆卸剩余一块平衡重及平衡臂总成</w:t>
      </w:r>
    </w:p>
    <w:p>
      <w:pPr>
        <w:spacing w:after="0" w:afterLines="0" w:line="360" w:lineRule="auto"/>
        <w:ind w:firstLine="480"/>
        <w:rPr>
          <w:rFonts w:ascii="宋体" w:hAnsi="宋体" w:eastAsia="宋体" w:cs="宋体"/>
        </w:rPr>
      </w:pPr>
      <w:r>
        <w:rPr>
          <w:rFonts w:hint="eastAsia" w:ascii="宋体" w:hAnsi="宋体" w:eastAsia="宋体" w:cs="宋体"/>
        </w:rPr>
        <w:t>用汽车吊将剩余</w:t>
      </w:r>
      <w:r>
        <w:rPr>
          <w:rFonts w:ascii="宋体" w:hAnsi="宋体" w:eastAsia="宋体" w:cs="宋体"/>
        </w:rPr>
        <w:t>1</w:t>
      </w:r>
      <w:r>
        <w:rPr>
          <w:rFonts w:hint="eastAsia" w:ascii="宋体" w:hAnsi="宋体" w:eastAsia="宋体" w:cs="宋体"/>
        </w:rPr>
        <w:t>块3.32</w:t>
      </w:r>
      <w:r>
        <w:rPr>
          <w:rFonts w:ascii="宋体" w:hAnsi="宋体" w:eastAsia="宋体" w:cs="宋体"/>
        </w:rPr>
        <w:t>t</w:t>
      </w:r>
      <w:r>
        <w:rPr>
          <w:rFonts w:hint="eastAsia" w:ascii="宋体" w:hAnsi="宋体" w:eastAsia="宋体" w:cs="宋体"/>
        </w:rPr>
        <w:t>平衡重拆除；</w:t>
      </w:r>
    </w:p>
    <w:p>
      <w:pPr>
        <w:spacing w:after="0" w:afterLines="0" w:line="360" w:lineRule="auto"/>
        <w:ind w:firstLine="480"/>
        <w:rPr>
          <w:rFonts w:ascii="宋体" w:hAnsi="宋体" w:eastAsia="宋体" w:cs="宋体"/>
        </w:rPr>
      </w:pPr>
      <w:r>
        <w:rPr>
          <w:rFonts w:hint="eastAsia" w:ascii="宋体" w:hAnsi="宋体" w:eastAsia="宋体" w:cs="宋体"/>
        </w:rPr>
        <w:t>平衡臂上设有栏杆，走道和工作平台，平衡臂的一端用两根销轴与回转塔身连接，另一端则用两根刚性组合拉杆同塔顶连接。尾部节装有起升机构、电阻箱、电气控制箱。</w:t>
      </w:r>
    </w:p>
    <w:p>
      <w:pPr>
        <w:spacing w:after="0" w:afterLines="0" w:line="360" w:lineRule="auto"/>
        <w:ind w:firstLine="480"/>
        <w:rPr>
          <w:rFonts w:ascii="Times New Roman" w:hAnsi="Times New Roman" w:eastAsia="宋体" w:cs="宋体"/>
        </w:rPr>
      </w:pPr>
      <w:r>
        <w:rPr>
          <w:rFonts w:hint="eastAsia" w:ascii="宋体" w:hAnsi="宋体" w:eastAsia="宋体" w:cs="宋体"/>
        </w:rPr>
        <w:t>用</w:t>
      </w:r>
      <w:r>
        <w:rPr>
          <w:rFonts w:ascii="宋体" w:hAnsi="宋体" w:eastAsia="宋体" w:cs="宋体"/>
        </w:rPr>
        <w:t>4</w:t>
      </w:r>
      <w:r>
        <w:rPr>
          <w:rFonts w:hint="eastAsia" w:ascii="宋体" w:hAnsi="宋体" w:eastAsia="宋体" w:cs="宋体"/>
        </w:rPr>
        <w:t>根</w:t>
      </w:r>
      <w:r>
        <w:rPr>
          <w:rFonts w:ascii="宋体" w:hAnsi="宋体" w:eastAsia="宋体" w:cs="宋体"/>
        </w:rPr>
        <w:t>8m</w:t>
      </w:r>
      <w:r>
        <w:rPr>
          <w:rFonts w:hint="eastAsia" w:ascii="宋体" w:hAnsi="宋体" w:eastAsia="宋体" w:cs="宋体"/>
        </w:rPr>
        <w:t>长直径</w:t>
      </w:r>
      <w:r>
        <w:rPr>
          <w:rFonts w:ascii="宋体" w:hAnsi="宋体" w:eastAsia="宋体" w:cs="宋体"/>
        </w:rPr>
        <w:t>28mm</w:t>
      </w:r>
      <w:r>
        <w:rPr>
          <w:rFonts w:hint="eastAsia" w:ascii="宋体" w:hAnsi="宋体" w:eastAsia="宋体" w:cs="宋体"/>
        </w:rPr>
        <w:t>的钢丝绳通过</w:t>
      </w:r>
      <w:r>
        <w:rPr>
          <w:rFonts w:ascii="宋体" w:hAnsi="宋体" w:eastAsia="宋体" w:cs="宋体"/>
        </w:rPr>
        <w:t>4</w:t>
      </w:r>
      <w:r>
        <w:rPr>
          <w:rFonts w:hint="eastAsia" w:ascii="宋体" w:hAnsi="宋体" w:eastAsia="宋体" w:cs="宋体"/>
        </w:rPr>
        <w:t>个</w:t>
      </w:r>
      <w:r>
        <w:rPr>
          <w:rFonts w:ascii="宋体" w:hAnsi="宋体" w:eastAsia="宋体" w:cs="宋体"/>
        </w:rPr>
        <w:t>8t</w:t>
      </w:r>
      <w:r>
        <w:rPr>
          <w:rFonts w:hint="eastAsia" w:ascii="宋体" w:hAnsi="宋体" w:eastAsia="宋体" w:cs="宋体"/>
        </w:rPr>
        <w:t>卸扣与平衡臂的四个吊耳牢固连接，汽车吊缓缓起吊至可以将平衡臂与塔帽连接拉杆销轴打出，然后将平衡臂与回转支座连接销轴打出，汽车吊缓缓落钩将平衡臂吊装至地面。</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拆卸回转塔身</w:t>
      </w:r>
    </w:p>
    <w:p>
      <w:pPr>
        <w:spacing w:after="0" w:afterLines="0" w:line="360" w:lineRule="auto"/>
        <w:ind w:firstLine="480"/>
        <w:rPr>
          <w:rFonts w:ascii="宋体" w:hAnsi="宋体" w:eastAsia="宋体" w:cs="宋体"/>
        </w:rPr>
      </w:pPr>
      <w:r>
        <w:rPr>
          <w:rFonts w:hint="eastAsia" w:ascii="宋体" w:hAnsi="宋体" w:eastAsia="宋体" w:cs="宋体"/>
        </w:rPr>
        <w:t>拆除回转塔身，用汽车吊采用四点吊装，汽车吊缓缓起钩，待钢丝绳受力后停止起钩，将回转塔身与回转总成连接销轴打出，汽车吊车继续起钩，将塔顶吊至地面。</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拆卸回转总成</w:t>
      </w:r>
    </w:p>
    <w:p>
      <w:pPr>
        <w:spacing w:after="0" w:afterLines="0" w:line="360" w:lineRule="auto"/>
        <w:ind w:firstLine="480"/>
        <w:rPr>
          <w:rFonts w:ascii="宋体" w:hAnsi="宋体" w:eastAsia="宋体" w:cs="宋体"/>
        </w:rPr>
      </w:pPr>
      <w:r>
        <w:rPr>
          <w:rFonts w:hint="eastAsia" w:ascii="宋体" w:hAnsi="宋体" w:eastAsia="宋体" w:cs="宋体"/>
        </w:rPr>
        <w:t>先开动液压系统，使活塞杆伸出，将顶升横梁两端的销轴放在距离最近的标准节踏步的圆弧槽内并稍稍顶紧，拆掉下支座和爬升架连接销轴，回缩油缸活塞杆，使爬升架下落、让其爬爪搁在踏身节的塔步上，继续回收油缸活塞杆至原始位置。拆卸下支座与塔身的连接销轴</w:t>
      </w:r>
      <w:r>
        <w:rPr>
          <w:rFonts w:ascii="宋体" w:hAnsi="宋体" w:eastAsia="宋体" w:cs="宋体"/>
        </w:rPr>
        <w:t>,</w:t>
      </w:r>
      <w:r>
        <w:rPr>
          <w:rFonts w:hint="eastAsia" w:ascii="宋体" w:hAnsi="宋体" w:eastAsia="宋体" w:cs="宋体"/>
        </w:rPr>
        <w:t>再用吊索将回转总成吊起卸下。</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拆卸套架总成</w:t>
      </w:r>
    </w:p>
    <w:p>
      <w:pPr>
        <w:spacing w:after="0" w:afterLines="0" w:line="360" w:lineRule="auto"/>
        <w:ind w:firstLine="480"/>
        <w:rPr>
          <w:rFonts w:ascii="宋体" w:hAnsi="宋体" w:eastAsia="宋体" w:cs="宋体"/>
        </w:rPr>
      </w:pPr>
      <w:r>
        <w:rPr>
          <w:rFonts w:hint="eastAsia" w:ascii="宋体" w:hAnsi="宋体" w:eastAsia="宋体" w:cs="宋体"/>
        </w:rPr>
        <w:t>套架总成包含套架及液压顶升系统，汽车吊用</w:t>
      </w:r>
      <w:r>
        <w:rPr>
          <w:rFonts w:ascii="宋体" w:hAnsi="宋体" w:eastAsia="宋体" w:cs="宋体"/>
        </w:rPr>
        <w:t>8t</w:t>
      </w:r>
      <w:r>
        <w:rPr>
          <w:rFonts w:hint="eastAsia" w:ascii="宋体" w:hAnsi="宋体" w:eastAsia="宋体" w:cs="宋体"/>
        </w:rPr>
        <w:t>卡环采用</w:t>
      </w:r>
      <w:r>
        <w:rPr>
          <w:rFonts w:ascii="宋体" w:hAnsi="宋体" w:eastAsia="宋体" w:cs="宋体"/>
        </w:rPr>
        <w:t>4</w:t>
      </w:r>
      <w:r>
        <w:rPr>
          <w:rFonts w:hint="eastAsia" w:ascii="宋体" w:hAnsi="宋体" w:eastAsia="宋体" w:cs="宋体"/>
        </w:rPr>
        <w:t>点固定在套架端部耳板上，缓缓起钩，待钢丝绳受力后将套架从基础节上吊出，汽车吊起钩回转至空地进行解体装车。</w:t>
      </w:r>
    </w:p>
    <w:p>
      <w:pPr>
        <w:numPr>
          <w:ilvl w:val="2"/>
          <w:numId w:val="3"/>
        </w:numPr>
        <w:spacing w:before="163" w:after="0" w:afterLines="0" w:line="360" w:lineRule="auto"/>
        <w:ind w:firstLine="200" w:firstLineChars="0"/>
        <w:outlineLvl w:val="2"/>
        <w:rPr>
          <w:rFonts w:ascii="宋体" w:hAnsi="宋体" w:eastAsia="宋体" w:cs="宋体"/>
          <w:b/>
          <w:bCs/>
        </w:rPr>
      </w:pPr>
      <w:r>
        <w:rPr>
          <w:rFonts w:hint="eastAsia" w:ascii="宋体" w:hAnsi="宋体" w:eastAsia="宋体" w:cs="宋体"/>
          <w:b/>
          <w:bCs/>
        </w:rPr>
        <w:t>拆卸基础节</w:t>
      </w:r>
    </w:p>
    <w:p>
      <w:pPr>
        <w:spacing w:after="0" w:afterLines="0" w:line="360" w:lineRule="auto"/>
        <w:ind w:firstLine="480"/>
        <w:rPr>
          <w:rFonts w:ascii="宋体" w:hAnsi="宋体" w:eastAsia="宋体" w:cs="宋体"/>
        </w:rPr>
      </w:pPr>
      <w:r>
        <w:rPr>
          <w:rFonts w:hint="eastAsia" w:ascii="宋体" w:hAnsi="宋体" w:eastAsia="宋体" w:cs="宋体"/>
        </w:rPr>
        <w:t>汽车吊用</w:t>
      </w:r>
      <w:r>
        <w:rPr>
          <w:rFonts w:ascii="宋体" w:hAnsi="宋体" w:eastAsia="宋体" w:cs="宋体"/>
        </w:rPr>
        <w:t>8t</w:t>
      </w:r>
      <w:r>
        <w:rPr>
          <w:rFonts w:hint="eastAsia" w:ascii="宋体" w:hAnsi="宋体" w:eastAsia="宋体" w:cs="宋体"/>
        </w:rPr>
        <w:t>卡环采用</w:t>
      </w:r>
      <w:r>
        <w:rPr>
          <w:rFonts w:ascii="宋体" w:hAnsi="宋体" w:eastAsia="宋体" w:cs="宋体"/>
        </w:rPr>
        <w:t>4</w:t>
      </w:r>
      <w:r>
        <w:rPr>
          <w:rFonts w:hint="eastAsia" w:ascii="宋体" w:hAnsi="宋体" w:eastAsia="宋体" w:cs="宋体"/>
        </w:rPr>
        <w:t>点固定在基础节端部耳板上，缓缓起钩，待钢丝绳受力后将基础节与固定支脚连接销轴打出，汽车吊起钩回转至空地进行分解装车。</w:t>
      </w:r>
    </w:p>
    <w:p>
      <w:pPr>
        <w:spacing w:after="0" w:afterLines="0" w:line="360" w:lineRule="auto"/>
        <w:ind w:firstLine="480"/>
        <w:rPr>
          <w:rFonts w:ascii="宋体" w:hAnsi="宋体" w:eastAsia="宋体" w:cs="宋体"/>
        </w:rPr>
      </w:pPr>
      <w:r>
        <w:rPr>
          <w:rFonts w:hint="eastAsia" w:ascii="宋体" w:hAnsi="宋体" w:eastAsia="宋体" w:cs="宋体"/>
        </w:rPr>
        <w:t>注意：塔吊拆除散后，由工程技术人员和专业维修人员对主要受力的结构件应检查金属疲劳，焊缝裂纹，结构变形等情况，检查塔吊各零部件是否有损坏或碰伤等，检查完毕后，对缺陷、隐患进行修复后，再进行除锈、刷漆处理。</w:t>
      </w:r>
      <w:r>
        <w:rPr>
          <w:rFonts w:ascii="宋体" w:hAnsi="宋体" w:eastAsia="宋体" w:cs="宋体"/>
        </w:rPr>
        <w:t xml:space="preserve"> </w:t>
      </w:r>
    </w:p>
    <w:p>
      <w:pPr>
        <w:pStyle w:val="43"/>
      </w:pPr>
    </w:p>
    <w:p>
      <w:pPr>
        <w:keepNext/>
        <w:keepLines/>
        <w:spacing w:after="156" w:line="360" w:lineRule="auto"/>
        <w:ind w:firstLine="0" w:firstLineChars="0"/>
        <w:jc w:val="both"/>
        <w:outlineLvl w:val="0"/>
        <w:rPr>
          <w:rFonts w:ascii="宋体" w:hAnsi="宋体" w:eastAsia="宋体" w:cs="Times New Roman"/>
          <w:kern w:val="44"/>
        </w:rPr>
      </w:pPr>
      <w:bookmarkStart w:id="34" w:name="_Toc21605"/>
      <w:r>
        <w:rPr>
          <w:rFonts w:hint="eastAsia" w:ascii="宋体" w:hAnsi="宋体" w:eastAsia="宋体" w:cs="Times New Roman"/>
          <w:kern w:val="44"/>
        </w:rPr>
        <w:t>5、风险辨识与评估</w:t>
      </w:r>
    </w:p>
    <w:p>
      <w:pPr>
        <w:keepNext/>
        <w:keepLines/>
        <w:spacing w:after="156" w:line="360" w:lineRule="auto"/>
        <w:ind w:firstLine="240" w:firstLineChars="100"/>
        <w:jc w:val="both"/>
        <w:outlineLvl w:val="1"/>
        <w:rPr>
          <w:rFonts w:ascii="宋体" w:hAnsi="宋体" w:eastAsia="宋体" w:cs="Times New Roman"/>
        </w:rPr>
      </w:pPr>
      <w:bookmarkStart w:id="35" w:name="_Toc528139702"/>
      <w:bookmarkStart w:id="36" w:name="_Toc21293"/>
      <w:bookmarkStart w:id="37" w:name="_Toc515971578"/>
      <w:r>
        <w:rPr>
          <w:rFonts w:hint="eastAsia" w:ascii="宋体" w:hAnsi="宋体" w:eastAsia="宋体" w:cs="Times New Roman"/>
        </w:rPr>
        <w:t>5.1风险源辨识</w:t>
      </w:r>
      <w:bookmarkEnd w:id="35"/>
      <w:bookmarkEnd w:id="36"/>
      <w:bookmarkEnd w:id="37"/>
    </w:p>
    <w:p>
      <w:pPr>
        <w:spacing w:after="156"/>
        <w:ind w:firstLine="480"/>
        <w:sectPr>
          <w:footerReference r:id="rId7" w:type="default"/>
          <w:pgSz w:w="11906" w:h="16838"/>
          <w:pgMar w:top="1418" w:right="1134" w:bottom="1134" w:left="1588" w:header="737" w:footer="964" w:gutter="0"/>
          <w:cols w:space="720" w:num="1"/>
          <w:docGrid w:type="linesAndChars" w:linePitch="312" w:charSpace="0"/>
        </w:sectPr>
      </w:pPr>
      <w:r>
        <w:rPr>
          <w:rFonts w:hint="eastAsia" w:ascii="宋体" w:hAnsi="宋体" w:eastAsia="宋体" w:cs="Times New Roman"/>
        </w:rPr>
        <w:t>塔机安装施工期间可能发生的各种安全风险源等事故，具体见以下风险源辨识表：</w:t>
      </w:r>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表5.1-1 风险源辨识与评估表</w:t>
      </w:r>
    </w:p>
    <w:tbl>
      <w:tblPr>
        <w:tblStyle w:val="48"/>
        <w:tblW w:w="13909" w:type="dxa"/>
        <w:jc w:val="center"/>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fixed"/>
        <w:tblCellMar>
          <w:top w:w="0" w:type="dxa"/>
          <w:left w:w="108" w:type="dxa"/>
          <w:bottom w:w="0" w:type="dxa"/>
          <w:right w:w="108" w:type="dxa"/>
        </w:tblCellMar>
      </w:tblPr>
      <w:tblGrid>
        <w:gridCol w:w="686"/>
        <w:gridCol w:w="1707"/>
        <w:gridCol w:w="1984"/>
        <w:gridCol w:w="1985"/>
        <w:gridCol w:w="709"/>
        <w:gridCol w:w="708"/>
        <w:gridCol w:w="709"/>
        <w:gridCol w:w="709"/>
        <w:gridCol w:w="1134"/>
        <w:gridCol w:w="3578"/>
      </w:tblGrid>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tblHeader/>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序号</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作业工序</w:t>
            </w:r>
          </w:p>
        </w:tc>
        <w:tc>
          <w:tcPr>
            <w:tcW w:w="198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致险因子</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事故类型</w:t>
            </w:r>
          </w:p>
        </w:tc>
        <w:tc>
          <w:tcPr>
            <w:tcW w:w="2835" w:type="dxa"/>
            <w:gridSpan w:val="4"/>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风险估测</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评定结果</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控制措施</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tblHeader/>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L</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E</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C</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D</w:t>
            </w: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1707"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设备运输至现场</w:t>
            </w: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车辆伤害</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21</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车辆进入作业区域减速慢行</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施工准备和施工配合</w:t>
            </w: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挤压和碰撞伤害</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21</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1、正确穿戴劳动防护用品</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2、正确指挥，不违章作业</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防护缺失</w:t>
            </w: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起重臂拼装</w:t>
            </w: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780" w:hRule="exact"/>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标准节、起重臂、配重、爬升架、回转总成、塔顶吊装</w:t>
            </w: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3、按要求用缆风绳锚固门腿</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7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5</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起重臂、平衡臂连接，高空作业</w:t>
            </w:r>
          </w:p>
        </w:tc>
        <w:tc>
          <w:tcPr>
            <w:tcW w:w="198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人的不安全行为</w:t>
            </w: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高处坠落</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150</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作业人员正确使用安全带</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物体打击</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严禁高空抛物</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安装平衡重</w:t>
            </w:r>
          </w:p>
        </w:tc>
        <w:tc>
          <w:tcPr>
            <w:tcW w:w="198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人的不安全行为</w:t>
            </w: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高处坠落</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150</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作业人员正确使用安全带</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物体打击</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严禁高空抛物</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1707"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操作室、控制柜安装</w:t>
            </w:r>
          </w:p>
        </w:tc>
        <w:tc>
          <w:tcPr>
            <w:tcW w:w="198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人的不安全行为</w:t>
            </w: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高处坠落</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150</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作业人员正确使用安全带</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物体打击</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42</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严禁高空抛物</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机械故障</w:t>
            </w:r>
          </w:p>
        </w:tc>
        <w:tc>
          <w:tcPr>
            <w:tcW w:w="1985"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起重伤害</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vMerge w:val="restart"/>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1、严格做好起重设备检查验收</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2、正确指挥，不超负荷作业</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709"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134"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3578"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707" w:type="dxa"/>
            <w:vMerge w:val="continue"/>
            <w:shd w:val="clear" w:color="auto" w:fill="auto"/>
            <w:vAlign w:val="center"/>
          </w:tcPr>
          <w:p>
            <w:pPr>
              <w:adjustRightInd/>
              <w:snapToGrid/>
              <w:spacing w:after="0" w:afterLines="0" w:line="240" w:lineRule="auto"/>
              <w:ind w:firstLine="0" w:firstLineChars="0"/>
              <w:jc w:val="center"/>
              <w:rPr>
                <w:rFonts w:ascii="宋体" w:hAnsi="宋体" w:eastAsia="宋体" w:cs="宋体"/>
              </w:rPr>
            </w:pP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高温天气</w:t>
            </w: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中暑</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0.5</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21</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一般危险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1、调整作业时间，避开中午高温作业</w:t>
            </w:r>
          </w:p>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2、现场备好饮料、防暑药品</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exact"/>
          <w:jc w:val="center"/>
        </w:trPr>
        <w:tc>
          <w:tcPr>
            <w:tcW w:w="686"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8</w:t>
            </w:r>
          </w:p>
        </w:tc>
        <w:tc>
          <w:tcPr>
            <w:tcW w:w="1707"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电气调试</w:t>
            </w:r>
          </w:p>
        </w:tc>
        <w:tc>
          <w:tcPr>
            <w:tcW w:w="198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违章作业</w:t>
            </w:r>
          </w:p>
        </w:tc>
        <w:tc>
          <w:tcPr>
            <w:tcW w:w="1985"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触电</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w:t>
            </w:r>
          </w:p>
        </w:tc>
        <w:tc>
          <w:tcPr>
            <w:tcW w:w="70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15</w:t>
            </w:r>
          </w:p>
        </w:tc>
        <w:tc>
          <w:tcPr>
            <w:tcW w:w="709"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90</w:t>
            </w:r>
          </w:p>
        </w:tc>
        <w:tc>
          <w:tcPr>
            <w:tcW w:w="1134"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显著危险</w:t>
            </w:r>
          </w:p>
        </w:tc>
        <w:tc>
          <w:tcPr>
            <w:tcW w:w="3578" w:type="dxa"/>
            <w:shd w:val="clear" w:color="auto" w:fill="auto"/>
            <w:vAlign w:val="center"/>
          </w:tcPr>
          <w:p>
            <w:pPr>
              <w:adjustRightInd/>
              <w:snapToGrid/>
              <w:spacing w:after="0" w:afterLines="0" w:line="240" w:lineRule="auto"/>
              <w:ind w:firstLine="0" w:firstLineChars="0"/>
              <w:jc w:val="center"/>
              <w:rPr>
                <w:rFonts w:ascii="宋体" w:hAnsi="宋体" w:eastAsia="宋体" w:cs="宋体"/>
              </w:rPr>
            </w:pPr>
            <w:r>
              <w:rPr>
                <w:rFonts w:hint="eastAsia" w:ascii="宋体" w:hAnsi="宋体" w:eastAsia="宋体" w:cs="宋体"/>
              </w:rPr>
              <w:t>作业人员佩戴绝缘手套，穿绝缘鞋</w:t>
            </w:r>
          </w:p>
        </w:tc>
      </w:tr>
    </w:tbl>
    <w:p>
      <w:pPr>
        <w:spacing w:after="163"/>
        <w:ind w:firstLine="480"/>
        <w:sectPr>
          <w:headerReference r:id="rId8" w:type="default"/>
          <w:pgSz w:w="16838" w:h="11906" w:orient="landscape"/>
          <w:pgMar w:top="1418" w:right="1134" w:bottom="1134" w:left="1588" w:header="851" w:footer="992" w:gutter="0"/>
          <w:cols w:space="720" w:num="1"/>
          <w:docGrid w:type="linesAndChars" w:linePitch="326" w:charSpace="0"/>
        </w:sectPr>
      </w:pPr>
    </w:p>
    <w:p>
      <w:pPr>
        <w:keepNext/>
        <w:keepLines/>
        <w:spacing w:after="120" w:line="360" w:lineRule="auto"/>
        <w:ind w:firstLine="240" w:firstLineChars="100"/>
        <w:jc w:val="both"/>
        <w:outlineLvl w:val="1"/>
        <w:rPr>
          <w:rFonts w:ascii="宋体" w:hAnsi="宋体" w:eastAsia="宋体" w:cs="Times New Roman"/>
        </w:rPr>
      </w:pPr>
      <w:bookmarkStart w:id="38" w:name="_Toc528139703"/>
      <w:bookmarkStart w:id="39" w:name="_Toc322"/>
      <w:bookmarkStart w:id="40" w:name="_Toc515971581"/>
      <w:r>
        <w:rPr>
          <w:rFonts w:hint="eastAsia" w:ascii="宋体" w:hAnsi="宋体" w:eastAsia="宋体" w:cs="Times New Roman"/>
        </w:rPr>
        <w:t>5.2风险因素评估</w:t>
      </w:r>
      <w:bookmarkEnd w:id="38"/>
      <w:bookmarkEnd w:id="39"/>
      <w:bookmarkEnd w:id="40"/>
    </w:p>
    <w:p>
      <w:pPr>
        <w:pStyle w:val="49"/>
        <w:ind w:firstLine="480"/>
        <w:rPr>
          <w:szCs w:val="24"/>
        </w:rPr>
      </w:pPr>
      <w:r>
        <w:rPr>
          <w:rFonts w:hint="eastAsia"/>
          <w:szCs w:val="24"/>
        </w:rPr>
        <w:t>风险因素评估采用定性或定量的方法对风险事故发生的可能性及严重程度进行数量估算，采用LEC法</w:t>
      </w:r>
      <w:r>
        <w:rPr>
          <w:szCs w:val="24"/>
        </w:rPr>
        <w:t>，进行赋值</w:t>
      </w:r>
      <w:r>
        <w:rPr>
          <w:rFonts w:hint="eastAsia"/>
          <w:szCs w:val="24"/>
        </w:rPr>
        <w:t>计算。</w:t>
      </w:r>
    </w:p>
    <w:p>
      <w:pPr>
        <w:spacing w:after="120" w:line="360" w:lineRule="auto"/>
        <w:ind w:firstLine="480"/>
        <w:outlineLvl w:val="2"/>
        <w:rPr>
          <w:rFonts w:ascii="宋体" w:hAnsi="宋体" w:eastAsia="宋体" w:cs="Times New Roman"/>
        </w:rPr>
      </w:pPr>
      <w:bookmarkStart w:id="41" w:name="_Toc528139704"/>
      <w:r>
        <w:rPr>
          <w:rFonts w:hint="eastAsia" w:ascii="宋体" w:hAnsi="宋体" w:eastAsia="宋体" w:cs="Times New Roman"/>
        </w:rPr>
        <w:t>5.2.1 LEC评价法事故发生的可能性（L）</w:t>
      </w:r>
      <w:bookmarkEnd w:id="41"/>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表5.2-1 LEC事故发生可能性</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3105"/>
        <w:gridCol w:w="6262"/>
      </w:tblGrid>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分数值</w:t>
            </w:r>
          </w:p>
        </w:tc>
        <w:tc>
          <w:tcPr>
            <w:tcW w:w="3342" w:type="pct"/>
            <w:shd w:val="clear" w:color="auto" w:fill="auto"/>
            <w:vAlign w:val="center"/>
          </w:tcPr>
          <w:p>
            <w:pPr>
              <w:pStyle w:val="50"/>
              <w:ind w:firstLine="480"/>
              <w:rPr>
                <w:sz w:val="24"/>
                <w:szCs w:val="24"/>
                <w:lang w:val="en-US"/>
              </w:rPr>
            </w:pPr>
            <w:r>
              <w:rPr>
                <w:sz w:val="24"/>
                <w:szCs w:val="24"/>
                <w:lang w:val="en-US"/>
              </w:rPr>
              <w:t>事故发生的可能性</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10</w:t>
            </w:r>
          </w:p>
        </w:tc>
        <w:tc>
          <w:tcPr>
            <w:tcW w:w="3342" w:type="pct"/>
            <w:shd w:val="clear" w:color="auto" w:fill="auto"/>
            <w:vAlign w:val="center"/>
          </w:tcPr>
          <w:p>
            <w:pPr>
              <w:pStyle w:val="50"/>
              <w:ind w:firstLine="480"/>
              <w:rPr>
                <w:sz w:val="24"/>
                <w:szCs w:val="24"/>
                <w:lang w:val="en-US"/>
              </w:rPr>
            </w:pPr>
            <w:r>
              <w:rPr>
                <w:sz w:val="24"/>
                <w:szCs w:val="24"/>
                <w:lang w:val="en-US"/>
              </w:rPr>
              <w:t>完全可以预料</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6</w:t>
            </w:r>
          </w:p>
        </w:tc>
        <w:tc>
          <w:tcPr>
            <w:tcW w:w="3342" w:type="pct"/>
            <w:shd w:val="clear" w:color="auto" w:fill="auto"/>
            <w:vAlign w:val="center"/>
          </w:tcPr>
          <w:p>
            <w:pPr>
              <w:pStyle w:val="50"/>
              <w:ind w:firstLine="480"/>
              <w:rPr>
                <w:sz w:val="24"/>
                <w:szCs w:val="24"/>
                <w:lang w:val="en-US"/>
              </w:rPr>
            </w:pPr>
            <w:r>
              <w:rPr>
                <w:sz w:val="24"/>
                <w:szCs w:val="24"/>
                <w:lang w:val="en-US"/>
              </w:rPr>
              <w:t>相当可能</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3</w:t>
            </w:r>
          </w:p>
        </w:tc>
        <w:tc>
          <w:tcPr>
            <w:tcW w:w="3342" w:type="pct"/>
            <w:shd w:val="clear" w:color="auto" w:fill="auto"/>
            <w:vAlign w:val="center"/>
          </w:tcPr>
          <w:p>
            <w:pPr>
              <w:pStyle w:val="50"/>
              <w:ind w:firstLine="480"/>
              <w:rPr>
                <w:sz w:val="24"/>
                <w:szCs w:val="24"/>
                <w:lang w:val="en-US"/>
              </w:rPr>
            </w:pPr>
            <w:r>
              <w:rPr>
                <w:sz w:val="24"/>
                <w:szCs w:val="24"/>
                <w:lang w:val="en-US"/>
              </w:rPr>
              <w:t>可能，但不经常</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1</w:t>
            </w:r>
          </w:p>
        </w:tc>
        <w:tc>
          <w:tcPr>
            <w:tcW w:w="3342" w:type="pct"/>
            <w:shd w:val="clear" w:color="auto" w:fill="auto"/>
            <w:vAlign w:val="center"/>
          </w:tcPr>
          <w:p>
            <w:pPr>
              <w:pStyle w:val="50"/>
              <w:ind w:firstLine="480"/>
              <w:rPr>
                <w:sz w:val="24"/>
                <w:szCs w:val="24"/>
                <w:lang w:val="en-US"/>
              </w:rPr>
            </w:pPr>
            <w:r>
              <w:rPr>
                <w:sz w:val="24"/>
                <w:szCs w:val="24"/>
                <w:lang w:val="en-US"/>
              </w:rPr>
              <w:t>可能性小，完全意外</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0.5</w:t>
            </w:r>
          </w:p>
        </w:tc>
        <w:tc>
          <w:tcPr>
            <w:tcW w:w="3342" w:type="pct"/>
            <w:shd w:val="clear" w:color="auto" w:fill="auto"/>
            <w:vAlign w:val="center"/>
          </w:tcPr>
          <w:p>
            <w:pPr>
              <w:pStyle w:val="50"/>
              <w:ind w:firstLine="480"/>
              <w:rPr>
                <w:sz w:val="24"/>
                <w:szCs w:val="24"/>
                <w:lang w:val="en-US"/>
              </w:rPr>
            </w:pPr>
            <w:r>
              <w:rPr>
                <w:sz w:val="24"/>
                <w:szCs w:val="24"/>
                <w:lang w:val="en-US"/>
              </w:rPr>
              <w:t>很不可能，可以设想</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0.2</w:t>
            </w:r>
          </w:p>
        </w:tc>
        <w:tc>
          <w:tcPr>
            <w:tcW w:w="3342" w:type="pct"/>
            <w:shd w:val="clear" w:color="auto" w:fill="auto"/>
            <w:vAlign w:val="center"/>
          </w:tcPr>
          <w:p>
            <w:pPr>
              <w:pStyle w:val="50"/>
              <w:ind w:firstLine="480"/>
              <w:rPr>
                <w:sz w:val="24"/>
                <w:szCs w:val="24"/>
                <w:lang w:val="en-US"/>
              </w:rPr>
            </w:pPr>
            <w:r>
              <w:rPr>
                <w:sz w:val="24"/>
                <w:szCs w:val="24"/>
                <w:lang w:val="en-US"/>
              </w:rPr>
              <w:t>极不可能</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657" w:type="pct"/>
            <w:shd w:val="clear" w:color="auto" w:fill="auto"/>
            <w:vAlign w:val="center"/>
          </w:tcPr>
          <w:p>
            <w:pPr>
              <w:pStyle w:val="50"/>
              <w:ind w:firstLine="480"/>
              <w:rPr>
                <w:sz w:val="24"/>
                <w:szCs w:val="24"/>
                <w:lang w:val="en-US"/>
              </w:rPr>
            </w:pPr>
            <w:r>
              <w:rPr>
                <w:sz w:val="24"/>
                <w:szCs w:val="24"/>
                <w:lang w:val="en-US"/>
              </w:rPr>
              <w:t>0.1</w:t>
            </w:r>
          </w:p>
        </w:tc>
        <w:tc>
          <w:tcPr>
            <w:tcW w:w="3342" w:type="pct"/>
            <w:shd w:val="clear" w:color="auto" w:fill="auto"/>
            <w:vAlign w:val="center"/>
          </w:tcPr>
          <w:p>
            <w:pPr>
              <w:pStyle w:val="50"/>
              <w:ind w:firstLine="480"/>
              <w:rPr>
                <w:sz w:val="24"/>
                <w:szCs w:val="24"/>
                <w:lang w:val="en-US"/>
              </w:rPr>
            </w:pPr>
            <w:r>
              <w:rPr>
                <w:sz w:val="24"/>
                <w:szCs w:val="24"/>
                <w:lang w:val="en-US"/>
              </w:rPr>
              <w:t>实际不可能</w:t>
            </w:r>
          </w:p>
        </w:tc>
      </w:tr>
    </w:tbl>
    <w:p>
      <w:pPr>
        <w:spacing w:after="120" w:line="360" w:lineRule="auto"/>
        <w:ind w:firstLine="480"/>
        <w:outlineLvl w:val="2"/>
        <w:rPr>
          <w:rFonts w:ascii="宋体" w:hAnsi="宋体" w:eastAsia="宋体" w:cs="Times New Roman"/>
        </w:rPr>
      </w:pPr>
      <w:bookmarkStart w:id="42" w:name="_Toc528139705"/>
      <w:r>
        <w:rPr>
          <w:rFonts w:hint="eastAsia" w:ascii="宋体" w:hAnsi="宋体" w:eastAsia="宋体" w:cs="Times New Roman"/>
        </w:rPr>
        <w:t>5.2.2 LEC评价法暴露于危险环境的频繁程度（E）</w:t>
      </w:r>
      <w:bookmarkEnd w:id="42"/>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表5.2-2 LEC法暴露于危险环境的频繁程度</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2657"/>
        <w:gridCol w:w="6710"/>
      </w:tblGrid>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分数值</w:t>
            </w:r>
          </w:p>
        </w:tc>
        <w:tc>
          <w:tcPr>
            <w:tcW w:w="3581" w:type="pct"/>
            <w:shd w:val="clear" w:color="auto" w:fill="auto"/>
            <w:vAlign w:val="center"/>
          </w:tcPr>
          <w:p>
            <w:pPr>
              <w:pStyle w:val="50"/>
              <w:ind w:firstLine="0" w:firstLineChars="0"/>
              <w:rPr>
                <w:sz w:val="24"/>
                <w:szCs w:val="24"/>
                <w:lang w:val="en-US"/>
              </w:rPr>
            </w:pPr>
            <w:r>
              <w:rPr>
                <w:sz w:val="24"/>
                <w:szCs w:val="24"/>
                <w:lang w:val="en-US"/>
              </w:rPr>
              <w:t>暴露于危险环境的频繁程度</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10</w:t>
            </w:r>
          </w:p>
        </w:tc>
        <w:tc>
          <w:tcPr>
            <w:tcW w:w="3581" w:type="pct"/>
            <w:shd w:val="clear" w:color="auto" w:fill="auto"/>
            <w:vAlign w:val="center"/>
          </w:tcPr>
          <w:p>
            <w:pPr>
              <w:pStyle w:val="50"/>
              <w:ind w:firstLine="0" w:firstLineChars="0"/>
              <w:rPr>
                <w:sz w:val="24"/>
                <w:szCs w:val="24"/>
                <w:lang w:val="en-US"/>
              </w:rPr>
            </w:pPr>
            <w:r>
              <w:rPr>
                <w:sz w:val="24"/>
                <w:szCs w:val="24"/>
                <w:lang w:val="en-US"/>
              </w:rPr>
              <w:t>连续暴露</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6</w:t>
            </w:r>
          </w:p>
        </w:tc>
        <w:tc>
          <w:tcPr>
            <w:tcW w:w="3581" w:type="pct"/>
            <w:shd w:val="clear" w:color="auto" w:fill="auto"/>
            <w:vAlign w:val="center"/>
          </w:tcPr>
          <w:p>
            <w:pPr>
              <w:pStyle w:val="50"/>
              <w:ind w:firstLine="0" w:firstLineChars="0"/>
              <w:rPr>
                <w:sz w:val="24"/>
                <w:szCs w:val="24"/>
                <w:lang w:val="en-US"/>
              </w:rPr>
            </w:pPr>
            <w:r>
              <w:rPr>
                <w:sz w:val="24"/>
                <w:szCs w:val="24"/>
                <w:lang w:val="en-US"/>
              </w:rPr>
              <w:t>每天工作时间内暴露</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3</w:t>
            </w:r>
          </w:p>
        </w:tc>
        <w:tc>
          <w:tcPr>
            <w:tcW w:w="3581" w:type="pct"/>
            <w:shd w:val="clear" w:color="auto" w:fill="auto"/>
            <w:vAlign w:val="center"/>
          </w:tcPr>
          <w:p>
            <w:pPr>
              <w:pStyle w:val="50"/>
              <w:ind w:firstLine="0" w:firstLineChars="0"/>
              <w:rPr>
                <w:sz w:val="24"/>
                <w:szCs w:val="24"/>
                <w:lang w:val="en-US"/>
              </w:rPr>
            </w:pPr>
            <w:r>
              <w:rPr>
                <w:sz w:val="24"/>
                <w:szCs w:val="24"/>
                <w:lang w:val="en-US"/>
              </w:rPr>
              <w:t>每周一次或偶然暴露</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2</w:t>
            </w:r>
          </w:p>
        </w:tc>
        <w:tc>
          <w:tcPr>
            <w:tcW w:w="3581" w:type="pct"/>
            <w:shd w:val="clear" w:color="auto" w:fill="auto"/>
            <w:vAlign w:val="center"/>
          </w:tcPr>
          <w:p>
            <w:pPr>
              <w:pStyle w:val="50"/>
              <w:ind w:firstLine="0" w:firstLineChars="0"/>
              <w:rPr>
                <w:sz w:val="24"/>
                <w:szCs w:val="24"/>
                <w:lang w:val="en-US"/>
              </w:rPr>
            </w:pPr>
            <w:r>
              <w:rPr>
                <w:sz w:val="24"/>
                <w:szCs w:val="24"/>
                <w:lang w:val="en-US"/>
              </w:rPr>
              <w:t>每月一次暴露</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1</w:t>
            </w:r>
          </w:p>
        </w:tc>
        <w:tc>
          <w:tcPr>
            <w:tcW w:w="3581" w:type="pct"/>
            <w:shd w:val="clear" w:color="auto" w:fill="auto"/>
            <w:vAlign w:val="center"/>
          </w:tcPr>
          <w:p>
            <w:pPr>
              <w:pStyle w:val="50"/>
              <w:ind w:firstLine="0" w:firstLineChars="0"/>
              <w:rPr>
                <w:sz w:val="24"/>
                <w:szCs w:val="24"/>
                <w:lang w:val="en-US"/>
              </w:rPr>
            </w:pPr>
            <w:r>
              <w:rPr>
                <w:sz w:val="24"/>
                <w:szCs w:val="24"/>
                <w:lang w:val="en-US"/>
              </w:rPr>
              <w:t>每年几次暴露</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40" w:hRule="atLeast"/>
          <w:jc w:val="center"/>
        </w:trPr>
        <w:tc>
          <w:tcPr>
            <w:tcW w:w="1418" w:type="pct"/>
            <w:shd w:val="clear" w:color="auto" w:fill="auto"/>
            <w:vAlign w:val="center"/>
          </w:tcPr>
          <w:p>
            <w:pPr>
              <w:pStyle w:val="50"/>
              <w:ind w:firstLine="0" w:firstLineChars="0"/>
              <w:rPr>
                <w:sz w:val="24"/>
                <w:szCs w:val="24"/>
                <w:lang w:val="en-US"/>
              </w:rPr>
            </w:pPr>
            <w:r>
              <w:rPr>
                <w:sz w:val="24"/>
                <w:szCs w:val="24"/>
                <w:lang w:val="en-US"/>
              </w:rPr>
              <w:t>0.5</w:t>
            </w:r>
          </w:p>
        </w:tc>
        <w:tc>
          <w:tcPr>
            <w:tcW w:w="3581" w:type="pct"/>
            <w:shd w:val="clear" w:color="auto" w:fill="auto"/>
            <w:vAlign w:val="center"/>
          </w:tcPr>
          <w:p>
            <w:pPr>
              <w:pStyle w:val="50"/>
              <w:ind w:firstLine="0" w:firstLineChars="0"/>
              <w:rPr>
                <w:sz w:val="24"/>
                <w:szCs w:val="24"/>
                <w:lang w:val="en-US"/>
              </w:rPr>
            </w:pPr>
            <w:r>
              <w:rPr>
                <w:sz w:val="24"/>
                <w:szCs w:val="24"/>
                <w:lang w:val="en-US"/>
              </w:rPr>
              <w:t>非常罕见暴露</w:t>
            </w:r>
          </w:p>
        </w:tc>
      </w:tr>
    </w:tbl>
    <w:p>
      <w:pPr>
        <w:spacing w:after="120" w:line="360" w:lineRule="auto"/>
        <w:ind w:firstLine="480"/>
        <w:outlineLvl w:val="2"/>
        <w:rPr>
          <w:rFonts w:ascii="宋体" w:hAnsi="宋体" w:eastAsia="宋体" w:cs="Times New Roman"/>
        </w:rPr>
      </w:pPr>
      <w:bookmarkStart w:id="43" w:name="_Toc528139706"/>
      <w:r>
        <w:rPr>
          <w:rFonts w:hint="eastAsia" w:ascii="宋体" w:hAnsi="宋体" w:eastAsia="宋体" w:cs="Times New Roman"/>
        </w:rPr>
        <w:t>5.2.3 LEC评价法发生事故产生的后果（C）</w:t>
      </w:r>
      <w:bookmarkEnd w:id="43"/>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 xml:space="preserve">表 </w:t>
      </w:r>
      <w:r>
        <w:rPr>
          <w:rFonts w:hint="eastAsia" w:ascii="宋体" w:hAnsi="宋体" w:eastAsia="宋体" w:cs="Times New Roman"/>
        </w:rPr>
        <w:fldChar w:fldCharType="begin"/>
      </w:r>
      <w:r>
        <w:rPr>
          <w:rFonts w:hint="eastAsia" w:ascii="宋体" w:hAnsi="宋体" w:eastAsia="宋体" w:cs="Times New Roman"/>
        </w:rPr>
        <w:instrText xml:space="preserve"> STYLEREF 2 \s </w:instrText>
      </w:r>
      <w:r>
        <w:rPr>
          <w:rFonts w:hint="eastAsia" w:ascii="宋体" w:hAnsi="宋体" w:eastAsia="宋体" w:cs="Times New Roman"/>
        </w:rPr>
        <w:fldChar w:fldCharType="separate"/>
      </w:r>
      <w:r>
        <w:rPr>
          <w:rFonts w:hint="eastAsia" w:ascii="宋体" w:hAnsi="宋体" w:eastAsia="宋体" w:cs="Times New Roman"/>
        </w:rPr>
        <w:t>5.2</w:t>
      </w:r>
      <w:r>
        <w:rPr>
          <w:rFonts w:hint="eastAsia" w:ascii="宋体" w:hAnsi="宋体" w:eastAsia="宋体" w:cs="Times New Roman"/>
        </w:rPr>
        <w:fldChar w:fldCharType="end"/>
      </w:r>
      <w:r>
        <w:rPr>
          <w:rFonts w:hint="eastAsia" w:ascii="宋体" w:hAnsi="宋体" w:eastAsia="宋体" w:cs="Times New Roman"/>
        </w:rPr>
        <w:noBreakHyphen/>
      </w:r>
      <w:r>
        <w:rPr>
          <w:rFonts w:hint="eastAsia" w:ascii="宋体" w:hAnsi="宋体" w:eastAsia="宋体" w:cs="Times New Roman"/>
        </w:rPr>
        <w:fldChar w:fldCharType="begin"/>
      </w:r>
      <w:r>
        <w:rPr>
          <w:rFonts w:hint="eastAsia" w:ascii="宋体" w:hAnsi="宋体" w:eastAsia="宋体" w:cs="Times New Roman"/>
        </w:rPr>
        <w:instrText xml:space="preserve"> SEQ biao2 \* ARABIC \s 2 </w:instrText>
      </w:r>
      <w:r>
        <w:rPr>
          <w:rFonts w:hint="eastAsia" w:ascii="宋体" w:hAnsi="宋体" w:eastAsia="宋体" w:cs="Times New Roman"/>
        </w:rPr>
        <w:fldChar w:fldCharType="separate"/>
      </w:r>
      <w:r>
        <w:rPr>
          <w:rFonts w:hint="eastAsia" w:ascii="宋体" w:hAnsi="宋体" w:eastAsia="宋体" w:cs="Times New Roman"/>
        </w:rPr>
        <w:t>3</w:t>
      </w:r>
      <w:r>
        <w:rPr>
          <w:rFonts w:hint="eastAsia" w:ascii="宋体" w:hAnsi="宋体" w:eastAsia="宋体" w:cs="Times New Roman"/>
        </w:rPr>
        <w:fldChar w:fldCharType="end"/>
      </w:r>
      <w:r>
        <w:rPr>
          <w:rFonts w:hint="eastAsia" w:ascii="宋体" w:hAnsi="宋体" w:eastAsia="宋体" w:cs="Times New Roman"/>
        </w:rPr>
        <w:t xml:space="preserve"> LEC事故后果表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2683"/>
        <w:gridCol w:w="6684"/>
      </w:tblGrid>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分数值</w:t>
            </w:r>
          </w:p>
        </w:tc>
        <w:tc>
          <w:tcPr>
            <w:tcW w:w="3567" w:type="pct"/>
            <w:shd w:val="clear" w:color="auto" w:fill="auto"/>
            <w:vAlign w:val="center"/>
          </w:tcPr>
          <w:p>
            <w:pPr>
              <w:pStyle w:val="50"/>
              <w:ind w:firstLine="0" w:firstLineChars="0"/>
              <w:rPr>
                <w:sz w:val="24"/>
                <w:szCs w:val="24"/>
                <w:lang w:val="en-US"/>
              </w:rPr>
            </w:pPr>
            <w:r>
              <w:rPr>
                <w:sz w:val="24"/>
                <w:szCs w:val="24"/>
                <w:lang w:val="en-US"/>
              </w:rPr>
              <w:t>发生事故产生的后果</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100</w:t>
            </w:r>
          </w:p>
        </w:tc>
        <w:tc>
          <w:tcPr>
            <w:tcW w:w="3567" w:type="pct"/>
            <w:shd w:val="clear" w:color="auto" w:fill="auto"/>
            <w:vAlign w:val="center"/>
          </w:tcPr>
          <w:p>
            <w:pPr>
              <w:pStyle w:val="50"/>
              <w:ind w:firstLine="0" w:firstLineChars="0"/>
              <w:rPr>
                <w:sz w:val="24"/>
                <w:szCs w:val="24"/>
                <w:lang w:val="en-US"/>
              </w:rPr>
            </w:pPr>
            <w:r>
              <w:rPr>
                <w:sz w:val="24"/>
                <w:szCs w:val="24"/>
                <w:lang w:val="en-US"/>
              </w:rPr>
              <w:t>10人以上死亡</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40</w:t>
            </w:r>
          </w:p>
        </w:tc>
        <w:tc>
          <w:tcPr>
            <w:tcW w:w="3567" w:type="pct"/>
            <w:shd w:val="clear" w:color="auto" w:fill="auto"/>
            <w:vAlign w:val="center"/>
          </w:tcPr>
          <w:p>
            <w:pPr>
              <w:pStyle w:val="50"/>
              <w:ind w:firstLine="0" w:firstLineChars="0"/>
              <w:rPr>
                <w:sz w:val="24"/>
                <w:szCs w:val="24"/>
                <w:lang w:val="en-US"/>
              </w:rPr>
            </w:pPr>
            <w:r>
              <w:rPr>
                <w:sz w:val="24"/>
                <w:szCs w:val="24"/>
                <w:lang w:val="en-US"/>
              </w:rPr>
              <w:t>3～9人死亡</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15</w:t>
            </w:r>
          </w:p>
        </w:tc>
        <w:tc>
          <w:tcPr>
            <w:tcW w:w="3567" w:type="pct"/>
            <w:shd w:val="clear" w:color="auto" w:fill="auto"/>
            <w:vAlign w:val="center"/>
          </w:tcPr>
          <w:p>
            <w:pPr>
              <w:pStyle w:val="50"/>
              <w:ind w:firstLine="0" w:firstLineChars="0"/>
              <w:rPr>
                <w:sz w:val="24"/>
                <w:szCs w:val="24"/>
                <w:lang w:val="en-US"/>
              </w:rPr>
            </w:pPr>
            <w:r>
              <w:rPr>
                <w:sz w:val="24"/>
                <w:szCs w:val="24"/>
                <w:lang w:val="en-US"/>
              </w:rPr>
              <w:t>1～2人死亡</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7</w:t>
            </w:r>
          </w:p>
        </w:tc>
        <w:tc>
          <w:tcPr>
            <w:tcW w:w="3567" w:type="pct"/>
            <w:shd w:val="clear" w:color="auto" w:fill="auto"/>
            <w:vAlign w:val="center"/>
          </w:tcPr>
          <w:p>
            <w:pPr>
              <w:pStyle w:val="50"/>
              <w:ind w:firstLine="0" w:firstLineChars="0"/>
              <w:rPr>
                <w:sz w:val="24"/>
                <w:szCs w:val="24"/>
                <w:lang w:val="en-US"/>
              </w:rPr>
            </w:pPr>
            <w:r>
              <w:rPr>
                <w:sz w:val="24"/>
                <w:szCs w:val="24"/>
                <w:lang w:val="en-US"/>
              </w:rPr>
              <w:t>严重</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3</w:t>
            </w:r>
          </w:p>
        </w:tc>
        <w:tc>
          <w:tcPr>
            <w:tcW w:w="3567" w:type="pct"/>
            <w:shd w:val="clear" w:color="auto" w:fill="auto"/>
            <w:vAlign w:val="center"/>
          </w:tcPr>
          <w:p>
            <w:pPr>
              <w:pStyle w:val="50"/>
              <w:ind w:firstLine="0" w:firstLineChars="0"/>
              <w:rPr>
                <w:sz w:val="24"/>
                <w:szCs w:val="24"/>
                <w:lang w:val="en-US"/>
              </w:rPr>
            </w:pPr>
            <w:r>
              <w:rPr>
                <w:sz w:val="24"/>
                <w:szCs w:val="24"/>
                <w:lang w:val="en-US"/>
              </w:rPr>
              <w:t>重大，伤残</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jc w:val="center"/>
        </w:trPr>
        <w:tc>
          <w:tcPr>
            <w:tcW w:w="1432" w:type="pct"/>
            <w:shd w:val="clear" w:color="auto" w:fill="auto"/>
            <w:vAlign w:val="center"/>
          </w:tcPr>
          <w:p>
            <w:pPr>
              <w:pStyle w:val="50"/>
              <w:ind w:firstLine="0" w:firstLineChars="0"/>
              <w:rPr>
                <w:sz w:val="24"/>
                <w:szCs w:val="24"/>
                <w:lang w:val="en-US"/>
              </w:rPr>
            </w:pPr>
            <w:r>
              <w:rPr>
                <w:sz w:val="24"/>
                <w:szCs w:val="24"/>
                <w:lang w:val="en-US"/>
              </w:rPr>
              <w:t>1</w:t>
            </w:r>
          </w:p>
        </w:tc>
        <w:tc>
          <w:tcPr>
            <w:tcW w:w="3567" w:type="pct"/>
            <w:shd w:val="clear" w:color="auto" w:fill="auto"/>
            <w:vAlign w:val="center"/>
          </w:tcPr>
          <w:p>
            <w:pPr>
              <w:pStyle w:val="50"/>
              <w:ind w:firstLine="0" w:firstLineChars="0"/>
              <w:rPr>
                <w:sz w:val="24"/>
                <w:szCs w:val="24"/>
                <w:lang w:val="en-US"/>
              </w:rPr>
            </w:pPr>
            <w:r>
              <w:rPr>
                <w:sz w:val="24"/>
                <w:szCs w:val="24"/>
                <w:lang w:val="en-US"/>
              </w:rPr>
              <w:t>引人注意</w:t>
            </w:r>
          </w:p>
        </w:tc>
      </w:tr>
    </w:tbl>
    <w:p>
      <w:pPr>
        <w:spacing w:after="120" w:line="360" w:lineRule="auto"/>
        <w:ind w:firstLine="480"/>
        <w:outlineLvl w:val="2"/>
        <w:rPr>
          <w:rFonts w:ascii="宋体" w:hAnsi="宋体" w:eastAsia="宋体" w:cs="Times New Roman"/>
        </w:rPr>
      </w:pPr>
      <w:bookmarkStart w:id="44" w:name="_Toc528139707"/>
      <w:r>
        <w:rPr>
          <w:rFonts w:hint="eastAsia" w:ascii="宋体" w:hAnsi="宋体" w:eastAsia="宋体" w:cs="Times New Roman"/>
        </w:rPr>
        <w:t>5.2.4 LEC评价法风险分析</w:t>
      </w:r>
      <w:bookmarkEnd w:id="44"/>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根据公式：风险D=LEC</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可以计算作业的危险程度，并判断评价危险性的大小。其中的关键还是如何确定各个分值，以及对乘积值的分析、评价和利用。</w:t>
      </w:r>
    </w:p>
    <w:p>
      <w:pPr>
        <w:spacing w:after="0" w:afterLines="0" w:line="240" w:lineRule="auto"/>
        <w:ind w:firstLine="480"/>
        <w:jc w:val="center"/>
        <w:rPr>
          <w:rFonts w:ascii="宋体" w:hAnsi="宋体" w:eastAsia="宋体" w:cs="Times New Roman"/>
        </w:rPr>
      </w:pPr>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 xml:space="preserve">表 </w:t>
      </w:r>
      <w:r>
        <w:rPr>
          <w:rFonts w:hint="eastAsia" w:ascii="宋体" w:hAnsi="宋体" w:eastAsia="宋体" w:cs="Times New Roman"/>
        </w:rPr>
        <w:fldChar w:fldCharType="begin"/>
      </w:r>
      <w:r>
        <w:rPr>
          <w:rFonts w:hint="eastAsia" w:ascii="宋体" w:hAnsi="宋体" w:eastAsia="宋体" w:cs="Times New Roman"/>
        </w:rPr>
        <w:instrText xml:space="preserve"> STYLEREF 2 \s </w:instrText>
      </w:r>
      <w:r>
        <w:rPr>
          <w:rFonts w:hint="eastAsia" w:ascii="宋体" w:hAnsi="宋体" w:eastAsia="宋体" w:cs="Times New Roman"/>
        </w:rPr>
        <w:fldChar w:fldCharType="separate"/>
      </w:r>
      <w:r>
        <w:rPr>
          <w:rFonts w:hint="eastAsia" w:ascii="宋体" w:hAnsi="宋体" w:eastAsia="宋体" w:cs="Times New Roman"/>
        </w:rPr>
        <w:t>5.2</w:t>
      </w:r>
      <w:r>
        <w:rPr>
          <w:rFonts w:hint="eastAsia" w:ascii="宋体" w:hAnsi="宋体" w:eastAsia="宋体" w:cs="Times New Roman"/>
        </w:rPr>
        <w:fldChar w:fldCharType="end"/>
      </w:r>
      <w:r>
        <w:rPr>
          <w:rFonts w:hint="eastAsia" w:ascii="宋体" w:hAnsi="宋体" w:eastAsia="宋体" w:cs="Times New Roman"/>
        </w:rPr>
        <w:noBreakHyphen/>
      </w:r>
      <w:r>
        <w:rPr>
          <w:rFonts w:hint="eastAsia" w:ascii="宋体" w:hAnsi="宋体" w:eastAsia="宋体" w:cs="Times New Roman"/>
        </w:rPr>
        <w:fldChar w:fldCharType="begin"/>
      </w:r>
      <w:r>
        <w:rPr>
          <w:rFonts w:hint="eastAsia" w:ascii="宋体" w:hAnsi="宋体" w:eastAsia="宋体" w:cs="Times New Roman"/>
        </w:rPr>
        <w:instrText xml:space="preserve"> SEQ biao2 \* ARABIC \s 2 </w:instrText>
      </w:r>
      <w:r>
        <w:rPr>
          <w:rFonts w:hint="eastAsia" w:ascii="宋体" w:hAnsi="宋体" w:eastAsia="宋体" w:cs="Times New Roman"/>
        </w:rPr>
        <w:fldChar w:fldCharType="separate"/>
      </w:r>
      <w:r>
        <w:rPr>
          <w:rFonts w:hint="eastAsia" w:ascii="宋体" w:hAnsi="宋体" w:eastAsia="宋体" w:cs="Times New Roman"/>
        </w:rPr>
        <w:t>4</w:t>
      </w:r>
      <w:r>
        <w:rPr>
          <w:rFonts w:hint="eastAsia" w:ascii="宋体" w:hAnsi="宋体" w:eastAsia="宋体" w:cs="Times New Roman"/>
        </w:rPr>
        <w:fldChar w:fldCharType="end"/>
      </w:r>
      <w:r>
        <w:rPr>
          <w:rFonts w:hint="eastAsia" w:ascii="宋体" w:hAnsi="宋体" w:eastAsia="宋体" w:cs="Times New Roman"/>
        </w:rPr>
        <w:t xml:space="preserve"> LEC风险估测表</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Layout w:type="autofit"/>
        <w:tblCellMar>
          <w:top w:w="0" w:type="dxa"/>
          <w:left w:w="108" w:type="dxa"/>
          <w:bottom w:w="0" w:type="dxa"/>
          <w:right w:w="108" w:type="dxa"/>
        </w:tblCellMar>
      </w:tblPr>
      <w:tblGrid>
        <w:gridCol w:w="2953"/>
        <w:gridCol w:w="6414"/>
      </w:tblGrid>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pPr>
              <w:pStyle w:val="50"/>
              <w:ind w:firstLine="0" w:firstLineChars="0"/>
              <w:rPr>
                <w:sz w:val="24"/>
                <w:szCs w:val="24"/>
                <w:lang w:val="en-US"/>
              </w:rPr>
            </w:pPr>
            <w:r>
              <w:rPr>
                <w:sz w:val="24"/>
                <w:szCs w:val="24"/>
                <w:lang w:val="en-US"/>
              </w:rPr>
              <w:t>D值</w:t>
            </w:r>
          </w:p>
        </w:tc>
        <w:tc>
          <w:tcPr>
            <w:tcW w:w="3423" w:type="pct"/>
            <w:shd w:val="clear" w:color="auto" w:fill="auto"/>
            <w:vAlign w:val="center"/>
          </w:tcPr>
          <w:p>
            <w:pPr>
              <w:pStyle w:val="50"/>
              <w:ind w:firstLine="0" w:firstLineChars="0"/>
              <w:rPr>
                <w:sz w:val="24"/>
                <w:szCs w:val="24"/>
                <w:lang w:val="en-US"/>
              </w:rPr>
            </w:pPr>
            <w:r>
              <w:rPr>
                <w:sz w:val="24"/>
                <w:szCs w:val="24"/>
                <w:lang w:val="en-US"/>
              </w:rPr>
              <w:t>危险程度</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pPr>
              <w:pStyle w:val="50"/>
              <w:ind w:firstLine="0" w:firstLineChars="0"/>
              <w:rPr>
                <w:sz w:val="24"/>
                <w:szCs w:val="24"/>
                <w:lang w:val="en-US"/>
              </w:rPr>
            </w:pPr>
            <w:r>
              <w:rPr>
                <w:sz w:val="24"/>
                <w:szCs w:val="24"/>
                <w:lang w:val="en-US"/>
              </w:rPr>
              <w:t>&gt;320</w:t>
            </w:r>
          </w:p>
        </w:tc>
        <w:tc>
          <w:tcPr>
            <w:tcW w:w="3423" w:type="pct"/>
            <w:shd w:val="clear" w:color="auto" w:fill="auto"/>
            <w:vAlign w:val="center"/>
          </w:tcPr>
          <w:p>
            <w:pPr>
              <w:pStyle w:val="50"/>
              <w:ind w:firstLine="0" w:firstLineChars="0"/>
              <w:rPr>
                <w:sz w:val="24"/>
                <w:szCs w:val="24"/>
                <w:lang w:val="en-US"/>
              </w:rPr>
            </w:pPr>
            <w:r>
              <w:rPr>
                <w:sz w:val="24"/>
                <w:szCs w:val="24"/>
                <w:lang w:val="en-US"/>
              </w:rPr>
              <w:t>极其危险，不能继续作业</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pPr>
              <w:pStyle w:val="50"/>
              <w:ind w:firstLine="0" w:firstLineChars="0"/>
              <w:rPr>
                <w:sz w:val="24"/>
                <w:szCs w:val="24"/>
                <w:lang w:val="en-US"/>
              </w:rPr>
            </w:pPr>
            <w:r>
              <w:rPr>
                <w:sz w:val="24"/>
                <w:szCs w:val="24"/>
                <w:lang w:val="en-US"/>
              </w:rPr>
              <w:t>160-320</w:t>
            </w:r>
          </w:p>
        </w:tc>
        <w:tc>
          <w:tcPr>
            <w:tcW w:w="3423" w:type="pct"/>
            <w:shd w:val="clear" w:color="auto" w:fill="auto"/>
            <w:vAlign w:val="center"/>
          </w:tcPr>
          <w:p>
            <w:pPr>
              <w:pStyle w:val="50"/>
              <w:ind w:firstLine="0" w:firstLineChars="0"/>
              <w:rPr>
                <w:sz w:val="24"/>
                <w:szCs w:val="24"/>
                <w:lang w:val="en-US"/>
              </w:rPr>
            </w:pPr>
            <w:r>
              <w:rPr>
                <w:sz w:val="24"/>
                <w:szCs w:val="24"/>
                <w:lang w:val="en-US"/>
              </w:rPr>
              <w:t>高度危险，要立即整改</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pPr>
              <w:pStyle w:val="50"/>
              <w:ind w:firstLine="0" w:firstLineChars="0"/>
              <w:rPr>
                <w:sz w:val="24"/>
                <w:szCs w:val="24"/>
                <w:lang w:val="en-US"/>
              </w:rPr>
            </w:pPr>
            <w:r>
              <w:rPr>
                <w:sz w:val="24"/>
                <w:szCs w:val="24"/>
                <w:lang w:val="en-US"/>
              </w:rPr>
              <w:t>70-160</w:t>
            </w:r>
          </w:p>
        </w:tc>
        <w:tc>
          <w:tcPr>
            <w:tcW w:w="3423" w:type="pct"/>
            <w:shd w:val="clear" w:color="auto" w:fill="auto"/>
            <w:vAlign w:val="center"/>
          </w:tcPr>
          <w:p>
            <w:pPr>
              <w:pStyle w:val="50"/>
              <w:ind w:firstLine="0" w:firstLineChars="0"/>
              <w:rPr>
                <w:sz w:val="24"/>
                <w:szCs w:val="24"/>
                <w:lang w:val="en-US"/>
              </w:rPr>
            </w:pPr>
            <w:r>
              <w:rPr>
                <w:sz w:val="24"/>
                <w:szCs w:val="24"/>
                <w:lang w:val="en-US"/>
              </w:rPr>
              <w:t>显著危险，需要整改</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pPr>
              <w:pStyle w:val="50"/>
              <w:ind w:firstLine="0" w:firstLineChars="0"/>
              <w:rPr>
                <w:sz w:val="24"/>
                <w:szCs w:val="24"/>
                <w:lang w:val="en-US"/>
              </w:rPr>
            </w:pPr>
            <w:r>
              <w:rPr>
                <w:sz w:val="24"/>
                <w:szCs w:val="24"/>
                <w:lang w:val="en-US"/>
              </w:rPr>
              <w:t>20-70</w:t>
            </w:r>
          </w:p>
        </w:tc>
        <w:tc>
          <w:tcPr>
            <w:tcW w:w="3423" w:type="pct"/>
            <w:shd w:val="clear" w:color="auto" w:fill="auto"/>
            <w:vAlign w:val="center"/>
          </w:tcPr>
          <w:p>
            <w:pPr>
              <w:pStyle w:val="50"/>
              <w:ind w:firstLine="0" w:firstLineChars="0"/>
              <w:rPr>
                <w:sz w:val="24"/>
                <w:szCs w:val="24"/>
                <w:lang w:val="en-US"/>
              </w:rPr>
            </w:pPr>
            <w:r>
              <w:rPr>
                <w:sz w:val="24"/>
                <w:szCs w:val="24"/>
                <w:lang w:val="en-US"/>
              </w:rPr>
              <w:t>一般危险，需要注意</w:t>
            </w:r>
          </w:p>
        </w:tc>
      </w:tr>
      <w:tr>
        <w:tblPrEx>
          <w:tblBorders>
            <w:top w:val="single" w:color="auto" w:sz="12" w:space="0"/>
            <w:left w:val="single" w:color="auto" w:sz="12" w:space="0"/>
            <w:bottom w:val="single" w:color="auto" w:sz="12" w:space="0"/>
            <w:right w:val="single" w:color="auto" w:sz="12" w:space="0"/>
            <w:insideH w:val="single" w:color="0070C0" w:sz="4" w:space="0"/>
            <w:insideV w:val="single" w:color="0070C0" w:sz="4" w:space="0"/>
          </w:tblBorders>
          <w:tblCellMar>
            <w:top w:w="0" w:type="dxa"/>
            <w:left w:w="108" w:type="dxa"/>
            <w:bottom w:w="0" w:type="dxa"/>
            <w:right w:w="108" w:type="dxa"/>
          </w:tblCellMar>
        </w:tblPrEx>
        <w:trPr>
          <w:trHeight w:val="330" w:hRule="atLeast"/>
        </w:trPr>
        <w:tc>
          <w:tcPr>
            <w:tcW w:w="1576" w:type="pct"/>
            <w:shd w:val="clear" w:color="auto" w:fill="auto"/>
            <w:vAlign w:val="center"/>
          </w:tcPr>
          <w:p>
            <w:pPr>
              <w:pStyle w:val="50"/>
              <w:ind w:firstLine="0" w:firstLineChars="0"/>
              <w:rPr>
                <w:sz w:val="24"/>
                <w:szCs w:val="24"/>
                <w:lang w:val="en-US"/>
              </w:rPr>
            </w:pPr>
            <w:r>
              <w:rPr>
                <w:sz w:val="24"/>
                <w:szCs w:val="24"/>
                <w:lang w:val="en-US"/>
              </w:rPr>
              <w:t>&lt;20</w:t>
            </w:r>
          </w:p>
        </w:tc>
        <w:tc>
          <w:tcPr>
            <w:tcW w:w="3423" w:type="pct"/>
            <w:shd w:val="clear" w:color="auto" w:fill="auto"/>
            <w:vAlign w:val="center"/>
          </w:tcPr>
          <w:p>
            <w:pPr>
              <w:pStyle w:val="50"/>
              <w:ind w:firstLine="0" w:firstLineChars="0"/>
              <w:rPr>
                <w:sz w:val="24"/>
                <w:szCs w:val="24"/>
                <w:lang w:val="en-US"/>
              </w:rPr>
            </w:pPr>
            <w:r>
              <w:rPr>
                <w:sz w:val="24"/>
                <w:szCs w:val="24"/>
                <w:lang w:val="en-US"/>
              </w:rPr>
              <w:t>稍有危险，可以接受</w:t>
            </w:r>
          </w:p>
        </w:tc>
      </w:tr>
    </w:tbl>
    <w:p>
      <w:pPr>
        <w:spacing w:after="0" w:afterLines="0" w:line="360" w:lineRule="auto"/>
        <w:ind w:firstLine="480"/>
        <w:jc w:val="both"/>
        <w:rPr>
          <w:rFonts w:ascii="宋体" w:hAnsi="宋体" w:eastAsia="宋体" w:cs="Times New Roman"/>
        </w:rPr>
      </w:pPr>
      <w:r>
        <w:rPr>
          <w:rFonts w:hint="eastAsia" w:ascii="宋体" w:hAnsi="宋体" w:eastAsia="宋体" w:cs="Times New Roman"/>
        </w:rPr>
        <w:t>根据经验，总分在20以下是被认为低危险的；如果危险分值到达70～160之间，那就有显著的危险性，需要及时整改；如果危险分值在160～320之间，那么这是一种必须立即采取措施进行整改的高度危险环境；分值在320以上的高分值表示环境非常危险，应立即停止生产直到环境得到改善为止。</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从表5.1-1风险源辨识与评估表计算结果可以看出，塔吊安装、使用期间，发生起重伤害和高处坠落的风险较高，将采取有效措施降低风险。</w:t>
      </w:r>
    </w:p>
    <w:p>
      <w:pPr>
        <w:keepNext/>
        <w:keepLines/>
        <w:spacing w:after="120" w:line="360" w:lineRule="auto"/>
        <w:ind w:firstLine="240" w:firstLineChars="100"/>
        <w:jc w:val="both"/>
        <w:outlineLvl w:val="1"/>
        <w:rPr>
          <w:rFonts w:ascii="宋体" w:hAnsi="宋体" w:eastAsia="宋体" w:cs="Times New Roman"/>
        </w:rPr>
      </w:pPr>
      <w:bookmarkStart w:id="45" w:name="_Toc5047"/>
      <w:bookmarkStart w:id="46" w:name="_Toc528139708"/>
      <w:bookmarkStart w:id="47" w:name="_Hlk528096421"/>
      <w:r>
        <w:rPr>
          <w:rFonts w:hint="eastAsia" w:ascii="宋体" w:hAnsi="宋体" w:eastAsia="宋体" w:cs="Times New Roman"/>
        </w:rPr>
        <w:t>5.3风险控制措施</w:t>
      </w:r>
      <w:bookmarkEnd w:id="45"/>
      <w:bookmarkEnd w:id="46"/>
    </w:p>
    <w:bookmarkEnd w:id="47"/>
    <w:p>
      <w:pPr>
        <w:spacing w:after="0" w:afterLines="0" w:line="360" w:lineRule="auto"/>
        <w:ind w:firstLine="480"/>
        <w:jc w:val="both"/>
        <w:rPr>
          <w:rFonts w:ascii="宋体" w:hAnsi="宋体" w:eastAsia="宋体" w:cs="Times New Roman"/>
        </w:rPr>
      </w:pPr>
      <w:bookmarkStart w:id="48" w:name="_Hlk528096343"/>
      <w:r>
        <w:rPr>
          <w:rFonts w:hint="eastAsia" w:ascii="宋体" w:hAnsi="宋体" w:eastAsia="宋体" w:cs="Times New Roman"/>
        </w:rPr>
        <w:t>根据风险评估结果可知，塔吊安装、使用期间，发生起重伤害和高处坠落的风险较高，</w:t>
      </w:r>
      <w:bookmarkStart w:id="49" w:name="_Hlk528096394"/>
      <w:r>
        <w:rPr>
          <w:rFonts w:hint="eastAsia" w:ascii="宋体" w:hAnsi="宋体" w:eastAsia="宋体" w:cs="Times New Roman"/>
        </w:rPr>
        <w:t>因此需要制定针对高空作业和起重作业的风险控制措施。</w:t>
      </w:r>
      <w:bookmarkEnd w:id="48"/>
      <w:bookmarkEnd w:id="49"/>
    </w:p>
    <w:p>
      <w:pPr>
        <w:spacing w:after="120" w:line="360" w:lineRule="auto"/>
        <w:ind w:firstLine="480"/>
        <w:outlineLvl w:val="2"/>
        <w:rPr>
          <w:rFonts w:ascii="宋体" w:hAnsi="宋体" w:eastAsia="宋体" w:cs="Times New Roman"/>
        </w:rPr>
      </w:pPr>
      <w:bookmarkStart w:id="50" w:name="_Toc528139709"/>
      <w:r>
        <w:rPr>
          <w:rFonts w:hint="eastAsia" w:ascii="宋体" w:hAnsi="宋体" w:eastAsia="宋体" w:cs="Times New Roman"/>
        </w:rPr>
        <w:t>5.3.1高处作业风险控制措施</w:t>
      </w:r>
      <w:bookmarkEnd w:id="50"/>
    </w:p>
    <w:tbl>
      <w:tblPr>
        <w:tblStyle w:val="51"/>
        <w:tblW w:w="8698" w:type="dxa"/>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7847"/>
      </w:tblGrid>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序号</w:t>
            </w:r>
          </w:p>
        </w:tc>
        <w:tc>
          <w:tcPr>
            <w:tcW w:w="7847"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风险防控对策及建议</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1</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施工前，应逐级进行安全技术教育及交底，落实所有安全技术措施和人身防护用品，未经落实时不得进行施工。</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2</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作业人员必须定期进行体检，对不适宜高空作业的人员，不得从事此项工作。</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3</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高处作业人员必须正确佩戴和使用安全防护用品。</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高处作业要做好临边防护，发现有缺陷或隐患时，必须及时解决。</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施工作业场所有坠落可能的物件，应一律先行撤除或加以固定。高处作业中所用的物料，均应堆放平稳，不妨碍通行和装卸。工具应随手放入工具袋；作业中的走道、通道板和登高用具，应随时清扫干净；拆卸下的物件及余料和废料均应及时清理运走，不得任意乱置或向下丢弃。传递物件禁止抛掷。</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5</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雨天进行高处作业时，必须采取可靠的防滑、防寒和防冻措施。凡水、冰、霜均应及时清除。对进行高处作业的高耸建筑物，应事先设置避雷设施。遇有六级以下强风、浓雾等恶劣气候，不得进行露天攀登与悬空高处作业。暴风及台风暴雨后，应对高处作业安全设施逐一加以检查，发现有松动、变形、损坏或脱落等现象，应立即修理完善。</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6</w:t>
            </w:r>
          </w:p>
        </w:tc>
        <w:tc>
          <w:tcPr>
            <w:tcW w:w="7847" w:type="dxa"/>
            <w:shd w:val="clear" w:color="auto" w:fill="auto"/>
            <w:vAlign w:val="center"/>
          </w:tcPr>
          <w:p>
            <w:pPr>
              <w:adjustRightInd w:val="0"/>
              <w:snapToGrid w:val="0"/>
              <w:spacing w:after="0" w:afterLines="0" w:line="240" w:lineRule="auto"/>
              <w:ind w:firstLine="0" w:firstLineChars="0"/>
              <w:jc w:val="both"/>
              <w:rPr>
                <w:rFonts w:ascii="宋体" w:hAnsi="宋体" w:eastAsia="宋体" w:cs="Times New Roman"/>
              </w:rPr>
            </w:pPr>
            <w:r>
              <w:rPr>
                <w:rFonts w:ascii="宋体" w:hAnsi="宋体" w:eastAsia="宋体" w:cs="Times New Roman"/>
              </w:rPr>
              <w:t>防护棚搭设与拆除时，应设警戒区，并应派专人监护，严禁上下同时拆除。</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40" w:hRule="atLeast"/>
          <w:jc w:val="center"/>
        </w:trPr>
        <w:tc>
          <w:tcPr>
            <w:tcW w:w="851" w:type="dxa"/>
            <w:shd w:val="clear" w:color="auto" w:fill="auto"/>
            <w:vAlign w:val="center"/>
          </w:tcPr>
          <w:p>
            <w:pPr>
              <w:adjustRightInd/>
              <w:snapToGrid/>
              <w:spacing w:after="120" w:line="240" w:lineRule="auto"/>
              <w:ind w:firstLine="0" w:firstLineChars="0"/>
              <w:jc w:val="center"/>
              <w:outlineLvl w:val="2"/>
              <w:rPr>
                <w:rFonts w:ascii="宋体" w:hAnsi="宋体" w:eastAsia="宋体" w:cs="Times New Roman"/>
              </w:rPr>
            </w:pPr>
            <w:r>
              <w:rPr>
                <w:rFonts w:hint="eastAsia" w:ascii="宋体" w:hAnsi="宋体" w:eastAsia="宋体" w:cs="Times New Roman"/>
              </w:rPr>
              <w:t>7</w:t>
            </w:r>
          </w:p>
        </w:tc>
        <w:tc>
          <w:tcPr>
            <w:tcW w:w="7847" w:type="dxa"/>
            <w:shd w:val="clear" w:color="auto" w:fill="auto"/>
            <w:vAlign w:val="center"/>
          </w:tcPr>
          <w:p>
            <w:pPr>
              <w:adjustRightInd/>
              <w:snapToGrid/>
              <w:spacing w:after="120" w:line="240" w:lineRule="auto"/>
              <w:ind w:firstLine="0" w:firstLineChars="0"/>
              <w:jc w:val="center"/>
              <w:outlineLvl w:val="2"/>
              <w:rPr>
                <w:rFonts w:ascii="宋体" w:hAnsi="宋体" w:eastAsia="宋体" w:cs="Times New Roman"/>
              </w:rPr>
            </w:pPr>
            <w:r>
              <w:rPr>
                <w:rFonts w:hint="eastAsia" w:ascii="宋体" w:hAnsi="宋体" w:eastAsia="宋体" w:cs="Times New Roman"/>
              </w:rPr>
              <w:t>当出现六级及以上大风时，不应进行高空作业。</w:t>
            </w:r>
          </w:p>
        </w:tc>
      </w:tr>
    </w:tbl>
    <w:p>
      <w:pPr>
        <w:spacing w:after="120" w:line="360" w:lineRule="auto"/>
        <w:ind w:firstLine="480"/>
        <w:outlineLvl w:val="2"/>
        <w:rPr>
          <w:rFonts w:ascii="宋体" w:hAnsi="宋体" w:eastAsia="宋体" w:cs="Times New Roman"/>
        </w:rPr>
      </w:pPr>
      <w:bookmarkStart w:id="51" w:name="_Toc528139710"/>
      <w:r>
        <w:rPr>
          <w:rFonts w:hint="eastAsia" w:ascii="宋体" w:hAnsi="宋体" w:eastAsia="宋体" w:cs="Times New Roman"/>
        </w:rPr>
        <w:t>5.3.2起重作业风险控制措施</w:t>
      </w:r>
      <w:bookmarkEnd w:id="51"/>
    </w:p>
    <w:tbl>
      <w:tblPr>
        <w:tblStyle w:val="51"/>
        <w:tblW w:w="5000"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568"/>
        <w:gridCol w:w="8801"/>
      </w:tblGrid>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序号</w:t>
            </w:r>
          </w:p>
        </w:tc>
        <w:tc>
          <w:tcPr>
            <w:tcW w:w="4696"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风险防控对策及建议</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1</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起重作业人员必须持证上岗，并开展岗前培训。</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2</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开展起重作业“十不吊”安全教育培训。</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3</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起重安装作业前，应确定工作步骤、施工方法及安全措施。</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使用吊机起重安装作业时，必须严格执行相应吊机的安全使用规定。</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4</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各种起重机械使用前，应进行试吊。试吊前，还应对起重机械进行全面检查，确认良好，方能进行。</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5</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根据吊重物件的具体情况选择相应的吊具与索具，起重使用的绳索吊具等应符合起吊重量的安全要求（8-10倍安全系数），使用前要进行检查，发现不合格的吊具，予以更换。</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6</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起重作业应设置警戒区域，派专人值守，吊物下方不得站人。</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7</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吊件不得长时间在空中停留，如必须停留，应采取可靠措施。</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8</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吊车吊装前，应对吊车、吊具进行全面检查，吊车应处于完好状态。严禁起重机超负荷起吊和使用吊机斜拉、斜吊重物。禁止使用吊重量不明的物品。</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9</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禁止司索或其他人员站在吊物上一同起吊，严禁司索人员停留在吊物下。起吊重物时，司索人员应与重物保持一定的安全距离。</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jc w:val="center"/>
        </w:trPr>
        <w:tc>
          <w:tcPr>
            <w:tcW w:w="303" w:type="pct"/>
            <w:shd w:val="clear" w:color="auto" w:fill="auto"/>
            <w:vAlign w:val="center"/>
          </w:tcPr>
          <w:p>
            <w:pPr>
              <w:adjustRightInd w:val="0"/>
              <w:snapToGrid w:val="0"/>
              <w:spacing w:after="0" w:afterLines="0" w:line="240" w:lineRule="auto"/>
              <w:ind w:firstLine="0" w:firstLineChars="0"/>
              <w:jc w:val="center"/>
              <w:rPr>
                <w:rFonts w:ascii="宋体" w:hAnsi="宋体" w:eastAsia="宋体" w:cs="Times New Roman"/>
              </w:rPr>
            </w:pPr>
            <w:r>
              <w:rPr>
                <w:rFonts w:ascii="宋体" w:hAnsi="宋体" w:eastAsia="宋体" w:cs="Times New Roman"/>
              </w:rPr>
              <w:t>10</w:t>
            </w:r>
          </w:p>
        </w:tc>
        <w:tc>
          <w:tcPr>
            <w:tcW w:w="4696" w:type="pct"/>
            <w:shd w:val="clear" w:color="auto" w:fill="auto"/>
            <w:vAlign w:val="center"/>
          </w:tcPr>
          <w:p>
            <w:pPr>
              <w:adjustRightInd w:val="0"/>
              <w:snapToGrid w:val="0"/>
              <w:spacing w:after="0" w:afterLines="0" w:line="240" w:lineRule="auto"/>
              <w:ind w:firstLine="0" w:firstLineChars="0"/>
              <w:jc w:val="left"/>
              <w:rPr>
                <w:rFonts w:ascii="宋体" w:hAnsi="宋体" w:eastAsia="宋体" w:cs="Times New Roman"/>
              </w:rPr>
            </w:pPr>
            <w:r>
              <w:rPr>
                <w:rFonts w:ascii="宋体" w:hAnsi="宋体" w:eastAsia="宋体" w:cs="Times New Roman"/>
              </w:rPr>
              <w:t>大中型吊装作业前应进行技术交底，全体人员必须熟知吊装方案，指挥信号，安全技术要求及设备性能，吊装作业环境，驾驶员与起重工进行指挥信号交换，双方确认后达到良好沟通。</w:t>
            </w:r>
          </w:p>
        </w:tc>
      </w:tr>
    </w:tbl>
    <w:p>
      <w:pPr>
        <w:spacing w:after="0" w:afterLines="0" w:line="360" w:lineRule="auto"/>
        <w:ind w:firstLine="480"/>
        <w:jc w:val="both"/>
        <w:rPr>
          <w:rFonts w:ascii="宋体" w:hAnsi="宋体" w:eastAsia="宋体" w:cs="Times New Roman"/>
        </w:rPr>
      </w:pPr>
    </w:p>
    <w:p>
      <w:pPr>
        <w:keepNext/>
        <w:keepLines/>
        <w:spacing w:after="120" w:line="360" w:lineRule="auto"/>
        <w:ind w:firstLine="0" w:firstLineChars="0"/>
        <w:jc w:val="both"/>
        <w:outlineLvl w:val="0"/>
        <w:rPr>
          <w:rFonts w:ascii="宋体" w:hAnsi="宋体" w:eastAsia="宋体" w:cs="Times New Roman"/>
          <w:kern w:val="44"/>
        </w:rPr>
      </w:pPr>
      <w:bookmarkStart w:id="52" w:name="_Toc3369"/>
      <w:bookmarkStart w:id="53" w:name="_Toc528139711"/>
      <w:bookmarkStart w:id="54" w:name="_Toc515971582"/>
      <w:bookmarkStart w:id="55" w:name="_Toc118877510"/>
      <w:r>
        <w:rPr>
          <w:rFonts w:hint="eastAsia" w:ascii="宋体" w:hAnsi="宋体" w:eastAsia="宋体" w:cs="Times New Roman"/>
          <w:kern w:val="44"/>
        </w:rPr>
        <w:t>6、安全保证措施</w:t>
      </w:r>
      <w:bookmarkEnd w:id="52"/>
      <w:bookmarkEnd w:id="53"/>
      <w:bookmarkEnd w:id="54"/>
    </w:p>
    <w:p>
      <w:pPr>
        <w:keepNext/>
        <w:keepLines/>
        <w:spacing w:after="120" w:line="360" w:lineRule="auto"/>
        <w:ind w:firstLine="240" w:firstLineChars="100"/>
        <w:jc w:val="both"/>
        <w:outlineLvl w:val="1"/>
        <w:rPr>
          <w:rFonts w:ascii="宋体" w:hAnsi="宋体" w:eastAsia="宋体" w:cs="宋体"/>
        </w:rPr>
      </w:pPr>
      <w:bookmarkStart w:id="56" w:name="_Toc14736"/>
      <w:bookmarkStart w:id="57" w:name="_Toc528139712"/>
      <w:bookmarkStart w:id="58" w:name="_Toc515971583"/>
      <w:bookmarkStart w:id="59" w:name="_Toc515971587"/>
      <w:bookmarkStart w:id="60" w:name="_Toc11404"/>
      <w:bookmarkStart w:id="61" w:name="_Toc528139715"/>
      <w:bookmarkStart w:id="62" w:name="_Hlk518203537"/>
      <w:r>
        <w:rPr>
          <w:rFonts w:hint="eastAsia" w:ascii="宋体" w:hAnsi="宋体" w:eastAsia="宋体" w:cs="宋体"/>
        </w:rPr>
        <w:t>6.1安全生产目标、指标</w:t>
      </w:r>
      <w:bookmarkEnd w:id="56"/>
      <w:bookmarkEnd w:id="57"/>
      <w:bookmarkEnd w:id="58"/>
    </w:p>
    <w:p>
      <w:pPr>
        <w:pStyle w:val="52"/>
        <w:ind w:firstLine="480"/>
        <w:rPr>
          <w:rFonts w:cs="宋体"/>
          <w:kern w:val="10"/>
        </w:rPr>
      </w:pPr>
      <w:bookmarkStart w:id="63" w:name="_Toc22400"/>
      <w:bookmarkStart w:id="64" w:name="_Toc528139713"/>
      <w:bookmarkStart w:id="65" w:name="_Toc10388"/>
      <w:bookmarkStart w:id="66" w:name="_Toc515971584"/>
      <w:r>
        <w:rPr>
          <w:rFonts w:hint="eastAsia" w:cs="宋体"/>
          <w:kern w:val="10"/>
        </w:rPr>
        <w:t>严格执行有关安全生产的法律法规和规章制度，确保项目建设期内无一般及以上生产安全责任事故发生。</w:t>
      </w:r>
    </w:p>
    <w:p>
      <w:pPr>
        <w:pStyle w:val="52"/>
        <w:ind w:firstLine="0" w:firstLineChars="0"/>
        <w:jc w:val="center"/>
        <w:rPr>
          <w:rFonts w:cs="宋体"/>
          <w:kern w:val="10"/>
        </w:rPr>
      </w:pPr>
      <w:r>
        <w:rPr>
          <w:rFonts w:hint="eastAsia" w:cs="宋体"/>
        </w:rPr>
        <w:drawing>
          <wp:inline distT="0" distB="0" distL="114300" distR="114300">
            <wp:extent cx="4732020" cy="3550920"/>
            <wp:effectExtent l="0" t="0" r="0" b="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53"/>
                    <a:stretch>
                      <a:fillRect/>
                    </a:stretch>
                  </pic:blipFill>
                  <pic:spPr>
                    <a:xfrm>
                      <a:off x="0" y="0"/>
                      <a:ext cx="4732020" cy="3550920"/>
                    </a:xfrm>
                    <a:prstGeom prst="rect">
                      <a:avLst/>
                    </a:prstGeom>
                    <a:noFill/>
                    <a:ln>
                      <a:noFill/>
                    </a:ln>
                  </pic:spPr>
                </pic:pic>
              </a:graphicData>
            </a:graphic>
          </wp:inline>
        </w:drawing>
      </w:r>
    </w:p>
    <w:p>
      <w:pPr>
        <w:pStyle w:val="53"/>
        <w:numPr>
          <w:ilvl w:val="5"/>
          <w:numId w:val="0"/>
        </w:numPr>
        <w:rPr>
          <w:rFonts w:cs="宋体"/>
          <w:b w:val="0"/>
          <w:sz w:val="24"/>
        </w:rPr>
      </w:pPr>
      <w:r>
        <w:rPr>
          <w:rFonts w:hint="eastAsia" w:cs="宋体"/>
          <w:b w:val="0"/>
          <w:sz w:val="24"/>
        </w:rPr>
        <w:t>图6.1-1 项目安全管理网络</w:t>
      </w:r>
    </w:p>
    <w:bookmarkEnd w:id="63"/>
    <w:p>
      <w:pPr>
        <w:keepNext/>
        <w:keepLines/>
        <w:spacing w:after="120" w:line="360" w:lineRule="auto"/>
        <w:ind w:firstLine="240" w:firstLineChars="100"/>
        <w:jc w:val="both"/>
        <w:outlineLvl w:val="1"/>
        <w:rPr>
          <w:rFonts w:ascii="宋体" w:hAnsi="宋体" w:eastAsia="宋体" w:cs="宋体"/>
        </w:rPr>
      </w:pPr>
      <w:r>
        <w:rPr>
          <w:rFonts w:hint="eastAsia" w:ascii="宋体" w:hAnsi="宋体" w:eastAsia="宋体" w:cs="宋体"/>
        </w:rPr>
        <w:t>6.2</w:t>
      </w:r>
      <w:bookmarkEnd w:id="64"/>
      <w:bookmarkEnd w:id="65"/>
      <w:bookmarkEnd w:id="66"/>
      <w:r>
        <w:rPr>
          <w:rFonts w:hint="eastAsia" w:ascii="宋体" w:hAnsi="宋体" w:eastAsia="宋体" w:cs="宋体"/>
        </w:rPr>
        <w:t xml:space="preserve"> 安全施工制度保证</w:t>
      </w:r>
    </w:p>
    <w:p>
      <w:pPr>
        <w:spacing w:after="0" w:afterLines="0" w:line="360" w:lineRule="auto"/>
        <w:ind w:firstLine="480"/>
        <w:jc w:val="both"/>
        <w:rPr>
          <w:rFonts w:ascii="宋体" w:hAnsi="宋体" w:eastAsia="宋体" w:cs="宋体"/>
        </w:rPr>
      </w:pPr>
      <w:bookmarkStart w:id="67" w:name="_Toc907"/>
      <w:bookmarkStart w:id="68" w:name="_Toc515971585"/>
      <w:bookmarkStart w:id="69" w:name="_Toc528139714"/>
      <w:r>
        <w:rPr>
          <w:rFonts w:hint="eastAsia" w:ascii="宋体" w:hAnsi="宋体" w:eastAsia="宋体" w:cs="宋体"/>
        </w:rPr>
        <w:t>项目部成立安全生产领导小组，安全生产领导小组是本项目最高安全管理机构，对项目的所有安全生产事务负责。</w:t>
      </w:r>
    </w:p>
    <w:p>
      <w:pPr>
        <w:spacing w:after="0" w:afterLines="0" w:line="360" w:lineRule="auto"/>
        <w:ind w:firstLine="0" w:firstLineChars="0"/>
        <w:jc w:val="center"/>
        <w:rPr>
          <w:rFonts w:ascii="宋体" w:hAnsi="宋体" w:eastAsia="宋体" w:cs="宋体"/>
        </w:rPr>
      </w:pPr>
      <w:r>
        <w:rPr>
          <w:rFonts w:hint="eastAsia" w:ascii="宋体" w:hAnsi="宋体" w:eastAsia="宋体" w:cs="宋体"/>
        </w:rPr>
        <w:object>
          <v:shape id="_x0000_i1025" o:spt="75" type="#_x0000_t75" style="height:266.25pt;width:439.55pt;" o:ole="t" filled="f" o:preferrelative="t" stroked="f" coordsize="21600,21600">
            <v:path/>
            <v:fill on="f" focussize="0,0"/>
            <v:stroke on="f" joinstyle="miter"/>
            <v:imagedata r:id="rId55" o:title=""/>
            <o:lock v:ext="edit" aspectratio="f"/>
            <w10:wrap type="none"/>
            <w10:anchorlock/>
          </v:shape>
          <o:OLEObject Type="Embed" ProgID="Visio.Drawing.15" ShapeID="_x0000_i1025" DrawAspect="Content" ObjectID="_1468075725" r:id="rId54">
            <o:LockedField>false</o:LockedField>
          </o:OLEObject>
        </w:object>
      </w:r>
    </w:p>
    <w:p>
      <w:pPr>
        <w:spacing w:after="0" w:afterLines="0" w:line="360" w:lineRule="auto"/>
        <w:ind w:firstLine="0" w:firstLineChars="0"/>
        <w:jc w:val="center"/>
        <w:rPr>
          <w:rFonts w:ascii="宋体" w:hAnsi="宋体" w:eastAsia="宋体" w:cs="宋体"/>
        </w:rPr>
      </w:pPr>
      <w:r>
        <w:rPr>
          <w:rFonts w:hint="eastAsia" w:ascii="宋体" w:hAnsi="宋体" w:eastAsia="宋体" w:cs="宋体"/>
        </w:rPr>
        <w:t>图6.2-1 安全生产领导小组组织框图</w:t>
      </w:r>
    </w:p>
    <w:p>
      <w:pPr>
        <w:spacing w:after="0" w:afterLines="0" w:line="360" w:lineRule="auto"/>
        <w:ind w:firstLine="480"/>
        <w:jc w:val="both"/>
        <w:rPr>
          <w:rFonts w:ascii="宋体" w:hAnsi="宋体" w:eastAsia="宋体" w:cs="宋体"/>
        </w:rPr>
      </w:pPr>
      <w:r>
        <w:rPr>
          <w:rFonts w:hint="eastAsia" w:ascii="宋体" w:hAnsi="宋体" w:eastAsia="宋体" w:cs="宋体"/>
        </w:rPr>
        <w:t>⑴项目部根据国家、地方、业主、上级公司以及相关方要求，结合项目部实际情况，建立并保持相应的各种安全管理制度。我项目已经建立了一套完整的行之有效的安全生产规章制度及其操作程序。</w:t>
      </w:r>
    </w:p>
    <w:p>
      <w:pPr>
        <w:spacing w:after="0" w:afterLines="0" w:line="360" w:lineRule="auto"/>
        <w:ind w:firstLine="480"/>
        <w:jc w:val="both"/>
        <w:rPr>
          <w:rFonts w:ascii="宋体" w:hAnsi="宋体" w:eastAsia="宋体" w:cs="宋体"/>
        </w:rPr>
      </w:pPr>
      <w:r>
        <w:rPr>
          <w:rFonts w:hint="eastAsia" w:ascii="宋体" w:hAnsi="宋体" w:eastAsia="宋体" w:cs="宋体"/>
        </w:rPr>
        <w:t>⑵运用相关安全系统工程评价法对施工过程存在的危险因素进行详细评价和论证，结合项目资源配置情况、技术能力状况等多方面分析研究，初步确定出（如果不采取措施）可能会造成严重事故的重要危险因素，然后根据评价结果制定各个安全控制方案。</w:t>
      </w:r>
    </w:p>
    <w:p>
      <w:pPr>
        <w:spacing w:after="0" w:afterLines="0" w:line="360" w:lineRule="auto"/>
        <w:ind w:firstLine="480"/>
        <w:jc w:val="both"/>
        <w:rPr>
          <w:rFonts w:ascii="宋体" w:hAnsi="宋体" w:eastAsia="宋体" w:cs="宋体"/>
        </w:rPr>
      </w:pPr>
      <w:r>
        <w:rPr>
          <w:rFonts w:hint="eastAsia" w:ascii="宋体" w:hAnsi="宋体" w:eastAsia="宋体" w:cs="宋体"/>
        </w:rPr>
        <w:t>⑶项目领导对安全工作正确定位并给予高度重视，积极落实“安全第一”方针和“以人为本，安全为天”的指导思想，扎扎实实搞好安全工作。</w:t>
      </w:r>
    </w:p>
    <w:p>
      <w:pPr>
        <w:spacing w:after="0" w:afterLines="0" w:line="360" w:lineRule="auto"/>
        <w:ind w:firstLine="480"/>
        <w:jc w:val="both"/>
        <w:rPr>
          <w:rFonts w:ascii="宋体" w:hAnsi="宋体" w:eastAsia="宋体" w:cs="宋体"/>
        </w:rPr>
      </w:pPr>
      <w:r>
        <w:rPr>
          <w:rFonts w:hint="eastAsia" w:ascii="宋体" w:hAnsi="宋体" w:eastAsia="宋体" w:cs="宋体"/>
        </w:rPr>
        <w:t>⑷加强员工安全培训工作，一方面是对项目安全管理人员的业务技能培训，另一方面是对员工的安全意识培训，培训的内容包括岗前三级教育、特殊工种、专项操作规程、安全技术交底等等。</w:t>
      </w:r>
    </w:p>
    <w:p>
      <w:pPr>
        <w:spacing w:after="0" w:afterLines="0" w:line="360" w:lineRule="auto"/>
        <w:ind w:firstLine="480"/>
        <w:jc w:val="both"/>
        <w:rPr>
          <w:rFonts w:ascii="宋体" w:hAnsi="宋体" w:eastAsia="宋体" w:cs="宋体"/>
        </w:rPr>
      </w:pPr>
      <w:r>
        <w:rPr>
          <w:rFonts w:hint="eastAsia" w:ascii="宋体" w:hAnsi="宋体" w:eastAsia="宋体" w:cs="宋体"/>
        </w:rPr>
        <w:t>⑸开展各项丰富多彩的安全生产活动，通过活动促进员工安全思想得到进一步增强，同时辅以一些激励措施，使员工从被动接受教育转变为主动接受教育。</w:t>
      </w:r>
    </w:p>
    <w:p>
      <w:pPr>
        <w:spacing w:after="0" w:afterLines="0" w:line="360" w:lineRule="auto"/>
        <w:ind w:firstLine="480"/>
        <w:jc w:val="both"/>
        <w:rPr>
          <w:rFonts w:ascii="宋体" w:hAnsi="宋体" w:eastAsia="宋体" w:cs="宋体"/>
        </w:rPr>
      </w:pPr>
      <w:r>
        <w:rPr>
          <w:rFonts w:hint="eastAsia" w:ascii="宋体" w:hAnsi="宋体" w:eastAsia="宋体" w:cs="宋体"/>
        </w:rPr>
        <w:t>⑹强化现场宣传管理，在主要通道或醒目的公众场所设置标语标牌，时刻提醒员工遵章守纪，使员工的安全意识在潜移默化中得到增强。</w:t>
      </w:r>
    </w:p>
    <w:p>
      <w:pPr>
        <w:keepNext/>
        <w:keepLines/>
        <w:spacing w:after="120" w:line="360" w:lineRule="auto"/>
        <w:ind w:firstLine="240" w:firstLineChars="100"/>
        <w:jc w:val="both"/>
        <w:outlineLvl w:val="1"/>
        <w:rPr>
          <w:rFonts w:ascii="宋体" w:hAnsi="宋体" w:eastAsia="宋体" w:cs="宋体"/>
        </w:rPr>
      </w:pPr>
      <w:r>
        <w:rPr>
          <w:rFonts w:hint="eastAsia" w:ascii="宋体" w:hAnsi="宋体" w:eastAsia="宋体" w:cs="宋体"/>
        </w:rPr>
        <w:t>6.3</w:t>
      </w:r>
      <w:bookmarkEnd w:id="67"/>
      <w:bookmarkEnd w:id="68"/>
      <w:bookmarkEnd w:id="69"/>
      <w:r>
        <w:rPr>
          <w:rFonts w:hint="eastAsia" w:ascii="宋体" w:hAnsi="宋体" w:eastAsia="宋体" w:cs="宋体"/>
        </w:rPr>
        <w:t xml:space="preserve"> 领导带班安全生产制度</w:t>
      </w:r>
    </w:p>
    <w:p>
      <w:pPr>
        <w:spacing w:after="0" w:afterLines="0" w:line="360" w:lineRule="auto"/>
        <w:ind w:firstLine="480"/>
        <w:jc w:val="both"/>
        <w:rPr>
          <w:rFonts w:ascii="宋体" w:hAnsi="宋体" w:eastAsia="宋体" w:cs="宋体"/>
        </w:rPr>
      </w:pPr>
      <w:r>
        <w:rPr>
          <w:rFonts w:hint="eastAsia" w:ascii="宋体" w:hAnsi="宋体" w:eastAsia="宋体" w:cs="宋体"/>
        </w:rPr>
        <w:t>⑴项目经理是本项目的安全管理的第一责任人，对落实带班生产制度全面负责。</w:t>
      </w:r>
    </w:p>
    <w:p>
      <w:pPr>
        <w:spacing w:after="0" w:afterLines="0" w:line="360" w:lineRule="auto"/>
        <w:ind w:firstLine="480"/>
        <w:jc w:val="both"/>
        <w:rPr>
          <w:rFonts w:ascii="宋体" w:hAnsi="宋体" w:eastAsia="宋体" w:cs="宋体"/>
        </w:rPr>
      </w:pPr>
      <w:r>
        <w:rPr>
          <w:rFonts w:hint="eastAsia" w:ascii="宋体" w:hAnsi="宋体" w:eastAsia="宋体" w:cs="宋体"/>
        </w:rPr>
        <w:t>⑵项目主要负责人带班生产时，应履行以下职责：</w:t>
      </w:r>
    </w:p>
    <w:p>
      <w:pPr>
        <w:spacing w:after="0" w:afterLines="0" w:line="360" w:lineRule="auto"/>
        <w:ind w:firstLine="480"/>
        <w:jc w:val="both"/>
        <w:rPr>
          <w:rFonts w:ascii="宋体" w:hAnsi="宋体" w:eastAsia="宋体" w:cs="宋体"/>
          <w:kern w:val="10"/>
        </w:rPr>
      </w:pPr>
      <w:r>
        <w:rPr>
          <w:rFonts w:hint="eastAsia" w:ascii="宋体" w:hAnsi="宋体" w:eastAsia="宋体" w:cs="宋体"/>
          <w:kern w:val="10"/>
        </w:rPr>
        <w:t>①坚持生产工作与安全工作的“五同时”，规范地执行各项安全生产的规章制度，对本单位的安全工作全面负责；</w:t>
      </w:r>
    </w:p>
    <w:p>
      <w:pPr>
        <w:spacing w:after="0" w:afterLines="0" w:line="360" w:lineRule="auto"/>
        <w:ind w:firstLine="480"/>
        <w:jc w:val="both"/>
        <w:rPr>
          <w:rFonts w:ascii="宋体" w:hAnsi="宋体" w:eastAsia="宋体" w:cs="宋体"/>
          <w:kern w:val="10"/>
        </w:rPr>
      </w:pPr>
      <w:r>
        <w:rPr>
          <w:rFonts w:hint="eastAsia" w:ascii="宋体" w:hAnsi="宋体" w:eastAsia="宋体" w:cs="宋体"/>
          <w:kern w:val="10"/>
        </w:rPr>
        <w:t>②检查落实技术、质检、安全等管理人员跟班作业，确保现场管理人员有效到位；</w:t>
      </w:r>
    </w:p>
    <w:p>
      <w:pPr>
        <w:spacing w:after="0" w:afterLines="0" w:line="360" w:lineRule="auto"/>
        <w:ind w:firstLine="480"/>
        <w:jc w:val="both"/>
        <w:rPr>
          <w:rFonts w:ascii="宋体" w:hAnsi="宋体" w:eastAsia="宋体" w:cs="宋体"/>
          <w:kern w:val="10"/>
        </w:rPr>
      </w:pPr>
      <w:r>
        <w:rPr>
          <w:rFonts w:hint="eastAsia" w:ascii="宋体" w:hAnsi="宋体" w:eastAsia="宋体" w:cs="宋体"/>
          <w:kern w:val="10"/>
        </w:rPr>
        <w:t>③负责当日的安全检查、督促和指导施工区安全工作，解决安全方面的疑难问题，防范可能发生的一切不安全因素；</w:t>
      </w:r>
    </w:p>
    <w:p>
      <w:pPr>
        <w:spacing w:after="0" w:afterLines="0" w:line="360" w:lineRule="auto"/>
        <w:ind w:firstLine="480"/>
        <w:jc w:val="both"/>
        <w:rPr>
          <w:rFonts w:ascii="宋体" w:hAnsi="宋体" w:eastAsia="宋体" w:cs="宋体"/>
          <w:kern w:val="10"/>
        </w:rPr>
      </w:pPr>
      <w:r>
        <w:rPr>
          <w:rFonts w:hint="eastAsia" w:ascii="宋体" w:hAnsi="宋体" w:eastAsia="宋体" w:cs="宋体"/>
          <w:kern w:val="10"/>
        </w:rPr>
        <w:t>④负责当日生产现场的安全监督、督促和检查工作，有权对“三违”现象进行处罚，并停止其工作，对情节严重者，并按有关规定处理；</w:t>
      </w:r>
    </w:p>
    <w:p>
      <w:pPr>
        <w:spacing w:after="0" w:afterLines="0" w:line="360" w:lineRule="auto"/>
        <w:ind w:firstLine="480"/>
        <w:jc w:val="both"/>
        <w:rPr>
          <w:rFonts w:ascii="宋体" w:hAnsi="宋体" w:eastAsia="宋体" w:cs="宋体"/>
          <w:kern w:val="10"/>
        </w:rPr>
      </w:pPr>
      <w:r>
        <w:rPr>
          <w:rFonts w:hint="eastAsia" w:ascii="宋体" w:hAnsi="宋体" w:eastAsia="宋体" w:cs="宋体"/>
          <w:kern w:val="10"/>
        </w:rPr>
        <w:t>⑤及时发现的事故隐患并组织人员立即采取有效防范措施，提出整改意见，督促限期整改；</w:t>
      </w:r>
    </w:p>
    <w:p>
      <w:pPr>
        <w:spacing w:after="0" w:afterLines="0" w:line="360" w:lineRule="auto"/>
        <w:ind w:firstLine="480"/>
        <w:jc w:val="both"/>
        <w:rPr>
          <w:rFonts w:ascii="宋体" w:hAnsi="宋体" w:eastAsia="宋体" w:cs="宋体"/>
        </w:rPr>
      </w:pPr>
      <w:r>
        <w:rPr>
          <w:rFonts w:hint="eastAsia" w:ascii="宋体" w:hAnsi="宋体" w:eastAsia="宋体" w:cs="宋体"/>
          <w:kern w:val="10"/>
        </w:rPr>
        <w:t>⑥填写带班生产工作日志并签字归档备查等。</w:t>
      </w:r>
    </w:p>
    <w:p>
      <w:pPr>
        <w:spacing w:after="0" w:afterLines="0" w:line="360" w:lineRule="auto"/>
        <w:ind w:firstLine="480"/>
        <w:jc w:val="both"/>
        <w:rPr>
          <w:rFonts w:ascii="宋体" w:hAnsi="宋体" w:eastAsia="宋体" w:cs="宋体"/>
          <w:kern w:val="10"/>
        </w:rPr>
      </w:pPr>
      <w:r>
        <w:rPr>
          <w:rFonts w:hint="eastAsia" w:ascii="宋体" w:hAnsi="宋体" w:eastAsia="宋体" w:cs="宋体"/>
        </w:rPr>
        <w:t>⑶项目主要负责人、部门负责人及各作业区域负责人应保持手机24小时开机。</w:t>
      </w:r>
    </w:p>
    <w:p>
      <w:pPr>
        <w:spacing w:after="0" w:afterLines="0" w:line="360" w:lineRule="auto"/>
        <w:ind w:firstLine="480"/>
        <w:jc w:val="both"/>
        <w:rPr>
          <w:rFonts w:ascii="宋体" w:hAnsi="宋体" w:eastAsia="宋体" w:cs="宋体"/>
        </w:rPr>
      </w:pPr>
      <w:r>
        <w:rPr>
          <w:rFonts w:hint="eastAsia" w:ascii="宋体" w:hAnsi="宋体" w:eastAsia="宋体" w:cs="宋体"/>
        </w:rPr>
        <w:t>⑷项目负责人带班生产时，应全面掌握工程项目的安全生产状况，加强对重点部位、关键环节的控制，及时消除安全隐患，并认真做好带班生产记录并签字存档备查。</w:t>
      </w:r>
    </w:p>
    <w:p>
      <w:pPr>
        <w:spacing w:after="0" w:afterLines="0" w:line="360" w:lineRule="auto"/>
        <w:ind w:firstLine="480"/>
        <w:jc w:val="both"/>
        <w:rPr>
          <w:rFonts w:ascii="宋体" w:hAnsi="宋体" w:eastAsia="宋体" w:cs="宋体"/>
        </w:rPr>
      </w:pPr>
      <w:r>
        <w:rPr>
          <w:rFonts w:hint="eastAsia" w:ascii="宋体" w:hAnsi="宋体" w:eastAsia="宋体" w:cs="宋体"/>
        </w:rPr>
        <w:t>⑸带班主要负责人应当向接班的领导详细告知当前施工现场安全存在的问题、需要注意的事项等，并认真填写交接班记录。</w:t>
      </w:r>
    </w:p>
    <w:p>
      <w:pPr>
        <w:spacing w:after="0" w:afterLines="0" w:line="360" w:lineRule="auto"/>
        <w:ind w:firstLine="480"/>
        <w:jc w:val="both"/>
        <w:rPr>
          <w:rFonts w:ascii="宋体" w:hAnsi="宋体" w:eastAsia="宋体" w:cs="宋体"/>
        </w:rPr>
      </w:pPr>
      <w:r>
        <w:rPr>
          <w:rFonts w:hint="eastAsia" w:ascii="宋体" w:hAnsi="宋体" w:eastAsia="宋体" w:cs="宋体"/>
        </w:rPr>
        <w:t>⑹项目部领导施工现场带班生产工作记录由当班领导填写，由安全部每月负责整理，并存档备查。</w:t>
      </w:r>
    </w:p>
    <w:p>
      <w:pPr>
        <w:keepNext/>
        <w:keepLines/>
        <w:spacing w:after="120" w:line="360" w:lineRule="auto"/>
        <w:ind w:firstLine="240" w:firstLineChars="100"/>
        <w:jc w:val="both"/>
        <w:outlineLvl w:val="1"/>
        <w:rPr>
          <w:rFonts w:ascii="宋体" w:hAnsi="宋体" w:eastAsia="宋体" w:cs="Times New Roman"/>
        </w:rPr>
      </w:pPr>
      <w:r>
        <w:rPr>
          <w:rFonts w:hint="eastAsia" w:ascii="宋体" w:hAnsi="宋体" w:eastAsia="宋体" w:cs="Times New Roman"/>
        </w:rPr>
        <w:t>6.4安全保证措施</w:t>
      </w:r>
      <w:bookmarkEnd w:id="59"/>
      <w:bookmarkEnd w:id="60"/>
      <w:bookmarkEnd w:id="61"/>
    </w:p>
    <w:bookmarkEnd w:id="62"/>
    <w:p>
      <w:pPr>
        <w:spacing w:after="120" w:line="360" w:lineRule="auto"/>
        <w:ind w:firstLine="480"/>
        <w:outlineLvl w:val="2"/>
        <w:rPr>
          <w:rFonts w:ascii="宋体" w:hAnsi="宋体" w:eastAsia="宋体" w:cs="Times New Roman"/>
        </w:rPr>
      </w:pPr>
      <w:bookmarkStart w:id="70" w:name="_Toc528139716"/>
      <w:bookmarkStart w:id="71" w:name="_Toc259886636"/>
      <w:bookmarkStart w:id="72" w:name="_Toc259803848"/>
      <w:bookmarkStart w:id="73" w:name="_Toc495658258"/>
      <w:bookmarkStart w:id="74" w:name="_Toc259803783"/>
      <w:bookmarkStart w:id="75" w:name="_Toc496855883"/>
      <w:r>
        <w:rPr>
          <w:rFonts w:hint="eastAsia" w:ascii="宋体" w:hAnsi="宋体" w:eastAsia="宋体" w:cs="Times New Roman"/>
        </w:rPr>
        <w:t>6.4.1班组标准化“6S管理”措施</w:t>
      </w:r>
      <w:bookmarkEnd w:id="70"/>
    </w:p>
    <w:p>
      <w:pPr>
        <w:pStyle w:val="6"/>
        <w:ind w:firstLine="480"/>
        <w:rPr>
          <w:rFonts w:asciiTheme="minorEastAsia" w:hAnsiTheme="minorEastAsia"/>
          <w:b w:val="0"/>
          <w:bCs w:val="0"/>
          <w:szCs w:val="24"/>
        </w:rPr>
      </w:pPr>
      <w:r>
        <w:rPr>
          <w:rFonts w:hint="eastAsia" w:asciiTheme="minorEastAsia" w:hAnsiTheme="minorEastAsia"/>
          <w:b w:val="0"/>
          <w:bCs w:val="0"/>
          <w:szCs w:val="24"/>
        </w:rPr>
        <w:t>6.4.1.1组织机构</w:t>
      </w:r>
    </w:p>
    <w:p>
      <w:pPr>
        <w:spacing w:after="0" w:afterLines="0" w:line="360" w:lineRule="auto"/>
        <w:ind w:firstLine="480"/>
        <w:jc w:val="both"/>
        <w:rPr>
          <w:rFonts w:ascii="宋体" w:hAnsi="宋体" w:eastAsia="宋体" w:cs="Times New Roman"/>
        </w:rPr>
      </w:pPr>
      <w:bookmarkStart w:id="76" w:name="_Hlk500158925"/>
      <w:r>
        <w:rPr>
          <w:rFonts w:hint="eastAsia" w:ascii="宋体" w:hAnsi="宋体" w:eastAsia="宋体" w:cs="Times New Roman"/>
        </w:rPr>
        <w:t>班组文化其实是班组源头管理的灵魂，因此打造独特班组文化是实施标准化迚设的 核心内容之一。项目部成立了“班组作业标准化建设活动”领导小组，负责对进场班组进行作业标准化建设活动实施方案及各种制度的制定以及贯彻、培训、指导与实施过程的监督、检查、考核、评比。</w:t>
      </w:r>
    </w:p>
    <w:bookmarkEnd w:id="76"/>
    <w:p>
      <w:pPr>
        <w:pStyle w:val="6"/>
        <w:ind w:firstLine="480"/>
        <w:rPr>
          <w:rFonts w:asciiTheme="minorEastAsia" w:hAnsiTheme="minorEastAsia"/>
          <w:b w:val="0"/>
          <w:bCs w:val="0"/>
          <w:szCs w:val="24"/>
        </w:rPr>
      </w:pPr>
      <w:r>
        <w:rPr>
          <w:rFonts w:hint="eastAsia" w:asciiTheme="minorEastAsia" w:hAnsiTheme="minorEastAsia"/>
          <w:b w:val="0"/>
          <w:bCs w:val="0"/>
          <w:szCs w:val="24"/>
        </w:rPr>
        <w:t>6.4.1.2培训教育</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在充分利用各类标示标牌、宣传横幅、质安文化墙、宣传手册等宣传文化阵地加大宣传力度的基础之上，项目部对承台施工班组进行“质安文化进工地”、“6S”管理及班组作业标准化教育及交底，并发放资料以供参考。</w:t>
      </w:r>
    </w:p>
    <w:p>
      <w:pPr>
        <w:pStyle w:val="6"/>
        <w:ind w:firstLine="480"/>
        <w:rPr>
          <w:rFonts w:asciiTheme="minorEastAsia" w:hAnsiTheme="minorEastAsia"/>
          <w:b w:val="0"/>
          <w:bCs w:val="0"/>
          <w:szCs w:val="24"/>
        </w:rPr>
      </w:pPr>
      <w:r>
        <w:rPr>
          <w:rFonts w:hint="eastAsia" w:asciiTheme="minorEastAsia" w:hAnsiTheme="minorEastAsia"/>
          <w:b w:val="0"/>
          <w:bCs w:val="0"/>
          <w:szCs w:val="24"/>
        </w:rPr>
        <w:t>6.4.1.3建立作业班组</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根据实际班组人员情况，对塔吊安装作业进行班组划分，落实班前交底、 班后总结及最美班组评选措施。</w:t>
      </w:r>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表6.4-1 班组划分一览表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218"/>
        <w:gridCol w:w="4077"/>
        <w:gridCol w:w="2852"/>
        <w:gridCol w:w="1218"/>
      </w:tblGrid>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39"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tcPr>
          <w:p>
            <w:pPr>
              <w:pStyle w:val="50"/>
              <w:ind w:firstLine="0" w:firstLineChars="0"/>
              <w:rPr>
                <w:sz w:val="24"/>
                <w:szCs w:val="24"/>
                <w:lang w:val="en-US"/>
              </w:rPr>
            </w:pPr>
            <w:r>
              <w:rPr>
                <w:rFonts w:hint="eastAsia"/>
                <w:sz w:val="24"/>
                <w:szCs w:val="24"/>
                <w:lang w:val="en-US"/>
              </w:rPr>
              <w:t>序号</w:t>
            </w:r>
          </w:p>
        </w:tc>
        <w:tc>
          <w:tcPr>
            <w:tcW w:w="2176" w:type="pct"/>
            <w:tcBorders>
              <w:top w:val="single" w:color="auto" w:sz="4" w:space="0"/>
              <w:left w:val="single" w:color="auto" w:sz="4" w:space="0"/>
              <w:bottom w:val="single" w:color="auto" w:sz="4" w:space="0"/>
              <w:right w:val="single" w:color="auto" w:sz="4" w:space="0"/>
            </w:tcBorders>
            <w:shd w:val="clear" w:color="auto" w:fill="auto"/>
          </w:tcPr>
          <w:p>
            <w:pPr>
              <w:pStyle w:val="50"/>
              <w:ind w:firstLine="0" w:firstLineChars="0"/>
              <w:rPr>
                <w:sz w:val="24"/>
                <w:szCs w:val="24"/>
                <w:lang w:val="en-US"/>
              </w:rPr>
            </w:pPr>
            <w:r>
              <w:rPr>
                <w:rFonts w:hint="eastAsia"/>
                <w:sz w:val="24"/>
                <w:szCs w:val="24"/>
                <w:lang w:val="en-US"/>
              </w:rPr>
              <w:t>工程名称</w:t>
            </w:r>
          </w:p>
        </w:tc>
        <w:tc>
          <w:tcPr>
            <w:tcW w:w="1522" w:type="pct"/>
            <w:tcBorders>
              <w:top w:val="single" w:color="auto" w:sz="4" w:space="0"/>
              <w:left w:val="single" w:color="auto" w:sz="4" w:space="0"/>
              <w:bottom w:val="single" w:color="auto" w:sz="4" w:space="0"/>
              <w:right w:val="single" w:color="auto" w:sz="4" w:space="0"/>
            </w:tcBorders>
            <w:shd w:val="clear" w:color="auto" w:fill="auto"/>
          </w:tcPr>
          <w:p>
            <w:pPr>
              <w:pStyle w:val="50"/>
              <w:ind w:firstLine="0" w:firstLineChars="0"/>
              <w:rPr>
                <w:sz w:val="24"/>
                <w:szCs w:val="24"/>
                <w:lang w:val="en-US"/>
              </w:rPr>
            </w:pPr>
            <w:r>
              <w:rPr>
                <w:rFonts w:hint="eastAsia"/>
                <w:sz w:val="24"/>
                <w:szCs w:val="24"/>
                <w:lang w:val="en-US"/>
              </w:rPr>
              <w:t>班组名称</w:t>
            </w:r>
          </w:p>
        </w:tc>
        <w:tc>
          <w:tcPr>
            <w:tcW w:w="650" w:type="pct"/>
            <w:tcBorders>
              <w:top w:val="single" w:color="auto" w:sz="4" w:space="0"/>
              <w:left w:val="single" w:color="auto" w:sz="4" w:space="0"/>
              <w:bottom w:val="single" w:color="auto" w:sz="4" w:space="0"/>
              <w:right w:val="single" w:color="auto" w:sz="4" w:space="0"/>
            </w:tcBorders>
            <w:shd w:val="clear" w:color="auto" w:fill="auto"/>
          </w:tcPr>
          <w:p>
            <w:pPr>
              <w:pStyle w:val="50"/>
              <w:ind w:firstLine="0" w:firstLineChars="0"/>
              <w:rPr>
                <w:sz w:val="24"/>
                <w:szCs w:val="24"/>
                <w:lang w:val="en-US"/>
              </w:rPr>
            </w:pPr>
            <w:r>
              <w:rPr>
                <w:rFonts w:hint="eastAsia"/>
                <w:sz w:val="24"/>
                <w:szCs w:val="24"/>
                <w:lang w:val="en-US"/>
              </w:rPr>
              <w:t>备注</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97"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0"/>
              <w:ind w:firstLine="0" w:firstLineChars="0"/>
              <w:rPr>
                <w:sz w:val="24"/>
                <w:szCs w:val="24"/>
                <w:lang w:val="en-US"/>
              </w:rPr>
            </w:pPr>
            <w:r>
              <w:rPr>
                <w:rFonts w:hint="eastAsia"/>
                <w:sz w:val="24"/>
                <w:szCs w:val="24"/>
                <w:lang w:val="en-US"/>
              </w:rPr>
              <w:t>1</w:t>
            </w:r>
          </w:p>
        </w:tc>
        <w:tc>
          <w:tcPr>
            <w:tcW w:w="21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0"/>
              <w:ind w:firstLine="0" w:firstLineChars="0"/>
              <w:rPr>
                <w:sz w:val="24"/>
                <w:szCs w:val="24"/>
                <w:lang w:val="en-US"/>
              </w:rPr>
            </w:pPr>
            <w:r>
              <w:rPr>
                <w:rFonts w:hint="eastAsia"/>
                <w:sz w:val="24"/>
                <w:szCs w:val="24"/>
                <w:lang w:val="en-US"/>
              </w:rPr>
              <w:t>塔吊安装作业</w:t>
            </w:r>
          </w:p>
        </w:tc>
        <w:tc>
          <w:tcPr>
            <w:tcW w:w="152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0"/>
              <w:ind w:firstLine="0" w:firstLineChars="0"/>
              <w:rPr>
                <w:sz w:val="24"/>
                <w:szCs w:val="24"/>
                <w:lang w:val="en-US"/>
              </w:rPr>
            </w:pPr>
            <w:r>
              <w:rPr>
                <w:rFonts w:hint="eastAsia"/>
                <w:sz w:val="24"/>
                <w:szCs w:val="24"/>
                <w:lang w:val="en-US"/>
              </w:rPr>
              <w:t>塔吊安装班组</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0"/>
              <w:ind w:firstLine="0" w:firstLineChars="0"/>
              <w:rPr>
                <w:sz w:val="24"/>
                <w:szCs w:val="24"/>
                <w:lang w:val="en-US"/>
              </w:rPr>
            </w:pPr>
          </w:p>
        </w:tc>
      </w:tr>
    </w:tbl>
    <w:p>
      <w:pPr>
        <w:pStyle w:val="6"/>
        <w:ind w:firstLine="480"/>
        <w:rPr>
          <w:rFonts w:asciiTheme="minorEastAsia" w:hAnsiTheme="minorEastAsia"/>
          <w:b w:val="0"/>
          <w:bCs w:val="0"/>
          <w:szCs w:val="24"/>
        </w:rPr>
      </w:pPr>
      <w:r>
        <w:rPr>
          <w:rFonts w:hint="eastAsia" w:asciiTheme="minorEastAsia" w:hAnsiTheme="minorEastAsia"/>
          <w:b w:val="0"/>
          <w:bCs w:val="0"/>
          <w:szCs w:val="24"/>
        </w:rPr>
        <w:t>6.4.1.4班组岗位职责划分</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（1）班组长岗位职责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①负责分配并实施本班组的日常施工任务，做好班前教育、班中检查、班后总结工作；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②督促作业人员正确使用安全防护用品，做到机具设备定置摆放，确保人员安全、场地整洁、工完料清；</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③落实监理员、技术员、安全员下达的整改意见和要求，确保隐患整改到位；</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④配合项目部做好班组考核评比工作；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⑤做好交接班工作并及时填写相关记录；</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⑥发生紧急情况时立即报告，协助应急救援，保护好现场。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（2）班组巡查员岗位职责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①开展班组巡查，及时纠正违章、违规作业，发现重大隐患及时上报，紧急情况有权暂停施工；</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②配合班组长做好班组管理，协助开展班组各项活动，并做好记录；</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③做好班组相关记录的整理、归档。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（3）技术员岗位职责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①组织开展分管班组技术交底工作，履行签认手续，确保交底落实至所有班组成员；</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②贯彻执行班组作业标准化管理制度和施工方案中的质量、安全技术要求，组织班组首件制的检查验收；</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③根据质量三检制度，做好工序复检工作，报质检员专检以及监理员检查验收，填写《施工三检记录表》；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④开展班组检查，查处违规违章行为，及时消除安全隐患；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⑤参与班组作业标准化考核，有权提出考评意见。</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（4）安全员岗位职责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①组织开展班组进场工人三级安全教育及日常安全教育、交底、培训工作；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②监督班组安全防护用品、安全设施的发放、使用；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③负责班组作业区域隔离、安全防护、标志标牌等现场标化措施的落实；</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④每日进行班组安全检查，及时发现安全隐患，提出整改意见和措施，并跟踪督办，发现重大隐患的，立即向分管领导汇报；</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⑤参与项目部定期开展的班组作业标准化考核评比，跟踪落实班组奖罚机制；</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⑥掌握班组信息动态，及时填写相关检查表。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（5）班组成员岗位职责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①遵守班组劳动纪律，正确使用个人劳动防护用品，保持班组作业环境整洁，做到文明生产；</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②作业前接受班前教育，作业时按照操作规程操作；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③积极参加各种班组教育培训、会议等活动；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④有权拒绝违章作业的指令，对他人违章作业加以劝阻和制止。</w:t>
      </w:r>
    </w:p>
    <w:p>
      <w:pPr>
        <w:pStyle w:val="6"/>
        <w:ind w:firstLine="480"/>
        <w:rPr>
          <w:rFonts w:asciiTheme="minorEastAsia" w:hAnsiTheme="minorEastAsia"/>
          <w:b w:val="0"/>
          <w:bCs w:val="0"/>
          <w:szCs w:val="24"/>
        </w:rPr>
      </w:pPr>
      <w:r>
        <w:rPr>
          <w:rFonts w:hint="eastAsia" w:asciiTheme="minorEastAsia" w:hAnsiTheme="minorEastAsia"/>
          <w:b w:val="0"/>
          <w:bCs w:val="0"/>
          <w:szCs w:val="24"/>
        </w:rPr>
        <w:t>6.4.1.5推行班组“6S”管理</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深入学习领会班组“6S”管理理念，严格按照整理、整顿、清扫、清洁、素养、安全的“6S”流程进行管理，</w:t>
      </w:r>
      <w:bookmarkStart w:id="77" w:name="_Hlk500159103"/>
      <w:r>
        <w:rPr>
          <w:rFonts w:hint="eastAsia" w:ascii="宋体" w:hAnsi="宋体" w:eastAsia="宋体" w:cs="Times New Roman"/>
        </w:rPr>
        <w:t>对施工生产、办公现场各要素不断的进行安全管理工作，不断提升员工素养和职业技能，促使班组人、机、料、作业环境干净、整洁，确保作业现场人员人身安全及产品质量安全，预防质量安全事故发生。</w:t>
      </w:r>
      <w:bookmarkEnd w:id="77"/>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（1）整理（要与不要，一留一弃）</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每天班前对班组钢套箱及承台作业现场的材料、机具、设备进行简单整理，把需要的材料、机具、设备留下，不需要的尽快处理掉。</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（2）整顿（物有其所、物归其所）</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 xml:space="preserve">对整理之后留在现场的材料、设备分类放置，排列整齐，便于取用；对相关机械、工器具进行合理固化，设置专门的工具存放箱、杂物箱；设置班组标志标牌，对各区域进行有效的标识；机械设备施行定机、定人、挂牌上岗。 </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（3）清扫（源头治理，干净整洁）</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 xml:space="preserve">根据班组内区域划分，实行区域责任制，应做到一项施工任务结束后每个班组成员立即组织对各自作业场所和设备进行清理、打扫，把废旧物品、施工垃圾集中放置于专门的废旧物品存放箱内，保持作业场所干净、整洁。 </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（4）清洁（规范统一，一目了然）</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 xml:space="preserve"> 将整理、整顿、清扫环节制度化、规范化、日常化，认真贯彻执行并维持成果，发现异常问题，通过考核改进。 </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（5）素养（长期坚持、养成习惯）</w:t>
      </w:r>
    </w:p>
    <w:p>
      <w:pPr>
        <w:pStyle w:val="18"/>
        <w:widowControl w:val="0"/>
        <w:ind w:left="480" w:leftChars="200" w:firstLine="480"/>
      </w:pPr>
      <w:r>
        <w:rPr>
          <w:rFonts w:hint="eastAsia"/>
        </w:rPr>
        <w:t>通过班前提示教育、周会议、月度教育培训、日常检查、日常管理等方式，向员工灌输班组作业标准化的要求、措施，不断提高员工素质和职业技能，养成良好的作业习惯。并做到不得后酒作业；作好每天交接班</w:t>
      </w:r>
      <w:r>
        <w:rPr>
          <w:rFonts w:hint="eastAsia" w:ascii="宋体" w:hAnsi="宋体" w:eastAsia="宋体" w:cs="宋体"/>
        </w:rPr>
        <w:t>记录表；每周检查记录表，保养记录表；每月对塔吊进行两次全面仔细检查，并作好记录。</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（6）安全（一人为本、防微杜渐）</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根据班组安全生产标准化要求，每天组织班前提示教育、班前检查、班中巡查、班后小结等工作，每周召开一次班组会议、组织一次班组安全检查，每月组织一次班组生产例会、开展一次班组内部安全教育、组织一次班组考核，促使班组人、机、料、作业环境不断完善，确保作业现场人员人身安全及产品质量安全，预防安全质量事故的发生。</w:t>
      </w:r>
      <w:bookmarkEnd w:id="71"/>
      <w:bookmarkEnd w:id="72"/>
      <w:bookmarkEnd w:id="73"/>
      <w:bookmarkEnd w:id="74"/>
      <w:bookmarkEnd w:id="75"/>
      <w:bookmarkStart w:id="78" w:name="_Toc515110093"/>
      <w:bookmarkStart w:id="79" w:name="_Toc513404202"/>
      <w:bookmarkStart w:id="80" w:name="_Toc438622288"/>
      <w:bookmarkStart w:id="81" w:name="_Toc428001341"/>
      <w:bookmarkStart w:id="82" w:name="_Toc513401106"/>
      <w:bookmarkStart w:id="83" w:name="_Toc528139717"/>
    </w:p>
    <w:p>
      <w:pPr>
        <w:spacing w:after="120" w:line="360" w:lineRule="auto"/>
        <w:ind w:firstLine="480"/>
        <w:outlineLvl w:val="2"/>
        <w:rPr>
          <w:rFonts w:ascii="宋体" w:hAnsi="宋体" w:eastAsia="宋体" w:cs="Times New Roman"/>
        </w:rPr>
      </w:pPr>
      <w:r>
        <w:rPr>
          <w:rFonts w:hint="eastAsia" w:ascii="宋体" w:hAnsi="宋体" w:eastAsia="宋体" w:cs="Times New Roman"/>
        </w:rPr>
        <w:t>6.4.2安装作业安全保证措施</w:t>
      </w:r>
      <w:bookmarkEnd w:id="78"/>
      <w:bookmarkEnd w:id="79"/>
      <w:bookmarkEnd w:id="80"/>
      <w:bookmarkEnd w:id="81"/>
      <w:bookmarkEnd w:id="82"/>
      <w:bookmarkEnd w:id="83"/>
    </w:p>
    <w:p>
      <w:pPr>
        <w:spacing w:after="0" w:afterLines="0" w:line="360" w:lineRule="auto"/>
        <w:ind w:firstLine="480"/>
        <w:jc w:val="both"/>
        <w:rPr>
          <w:rFonts w:ascii="宋体" w:hAnsi="宋体" w:eastAsia="宋体" w:cs="Times New Roman"/>
        </w:rPr>
      </w:pPr>
      <w:bookmarkStart w:id="84" w:name="_Toc515110094"/>
      <w:bookmarkStart w:id="85" w:name="_Toc513404203"/>
      <w:bookmarkStart w:id="86" w:name="_Toc428001342"/>
      <w:bookmarkStart w:id="87" w:name="_Toc513401107"/>
      <w:bookmarkStart w:id="88" w:name="_Toc438622289"/>
      <w:bookmarkStart w:id="89" w:name="_Toc259803850"/>
      <w:bookmarkStart w:id="90" w:name="_Toc259886638"/>
      <w:bookmarkStart w:id="91" w:name="_Toc259803785"/>
      <w:r>
        <w:rPr>
          <w:rFonts w:hint="eastAsia" w:ascii="宋体" w:hAnsi="宋体" w:eastAsia="宋体" w:cs="Times New Roman"/>
        </w:rPr>
        <w:t>（1）安装作业前，组织学习安装安全技术方案，对组织作业人员进行技术方案交底，每天对分项工作内容，技术要求，安全措施以及注意事项进行单独交底。</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（2）所有安装人员必须听从现场统一指挥。如发现信号不明或错误时应停止作业，待联络清楚后再进行作业。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（3）作业人员经过培训考核合格，司机、吊装指挥、电工及检验人员要持证上岗，进入作业现场必须戴安全帽，高空作业时要系安全带，着防滑鞋，冬季、雨季应采取防滑措施。</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（4）塔吊的安装作业必须在白天进行，如需加快进度，可在具备良好照明条件的夜间做一些拼装工作，不得在大风、浓雾和雨雪天气进行。</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 xml:space="preserve">（5）顶部风速大于13m/s（6级风）时禁止作业。安装基本节段时遇六级风以上禁止作业。 </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（6）套架上、下支座，前后臂等大件吊装作业前，安全生产负责人必须进行专项安全技术交底。每次起吊离地面20cm左右时必须停机，挂好揽风绳，检查安全平稳性，确认安全可靠方能继续起吊。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（7）安装作业区5米至10米范围内应设警戒线，应由施工现场派专人把守，非作业人员不得进入警戒线。专职安全员应随时检查各岗位人员的安全情况，夜间作业应有良好的照明。</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（8）安装架设用的钢丝绳及其固定必须符合标准和满足安装上的要求。地锚等临时设施必须构筑牢固。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（9）在进行逐件组拼或部件安装之前，必须对部件各部分的完好情况、连接情况和钢丝绳穿绕情况、电气线路等进行全面检查。</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（10）在架设过程中，结构和钢丝绳的受力以在立塔初始阶段最为不利，随着塔架起升则逐渐减小。</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（11）在拆装起重臂和平衡臂时，要始终保持起重机的平衡，严禁只拆装一个臂就中断作业。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12）在安装作业过程中，如突然发生停电、机械故障、天气骤变等情况不能继续作业，或作业时间已到需要停休时，必须使起重机已安装的部位达到稳定状态并已锁固牢靠，所有结构件已连接牢固，塔顶的重心线处于塔底支承四边中心处，再经过检查确认妥善后，方可停止作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（13）安装时应按安装要求使用规定的螺栓、销轴等连接件，并要有可靠的防松或保护装置。螺栓紧固时应附合规定的预紧力。钢丝绳安装应严格执行《起重机械用钢丝绳检验和报废实用规范》。</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（14）在安装起重机时，必须将大车行走限位装置和限位器碰块安装牢固可靠。并将各部位的栏杆、平台、护链、扶杆、护圈等安全防护装置装齐。</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（15）安装作业的程序，辅助设备、索具、工具以及地锚构筑等，均应遵照该机使用说明书中的规定或参照标准的安装工艺办理。</w:t>
      </w:r>
    </w:p>
    <w:p>
      <w:pPr>
        <w:spacing w:after="120" w:line="360" w:lineRule="auto"/>
        <w:ind w:firstLine="480"/>
        <w:outlineLvl w:val="2"/>
        <w:rPr>
          <w:rFonts w:ascii="宋体" w:hAnsi="宋体" w:eastAsia="宋体" w:cs="Times New Roman"/>
        </w:rPr>
      </w:pPr>
      <w:bookmarkStart w:id="92" w:name="_Toc528139718"/>
      <w:bookmarkStart w:id="93" w:name="_Toc428001348"/>
      <w:bookmarkStart w:id="94" w:name="_Toc513401113"/>
      <w:bookmarkStart w:id="95" w:name="_Toc515110100"/>
      <w:bookmarkStart w:id="96" w:name="_Toc438622295"/>
      <w:bookmarkStart w:id="97" w:name="_Toc513404209"/>
      <w:r>
        <w:rPr>
          <w:rFonts w:hint="eastAsia" w:ascii="宋体" w:hAnsi="宋体" w:eastAsia="宋体" w:cs="Times New Roman"/>
        </w:rPr>
        <w:t>6.4.3顶升作业安全保证措施</w:t>
      </w:r>
      <w:bookmarkEnd w:id="92"/>
      <w:bookmarkEnd w:id="93"/>
      <w:bookmarkEnd w:id="94"/>
      <w:bookmarkEnd w:id="95"/>
      <w:bookmarkEnd w:id="96"/>
      <w:bookmarkEnd w:id="97"/>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（1）顶升前必须检查液压顶升系统各部件连接情况，并调整好顶升套架导向滚轮与塔身的间隙，然后放松电缆，其长度略大于是顶升高度，并紧固好电缆卷筒。</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（2）顶升作业，必须在专人指挥下操作，非作业人员不得登上顶升套架的操作台，操作室内只准一人操作，严格听从信号指挥。</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（3）顶升应在白天进行，特殊情况需在夜间作业时，应有充分的照明。</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（4）顶升时禁止旋转塔帽，顶升完毕后，检查各连接销、开口销，标准节连接螺栓是否拧紧。顶升时必须先将电缆线放松至适当长度，并进行固定。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（5）风力在四级以上时，不得进行顶升作业。如在作业中风力突然加大时，必须立即停止作业，并使上下塔身连接牢固。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顶升时，必须使起重臂和平衡处于平衡状态，并将回转部分制动住。严禁回转起重臂及其他作业。顶升中如发现故障，必须立即停止顶升进行检查，待故障排除后方可继续顶升。如短时间内不能排除故障，应将顶升套架降到原位，并及时将各连接螺栓紧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（7）顶升时，必须确认顶升撑脚稳妥就位后，方可继续下一动作。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（8）顶升工作中，随时注意液压系统压力变化，如有异常，应及时检查调整。还要有专人有经纬仪测量塔身垂直度变化情况，并作好记录。</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（9）顶升到规定高度后，必须先将塔身附着在建筑物上，方可继续顶升。</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（11）顶升完毕后，各连接螺栓销轴应按规定的预紧力紧固，顶升套架导向滚轮与塔身吻合良好，液压系统的左右操纵杆应在中间位置，并切断液压顶升机构的电源。</w:t>
      </w:r>
    </w:p>
    <w:p>
      <w:pPr>
        <w:spacing w:after="120" w:line="360" w:lineRule="auto"/>
        <w:ind w:firstLine="480"/>
        <w:outlineLvl w:val="2"/>
        <w:rPr>
          <w:rFonts w:ascii="宋体" w:hAnsi="宋体" w:eastAsia="宋体" w:cs="Times New Roman"/>
        </w:rPr>
      </w:pPr>
      <w:bookmarkStart w:id="98" w:name="_Toc528139719"/>
      <w:r>
        <w:rPr>
          <w:rFonts w:hint="eastAsia" w:ascii="宋体" w:hAnsi="宋体" w:eastAsia="宋体" w:cs="Times New Roman"/>
        </w:rPr>
        <w:t>6.4.4附着作业安全保证措施</w:t>
      </w:r>
      <w:bookmarkEnd w:id="84"/>
      <w:bookmarkEnd w:id="85"/>
      <w:bookmarkEnd w:id="86"/>
      <w:bookmarkEnd w:id="87"/>
      <w:bookmarkEnd w:id="88"/>
      <w:bookmarkEnd w:id="98"/>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（1）塔吊附着在建筑物上，其受力强度必须满足塔吊的附着要求。</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（2）根据本工程建筑施工的总高度、以及建筑结构特点及施工进度要求安排附着方案，强化附着工艺。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（3）在装设附着框架和附着杆件时，要用经纬仪进行观测，并通过附着杆件的调整以保证塔身的垂直度。</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（4）附着框架应尽可能设置在塔身标准节的节点连接处，箍紧塔身，塔架对角处应设斜撑加固。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（5）随着塔身节的顶升和接装而增设的锚固装置，应及时附着于建筑物。锚固装置以上的塔身自由高度不得超过设计限值。</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（6）在进行超高建筑施工需要设置多道锚固装置时，下部锚固装置可转达移至上部使用。各道锚固装置的布设，应符合使用说明书中的有关规定。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（7）附着点处的结构强度必须达到设计强度。附着点设于墩身上，其与建筑结构之间应固定牢靠。</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（8）在作业过程中，必须经常检查锚固装置，发现有松动和异常情况时，应立即停止作业，故障未经彻底排除，不得继续使用。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（9）遇有六级及以上大风时，禁止安装附着装置。</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（10）附着装置的安装检查及调整均应由专人负责，工作时应佩戴安全带和安全帽，并遵守高空作业安全操作规程的有关规定。</w:t>
      </w:r>
      <w:bookmarkEnd w:id="89"/>
      <w:bookmarkEnd w:id="90"/>
      <w:bookmarkEnd w:id="91"/>
      <w:bookmarkStart w:id="99" w:name="_Toc513404206"/>
      <w:bookmarkStart w:id="100" w:name="_Toc513401110"/>
      <w:bookmarkStart w:id="101" w:name="_Toc515110097"/>
      <w:bookmarkStart w:id="102" w:name="_Toc428001345"/>
      <w:bookmarkStart w:id="103" w:name="_Toc438622292"/>
      <w:bookmarkStart w:id="104" w:name="_Toc528139720"/>
      <w:bookmarkStart w:id="105" w:name="_Toc513401108"/>
      <w:bookmarkStart w:id="106" w:name="_Toc259803851"/>
      <w:bookmarkStart w:id="107" w:name="_Toc438622290"/>
      <w:bookmarkStart w:id="108" w:name="_Toc428001343"/>
      <w:bookmarkStart w:id="109" w:name="_Toc515110095"/>
      <w:bookmarkStart w:id="110" w:name="_Toc513404204"/>
      <w:bookmarkStart w:id="111" w:name="_Toc259886639"/>
      <w:bookmarkStart w:id="112" w:name="_Toc259803786"/>
    </w:p>
    <w:p>
      <w:pPr>
        <w:spacing w:after="120" w:line="360" w:lineRule="auto"/>
        <w:ind w:firstLine="480"/>
        <w:outlineLvl w:val="2"/>
        <w:rPr>
          <w:rFonts w:ascii="宋体" w:hAnsi="宋体" w:eastAsia="宋体" w:cs="Times New Roman"/>
        </w:rPr>
      </w:pPr>
      <w:r>
        <w:rPr>
          <w:rFonts w:hint="eastAsia" w:ascii="宋体" w:hAnsi="宋体" w:eastAsia="宋体" w:cs="Times New Roman"/>
        </w:rPr>
        <w:t>6.4.5塔机使用期间安全保证措施</w:t>
      </w:r>
      <w:bookmarkEnd w:id="99"/>
      <w:bookmarkEnd w:id="100"/>
      <w:bookmarkEnd w:id="101"/>
      <w:bookmarkEnd w:id="102"/>
      <w:bookmarkEnd w:id="103"/>
      <w:bookmarkEnd w:id="104"/>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（1）塔机交付使用时，应向使用单位进行“塔式起重机技术安全交底”，并由使用单位签字确认。</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（2）起吊施工时，派专人指挥，起吊重力不得超过塔吊设计要求，吊物下方不得站人。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（3）起吊重物，应缓其缓放，待钢丝绳放松后才能脱钩，旋转吊机，时注意两塔吊的影响，旋转时平台下方要有专人负责。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（4）塔机使用期间，应该派相关专业技术人员，定期对塔机进行检查，看是否有螺丝松动，如有立即拧紧，必要时采取加固措施。</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（5）对长、大物件吊挂点应准确，保证吊物平衡，起吊前应先用稳固绳把两端栓牢，防止重物旋转、摆动和碰撞。</w:t>
      </w:r>
    </w:p>
    <w:p>
      <w:pPr>
        <w:autoSpaceDE w:val="0"/>
        <w:autoSpaceDN w:val="0"/>
        <w:adjustRightInd w:val="0"/>
        <w:spacing w:after="120" w:line="360" w:lineRule="auto"/>
        <w:ind w:firstLine="480"/>
        <w:rPr>
          <w:rFonts w:ascii="宋体" w:hAnsi="宋体" w:eastAsia="宋体" w:cs="宋体"/>
          <w:kern w:val="0"/>
        </w:rPr>
      </w:pPr>
      <w:r>
        <w:rPr>
          <w:rFonts w:hint="eastAsia" w:ascii="宋体" w:hAnsi="宋体" w:eastAsia="宋体" w:cs="宋体"/>
          <w:kern w:val="0"/>
        </w:rPr>
        <w:t>（6）定期对塔机的垂直度进行检查，超过说明书要求的范围必须进行整改，直到合格为止。每一个月检查一次。</w:t>
      </w:r>
    </w:p>
    <w:p>
      <w:pPr>
        <w:spacing w:after="120" w:line="360" w:lineRule="auto"/>
        <w:ind w:firstLine="480"/>
        <w:outlineLvl w:val="2"/>
        <w:rPr>
          <w:rFonts w:ascii="宋体" w:hAnsi="宋体" w:eastAsia="宋体" w:cs="Times New Roman"/>
        </w:rPr>
      </w:pPr>
      <w:bookmarkStart w:id="113" w:name="_Toc528139721"/>
      <w:r>
        <w:rPr>
          <w:rFonts w:hint="eastAsia" w:ascii="宋体" w:hAnsi="宋体" w:eastAsia="宋体" w:cs="Times New Roman"/>
        </w:rPr>
        <w:t>6.4.6塔机安全操作规程</w:t>
      </w:r>
      <w:bookmarkEnd w:id="105"/>
      <w:bookmarkEnd w:id="106"/>
      <w:bookmarkEnd w:id="107"/>
      <w:bookmarkEnd w:id="108"/>
      <w:bookmarkEnd w:id="109"/>
      <w:bookmarkEnd w:id="110"/>
      <w:bookmarkEnd w:id="111"/>
      <w:bookmarkEnd w:id="112"/>
      <w:bookmarkEnd w:id="113"/>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（1）塔机应定人、定机、专人负责操作，管理和维修。</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（2）操作人员必须身体健康，经过培训合格并取得操作证书。</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（3）严禁操作人员、指挥人员和拆装人员酒后作业。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（4）操作塔机前，应熟读使用说明书，严守操作使用规程。</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（5）认真做好塔机作业前安全检查和运转工作，做好塔机运行记录。</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（6）操作者只服从一名指挥人员的指挥信号，凡违章指挥不得操作。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（7）塔机启动前必须鸣笛，工作时严禁塔吊平台、扶梯站人和闲杂人员进入工作范围。</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（8）塔机不得斜拉、斜吊重物，严禁用拔桩作业和超负荷工作。</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（9）严禁变动各安全装置的设定值，塔吊不允许在拆除非安全状态下运行。</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（10）塔机各润滑部位必须按说明书规定定期加油和换油。</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（11）塔机不得吊运人员，不得吊装易燃易爆和未垫好带菱角的物品。</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（12）塔机机工作中如有异常现象或故障发生必须停机检修，严禁带病作业。</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（13）塔机作业时如遇雷电、强风（≥20m/s）暴风雨等恶劣天气应停止工作，如预报有十级以上大风要用缆风绳加固。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（14）塔机停止工作后，应保证起重臂随风自由转动，夜间要打开障碍灯。</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（15）塔机停机和停电后都应把所有的受枥扳到零位上。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（16）起重吊装十不吊: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①超负荷不吊；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②歪拉斜吊不吊；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③指挥信号不名不吊；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④安全装置失灵不吊；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⑤重物超过人头不吊；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⑥光线阴暗看不清不吊；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⑦埋在地下的物件不吊；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⑧吊物上站人不吊；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⑨捆绑不牢不稳不吊；</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⑩重物边沿锋利无保护措施不吊。</w:t>
      </w:r>
      <w:bookmarkStart w:id="114" w:name="_Toc528139722"/>
      <w:bookmarkStart w:id="115" w:name="_Toc325207356"/>
      <w:bookmarkStart w:id="116" w:name="_Toc308850579"/>
      <w:bookmarkStart w:id="117" w:name="_Toc312173073"/>
      <w:bookmarkStart w:id="118" w:name="_Toc308895804"/>
      <w:bookmarkStart w:id="119" w:name="_Toc428001350"/>
      <w:bookmarkStart w:id="120" w:name="_Toc513401115"/>
      <w:bookmarkStart w:id="121" w:name="_Toc308895549"/>
      <w:bookmarkStart w:id="122" w:name="_Toc233987238"/>
      <w:bookmarkStart w:id="123" w:name="_Toc438622297"/>
      <w:bookmarkStart w:id="124" w:name="_Toc325207684"/>
      <w:bookmarkStart w:id="125" w:name="_Toc515110102"/>
      <w:bookmarkStart w:id="126" w:name="_Toc513404211"/>
      <w:bookmarkStart w:id="127" w:name="_Toc329869676"/>
    </w:p>
    <w:p>
      <w:pPr>
        <w:spacing w:after="120" w:line="360" w:lineRule="auto"/>
        <w:ind w:firstLine="480"/>
        <w:outlineLvl w:val="2"/>
        <w:rPr>
          <w:rFonts w:ascii="宋体" w:hAnsi="宋体" w:eastAsia="宋体" w:cs="Times New Roman"/>
        </w:rPr>
      </w:pPr>
      <w:r>
        <w:rPr>
          <w:rFonts w:hint="eastAsia" w:ascii="宋体" w:hAnsi="宋体" w:eastAsia="宋体" w:cs="Times New Roman"/>
        </w:rPr>
        <w:t>6.4.7防台防风安全保证措施</w:t>
      </w:r>
      <w:bookmarkEnd w:id="114"/>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项目工程建设地处台风多发区域，几乎每年都有强热带风暴、甚至较强的台风侵袭，有时风载将会超出规范的设计范围，威胁到塔机的安全。为避免自然灾害造成的损失，应根据实际情况制定出防强台风的措施，具体如下：</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严格按照塔机使用说明书安装和使用，塔身高度和附墙以上的塔机悬出高度不得超过说明书规定的范围，附墙装置（框架及支撑杆）也应由专业厂家设计制作，不可贪图便宜，在没有计算依据的情况下随意制作，且附着点强度必须满足设计要求。</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（6）严格按设计要求制作塔机基础，不得心存侥幸、降低要求。</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（7）因为台风来袭时的方向还是有规律可循，塔机安装时尽量安装在建筑物能挡风的背风面。</w:t>
      </w:r>
    </w:p>
    <w:p>
      <w:pPr>
        <w:spacing w:after="120" w:line="360" w:lineRule="auto"/>
        <w:ind w:firstLine="480"/>
        <w:outlineLvl w:val="2"/>
        <w:rPr>
          <w:rFonts w:ascii="宋体" w:hAnsi="宋体" w:eastAsia="宋体" w:cs="Times New Roman"/>
        </w:rPr>
      </w:pPr>
      <w:bookmarkStart w:id="128" w:name="_Toc528139723"/>
      <w:bookmarkStart w:id="129" w:name="_Hlk527404045"/>
      <w:r>
        <w:rPr>
          <w:rFonts w:hint="eastAsia" w:ascii="宋体" w:hAnsi="宋体" w:eastAsia="宋体" w:cs="Times New Roman"/>
        </w:rPr>
        <w:t>6.4.8防雷安全保证措施</w:t>
      </w:r>
      <w:bookmarkEnd w:id="128"/>
    </w:p>
    <w:bookmarkEnd w:id="129"/>
    <w:p>
      <w:pPr>
        <w:spacing w:after="0" w:afterLines="0" w:line="360" w:lineRule="auto"/>
        <w:ind w:firstLine="480"/>
        <w:jc w:val="both"/>
        <w:rPr>
          <w:rFonts w:ascii="宋体" w:hAnsi="宋体" w:eastAsia="宋体" w:cs="Times New Roman"/>
        </w:rPr>
      </w:pPr>
      <w:r>
        <w:rPr>
          <w:rFonts w:hint="eastAsia" w:ascii="宋体" w:hAnsi="宋体" w:eastAsia="宋体" w:cs="Times New Roman"/>
        </w:rPr>
        <w:t>（1）塔机装有防雷装置。防雷接地电阻实际检测一般不超过10Ω，特殊情况遵从安全设计值，允许与其他接地装置共用时，应满足其中最低的要求。</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（2）避雷针（带）与引下线的接地装置连接应采用焊接。整体防雷装置应保证完好的电气通路和连接的可靠性（包括跨接线和过度伸缩缝的处理等）。  </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（3）对防雷装置应当作为电力设备一样进行预防性试验与检查、检测，保持其良好的保护性能。</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（4）对各种防雷装置应按规范标准要求检查整体和器件情况，例如，连接点有无裂纹，引下线上有无闪络或烧损痕迹，腐蚀锈蚀以及与相邻异体的安全距离情况等。</w:t>
      </w:r>
    </w:p>
    <w:bookmarkEnd w:id="115"/>
    <w:bookmarkEnd w:id="116"/>
    <w:bookmarkEnd w:id="117"/>
    <w:bookmarkEnd w:id="118"/>
    <w:bookmarkEnd w:id="119"/>
    <w:bookmarkEnd w:id="120"/>
    <w:bookmarkEnd w:id="121"/>
    <w:bookmarkEnd w:id="122"/>
    <w:bookmarkEnd w:id="123"/>
    <w:bookmarkEnd w:id="124"/>
    <w:bookmarkEnd w:id="125"/>
    <w:bookmarkEnd w:id="126"/>
    <w:bookmarkEnd w:id="127"/>
    <w:p>
      <w:pPr>
        <w:keepNext/>
        <w:keepLines/>
        <w:spacing w:after="120" w:line="360" w:lineRule="auto"/>
        <w:ind w:firstLine="240" w:firstLineChars="100"/>
        <w:jc w:val="both"/>
        <w:outlineLvl w:val="1"/>
        <w:rPr>
          <w:rFonts w:ascii="宋体" w:hAnsi="宋体" w:eastAsia="宋体" w:cs="Times New Roman"/>
        </w:rPr>
      </w:pPr>
      <w:bookmarkStart w:id="130" w:name="_Toc496603061"/>
      <w:r>
        <w:rPr>
          <w:rFonts w:hint="eastAsia" w:ascii="宋体" w:hAnsi="宋体" w:eastAsia="宋体" w:cs="Times New Roman"/>
        </w:rPr>
        <w:t>6.5安全应急预案</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为预防塔机在现场安装和使用过程中，突然发生高空坠落事故、物体打击、龙门吊整体倾倒等重大事故，减少财产损失和人员伤亡。根据《中华人民共和国安全生产法》、《建设工程安全生产管理条例》等相关法律、法规、条例、规范、标准，结合项目部实际编制本应急预案。</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通过编制本预案，建立重大事故应急救援体系。当事故或灾害不可能完全避免时，采取及时有效的应急救援行动，尽可减少财产损失和人员伤亡。</w:t>
      </w:r>
    </w:p>
    <w:p>
      <w:pPr>
        <w:spacing w:after="120" w:line="360" w:lineRule="auto"/>
        <w:ind w:firstLine="480"/>
        <w:outlineLvl w:val="2"/>
        <w:rPr>
          <w:rFonts w:ascii="宋体" w:hAnsi="宋体" w:eastAsia="宋体" w:cs="Times New Roman"/>
        </w:rPr>
      </w:pPr>
      <w:bookmarkStart w:id="131" w:name="_Toc528139725"/>
      <w:r>
        <w:rPr>
          <w:rFonts w:hint="eastAsia" w:ascii="宋体" w:hAnsi="宋体" w:eastAsia="宋体" w:cs="Times New Roman"/>
        </w:rPr>
        <w:t>6.5.1组织机构及职责分工</w:t>
      </w:r>
      <w:bookmarkEnd w:id="131"/>
    </w:p>
    <w:p>
      <w:pPr>
        <w:pStyle w:val="54"/>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项目经理部成立以项目经理为总指挥的应急指挥部。</w:t>
      </w:r>
      <w:r>
        <w:rPr>
          <w:rFonts w:hint="eastAsia" w:asciiTheme="minorEastAsia" w:hAnsiTheme="minorEastAsia" w:eastAsiaTheme="minorEastAsia" w:cstheme="minorEastAsia"/>
          <w:color w:val="auto"/>
          <w:szCs w:val="24"/>
          <w:lang w:val="en-US"/>
        </w:rPr>
        <w:t>办公室设立在安全环保部。</w:t>
      </w:r>
      <w:r>
        <w:rPr>
          <w:rFonts w:hint="eastAsia" w:asciiTheme="minorEastAsia" w:hAnsiTheme="minorEastAsia" w:eastAsiaTheme="minorEastAsia" w:cstheme="minorEastAsia"/>
          <w:color w:val="auto"/>
          <w:szCs w:val="24"/>
        </w:rPr>
        <w:t>应急组织机构、人员分工如图</w:t>
      </w:r>
      <w:r>
        <w:rPr>
          <w:rFonts w:hint="eastAsia" w:asciiTheme="minorEastAsia" w:hAnsiTheme="minorEastAsia" w:eastAsiaTheme="minorEastAsia" w:cstheme="minorEastAsia"/>
          <w:color w:val="auto"/>
          <w:szCs w:val="24"/>
          <w:lang w:val="en-US"/>
        </w:rPr>
        <w:t>6.5</w:t>
      </w:r>
      <w:r>
        <w:rPr>
          <w:rFonts w:hint="eastAsia" w:asciiTheme="minorEastAsia" w:hAnsiTheme="minorEastAsia" w:eastAsiaTheme="minorEastAsia" w:cstheme="minorEastAsia"/>
          <w:color w:val="auto"/>
          <w:szCs w:val="24"/>
        </w:rPr>
        <w:t>-1所示：</w:t>
      </w:r>
    </w:p>
    <w:p>
      <w:pPr>
        <w:pStyle w:val="54"/>
        <w:ind w:firstLine="480"/>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color w:val="auto"/>
          <w:szCs w:val="24"/>
          <w:lang w:eastAsia="zh-CN"/>
        </w:rPr>
        <w:drawing>
          <wp:inline distT="0" distB="0" distL="114300" distR="114300">
            <wp:extent cx="5556885" cy="4140200"/>
            <wp:effectExtent l="0" t="0" r="5715" b="5080"/>
            <wp:docPr id="10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CB019B1-382A-4266-B25C-5B523AA43C14-1" descr="wps"/>
                    <pic:cNvPicPr>
                      <a:picLocks noChangeAspect="1"/>
                    </pic:cNvPicPr>
                  </pic:nvPicPr>
                  <pic:blipFill>
                    <a:blip r:embed="rId56"/>
                    <a:stretch>
                      <a:fillRect/>
                    </a:stretch>
                  </pic:blipFill>
                  <pic:spPr>
                    <a:xfrm>
                      <a:off x="0" y="0"/>
                      <a:ext cx="5556885" cy="4140200"/>
                    </a:xfrm>
                    <a:prstGeom prst="rect">
                      <a:avLst/>
                    </a:prstGeom>
                  </pic:spPr>
                </pic:pic>
              </a:graphicData>
            </a:graphic>
          </wp:inline>
        </w:drawing>
      </w:r>
    </w:p>
    <w:bookmarkEnd w:id="130"/>
    <w:p>
      <w:pPr>
        <w:spacing w:after="0" w:afterLines="0" w:line="240" w:lineRule="auto"/>
        <w:ind w:firstLine="480"/>
        <w:jc w:val="center"/>
        <w:rPr>
          <w:rFonts w:ascii="宋体" w:hAnsi="宋体" w:eastAsia="宋体" w:cs="Times New Roman"/>
          <w:highlight w:val="none"/>
        </w:rPr>
      </w:pPr>
      <w:bookmarkStart w:id="132" w:name="_Toc515971590"/>
      <w:bookmarkStart w:id="133" w:name="_Toc528139736"/>
      <w:bookmarkStart w:id="134" w:name="_Hlk518243577"/>
      <w:r>
        <w:rPr>
          <w:rFonts w:hint="eastAsia" w:ascii="宋体" w:hAnsi="宋体" w:eastAsia="宋体" w:cs="Times New Roman"/>
          <w:highlight w:val="none"/>
        </w:rPr>
        <w:t>图6.5-1 应急组织机构图</w:t>
      </w:r>
    </w:p>
    <w:p>
      <w:pPr>
        <w:spacing w:after="0" w:afterLines="0" w:line="240" w:lineRule="auto"/>
        <w:ind w:firstLine="480"/>
        <w:jc w:val="center"/>
        <w:rPr>
          <w:rFonts w:ascii="宋体" w:hAnsi="宋体" w:eastAsia="宋体" w:cs="Times New Roman"/>
          <w:highlight w:val="none"/>
        </w:rPr>
      </w:pPr>
    </w:p>
    <w:p>
      <w:pPr>
        <w:spacing w:after="0" w:afterLines="0" w:line="240" w:lineRule="auto"/>
        <w:ind w:firstLine="480"/>
        <w:jc w:val="center"/>
        <w:rPr>
          <w:rFonts w:ascii="宋体" w:hAnsi="宋体" w:eastAsia="宋体" w:cs="Times New Roman"/>
          <w:highlight w:val="none"/>
        </w:rPr>
      </w:pPr>
      <w:r>
        <w:rPr>
          <w:rFonts w:hint="eastAsia" w:ascii="宋体" w:hAnsi="宋体" w:eastAsia="宋体" w:cs="Times New Roman"/>
          <w:highlight w:val="none"/>
        </w:rPr>
        <w:t>表6.5-1 项目应急救援领导小组</w:t>
      </w:r>
    </w:p>
    <w:tbl>
      <w:tblPr>
        <w:tblStyle w:val="22"/>
        <w:tblW w:w="9439"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1047"/>
        <w:gridCol w:w="1576"/>
        <w:gridCol w:w="2298"/>
        <w:gridCol w:w="2434"/>
        <w:gridCol w:w="208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tblHeader/>
          <w:jc w:val="center"/>
        </w:trPr>
        <w:tc>
          <w:tcPr>
            <w:tcW w:w="1047" w:type="dxa"/>
            <w:shd w:val="clear" w:color="auto" w:fill="2E75B5" w:themeFill="accent1" w:themeFillShade="BF"/>
          </w:tcPr>
          <w:p>
            <w:pPr>
              <w:pStyle w:val="55"/>
              <w:rPr>
                <w:sz w:val="24"/>
                <w:szCs w:val="24"/>
                <w:highlight w:val="none"/>
              </w:rPr>
            </w:pPr>
            <w:bookmarkStart w:id="135" w:name="_Toc21845"/>
            <w:bookmarkStart w:id="136" w:name="_Toc24982"/>
            <w:r>
              <w:rPr>
                <w:rFonts w:hint="eastAsia"/>
                <w:sz w:val="24"/>
                <w:szCs w:val="24"/>
                <w:highlight w:val="none"/>
              </w:rPr>
              <w:t>职务</w:t>
            </w:r>
          </w:p>
          <w:bookmarkEnd w:id="135"/>
          <w:bookmarkEnd w:id="136"/>
        </w:tc>
        <w:tc>
          <w:tcPr>
            <w:tcW w:w="1576" w:type="dxa"/>
            <w:shd w:val="clear" w:color="auto" w:fill="2E75B5" w:themeFill="accent1" w:themeFillShade="BF"/>
          </w:tcPr>
          <w:p>
            <w:pPr>
              <w:pStyle w:val="55"/>
              <w:rPr>
                <w:sz w:val="24"/>
                <w:szCs w:val="24"/>
                <w:highlight w:val="none"/>
              </w:rPr>
            </w:pPr>
            <w:bookmarkStart w:id="137" w:name="_Toc30221"/>
            <w:bookmarkStart w:id="138" w:name="_Toc9991"/>
            <w:r>
              <w:rPr>
                <w:rFonts w:hint="eastAsia"/>
                <w:sz w:val="24"/>
                <w:szCs w:val="24"/>
                <w:highlight w:val="none"/>
              </w:rPr>
              <w:t>姓   名</w:t>
            </w:r>
          </w:p>
          <w:bookmarkEnd w:id="137"/>
          <w:bookmarkEnd w:id="138"/>
        </w:tc>
        <w:tc>
          <w:tcPr>
            <w:tcW w:w="2298" w:type="dxa"/>
            <w:shd w:val="clear" w:color="auto" w:fill="2E75B5" w:themeFill="accent1" w:themeFillShade="BF"/>
          </w:tcPr>
          <w:p>
            <w:pPr>
              <w:pStyle w:val="55"/>
              <w:rPr>
                <w:sz w:val="24"/>
                <w:szCs w:val="24"/>
                <w:highlight w:val="none"/>
              </w:rPr>
            </w:pPr>
            <w:bookmarkStart w:id="139" w:name="_Toc20194"/>
            <w:bookmarkStart w:id="140" w:name="_Toc3981"/>
            <w:r>
              <w:rPr>
                <w:rFonts w:hint="eastAsia"/>
                <w:sz w:val="24"/>
                <w:szCs w:val="24"/>
                <w:highlight w:val="none"/>
              </w:rPr>
              <w:t>负责范围</w:t>
            </w:r>
          </w:p>
          <w:bookmarkEnd w:id="139"/>
          <w:bookmarkEnd w:id="140"/>
        </w:tc>
        <w:tc>
          <w:tcPr>
            <w:tcW w:w="2434" w:type="dxa"/>
            <w:shd w:val="clear" w:color="auto" w:fill="2E75B5" w:themeFill="accent1" w:themeFillShade="BF"/>
          </w:tcPr>
          <w:p>
            <w:pPr>
              <w:pStyle w:val="55"/>
              <w:rPr>
                <w:sz w:val="24"/>
                <w:szCs w:val="24"/>
                <w:highlight w:val="none"/>
              </w:rPr>
            </w:pPr>
            <w:bookmarkStart w:id="141" w:name="_Toc30649"/>
            <w:bookmarkStart w:id="142" w:name="_Toc9987"/>
            <w:r>
              <w:rPr>
                <w:rFonts w:hint="eastAsia"/>
                <w:sz w:val="24"/>
                <w:szCs w:val="24"/>
                <w:highlight w:val="none"/>
              </w:rPr>
              <w:t>电话号码</w:t>
            </w:r>
          </w:p>
          <w:bookmarkEnd w:id="141"/>
          <w:bookmarkEnd w:id="142"/>
        </w:tc>
        <w:tc>
          <w:tcPr>
            <w:tcW w:w="2084" w:type="dxa"/>
            <w:shd w:val="clear" w:color="auto" w:fill="2E75B5" w:themeFill="accent1" w:themeFillShade="BF"/>
            <w:vAlign w:val="center"/>
          </w:tcPr>
          <w:p>
            <w:pPr>
              <w:pStyle w:val="55"/>
              <w:rPr>
                <w:sz w:val="24"/>
                <w:szCs w:val="24"/>
                <w:highlight w:val="none"/>
              </w:rPr>
            </w:pPr>
            <w:bookmarkStart w:id="143" w:name="_Toc28657"/>
            <w:bookmarkStart w:id="144" w:name="_Toc16686"/>
            <w:r>
              <w:rPr>
                <w:rFonts w:hint="eastAsia"/>
                <w:sz w:val="24"/>
                <w:szCs w:val="24"/>
                <w:highlight w:val="none"/>
              </w:rPr>
              <w:t>备注</w:t>
            </w:r>
          </w:p>
          <w:bookmarkEnd w:id="143"/>
          <w:bookmarkEnd w:id="144"/>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shd w:val="clear" w:color="auto" w:fill="2E75B5" w:themeFill="accent1" w:themeFillShade="BF"/>
            <w:vAlign w:val="center"/>
          </w:tcPr>
          <w:p>
            <w:pPr>
              <w:pStyle w:val="55"/>
              <w:rPr>
                <w:sz w:val="24"/>
                <w:szCs w:val="24"/>
                <w:highlight w:val="none"/>
              </w:rPr>
            </w:pPr>
            <w:bookmarkStart w:id="145" w:name="_Toc30118"/>
            <w:bookmarkStart w:id="146" w:name="_Toc26962"/>
            <w:r>
              <w:rPr>
                <w:rFonts w:hint="eastAsia"/>
                <w:sz w:val="24"/>
                <w:szCs w:val="24"/>
                <w:highlight w:val="none"/>
              </w:rPr>
              <w:t>组长</w:t>
            </w:r>
          </w:p>
          <w:bookmarkEnd w:id="145"/>
          <w:bookmarkEnd w:id="146"/>
        </w:tc>
        <w:tc>
          <w:tcPr>
            <w:tcW w:w="1576" w:type="dxa"/>
            <w:shd w:val="clear" w:color="auto" w:fill="E2EFD9" w:themeFill="accent6" w:themeFillTint="33"/>
          </w:tcPr>
          <w:p>
            <w:pPr>
              <w:pStyle w:val="55"/>
              <w:rPr>
                <w:sz w:val="24"/>
                <w:szCs w:val="24"/>
                <w:highlight w:val="none"/>
              </w:rPr>
            </w:pPr>
            <w:bookmarkStart w:id="147" w:name="_Toc22461"/>
            <w:bookmarkStart w:id="148" w:name="_Toc12812"/>
            <w:r>
              <w:rPr>
                <w:rFonts w:hint="eastAsia"/>
                <w:sz w:val="24"/>
                <w:szCs w:val="24"/>
                <w:highlight w:val="none"/>
              </w:rPr>
              <w:t>吴小斌</w:t>
            </w:r>
          </w:p>
          <w:bookmarkEnd w:id="147"/>
          <w:bookmarkEnd w:id="148"/>
        </w:tc>
        <w:tc>
          <w:tcPr>
            <w:tcW w:w="2298" w:type="dxa"/>
            <w:shd w:val="clear" w:color="auto" w:fill="E2EFD9" w:themeFill="accent6" w:themeFillTint="33"/>
            <w:vAlign w:val="center"/>
          </w:tcPr>
          <w:p>
            <w:pPr>
              <w:pStyle w:val="55"/>
              <w:rPr>
                <w:sz w:val="24"/>
                <w:szCs w:val="24"/>
                <w:highlight w:val="none"/>
              </w:rPr>
            </w:pPr>
            <w:bookmarkStart w:id="149" w:name="_Toc26719"/>
            <w:bookmarkStart w:id="150" w:name="_Toc22977"/>
            <w:r>
              <w:rPr>
                <w:rFonts w:hint="eastAsia"/>
                <w:sz w:val="24"/>
                <w:szCs w:val="24"/>
                <w:highlight w:val="none"/>
              </w:rPr>
              <w:t>总指挥</w:t>
            </w:r>
          </w:p>
          <w:bookmarkEnd w:id="149"/>
          <w:bookmarkEnd w:id="150"/>
        </w:tc>
        <w:tc>
          <w:tcPr>
            <w:tcW w:w="2434" w:type="dxa"/>
            <w:shd w:val="clear" w:color="auto" w:fill="E2EFD9" w:themeFill="accent6" w:themeFillTint="33"/>
            <w:vAlign w:val="center"/>
          </w:tcPr>
          <w:p>
            <w:pPr>
              <w:pStyle w:val="55"/>
              <w:rPr>
                <w:sz w:val="24"/>
                <w:szCs w:val="24"/>
                <w:highlight w:val="none"/>
              </w:rPr>
            </w:pPr>
            <w:bookmarkStart w:id="151" w:name="_Toc5387"/>
            <w:bookmarkStart w:id="152" w:name="_Toc22541"/>
            <w:r>
              <w:rPr>
                <w:rFonts w:hint="eastAsia"/>
                <w:sz w:val="24"/>
                <w:szCs w:val="24"/>
                <w:highlight w:val="none"/>
              </w:rPr>
              <w:t>1</w:t>
            </w:r>
            <w:r>
              <w:rPr>
                <w:sz w:val="24"/>
                <w:szCs w:val="24"/>
                <w:highlight w:val="none"/>
              </w:rPr>
              <w:t>8571163068</w:t>
            </w:r>
          </w:p>
          <w:bookmarkEnd w:id="151"/>
          <w:bookmarkEnd w:id="152"/>
        </w:tc>
        <w:tc>
          <w:tcPr>
            <w:tcW w:w="2084" w:type="dxa"/>
            <w:shd w:val="clear" w:color="auto" w:fill="E2EFD9" w:themeFill="accent6" w:themeFillTint="33"/>
            <w:vAlign w:val="center"/>
          </w:tcPr>
          <w:p>
            <w:pPr>
              <w:pStyle w:val="55"/>
              <w:rPr>
                <w:sz w:val="24"/>
                <w:szCs w:val="24"/>
                <w:highlight w:val="none"/>
              </w:rPr>
            </w:pPr>
            <w:bookmarkStart w:id="153" w:name="_Toc12443"/>
            <w:bookmarkStart w:id="154" w:name="_Toc17538"/>
            <w:r>
              <w:rPr>
                <w:rFonts w:hint="eastAsia"/>
                <w:sz w:val="24"/>
                <w:szCs w:val="24"/>
                <w:highlight w:val="none"/>
              </w:rPr>
              <w:t>项目经理</w:t>
            </w:r>
          </w:p>
          <w:bookmarkEnd w:id="153"/>
          <w:bookmarkEnd w:id="154"/>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shd w:val="clear" w:color="auto" w:fill="2E75B5" w:themeFill="accent1" w:themeFillShade="BF"/>
            <w:vAlign w:val="center"/>
          </w:tcPr>
          <w:p>
            <w:pPr>
              <w:pStyle w:val="55"/>
              <w:rPr>
                <w:sz w:val="24"/>
                <w:szCs w:val="24"/>
                <w:highlight w:val="none"/>
              </w:rPr>
            </w:pPr>
            <w:bookmarkStart w:id="155" w:name="_Toc19341"/>
            <w:bookmarkStart w:id="156" w:name="_Toc20447"/>
            <w:r>
              <w:rPr>
                <w:rFonts w:hint="eastAsia"/>
                <w:sz w:val="24"/>
                <w:szCs w:val="24"/>
                <w:highlight w:val="none"/>
              </w:rPr>
              <w:t>副组长</w:t>
            </w:r>
          </w:p>
          <w:bookmarkEnd w:id="155"/>
          <w:bookmarkEnd w:id="156"/>
        </w:tc>
        <w:tc>
          <w:tcPr>
            <w:tcW w:w="1576" w:type="dxa"/>
            <w:shd w:val="clear" w:color="auto" w:fill="E2EFD9" w:themeFill="accent6" w:themeFillTint="33"/>
          </w:tcPr>
          <w:p>
            <w:pPr>
              <w:pStyle w:val="55"/>
              <w:rPr>
                <w:sz w:val="24"/>
                <w:szCs w:val="24"/>
                <w:highlight w:val="none"/>
              </w:rPr>
            </w:pPr>
            <w:bookmarkStart w:id="157" w:name="_Toc7104"/>
            <w:bookmarkStart w:id="158" w:name="_Toc8878"/>
            <w:r>
              <w:rPr>
                <w:rFonts w:hint="eastAsia"/>
                <w:sz w:val="24"/>
                <w:szCs w:val="24"/>
                <w:highlight w:val="none"/>
              </w:rPr>
              <w:t>曾鹏</w:t>
            </w:r>
          </w:p>
          <w:bookmarkEnd w:id="157"/>
          <w:bookmarkEnd w:id="158"/>
        </w:tc>
        <w:tc>
          <w:tcPr>
            <w:tcW w:w="2298" w:type="dxa"/>
            <w:shd w:val="clear" w:color="auto" w:fill="E2EFD9" w:themeFill="accent6" w:themeFillTint="33"/>
            <w:vAlign w:val="center"/>
          </w:tcPr>
          <w:p>
            <w:pPr>
              <w:pStyle w:val="55"/>
              <w:rPr>
                <w:sz w:val="24"/>
                <w:szCs w:val="24"/>
                <w:highlight w:val="none"/>
              </w:rPr>
            </w:pPr>
            <w:bookmarkStart w:id="159" w:name="_Toc6305"/>
            <w:bookmarkStart w:id="160" w:name="_Toc466"/>
            <w:r>
              <w:rPr>
                <w:rFonts w:hint="eastAsia"/>
                <w:sz w:val="24"/>
                <w:szCs w:val="24"/>
                <w:highlight w:val="none"/>
              </w:rPr>
              <w:t>现场指挥</w:t>
            </w:r>
          </w:p>
          <w:bookmarkEnd w:id="159"/>
          <w:bookmarkEnd w:id="160"/>
        </w:tc>
        <w:tc>
          <w:tcPr>
            <w:tcW w:w="2434" w:type="dxa"/>
            <w:shd w:val="clear" w:color="auto" w:fill="E2EFD9" w:themeFill="accent6" w:themeFillTint="33"/>
            <w:vAlign w:val="center"/>
          </w:tcPr>
          <w:p>
            <w:pPr>
              <w:pStyle w:val="55"/>
              <w:rPr>
                <w:sz w:val="24"/>
                <w:szCs w:val="24"/>
                <w:highlight w:val="none"/>
              </w:rPr>
            </w:pPr>
            <w:bookmarkStart w:id="161" w:name="_Toc26743"/>
            <w:bookmarkStart w:id="162" w:name="_Toc31786"/>
            <w:r>
              <w:rPr>
                <w:rFonts w:hint="eastAsia"/>
                <w:sz w:val="24"/>
                <w:szCs w:val="24"/>
                <w:highlight w:val="none"/>
              </w:rPr>
              <w:t>1</w:t>
            </w:r>
            <w:r>
              <w:rPr>
                <w:sz w:val="24"/>
                <w:szCs w:val="24"/>
                <w:highlight w:val="none"/>
              </w:rPr>
              <w:t>8627909898</w:t>
            </w:r>
          </w:p>
          <w:bookmarkEnd w:id="161"/>
          <w:bookmarkEnd w:id="162"/>
        </w:tc>
        <w:tc>
          <w:tcPr>
            <w:tcW w:w="2084" w:type="dxa"/>
            <w:shd w:val="clear" w:color="auto" w:fill="E2EFD9" w:themeFill="accent6" w:themeFillTint="33"/>
            <w:vAlign w:val="center"/>
          </w:tcPr>
          <w:p>
            <w:pPr>
              <w:pStyle w:val="55"/>
              <w:rPr>
                <w:sz w:val="24"/>
                <w:szCs w:val="24"/>
                <w:highlight w:val="none"/>
              </w:rPr>
            </w:pPr>
            <w:bookmarkStart w:id="163" w:name="_Toc14547"/>
            <w:bookmarkStart w:id="164" w:name="_Toc10862"/>
            <w:r>
              <w:rPr>
                <w:rFonts w:hint="eastAsia"/>
                <w:sz w:val="24"/>
                <w:szCs w:val="24"/>
                <w:highlight w:val="none"/>
              </w:rPr>
              <w:t>书记</w:t>
            </w:r>
          </w:p>
          <w:bookmarkEnd w:id="163"/>
          <w:bookmarkEnd w:id="164"/>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restart"/>
            <w:shd w:val="clear" w:color="auto" w:fill="2E75B5" w:themeFill="accent1" w:themeFillShade="BF"/>
            <w:vAlign w:val="center"/>
          </w:tcPr>
          <w:p>
            <w:pPr>
              <w:pStyle w:val="55"/>
              <w:rPr>
                <w:sz w:val="24"/>
                <w:szCs w:val="24"/>
                <w:highlight w:val="none"/>
              </w:rPr>
            </w:pPr>
            <w:r>
              <w:rPr>
                <w:rFonts w:hint="eastAsia"/>
                <w:sz w:val="24"/>
                <w:szCs w:val="24"/>
                <w:highlight w:val="none"/>
              </w:rPr>
              <w:t>组员</w:t>
            </w:r>
          </w:p>
        </w:tc>
        <w:tc>
          <w:tcPr>
            <w:tcW w:w="1576" w:type="dxa"/>
            <w:shd w:val="clear" w:color="auto" w:fill="E2EFD9" w:themeFill="accent6" w:themeFillTint="33"/>
          </w:tcPr>
          <w:p>
            <w:pPr>
              <w:pStyle w:val="55"/>
              <w:rPr>
                <w:sz w:val="24"/>
                <w:szCs w:val="24"/>
                <w:highlight w:val="none"/>
              </w:rPr>
            </w:pPr>
            <w:bookmarkStart w:id="165" w:name="_Toc18773"/>
            <w:bookmarkStart w:id="166" w:name="_Toc7917"/>
            <w:r>
              <w:rPr>
                <w:rFonts w:hint="eastAsia"/>
                <w:sz w:val="24"/>
                <w:szCs w:val="24"/>
                <w:highlight w:val="none"/>
              </w:rPr>
              <w:t>金琦</w:t>
            </w:r>
          </w:p>
          <w:bookmarkEnd w:id="165"/>
          <w:bookmarkEnd w:id="166"/>
        </w:tc>
        <w:tc>
          <w:tcPr>
            <w:tcW w:w="2298" w:type="dxa"/>
            <w:shd w:val="clear" w:color="auto" w:fill="E2EFD9" w:themeFill="accent6" w:themeFillTint="33"/>
            <w:vAlign w:val="center"/>
          </w:tcPr>
          <w:p>
            <w:pPr>
              <w:pStyle w:val="55"/>
              <w:rPr>
                <w:sz w:val="24"/>
                <w:szCs w:val="24"/>
                <w:highlight w:val="none"/>
              </w:rPr>
            </w:pPr>
            <w:bookmarkStart w:id="167" w:name="_Toc3968"/>
            <w:bookmarkStart w:id="168" w:name="_Toc32252"/>
            <w:r>
              <w:rPr>
                <w:rFonts w:hint="eastAsia"/>
                <w:sz w:val="24"/>
                <w:szCs w:val="24"/>
                <w:highlight w:val="none"/>
              </w:rPr>
              <w:t>现场指挥</w:t>
            </w:r>
          </w:p>
          <w:bookmarkEnd w:id="167"/>
          <w:bookmarkEnd w:id="168"/>
        </w:tc>
        <w:tc>
          <w:tcPr>
            <w:tcW w:w="2434" w:type="dxa"/>
            <w:shd w:val="clear" w:color="auto" w:fill="E2EFD9" w:themeFill="accent6" w:themeFillTint="33"/>
          </w:tcPr>
          <w:p>
            <w:pPr>
              <w:pStyle w:val="55"/>
              <w:rPr>
                <w:sz w:val="24"/>
                <w:szCs w:val="24"/>
                <w:highlight w:val="none"/>
              </w:rPr>
            </w:pPr>
            <w:bookmarkStart w:id="169" w:name="_Toc15321"/>
            <w:bookmarkStart w:id="170" w:name="_Toc8342"/>
            <w:r>
              <w:rPr>
                <w:rFonts w:hint="eastAsia"/>
                <w:sz w:val="24"/>
                <w:szCs w:val="24"/>
                <w:highlight w:val="none"/>
              </w:rPr>
              <w:t>1</w:t>
            </w:r>
            <w:r>
              <w:rPr>
                <w:sz w:val="24"/>
                <w:szCs w:val="24"/>
                <w:highlight w:val="none"/>
              </w:rPr>
              <w:t>8672986995</w:t>
            </w:r>
          </w:p>
          <w:bookmarkEnd w:id="169"/>
          <w:bookmarkEnd w:id="170"/>
        </w:tc>
        <w:tc>
          <w:tcPr>
            <w:tcW w:w="2084" w:type="dxa"/>
            <w:shd w:val="clear" w:color="auto" w:fill="E2EFD9" w:themeFill="accent6" w:themeFillTint="33"/>
          </w:tcPr>
          <w:p>
            <w:pPr>
              <w:pStyle w:val="55"/>
              <w:rPr>
                <w:sz w:val="24"/>
                <w:szCs w:val="24"/>
                <w:highlight w:val="none"/>
              </w:rPr>
            </w:pPr>
            <w:bookmarkStart w:id="171" w:name="_Toc32531"/>
            <w:bookmarkStart w:id="172" w:name="_Toc8831"/>
            <w:r>
              <w:rPr>
                <w:rFonts w:hint="eastAsia"/>
                <w:sz w:val="24"/>
                <w:szCs w:val="24"/>
                <w:highlight w:val="none"/>
              </w:rPr>
              <w:t>安全负责人</w:t>
            </w:r>
          </w:p>
          <w:bookmarkEnd w:id="171"/>
          <w:bookmarkEnd w:id="172"/>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173" w:name="_Toc7542"/>
            <w:bookmarkStart w:id="174" w:name="_Toc21797"/>
            <w:r>
              <w:rPr>
                <w:rFonts w:hint="eastAsia"/>
                <w:sz w:val="24"/>
                <w:szCs w:val="24"/>
                <w:highlight w:val="none"/>
              </w:rPr>
              <w:t>罗航</w:t>
            </w:r>
          </w:p>
          <w:bookmarkEnd w:id="173"/>
          <w:bookmarkEnd w:id="174"/>
        </w:tc>
        <w:tc>
          <w:tcPr>
            <w:tcW w:w="2298" w:type="dxa"/>
            <w:shd w:val="clear" w:color="auto" w:fill="E2EFD9" w:themeFill="accent6" w:themeFillTint="33"/>
            <w:vAlign w:val="center"/>
          </w:tcPr>
          <w:p>
            <w:pPr>
              <w:pStyle w:val="55"/>
              <w:rPr>
                <w:sz w:val="24"/>
                <w:szCs w:val="24"/>
                <w:highlight w:val="none"/>
              </w:rPr>
            </w:pPr>
            <w:bookmarkStart w:id="175" w:name="_Toc28958"/>
            <w:r>
              <w:rPr>
                <w:rFonts w:hint="eastAsia"/>
                <w:sz w:val="24"/>
                <w:szCs w:val="24"/>
                <w:highlight w:val="none"/>
              </w:rPr>
              <w:t>现场指挥</w:t>
            </w:r>
          </w:p>
          <w:bookmarkEnd w:id="175"/>
        </w:tc>
        <w:tc>
          <w:tcPr>
            <w:tcW w:w="2434" w:type="dxa"/>
            <w:shd w:val="clear" w:color="auto" w:fill="E2EFD9" w:themeFill="accent6" w:themeFillTint="33"/>
          </w:tcPr>
          <w:p>
            <w:pPr>
              <w:pStyle w:val="55"/>
              <w:rPr>
                <w:sz w:val="24"/>
                <w:szCs w:val="24"/>
                <w:highlight w:val="none"/>
              </w:rPr>
            </w:pPr>
            <w:bookmarkStart w:id="176" w:name="_Toc19997"/>
            <w:bookmarkStart w:id="177" w:name="_Toc2647"/>
            <w:r>
              <w:rPr>
                <w:rFonts w:hint="eastAsia"/>
                <w:sz w:val="24"/>
                <w:szCs w:val="24"/>
                <w:highlight w:val="none"/>
              </w:rPr>
              <w:t>1</w:t>
            </w:r>
            <w:r>
              <w:rPr>
                <w:sz w:val="24"/>
                <w:szCs w:val="24"/>
                <w:highlight w:val="none"/>
              </w:rPr>
              <w:t>8696171814</w:t>
            </w:r>
          </w:p>
          <w:bookmarkEnd w:id="176"/>
          <w:bookmarkEnd w:id="177"/>
        </w:tc>
        <w:tc>
          <w:tcPr>
            <w:tcW w:w="2084" w:type="dxa"/>
            <w:shd w:val="clear" w:color="auto" w:fill="E2EFD9" w:themeFill="accent6" w:themeFillTint="33"/>
            <w:vAlign w:val="center"/>
          </w:tcPr>
          <w:p>
            <w:pPr>
              <w:pStyle w:val="55"/>
              <w:rPr>
                <w:sz w:val="24"/>
                <w:szCs w:val="24"/>
                <w:highlight w:val="none"/>
              </w:rPr>
            </w:pPr>
            <w:bookmarkStart w:id="178" w:name="_Toc16309"/>
            <w:bookmarkStart w:id="179" w:name="_Toc24621"/>
            <w:r>
              <w:rPr>
                <w:rFonts w:hint="eastAsia"/>
                <w:sz w:val="24"/>
                <w:szCs w:val="24"/>
                <w:highlight w:val="none"/>
              </w:rPr>
              <w:t>总工</w:t>
            </w:r>
          </w:p>
          <w:bookmarkEnd w:id="178"/>
          <w:bookmarkEnd w:id="179"/>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180" w:name="_Toc32603"/>
            <w:bookmarkStart w:id="181" w:name="_Toc24504"/>
            <w:r>
              <w:rPr>
                <w:rFonts w:hint="eastAsia"/>
                <w:sz w:val="24"/>
                <w:szCs w:val="24"/>
                <w:highlight w:val="none"/>
              </w:rPr>
              <w:t>马龙</w:t>
            </w:r>
          </w:p>
          <w:bookmarkEnd w:id="180"/>
          <w:bookmarkEnd w:id="181"/>
        </w:tc>
        <w:tc>
          <w:tcPr>
            <w:tcW w:w="2298" w:type="dxa"/>
            <w:shd w:val="clear" w:color="auto" w:fill="E2EFD9" w:themeFill="accent6" w:themeFillTint="33"/>
            <w:vAlign w:val="center"/>
          </w:tcPr>
          <w:p>
            <w:pPr>
              <w:pStyle w:val="55"/>
              <w:rPr>
                <w:sz w:val="24"/>
                <w:szCs w:val="24"/>
                <w:highlight w:val="none"/>
              </w:rPr>
            </w:pPr>
            <w:bookmarkStart w:id="182" w:name="_Toc21441"/>
            <w:r>
              <w:rPr>
                <w:rFonts w:hint="eastAsia"/>
                <w:sz w:val="24"/>
                <w:szCs w:val="24"/>
                <w:highlight w:val="none"/>
              </w:rPr>
              <w:t>现场指挥</w:t>
            </w:r>
          </w:p>
          <w:bookmarkEnd w:id="182"/>
        </w:tc>
        <w:tc>
          <w:tcPr>
            <w:tcW w:w="2434" w:type="dxa"/>
            <w:shd w:val="clear" w:color="auto" w:fill="E2EFD9" w:themeFill="accent6" w:themeFillTint="33"/>
          </w:tcPr>
          <w:p>
            <w:pPr>
              <w:pStyle w:val="55"/>
              <w:rPr>
                <w:sz w:val="24"/>
                <w:szCs w:val="24"/>
                <w:highlight w:val="none"/>
              </w:rPr>
            </w:pPr>
            <w:bookmarkStart w:id="183" w:name="_Toc9247"/>
            <w:bookmarkStart w:id="184" w:name="_Toc24917"/>
            <w:r>
              <w:rPr>
                <w:rFonts w:hint="eastAsia"/>
                <w:sz w:val="24"/>
                <w:szCs w:val="24"/>
                <w:highlight w:val="none"/>
              </w:rPr>
              <w:t>1</w:t>
            </w:r>
            <w:r>
              <w:rPr>
                <w:sz w:val="24"/>
                <w:szCs w:val="24"/>
                <w:highlight w:val="none"/>
              </w:rPr>
              <w:t>5676786688</w:t>
            </w:r>
          </w:p>
          <w:bookmarkEnd w:id="183"/>
          <w:bookmarkEnd w:id="184"/>
        </w:tc>
        <w:tc>
          <w:tcPr>
            <w:tcW w:w="2084" w:type="dxa"/>
            <w:shd w:val="clear" w:color="auto" w:fill="E2EFD9" w:themeFill="accent6" w:themeFillTint="33"/>
            <w:vAlign w:val="center"/>
          </w:tcPr>
          <w:p>
            <w:pPr>
              <w:pStyle w:val="55"/>
              <w:rPr>
                <w:sz w:val="24"/>
                <w:szCs w:val="24"/>
                <w:highlight w:val="none"/>
              </w:rPr>
            </w:pPr>
            <w:bookmarkStart w:id="185" w:name="_Toc29579"/>
            <w:bookmarkStart w:id="186" w:name="_Toc30456"/>
            <w:r>
              <w:rPr>
                <w:rFonts w:hint="eastAsia"/>
                <w:sz w:val="24"/>
                <w:szCs w:val="24"/>
                <w:highlight w:val="none"/>
              </w:rPr>
              <w:t>副经理</w:t>
            </w:r>
          </w:p>
          <w:bookmarkEnd w:id="185"/>
          <w:bookmarkEnd w:id="186"/>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187" w:name="_Toc12773"/>
            <w:bookmarkStart w:id="188" w:name="_Toc16356"/>
            <w:r>
              <w:rPr>
                <w:rFonts w:hint="eastAsia"/>
                <w:sz w:val="24"/>
                <w:szCs w:val="24"/>
                <w:highlight w:val="none"/>
              </w:rPr>
              <w:t>黄忠满</w:t>
            </w:r>
          </w:p>
          <w:bookmarkEnd w:id="187"/>
          <w:bookmarkEnd w:id="188"/>
        </w:tc>
        <w:tc>
          <w:tcPr>
            <w:tcW w:w="2298" w:type="dxa"/>
            <w:shd w:val="clear" w:color="auto" w:fill="E2EFD9" w:themeFill="accent6" w:themeFillTint="33"/>
            <w:vAlign w:val="center"/>
          </w:tcPr>
          <w:p>
            <w:pPr>
              <w:pStyle w:val="55"/>
              <w:rPr>
                <w:sz w:val="24"/>
                <w:szCs w:val="24"/>
                <w:highlight w:val="none"/>
              </w:rPr>
            </w:pPr>
            <w:bookmarkStart w:id="189" w:name="_Toc26217"/>
            <w:bookmarkStart w:id="190" w:name="_Toc22575"/>
            <w:r>
              <w:rPr>
                <w:rFonts w:hint="eastAsia"/>
                <w:sz w:val="24"/>
                <w:szCs w:val="24"/>
                <w:highlight w:val="none"/>
              </w:rPr>
              <w:t>现场指挥</w:t>
            </w:r>
          </w:p>
          <w:bookmarkEnd w:id="189"/>
          <w:bookmarkEnd w:id="190"/>
        </w:tc>
        <w:tc>
          <w:tcPr>
            <w:tcW w:w="2434" w:type="dxa"/>
            <w:shd w:val="clear" w:color="auto" w:fill="E2EFD9" w:themeFill="accent6" w:themeFillTint="33"/>
          </w:tcPr>
          <w:p>
            <w:pPr>
              <w:pStyle w:val="55"/>
              <w:rPr>
                <w:sz w:val="24"/>
                <w:szCs w:val="24"/>
                <w:highlight w:val="none"/>
              </w:rPr>
            </w:pPr>
            <w:bookmarkStart w:id="191" w:name="_Toc22992"/>
            <w:bookmarkStart w:id="192" w:name="_Toc3249"/>
            <w:r>
              <w:rPr>
                <w:rFonts w:hint="eastAsia"/>
                <w:sz w:val="24"/>
                <w:szCs w:val="24"/>
                <w:highlight w:val="none"/>
              </w:rPr>
              <w:t>1</w:t>
            </w:r>
            <w:r>
              <w:rPr>
                <w:sz w:val="24"/>
                <w:szCs w:val="24"/>
                <w:highlight w:val="none"/>
              </w:rPr>
              <w:t>7671167766</w:t>
            </w:r>
          </w:p>
          <w:bookmarkEnd w:id="191"/>
          <w:bookmarkEnd w:id="192"/>
        </w:tc>
        <w:tc>
          <w:tcPr>
            <w:tcW w:w="2084" w:type="dxa"/>
            <w:shd w:val="clear" w:color="auto" w:fill="E2EFD9" w:themeFill="accent6" w:themeFillTint="33"/>
            <w:vAlign w:val="center"/>
          </w:tcPr>
          <w:p>
            <w:pPr>
              <w:pStyle w:val="55"/>
              <w:rPr>
                <w:sz w:val="24"/>
                <w:szCs w:val="24"/>
                <w:highlight w:val="none"/>
              </w:rPr>
            </w:pPr>
            <w:bookmarkStart w:id="193" w:name="_Toc28082"/>
            <w:r>
              <w:rPr>
                <w:rFonts w:hint="eastAsia"/>
                <w:sz w:val="24"/>
                <w:szCs w:val="24"/>
                <w:highlight w:val="none"/>
              </w:rPr>
              <w:t>副经理</w:t>
            </w:r>
          </w:p>
          <w:bookmarkEnd w:id="193"/>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194" w:name="_Toc17660"/>
            <w:bookmarkStart w:id="195" w:name="_Toc18186"/>
            <w:r>
              <w:rPr>
                <w:rFonts w:hint="eastAsia"/>
                <w:sz w:val="24"/>
                <w:szCs w:val="24"/>
                <w:highlight w:val="none"/>
              </w:rPr>
              <w:t>蒋恩泽</w:t>
            </w:r>
          </w:p>
          <w:bookmarkEnd w:id="194"/>
          <w:bookmarkEnd w:id="195"/>
        </w:tc>
        <w:tc>
          <w:tcPr>
            <w:tcW w:w="2298" w:type="dxa"/>
            <w:shd w:val="clear" w:color="auto" w:fill="E2EFD9" w:themeFill="accent6" w:themeFillTint="33"/>
            <w:vAlign w:val="center"/>
          </w:tcPr>
          <w:p>
            <w:pPr>
              <w:pStyle w:val="55"/>
              <w:rPr>
                <w:sz w:val="24"/>
                <w:szCs w:val="24"/>
                <w:highlight w:val="none"/>
              </w:rPr>
            </w:pPr>
            <w:bookmarkStart w:id="196" w:name="_Toc23838"/>
            <w:bookmarkStart w:id="197" w:name="_Toc11968"/>
            <w:r>
              <w:rPr>
                <w:rFonts w:hint="eastAsia"/>
                <w:sz w:val="24"/>
                <w:szCs w:val="24"/>
                <w:highlight w:val="none"/>
              </w:rPr>
              <w:t>现场指挥</w:t>
            </w:r>
          </w:p>
          <w:bookmarkEnd w:id="196"/>
          <w:bookmarkEnd w:id="197"/>
        </w:tc>
        <w:tc>
          <w:tcPr>
            <w:tcW w:w="2434" w:type="dxa"/>
            <w:shd w:val="clear" w:color="auto" w:fill="E2EFD9" w:themeFill="accent6" w:themeFillTint="33"/>
            <w:vAlign w:val="center"/>
          </w:tcPr>
          <w:p>
            <w:pPr>
              <w:pStyle w:val="55"/>
              <w:rPr>
                <w:sz w:val="24"/>
                <w:szCs w:val="24"/>
                <w:highlight w:val="none"/>
              </w:rPr>
            </w:pPr>
            <w:bookmarkStart w:id="198" w:name="_Toc26941"/>
            <w:bookmarkStart w:id="199" w:name="_Toc12026"/>
            <w:r>
              <w:rPr>
                <w:sz w:val="24"/>
                <w:szCs w:val="24"/>
                <w:highlight w:val="none"/>
              </w:rPr>
              <w:t>15344376140</w:t>
            </w:r>
          </w:p>
          <w:bookmarkEnd w:id="198"/>
          <w:bookmarkEnd w:id="199"/>
        </w:tc>
        <w:tc>
          <w:tcPr>
            <w:tcW w:w="2084" w:type="dxa"/>
            <w:shd w:val="clear" w:color="auto" w:fill="E2EFD9" w:themeFill="accent6" w:themeFillTint="33"/>
            <w:vAlign w:val="center"/>
          </w:tcPr>
          <w:p>
            <w:pPr>
              <w:pStyle w:val="55"/>
              <w:rPr>
                <w:sz w:val="24"/>
                <w:szCs w:val="24"/>
                <w:highlight w:val="none"/>
              </w:rPr>
            </w:pPr>
            <w:bookmarkStart w:id="200" w:name="_Toc28497"/>
            <w:bookmarkStart w:id="201" w:name="_Toc15961"/>
            <w:r>
              <w:rPr>
                <w:rFonts w:hint="eastAsia"/>
                <w:sz w:val="24"/>
                <w:szCs w:val="24"/>
                <w:highlight w:val="none"/>
              </w:rPr>
              <w:t>副经理</w:t>
            </w:r>
          </w:p>
          <w:bookmarkEnd w:id="200"/>
          <w:bookmarkEnd w:id="201"/>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bookmarkStart w:id="202" w:name="_Toc30199"/>
            <w:bookmarkStart w:id="203" w:name="_Toc11649"/>
          </w:p>
          <w:bookmarkEnd w:id="202"/>
          <w:bookmarkEnd w:id="203"/>
        </w:tc>
        <w:tc>
          <w:tcPr>
            <w:tcW w:w="1576" w:type="dxa"/>
            <w:shd w:val="clear" w:color="auto" w:fill="E2EFD9" w:themeFill="accent6" w:themeFillTint="33"/>
          </w:tcPr>
          <w:p>
            <w:pPr>
              <w:pStyle w:val="55"/>
              <w:rPr>
                <w:sz w:val="24"/>
                <w:szCs w:val="24"/>
                <w:highlight w:val="none"/>
              </w:rPr>
            </w:pPr>
            <w:bookmarkStart w:id="204" w:name="_Toc3759"/>
            <w:bookmarkStart w:id="205" w:name="_Toc24579"/>
            <w:r>
              <w:rPr>
                <w:rFonts w:hint="eastAsia"/>
                <w:sz w:val="24"/>
                <w:szCs w:val="24"/>
                <w:highlight w:val="none"/>
              </w:rPr>
              <w:t>巩振豪</w:t>
            </w:r>
          </w:p>
          <w:bookmarkEnd w:id="204"/>
          <w:bookmarkEnd w:id="205"/>
        </w:tc>
        <w:tc>
          <w:tcPr>
            <w:tcW w:w="2298" w:type="dxa"/>
            <w:shd w:val="clear" w:color="auto" w:fill="E2EFD9" w:themeFill="accent6" w:themeFillTint="33"/>
            <w:vAlign w:val="center"/>
          </w:tcPr>
          <w:p>
            <w:pPr>
              <w:pStyle w:val="55"/>
              <w:rPr>
                <w:sz w:val="24"/>
                <w:szCs w:val="24"/>
                <w:highlight w:val="none"/>
              </w:rPr>
            </w:pPr>
            <w:bookmarkStart w:id="206" w:name="_Toc9786"/>
            <w:bookmarkStart w:id="207" w:name="_Toc29567"/>
            <w:r>
              <w:rPr>
                <w:rFonts w:hint="eastAsia"/>
                <w:sz w:val="24"/>
                <w:szCs w:val="24"/>
                <w:highlight w:val="none"/>
              </w:rPr>
              <w:t>现场指挥</w:t>
            </w:r>
          </w:p>
          <w:bookmarkEnd w:id="206"/>
          <w:bookmarkEnd w:id="207"/>
        </w:tc>
        <w:tc>
          <w:tcPr>
            <w:tcW w:w="2434" w:type="dxa"/>
            <w:shd w:val="clear" w:color="auto" w:fill="E2EFD9" w:themeFill="accent6" w:themeFillTint="33"/>
          </w:tcPr>
          <w:p>
            <w:pPr>
              <w:pStyle w:val="55"/>
              <w:rPr>
                <w:sz w:val="24"/>
                <w:szCs w:val="24"/>
                <w:highlight w:val="none"/>
              </w:rPr>
            </w:pPr>
            <w:bookmarkStart w:id="208" w:name="_Toc24910"/>
            <w:bookmarkStart w:id="209" w:name="_Toc22874"/>
            <w:r>
              <w:rPr>
                <w:sz w:val="24"/>
                <w:szCs w:val="24"/>
                <w:highlight w:val="none"/>
              </w:rPr>
              <w:t>13129994129</w:t>
            </w:r>
          </w:p>
          <w:bookmarkEnd w:id="208"/>
          <w:bookmarkEnd w:id="209"/>
        </w:tc>
        <w:tc>
          <w:tcPr>
            <w:tcW w:w="2084" w:type="dxa"/>
            <w:shd w:val="clear" w:color="auto" w:fill="E2EFD9" w:themeFill="accent6" w:themeFillTint="33"/>
            <w:vAlign w:val="center"/>
          </w:tcPr>
          <w:p>
            <w:pPr>
              <w:pStyle w:val="55"/>
              <w:rPr>
                <w:sz w:val="24"/>
                <w:szCs w:val="24"/>
                <w:highlight w:val="none"/>
              </w:rPr>
            </w:pPr>
            <w:bookmarkStart w:id="210" w:name="_Toc18261"/>
            <w:bookmarkStart w:id="211" w:name="_Toc21016"/>
            <w:r>
              <w:rPr>
                <w:rFonts w:hint="eastAsia"/>
                <w:sz w:val="24"/>
                <w:szCs w:val="24"/>
                <w:highlight w:val="none"/>
              </w:rPr>
              <w:t>质检部</w:t>
            </w:r>
          </w:p>
          <w:bookmarkEnd w:id="210"/>
          <w:bookmarkEnd w:id="211"/>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12" w:name="_Toc30747"/>
            <w:bookmarkStart w:id="213" w:name="_Toc18803"/>
            <w:r>
              <w:rPr>
                <w:rFonts w:hint="eastAsia"/>
                <w:sz w:val="24"/>
                <w:szCs w:val="24"/>
                <w:highlight w:val="none"/>
              </w:rPr>
              <w:t>陈洪朋</w:t>
            </w:r>
          </w:p>
          <w:bookmarkEnd w:id="212"/>
          <w:bookmarkEnd w:id="213"/>
        </w:tc>
        <w:tc>
          <w:tcPr>
            <w:tcW w:w="2298" w:type="dxa"/>
            <w:shd w:val="clear" w:color="auto" w:fill="E2EFD9" w:themeFill="accent6" w:themeFillTint="33"/>
            <w:vAlign w:val="center"/>
          </w:tcPr>
          <w:p>
            <w:pPr>
              <w:pStyle w:val="55"/>
              <w:rPr>
                <w:sz w:val="24"/>
                <w:szCs w:val="24"/>
                <w:highlight w:val="none"/>
              </w:rPr>
            </w:pPr>
            <w:bookmarkStart w:id="214" w:name="_Toc7898"/>
            <w:bookmarkStart w:id="215" w:name="_Toc16796"/>
            <w:r>
              <w:rPr>
                <w:rFonts w:hint="eastAsia"/>
                <w:sz w:val="24"/>
                <w:szCs w:val="24"/>
                <w:highlight w:val="none"/>
              </w:rPr>
              <w:t>现场指挥</w:t>
            </w:r>
          </w:p>
          <w:bookmarkEnd w:id="214"/>
          <w:bookmarkEnd w:id="215"/>
        </w:tc>
        <w:tc>
          <w:tcPr>
            <w:tcW w:w="2434" w:type="dxa"/>
            <w:shd w:val="clear" w:color="auto" w:fill="E2EFD9" w:themeFill="accent6" w:themeFillTint="33"/>
          </w:tcPr>
          <w:p>
            <w:pPr>
              <w:pStyle w:val="55"/>
              <w:rPr>
                <w:sz w:val="24"/>
                <w:szCs w:val="24"/>
                <w:highlight w:val="none"/>
              </w:rPr>
            </w:pPr>
            <w:bookmarkStart w:id="216" w:name="_Toc2959"/>
            <w:bookmarkStart w:id="217" w:name="_Toc1126"/>
            <w:r>
              <w:rPr>
                <w:sz w:val="24"/>
                <w:szCs w:val="24"/>
                <w:highlight w:val="none"/>
              </w:rPr>
              <w:t>18716666361</w:t>
            </w:r>
          </w:p>
          <w:bookmarkEnd w:id="216"/>
          <w:bookmarkEnd w:id="217"/>
        </w:tc>
        <w:tc>
          <w:tcPr>
            <w:tcW w:w="2084" w:type="dxa"/>
            <w:shd w:val="clear" w:color="auto" w:fill="E2EFD9" w:themeFill="accent6" w:themeFillTint="33"/>
            <w:vAlign w:val="center"/>
          </w:tcPr>
          <w:p>
            <w:pPr>
              <w:pStyle w:val="55"/>
              <w:rPr>
                <w:sz w:val="24"/>
                <w:szCs w:val="24"/>
                <w:highlight w:val="none"/>
              </w:rPr>
            </w:pPr>
            <w:bookmarkStart w:id="218" w:name="_Toc10322"/>
            <w:bookmarkStart w:id="219" w:name="_Toc15908"/>
            <w:r>
              <w:rPr>
                <w:rFonts w:hint="eastAsia"/>
                <w:sz w:val="24"/>
                <w:szCs w:val="24"/>
                <w:highlight w:val="none"/>
              </w:rPr>
              <w:t>生产部</w:t>
            </w:r>
          </w:p>
          <w:bookmarkEnd w:id="218"/>
          <w:bookmarkEnd w:id="219"/>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20" w:name="_Toc22818"/>
            <w:bookmarkStart w:id="221" w:name="_Toc15864"/>
            <w:r>
              <w:rPr>
                <w:rFonts w:hint="eastAsia"/>
                <w:sz w:val="24"/>
                <w:szCs w:val="24"/>
                <w:highlight w:val="none"/>
              </w:rPr>
              <w:t>杨笑</w:t>
            </w:r>
          </w:p>
          <w:bookmarkEnd w:id="220"/>
          <w:bookmarkEnd w:id="221"/>
        </w:tc>
        <w:tc>
          <w:tcPr>
            <w:tcW w:w="2298" w:type="dxa"/>
            <w:shd w:val="clear" w:color="auto" w:fill="E2EFD9" w:themeFill="accent6" w:themeFillTint="33"/>
            <w:vAlign w:val="center"/>
          </w:tcPr>
          <w:p>
            <w:pPr>
              <w:pStyle w:val="55"/>
              <w:rPr>
                <w:sz w:val="24"/>
                <w:szCs w:val="24"/>
                <w:highlight w:val="none"/>
              </w:rPr>
            </w:pPr>
            <w:bookmarkStart w:id="222" w:name="_Toc12980"/>
            <w:bookmarkStart w:id="223" w:name="_Toc3241"/>
            <w:r>
              <w:rPr>
                <w:rFonts w:hint="eastAsia"/>
                <w:sz w:val="24"/>
                <w:szCs w:val="24"/>
                <w:highlight w:val="none"/>
              </w:rPr>
              <w:t>现场控制</w:t>
            </w:r>
          </w:p>
          <w:bookmarkEnd w:id="222"/>
          <w:bookmarkEnd w:id="223"/>
        </w:tc>
        <w:tc>
          <w:tcPr>
            <w:tcW w:w="2434" w:type="dxa"/>
            <w:shd w:val="clear" w:color="auto" w:fill="E2EFD9" w:themeFill="accent6" w:themeFillTint="33"/>
          </w:tcPr>
          <w:p>
            <w:pPr>
              <w:pStyle w:val="55"/>
              <w:rPr>
                <w:sz w:val="24"/>
                <w:szCs w:val="24"/>
                <w:highlight w:val="none"/>
              </w:rPr>
            </w:pPr>
            <w:bookmarkStart w:id="224" w:name="_Toc3360"/>
            <w:bookmarkStart w:id="225" w:name="_Toc1795"/>
            <w:r>
              <w:rPr>
                <w:sz w:val="24"/>
                <w:szCs w:val="24"/>
                <w:highlight w:val="none"/>
              </w:rPr>
              <w:t>18627052629</w:t>
            </w:r>
          </w:p>
          <w:bookmarkEnd w:id="224"/>
          <w:bookmarkEnd w:id="225"/>
        </w:tc>
        <w:tc>
          <w:tcPr>
            <w:tcW w:w="2084" w:type="dxa"/>
            <w:shd w:val="clear" w:color="auto" w:fill="E2EFD9" w:themeFill="accent6" w:themeFillTint="33"/>
            <w:vAlign w:val="center"/>
          </w:tcPr>
          <w:p>
            <w:pPr>
              <w:pStyle w:val="55"/>
              <w:rPr>
                <w:sz w:val="24"/>
                <w:szCs w:val="24"/>
                <w:highlight w:val="none"/>
              </w:rPr>
            </w:pPr>
            <w:bookmarkStart w:id="226" w:name="_Toc1280"/>
            <w:bookmarkStart w:id="227" w:name="_Toc13255"/>
            <w:r>
              <w:rPr>
                <w:rFonts w:hint="eastAsia"/>
                <w:sz w:val="24"/>
                <w:szCs w:val="24"/>
                <w:highlight w:val="none"/>
              </w:rPr>
              <w:t>设备部</w:t>
            </w:r>
          </w:p>
          <w:bookmarkEnd w:id="226"/>
          <w:bookmarkEnd w:id="227"/>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28" w:name="_Toc22482"/>
            <w:bookmarkStart w:id="229" w:name="_Toc288"/>
            <w:r>
              <w:rPr>
                <w:rFonts w:hint="eastAsia"/>
                <w:sz w:val="24"/>
                <w:szCs w:val="24"/>
                <w:highlight w:val="none"/>
              </w:rPr>
              <w:t>吴笛</w:t>
            </w:r>
          </w:p>
          <w:bookmarkEnd w:id="228"/>
          <w:bookmarkEnd w:id="229"/>
        </w:tc>
        <w:tc>
          <w:tcPr>
            <w:tcW w:w="2298" w:type="dxa"/>
            <w:shd w:val="clear" w:color="auto" w:fill="E2EFD9" w:themeFill="accent6" w:themeFillTint="33"/>
            <w:vAlign w:val="center"/>
          </w:tcPr>
          <w:p>
            <w:pPr>
              <w:pStyle w:val="55"/>
              <w:rPr>
                <w:sz w:val="24"/>
                <w:szCs w:val="24"/>
                <w:highlight w:val="none"/>
              </w:rPr>
            </w:pPr>
            <w:bookmarkStart w:id="230" w:name="_Toc21374"/>
            <w:bookmarkStart w:id="231" w:name="_Toc20367"/>
            <w:r>
              <w:rPr>
                <w:rFonts w:hint="eastAsia"/>
                <w:sz w:val="24"/>
                <w:szCs w:val="24"/>
                <w:highlight w:val="none"/>
              </w:rPr>
              <w:t>现场控制</w:t>
            </w:r>
          </w:p>
          <w:bookmarkEnd w:id="230"/>
          <w:bookmarkEnd w:id="231"/>
        </w:tc>
        <w:tc>
          <w:tcPr>
            <w:tcW w:w="2434" w:type="dxa"/>
            <w:shd w:val="clear" w:color="auto" w:fill="E2EFD9" w:themeFill="accent6" w:themeFillTint="33"/>
          </w:tcPr>
          <w:p>
            <w:pPr>
              <w:pStyle w:val="55"/>
              <w:rPr>
                <w:sz w:val="24"/>
                <w:szCs w:val="24"/>
                <w:highlight w:val="none"/>
              </w:rPr>
            </w:pPr>
            <w:bookmarkStart w:id="232" w:name="_Toc15392"/>
            <w:bookmarkStart w:id="233" w:name="_Toc14418"/>
            <w:r>
              <w:rPr>
                <w:sz w:val="24"/>
                <w:szCs w:val="24"/>
                <w:highlight w:val="none"/>
              </w:rPr>
              <w:t>13297904188</w:t>
            </w:r>
          </w:p>
          <w:bookmarkEnd w:id="232"/>
          <w:bookmarkEnd w:id="233"/>
        </w:tc>
        <w:tc>
          <w:tcPr>
            <w:tcW w:w="2084" w:type="dxa"/>
            <w:shd w:val="clear" w:color="auto" w:fill="E2EFD9" w:themeFill="accent6" w:themeFillTint="33"/>
            <w:vAlign w:val="center"/>
          </w:tcPr>
          <w:p>
            <w:pPr>
              <w:pStyle w:val="55"/>
              <w:rPr>
                <w:sz w:val="24"/>
                <w:szCs w:val="24"/>
                <w:highlight w:val="none"/>
              </w:rPr>
            </w:pPr>
            <w:bookmarkStart w:id="234" w:name="_Toc30646"/>
            <w:bookmarkStart w:id="235" w:name="_Toc26887"/>
            <w:r>
              <w:rPr>
                <w:rFonts w:hint="eastAsia"/>
                <w:sz w:val="24"/>
                <w:szCs w:val="24"/>
                <w:highlight w:val="none"/>
              </w:rPr>
              <w:t>技术部</w:t>
            </w:r>
          </w:p>
          <w:bookmarkEnd w:id="234"/>
          <w:bookmarkEnd w:id="235"/>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r>
              <w:rPr>
                <w:rFonts w:hint="eastAsia"/>
                <w:sz w:val="24"/>
                <w:szCs w:val="24"/>
                <w:highlight w:val="none"/>
              </w:rPr>
              <w:t>陈亚雄</w:t>
            </w:r>
          </w:p>
        </w:tc>
        <w:tc>
          <w:tcPr>
            <w:tcW w:w="2298" w:type="dxa"/>
            <w:shd w:val="clear" w:color="auto" w:fill="E2EFD9" w:themeFill="accent6" w:themeFillTint="33"/>
            <w:vAlign w:val="center"/>
          </w:tcPr>
          <w:p>
            <w:pPr>
              <w:pStyle w:val="55"/>
              <w:rPr>
                <w:sz w:val="24"/>
                <w:szCs w:val="24"/>
                <w:highlight w:val="none"/>
              </w:rPr>
            </w:pPr>
            <w:r>
              <w:rPr>
                <w:rFonts w:hint="eastAsia"/>
                <w:sz w:val="24"/>
                <w:szCs w:val="24"/>
                <w:highlight w:val="none"/>
              </w:rPr>
              <w:t>现场控制</w:t>
            </w:r>
          </w:p>
        </w:tc>
        <w:tc>
          <w:tcPr>
            <w:tcW w:w="2434" w:type="dxa"/>
            <w:shd w:val="clear" w:color="auto" w:fill="E2EFD9" w:themeFill="accent6" w:themeFillTint="33"/>
          </w:tcPr>
          <w:p>
            <w:pPr>
              <w:pStyle w:val="55"/>
              <w:rPr>
                <w:sz w:val="24"/>
                <w:szCs w:val="24"/>
                <w:highlight w:val="none"/>
              </w:rPr>
            </w:pPr>
            <w:r>
              <w:rPr>
                <w:sz w:val="24"/>
                <w:szCs w:val="24"/>
                <w:highlight w:val="none"/>
              </w:rPr>
              <w:t>15071173068</w:t>
            </w:r>
          </w:p>
        </w:tc>
        <w:tc>
          <w:tcPr>
            <w:tcW w:w="2084" w:type="dxa"/>
            <w:shd w:val="clear" w:color="auto" w:fill="E2EFD9" w:themeFill="accent6" w:themeFillTint="33"/>
            <w:vAlign w:val="center"/>
          </w:tcPr>
          <w:p>
            <w:pPr>
              <w:pStyle w:val="55"/>
              <w:rPr>
                <w:sz w:val="24"/>
                <w:szCs w:val="24"/>
                <w:highlight w:val="none"/>
              </w:rPr>
            </w:pPr>
            <w:r>
              <w:rPr>
                <w:rFonts w:hint="eastAsia"/>
                <w:sz w:val="24"/>
                <w:szCs w:val="24"/>
                <w:highlight w:val="none"/>
              </w:rPr>
              <w:t>安全部</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36" w:name="_Toc8281"/>
            <w:bookmarkStart w:id="237" w:name="_Toc2870"/>
            <w:r>
              <w:rPr>
                <w:rFonts w:hint="eastAsia"/>
                <w:sz w:val="24"/>
                <w:szCs w:val="24"/>
                <w:highlight w:val="none"/>
              </w:rPr>
              <w:t>汪旭丽</w:t>
            </w:r>
          </w:p>
          <w:bookmarkEnd w:id="236"/>
          <w:bookmarkEnd w:id="237"/>
        </w:tc>
        <w:tc>
          <w:tcPr>
            <w:tcW w:w="2298" w:type="dxa"/>
            <w:shd w:val="clear" w:color="auto" w:fill="E2EFD9" w:themeFill="accent6" w:themeFillTint="33"/>
            <w:vAlign w:val="center"/>
          </w:tcPr>
          <w:p>
            <w:pPr>
              <w:pStyle w:val="55"/>
              <w:rPr>
                <w:sz w:val="24"/>
                <w:szCs w:val="24"/>
                <w:highlight w:val="none"/>
              </w:rPr>
            </w:pPr>
            <w:bookmarkStart w:id="238" w:name="_Toc18909"/>
            <w:bookmarkStart w:id="239" w:name="_Toc16066"/>
            <w:r>
              <w:rPr>
                <w:rFonts w:hint="eastAsia"/>
                <w:sz w:val="24"/>
                <w:szCs w:val="24"/>
                <w:highlight w:val="none"/>
              </w:rPr>
              <w:t>现场控制</w:t>
            </w:r>
          </w:p>
          <w:bookmarkEnd w:id="238"/>
          <w:bookmarkEnd w:id="239"/>
        </w:tc>
        <w:tc>
          <w:tcPr>
            <w:tcW w:w="2434" w:type="dxa"/>
            <w:shd w:val="clear" w:color="auto" w:fill="E2EFD9" w:themeFill="accent6" w:themeFillTint="33"/>
          </w:tcPr>
          <w:p>
            <w:pPr>
              <w:pStyle w:val="55"/>
              <w:rPr>
                <w:sz w:val="24"/>
                <w:szCs w:val="24"/>
                <w:highlight w:val="none"/>
              </w:rPr>
            </w:pPr>
            <w:bookmarkStart w:id="240" w:name="_Toc29785"/>
            <w:bookmarkStart w:id="241" w:name="_Toc32413"/>
            <w:r>
              <w:rPr>
                <w:sz w:val="24"/>
                <w:szCs w:val="24"/>
                <w:highlight w:val="none"/>
              </w:rPr>
              <w:t>18502762850</w:t>
            </w:r>
          </w:p>
          <w:bookmarkEnd w:id="240"/>
          <w:bookmarkEnd w:id="241"/>
        </w:tc>
        <w:tc>
          <w:tcPr>
            <w:tcW w:w="2084" w:type="dxa"/>
            <w:shd w:val="clear" w:color="auto" w:fill="E2EFD9" w:themeFill="accent6" w:themeFillTint="33"/>
            <w:vAlign w:val="center"/>
          </w:tcPr>
          <w:p>
            <w:pPr>
              <w:pStyle w:val="55"/>
              <w:rPr>
                <w:sz w:val="24"/>
                <w:szCs w:val="24"/>
                <w:highlight w:val="none"/>
              </w:rPr>
            </w:pPr>
            <w:bookmarkStart w:id="242" w:name="_Toc14771"/>
            <w:bookmarkStart w:id="243" w:name="_Toc18249"/>
            <w:r>
              <w:rPr>
                <w:rFonts w:hint="eastAsia"/>
                <w:sz w:val="24"/>
                <w:szCs w:val="24"/>
                <w:highlight w:val="none"/>
              </w:rPr>
              <w:t>实验室</w:t>
            </w:r>
          </w:p>
          <w:bookmarkEnd w:id="242"/>
          <w:bookmarkEnd w:id="243"/>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44" w:name="_Toc14884"/>
            <w:bookmarkStart w:id="245" w:name="_Toc16587"/>
            <w:r>
              <w:rPr>
                <w:rFonts w:hint="eastAsia"/>
                <w:sz w:val="24"/>
                <w:szCs w:val="24"/>
                <w:highlight w:val="none"/>
              </w:rPr>
              <w:t>张钊</w:t>
            </w:r>
          </w:p>
          <w:bookmarkEnd w:id="244"/>
          <w:bookmarkEnd w:id="245"/>
        </w:tc>
        <w:tc>
          <w:tcPr>
            <w:tcW w:w="2298" w:type="dxa"/>
            <w:shd w:val="clear" w:color="auto" w:fill="E2EFD9" w:themeFill="accent6" w:themeFillTint="33"/>
            <w:vAlign w:val="center"/>
          </w:tcPr>
          <w:p>
            <w:pPr>
              <w:pStyle w:val="55"/>
              <w:rPr>
                <w:sz w:val="24"/>
                <w:szCs w:val="24"/>
                <w:highlight w:val="none"/>
              </w:rPr>
            </w:pPr>
            <w:bookmarkStart w:id="246" w:name="_Toc21760"/>
            <w:bookmarkStart w:id="247" w:name="_Toc10914"/>
            <w:r>
              <w:rPr>
                <w:rFonts w:hint="eastAsia"/>
                <w:sz w:val="24"/>
                <w:szCs w:val="24"/>
                <w:highlight w:val="none"/>
              </w:rPr>
              <w:t>现场控制</w:t>
            </w:r>
          </w:p>
          <w:bookmarkEnd w:id="246"/>
          <w:bookmarkEnd w:id="247"/>
        </w:tc>
        <w:tc>
          <w:tcPr>
            <w:tcW w:w="2434" w:type="dxa"/>
            <w:shd w:val="clear" w:color="auto" w:fill="E2EFD9" w:themeFill="accent6" w:themeFillTint="33"/>
          </w:tcPr>
          <w:p>
            <w:pPr>
              <w:pStyle w:val="55"/>
              <w:rPr>
                <w:sz w:val="24"/>
                <w:szCs w:val="24"/>
                <w:highlight w:val="none"/>
              </w:rPr>
            </w:pPr>
            <w:bookmarkStart w:id="248" w:name="_Toc20261"/>
            <w:bookmarkStart w:id="249" w:name="_Toc12007"/>
            <w:r>
              <w:rPr>
                <w:sz w:val="24"/>
                <w:szCs w:val="24"/>
                <w:highlight w:val="none"/>
              </w:rPr>
              <w:t>15285480630</w:t>
            </w:r>
          </w:p>
          <w:bookmarkEnd w:id="248"/>
          <w:bookmarkEnd w:id="249"/>
        </w:tc>
        <w:tc>
          <w:tcPr>
            <w:tcW w:w="2084" w:type="dxa"/>
            <w:shd w:val="clear" w:color="auto" w:fill="E2EFD9" w:themeFill="accent6" w:themeFillTint="33"/>
            <w:vAlign w:val="center"/>
          </w:tcPr>
          <w:p>
            <w:pPr>
              <w:pStyle w:val="55"/>
              <w:rPr>
                <w:sz w:val="24"/>
                <w:szCs w:val="24"/>
                <w:highlight w:val="none"/>
              </w:rPr>
            </w:pPr>
            <w:bookmarkStart w:id="250" w:name="_Toc24400"/>
            <w:bookmarkStart w:id="251" w:name="_Toc20891"/>
            <w:r>
              <w:rPr>
                <w:rFonts w:hint="eastAsia"/>
                <w:sz w:val="24"/>
                <w:szCs w:val="24"/>
                <w:highlight w:val="none"/>
              </w:rPr>
              <w:t>合约部</w:t>
            </w:r>
          </w:p>
          <w:bookmarkEnd w:id="250"/>
          <w:bookmarkEnd w:id="251"/>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52" w:name="_Toc6935"/>
            <w:bookmarkStart w:id="253" w:name="_Toc30711"/>
            <w:r>
              <w:rPr>
                <w:rFonts w:hint="eastAsia"/>
                <w:sz w:val="24"/>
                <w:szCs w:val="24"/>
                <w:highlight w:val="none"/>
              </w:rPr>
              <w:t>王辉</w:t>
            </w:r>
          </w:p>
          <w:bookmarkEnd w:id="252"/>
          <w:bookmarkEnd w:id="253"/>
        </w:tc>
        <w:tc>
          <w:tcPr>
            <w:tcW w:w="2298" w:type="dxa"/>
            <w:shd w:val="clear" w:color="auto" w:fill="E2EFD9" w:themeFill="accent6" w:themeFillTint="33"/>
            <w:vAlign w:val="center"/>
          </w:tcPr>
          <w:p>
            <w:pPr>
              <w:pStyle w:val="55"/>
              <w:rPr>
                <w:sz w:val="24"/>
                <w:szCs w:val="24"/>
                <w:highlight w:val="none"/>
              </w:rPr>
            </w:pPr>
            <w:bookmarkStart w:id="254" w:name="_Toc12967"/>
            <w:bookmarkStart w:id="255" w:name="_Toc14932"/>
            <w:r>
              <w:rPr>
                <w:rFonts w:hint="eastAsia"/>
                <w:sz w:val="24"/>
                <w:szCs w:val="24"/>
                <w:highlight w:val="none"/>
              </w:rPr>
              <w:t>收集信息资料</w:t>
            </w:r>
          </w:p>
          <w:bookmarkEnd w:id="254"/>
          <w:bookmarkEnd w:id="255"/>
        </w:tc>
        <w:tc>
          <w:tcPr>
            <w:tcW w:w="2434" w:type="dxa"/>
            <w:shd w:val="clear" w:color="auto" w:fill="E2EFD9" w:themeFill="accent6" w:themeFillTint="33"/>
          </w:tcPr>
          <w:p>
            <w:pPr>
              <w:pStyle w:val="55"/>
              <w:rPr>
                <w:sz w:val="24"/>
                <w:szCs w:val="24"/>
                <w:highlight w:val="none"/>
              </w:rPr>
            </w:pPr>
            <w:bookmarkStart w:id="256" w:name="_Toc22237"/>
            <w:bookmarkStart w:id="257" w:name="_Toc13689"/>
            <w:r>
              <w:rPr>
                <w:sz w:val="24"/>
                <w:szCs w:val="24"/>
                <w:highlight w:val="none"/>
              </w:rPr>
              <w:t>18627997231</w:t>
            </w:r>
          </w:p>
          <w:bookmarkEnd w:id="256"/>
          <w:bookmarkEnd w:id="257"/>
        </w:tc>
        <w:tc>
          <w:tcPr>
            <w:tcW w:w="2084" w:type="dxa"/>
            <w:shd w:val="clear" w:color="auto" w:fill="E2EFD9" w:themeFill="accent6" w:themeFillTint="33"/>
            <w:vAlign w:val="center"/>
          </w:tcPr>
          <w:p>
            <w:pPr>
              <w:pStyle w:val="55"/>
              <w:rPr>
                <w:sz w:val="24"/>
                <w:szCs w:val="24"/>
                <w:highlight w:val="none"/>
              </w:rPr>
            </w:pPr>
            <w:bookmarkStart w:id="258" w:name="_Toc2709"/>
            <w:bookmarkStart w:id="259" w:name="_Toc4590"/>
            <w:r>
              <w:rPr>
                <w:rFonts w:hint="eastAsia"/>
                <w:sz w:val="24"/>
                <w:szCs w:val="24"/>
                <w:highlight w:val="none"/>
              </w:rPr>
              <w:t>测量组</w:t>
            </w:r>
          </w:p>
          <w:bookmarkEnd w:id="258"/>
          <w:bookmarkEnd w:id="259"/>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60" w:name="_Toc18814"/>
            <w:bookmarkStart w:id="261" w:name="_Toc30438"/>
            <w:r>
              <w:rPr>
                <w:rFonts w:hint="eastAsia"/>
                <w:sz w:val="24"/>
                <w:szCs w:val="24"/>
                <w:highlight w:val="none"/>
              </w:rPr>
              <w:t>贾春春</w:t>
            </w:r>
          </w:p>
          <w:bookmarkEnd w:id="260"/>
          <w:bookmarkEnd w:id="261"/>
        </w:tc>
        <w:tc>
          <w:tcPr>
            <w:tcW w:w="2298" w:type="dxa"/>
            <w:shd w:val="clear" w:color="auto" w:fill="E2EFD9" w:themeFill="accent6" w:themeFillTint="33"/>
            <w:vAlign w:val="center"/>
          </w:tcPr>
          <w:p>
            <w:pPr>
              <w:pStyle w:val="55"/>
              <w:rPr>
                <w:sz w:val="24"/>
                <w:szCs w:val="24"/>
                <w:highlight w:val="none"/>
              </w:rPr>
            </w:pPr>
            <w:bookmarkStart w:id="262" w:name="_Toc28983"/>
            <w:bookmarkStart w:id="263" w:name="_Toc2292"/>
            <w:r>
              <w:rPr>
                <w:rFonts w:hint="eastAsia"/>
                <w:sz w:val="24"/>
                <w:szCs w:val="24"/>
                <w:highlight w:val="none"/>
              </w:rPr>
              <w:t>对外联络后勤保障</w:t>
            </w:r>
          </w:p>
          <w:bookmarkEnd w:id="262"/>
          <w:bookmarkEnd w:id="263"/>
        </w:tc>
        <w:tc>
          <w:tcPr>
            <w:tcW w:w="2434" w:type="dxa"/>
            <w:shd w:val="clear" w:color="auto" w:fill="E2EFD9" w:themeFill="accent6" w:themeFillTint="33"/>
          </w:tcPr>
          <w:p>
            <w:pPr>
              <w:pStyle w:val="55"/>
              <w:rPr>
                <w:sz w:val="24"/>
                <w:szCs w:val="24"/>
                <w:highlight w:val="none"/>
              </w:rPr>
            </w:pPr>
            <w:bookmarkStart w:id="264" w:name="_Toc874"/>
            <w:bookmarkStart w:id="265" w:name="_Toc29011"/>
            <w:r>
              <w:rPr>
                <w:sz w:val="24"/>
                <w:szCs w:val="24"/>
                <w:highlight w:val="none"/>
              </w:rPr>
              <w:t>18694045387</w:t>
            </w:r>
          </w:p>
          <w:bookmarkEnd w:id="264"/>
          <w:bookmarkEnd w:id="265"/>
        </w:tc>
        <w:tc>
          <w:tcPr>
            <w:tcW w:w="2084" w:type="dxa"/>
            <w:shd w:val="clear" w:color="auto" w:fill="E2EFD9" w:themeFill="accent6" w:themeFillTint="33"/>
            <w:vAlign w:val="center"/>
          </w:tcPr>
          <w:p>
            <w:pPr>
              <w:pStyle w:val="55"/>
              <w:rPr>
                <w:sz w:val="24"/>
                <w:szCs w:val="24"/>
                <w:highlight w:val="none"/>
              </w:rPr>
            </w:pPr>
            <w:bookmarkStart w:id="266" w:name="_Toc19595"/>
            <w:bookmarkStart w:id="267" w:name="_Toc30817"/>
            <w:r>
              <w:rPr>
                <w:rFonts w:hint="eastAsia"/>
                <w:sz w:val="24"/>
                <w:szCs w:val="24"/>
                <w:highlight w:val="none"/>
              </w:rPr>
              <w:t>财务部</w:t>
            </w:r>
          </w:p>
          <w:bookmarkEnd w:id="266"/>
          <w:bookmarkEnd w:id="267"/>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68" w:name="_Toc17771"/>
            <w:bookmarkStart w:id="269" w:name="_Toc10346"/>
            <w:r>
              <w:rPr>
                <w:rFonts w:hint="eastAsia"/>
                <w:sz w:val="24"/>
                <w:szCs w:val="24"/>
                <w:highlight w:val="none"/>
              </w:rPr>
              <w:t>吴小强</w:t>
            </w:r>
          </w:p>
          <w:bookmarkEnd w:id="268"/>
          <w:bookmarkEnd w:id="269"/>
        </w:tc>
        <w:tc>
          <w:tcPr>
            <w:tcW w:w="2298" w:type="dxa"/>
            <w:shd w:val="clear" w:color="auto" w:fill="E2EFD9" w:themeFill="accent6" w:themeFillTint="33"/>
            <w:vAlign w:val="center"/>
          </w:tcPr>
          <w:p>
            <w:pPr>
              <w:pStyle w:val="55"/>
              <w:rPr>
                <w:sz w:val="24"/>
                <w:szCs w:val="24"/>
                <w:highlight w:val="none"/>
              </w:rPr>
            </w:pPr>
            <w:bookmarkStart w:id="270" w:name="_Toc3006"/>
            <w:bookmarkStart w:id="271" w:name="_Toc3996"/>
            <w:r>
              <w:rPr>
                <w:rFonts w:hint="eastAsia"/>
                <w:sz w:val="24"/>
                <w:szCs w:val="24"/>
                <w:highlight w:val="none"/>
              </w:rPr>
              <w:t>物资供应</w:t>
            </w:r>
          </w:p>
          <w:bookmarkEnd w:id="270"/>
          <w:bookmarkEnd w:id="271"/>
        </w:tc>
        <w:tc>
          <w:tcPr>
            <w:tcW w:w="2434" w:type="dxa"/>
            <w:shd w:val="clear" w:color="auto" w:fill="E2EFD9" w:themeFill="accent6" w:themeFillTint="33"/>
          </w:tcPr>
          <w:p>
            <w:pPr>
              <w:pStyle w:val="55"/>
              <w:rPr>
                <w:sz w:val="24"/>
                <w:szCs w:val="24"/>
                <w:highlight w:val="none"/>
              </w:rPr>
            </w:pPr>
            <w:bookmarkStart w:id="272" w:name="_Toc26332"/>
            <w:bookmarkStart w:id="273" w:name="_Toc21834"/>
            <w:r>
              <w:rPr>
                <w:sz w:val="24"/>
                <w:szCs w:val="24"/>
                <w:highlight w:val="none"/>
              </w:rPr>
              <w:t>18671310029</w:t>
            </w:r>
          </w:p>
          <w:bookmarkEnd w:id="272"/>
          <w:bookmarkEnd w:id="273"/>
        </w:tc>
        <w:tc>
          <w:tcPr>
            <w:tcW w:w="2084" w:type="dxa"/>
            <w:shd w:val="clear" w:color="auto" w:fill="E2EFD9" w:themeFill="accent6" w:themeFillTint="33"/>
            <w:vAlign w:val="center"/>
          </w:tcPr>
          <w:p>
            <w:pPr>
              <w:pStyle w:val="55"/>
              <w:rPr>
                <w:sz w:val="24"/>
                <w:szCs w:val="24"/>
                <w:highlight w:val="none"/>
              </w:rPr>
            </w:pPr>
            <w:bookmarkStart w:id="274" w:name="_Toc18528"/>
            <w:bookmarkStart w:id="275" w:name="_Toc12019"/>
            <w:r>
              <w:rPr>
                <w:rFonts w:hint="eastAsia"/>
                <w:sz w:val="24"/>
                <w:szCs w:val="24"/>
                <w:highlight w:val="none"/>
              </w:rPr>
              <w:t>物资部</w:t>
            </w:r>
          </w:p>
          <w:bookmarkEnd w:id="274"/>
          <w:bookmarkEnd w:id="275"/>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5" w:hRule="atLeast"/>
          <w:jc w:val="center"/>
        </w:trPr>
        <w:tc>
          <w:tcPr>
            <w:tcW w:w="1047" w:type="dxa"/>
            <w:vMerge w:val="continue"/>
            <w:shd w:val="clear" w:color="auto" w:fill="2E75B5" w:themeFill="accent1" w:themeFillShade="BF"/>
            <w:vAlign w:val="center"/>
          </w:tcPr>
          <w:p>
            <w:pPr>
              <w:pStyle w:val="55"/>
              <w:rPr>
                <w:sz w:val="24"/>
                <w:szCs w:val="24"/>
                <w:highlight w:val="none"/>
              </w:rPr>
            </w:pPr>
          </w:p>
        </w:tc>
        <w:tc>
          <w:tcPr>
            <w:tcW w:w="1576" w:type="dxa"/>
            <w:shd w:val="clear" w:color="auto" w:fill="E2EFD9" w:themeFill="accent6" w:themeFillTint="33"/>
          </w:tcPr>
          <w:p>
            <w:pPr>
              <w:pStyle w:val="55"/>
              <w:rPr>
                <w:sz w:val="24"/>
                <w:szCs w:val="24"/>
                <w:highlight w:val="none"/>
              </w:rPr>
            </w:pPr>
            <w:bookmarkStart w:id="276" w:name="_Toc7055"/>
            <w:bookmarkStart w:id="277" w:name="_Toc1190"/>
            <w:r>
              <w:rPr>
                <w:rFonts w:hint="eastAsia"/>
                <w:sz w:val="24"/>
                <w:szCs w:val="24"/>
                <w:highlight w:val="none"/>
              </w:rPr>
              <w:t>葛利龙</w:t>
            </w:r>
          </w:p>
          <w:bookmarkEnd w:id="276"/>
          <w:bookmarkEnd w:id="277"/>
        </w:tc>
        <w:tc>
          <w:tcPr>
            <w:tcW w:w="2298" w:type="dxa"/>
            <w:shd w:val="clear" w:color="auto" w:fill="E2EFD9" w:themeFill="accent6" w:themeFillTint="33"/>
            <w:vAlign w:val="center"/>
          </w:tcPr>
          <w:p>
            <w:pPr>
              <w:pStyle w:val="55"/>
              <w:rPr>
                <w:sz w:val="24"/>
                <w:szCs w:val="24"/>
                <w:highlight w:val="none"/>
              </w:rPr>
            </w:pPr>
            <w:bookmarkStart w:id="278" w:name="_Toc15330"/>
            <w:bookmarkStart w:id="279" w:name="_Toc16657"/>
            <w:r>
              <w:rPr>
                <w:rFonts w:hint="eastAsia"/>
                <w:sz w:val="24"/>
                <w:szCs w:val="24"/>
                <w:highlight w:val="none"/>
              </w:rPr>
              <w:t>车辆供应</w:t>
            </w:r>
          </w:p>
          <w:bookmarkEnd w:id="278"/>
          <w:bookmarkEnd w:id="279"/>
        </w:tc>
        <w:tc>
          <w:tcPr>
            <w:tcW w:w="2434" w:type="dxa"/>
            <w:shd w:val="clear" w:color="auto" w:fill="E2EFD9" w:themeFill="accent6" w:themeFillTint="33"/>
          </w:tcPr>
          <w:p>
            <w:pPr>
              <w:pStyle w:val="55"/>
              <w:rPr>
                <w:sz w:val="24"/>
                <w:szCs w:val="24"/>
                <w:highlight w:val="none"/>
              </w:rPr>
            </w:pPr>
            <w:bookmarkStart w:id="280" w:name="_Toc28578"/>
            <w:bookmarkStart w:id="281" w:name="_Toc15626"/>
            <w:r>
              <w:rPr>
                <w:sz w:val="24"/>
                <w:szCs w:val="24"/>
                <w:highlight w:val="none"/>
              </w:rPr>
              <w:t>13917142013</w:t>
            </w:r>
          </w:p>
          <w:bookmarkEnd w:id="280"/>
          <w:bookmarkEnd w:id="281"/>
        </w:tc>
        <w:tc>
          <w:tcPr>
            <w:tcW w:w="2084" w:type="dxa"/>
            <w:shd w:val="clear" w:color="auto" w:fill="E2EFD9" w:themeFill="accent6" w:themeFillTint="33"/>
            <w:vAlign w:val="center"/>
          </w:tcPr>
          <w:p>
            <w:pPr>
              <w:pStyle w:val="55"/>
              <w:rPr>
                <w:sz w:val="24"/>
                <w:szCs w:val="24"/>
                <w:highlight w:val="none"/>
              </w:rPr>
            </w:pPr>
            <w:bookmarkStart w:id="282" w:name="_Toc26271"/>
            <w:bookmarkStart w:id="283" w:name="_Toc18790"/>
            <w:r>
              <w:rPr>
                <w:rFonts w:hint="eastAsia"/>
                <w:sz w:val="24"/>
                <w:szCs w:val="24"/>
                <w:highlight w:val="none"/>
              </w:rPr>
              <w:t>办公室</w:t>
            </w:r>
          </w:p>
          <w:bookmarkEnd w:id="282"/>
          <w:bookmarkEnd w:id="283"/>
        </w:tc>
      </w:tr>
    </w:tbl>
    <w:p>
      <w:pPr>
        <w:spacing w:after="0" w:afterLines="0" w:line="240" w:lineRule="auto"/>
        <w:ind w:firstLine="480"/>
        <w:jc w:val="center"/>
        <w:rPr>
          <w:rFonts w:ascii="宋体" w:hAnsi="宋体" w:eastAsia="宋体" w:cs="Times New Roman"/>
        </w:rPr>
      </w:pPr>
    </w:p>
    <w:p>
      <w:pPr>
        <w:kinsoku w:val="0"/>
        <w:overflowPunct w:val="0"/>
        <w:autoSpaceDE w:val="0"/>
        <w:autoSpaceDN w:val="0"/>
        <w:adjustRightInd w:val="0"/>
        <w:snapToGrid w:val="0"/>
        <w:spacing w:after="120" w:line="360" w:lineRule="auto"/>
        <w:ind w:firstLine="480"/>
        <w:outlineLvl w:val="2"/>
        <w:rPr>
          <w:rFonts w:ascii="宋体" w:hAnsi="宋体" w:eastAsia="宋体" w:cs="Times New Roman"/>
          <w:kern w:val="4"/>
        </w:rPr>
      </w:pPr>
      <w:bookmarkStart w:id="284" w:name="_Toc91085197"/>
      <w:bookmarkStart w:id="285" w:name="_Toc323459872"/>
      <w:bookmarkStart w:id="286" w:name="_Toc324086330"/>
      <w:bookmarkStart w:id="287" w:name="_Toc321894293"/>
      <w:bookmarkStart w:id="288" w:name="_Toc339295953"/>
      <w:bookmarkStart w:id="289" w:name="_Toc285636375"/>
      <w:bookmarkStart w:id="290" w:name="_Toc339295692"/>
      <w:bookmarkStart w:id="291" w:name="_Toc340495439"/>
      <w:bookmarkStart w:id="292" w:name="_Toc24462667"/>
      <w:bookmarkStart w:id="293" w:name="_Toc24459"/>
      <w:bookmarkStart w:id="294" w:name="_Toc333390965"/>
      <w:bookmarkStart w:id="295" w:name="_Toc28346"/>
      <w:bookmarkStart w:id="296" w:name="_Toc491"/>
      <w:bookmarkStart w:id="297" w:name="_Toc49960691"/>
      <w:bookmarkStart w:id="298" w:name="_Toc324925281"/>
      <w:bookmarkStart w:id="299" w:name="_Toc26863"/>
      <w:bookmarkStart w:id="300" w:name="_Toc339295866"/>
      <w:bookmarkStart w:id="301" w:name="_Toc283274523"/>
      <w:r>
        <w:rPr>
          <w:rFonts w:hint="eastAsia" w:ascii="宋体" w:hAnsi="宋体" w:eastAsia="宋体" w:cs="Times New Roman"/>
          <w:kern w:val="4"/>
        </w:rPr>
        <w:t>6</w:t>
      </w:r>
      <w:r>
        <w:rPr>
          <w:rFonts w:ascii="宋体" w:hAnsi="宋体" w:eastAsia="宋体" w:cs="Times New Roman"/>
          <w:kern w:val="4"/>
        </w:rPr>
        <w:t>.</w:t>
      </w:r>
      <w:r>
        <w:rPr>
          <w:rFonts w:hint="eastAsia" w:ascii="宋体" w:hAnsi="宋体" w:eastAsia="宋体" w:cs="Times New Roman"/>
          <w:kern w:val="4"/>
        </w:rPr>
        <w:t>5.2 宣传、培训和演习</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napToGrid w:val="0"/>
        <w:spacing w:after="0" w:afterLines="0" w:line="360" w:lineRule="auto"/>
        <w:ind w:firstLine="480"/>
        <w:jc w:val="both"/>
        <w:rPr>
          <w:rFonts w:asciiTheme="minorEastAsia" w:hAnsiTheme="minorEastAsia" w:eastAsiaTheme="minorEastAsia" w:cstheme="minorEastAsia"/>
        </w:rPr>
      </w:pPr>
      <w:bookmarkStart w:id="302" w:name="_Toc115693705"/>
      <w:bookmarkStart w:id="303" w:name="_Toc174267518"/>
      <w:bookmarkStart w:id="304" w:name="_Toc115693833"/>
      <w:bookmarkStart w:id="305" w:name="_Toc174268054"/>
      <w:bookmarkStart w:id="306" w:name="_Toc115693379"/>
      <w:bookmarkStart w:id="307" w:name="_Toc119404552"/>
      <w:r>
        <w:rPr>
          <w:rFonts w:hint="eastAsia" w:asciiTheme="minorEastAsia" w:hAnsiTheme="minorEastAsia" w:eastAsiaTheme="minorEastAsia" w:cstheme="minorEastAsia"/>
        </w:rPr>
        <w:t>⑴ 应急人员的培训</w:t>
      </w:r>
      <w:bookmarkEnd w:id="302"/>
      <w:bookmarkEnd w:id="303"/>
      <w:bookmarkEnd w:id="304"/>
      <w:bookmarkEnd w:id="305"/>
      <w:bookmarkEnd w:id="306"/>
      <w:bookmarkEnd w:id="307"/>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制定培训计划，定期对应急救援人员进行基础培训、专业培训、战术培训，使其掌握自身安全防护措施和救护方法。建立定期的强化培训制度，并进行考核。</w:t>
      </w:r>
    </w:p>
    <w:p>
      <w:pPr>
        <w:snapToGrid w:val="0"/>
        <w:spacing w:after="0" w:afterLines="0" w:line="360" w:lineRule="auto"/>
        <w:ind w:firstLine="480"/>
        <w:jc w:val="both"/>
        <w:rPr>
          <w:rFonts w:asciiTheme="minorEastAsia" w:hAnsiTheme="minorEastAsia" w:eastAsiaTheme="minorEastAsia" w:cstheme="minorEastAsia"/>
        </w:rPr>
      </w:pPr>
      <w:bookmarkStart w:id="308" w:name="_Toc174267519"/>
      <w:bookmarkStart w:id="309" w:name="_Toc174268055"/>
      <w:bookmarkStart w:id="310" w:name="_Toc119404553"/>
      <w:r>
        <w:rPr>
          <w:rFonts w:hint="eastAsia" w:asciiTheme="minorEastAsia" w:hAnsiTheme="minorEastAsia" w:eastAsiaTheme="minorEastAsia" w:cstheme="minorEastAsia"/>
        </w:rPr>
        <w:t>⑵ 公众宣传教育</w:t>
      </w:r>
      <w:bookmarkEnd w:id="308"/>
      <w:bookmarkEnd w:id="309"/>
      <w:bookmarkEnd w:id="310"/>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根据计划，定期对员工进行日常安全教育，使他们掌握可能发生的事故的性质和特性，掌握必要的应急救援知识和技能，了解预先指定的主要和备用疏散路线，了解各种警报的含义和应急工作的有关要求等等。</w:t>
      </w:r>
      <w:bookmarkStart w:id="311" w:name="_Toc174268056"/>
      <w:bookmarkStart w:id="312" w:name="_Toc174267520"/>
      <w:bookmarkStart w:id="313" w:name="_Toc119404554"/>
      <w:bookmarkStart w:id="314" w:name="_Toc115693381"/>
      <w:bookmarkStart w:id="315" w:name="_Toc115693835"/>
      <w:bookmarkStart w:id="316" w:name="_Toc115693707"/>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⑶ 预案演习</w:t>
      </w:r>
      <w:bookmarkEnd w:id="311"/>
      <w:bookmarkEnd w:id="312"/>
      <w:bookmarkEnd w:id="313"/>
      <w:bookmarkEnd w:id="314"/>
      <w:bookmarkEnd w:id="315"/>
      <w:bookmarkEnd w:id="316"/>
    </w:p>
    <w:p>
      <w:pPr>
        <w:snapToGrid w:val="0"/>
        <w:spacing w:after="0" w:afterLines="0" w:line="360" w:lineRule="auto"/>
        <w:ind w:firstLine="480"/>
        <w:jc w:val="both"/>
        <w:rPr>
          <w:rFonts w:ascii="宋体" w:hAnsi="宋体" w:eastAsia="宋体" w:cs="Times New Roman"/>
        </w:rPr>
      </w:pPr>
      <w:r>
        <w:rPr>
          <w:rFonts w:hint="eastAsia" w:asciiTheme="minorEastAsia" w:hAnsiTheme="minorEastAsia" w:eastAsiaTheme="minorEastAsia" w:cstheme="minorEastAsia"/>
        </w:rPr>
        <w:t>项目制定相应的演习计划，定期进行演练，使应急人员更清晰地明确各自的职责和工作程序，提高协同作战的能力，保证应急救援工作的协调、有效、迅速地开展，找出应急救援工作中存在的不足和问题。明确演习的周期、范围，检验重大事故的应急救援组织执行任务的能力。同时，要对演习的结果进行分析评价，对演习中暴露的问题和不足及时进行解决。</w:t>
      </w:r>
    </w:p>
    <w:p>
      <w:pPr>
        <w:kinsoku w:val="0"/>
        <w:overflowPunct w:val="0"/>
        <w:autoSpaceDE w:val="0"/>
        <w:autoSpaceDN w:val="0"/>
        <w:adjustRightInd w:val="0"/>
        <w:snapToGrid w:val="0"/>
        <w:spacing w:after="120" w:line="360" w:lineRule="auto"/>
        <w:ind w:firstLine="480"/>
        <w:outlineLvl w:val="2"/>
        <w:rPr>
          <w:rFonts w:ascii="宋体" w:hAnsi="宋体" w:eastAsia="宋体" w:cs="Times New Roman"/>
          <w:kern w:val="4"/>
        </w:rPr>
      </w:pPr>
      <w:bookmarkStart w:id="317" w:name="_Toc2381"/>
      <w:bookmarkStart w:id="318" w:name="_Toc4531"/>
      <w:bookmarkStart w:id="319" w:name="_Toc49960692"/>
      <w:bookmarkStart w:id="320" w:name="_Toc490812519"/>
      <w:bookmarkStart w:id="321" w:name="_Toc8693"/>
      <w:bookmarkStart w:id="322" w:name="_Toc459728609"/>
      <w:bookmarkStart w:id="323" w:name="_Toc501432588"/>
      <w:bookmarkStart w:id="324" w:name="_Toc458496843"/>
      <w:bookmarkStart w:id="325" w:name="_Toc91085198"/>
      <w:bookmarkStart w:id="326" w:name="_Toc2471"/>
      <w:bookmarkStart w:id="327" w:name="_Toc509175971"/>
      <w:bookmarkStart w:id="328" w:name="_Toc16375"/>
      <w:bookmarkStart w:id="329" w:name="_Toc24462668"/>
      <w:bookmarkStart w:id="330" w:name="_Toc488878933"/>
      <w:bookmarkStart w:id="331" w:name="_Toc507917137"/>
      <w:bookmarkStart w:id="332" w:name="_Toc16546"/>
      <w:r>
        <w:rPr>
          <w:rFonts w:hint="eastAsia" w:ascii="宋体" w:hAnsi="宋体" w:eastAsia="宋体" w:cs="Times New Roman"/>
          <w:kern w:val="4"/>
        </w:rPr>
        <w:t>6.5.3 后勤保障</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6"/>
        <w:ind w:firstLine="480"/>
        <w:rPr>
          <w:rFonts w:cs="宋体"/>
          <w:b w:val="0"/>
          <w:bCs w:val="0"/>
          <w:szCs w:val="24"/>
        </w:rPr>
      </w:pPr>
      <w:bookmarkStart w:id="333" w:name="_Toc31778"/>
      <w:bookmarkStart w:id="334" w:name="_Toc49960693"/>
      <w:bookmarkStart w:id="335" w:name="_Toc91085199"/>
      <w:bookmarkStart w:id="336" w:name="_Toc24462669"/>
      <w:bookmarkStart w:id="337" w:name="_Toc1550"/>
      <w:bookmarkStart w:id="338" w:name="_Toc27858"/>
      <w:r>
        <w:rPr>
          <w:rFonts w:hint="eastAsia" w:cs="宋体"/>
          <w:b w:val="0"/>
          <w:bCs w:val="0"/>
          <w:szCs w:val="24"/>
        </w:rPr>
        <w:t>6.5</w:t>
      </w:r>
      <w:r>
        <w:rPr>
          <w:rFonts w:cs="宋体"/>
          <w:b w:val="0"/>
          <w:bCs w:val="0"/>
          <w:szCs w:val="24"/>
        </w:rPr>
        <w:t>.3.1</w:t>
      </w:r>
      <w:r>
        <w:rPr>
          <w:rFonts w:hint="eastAsia" w:cs="宋体"/>
          <w:b w:val="0"/>
          <w:bCs w:val="0"/>
          <w:szCs w:val="24"/>
        </w:rPr>
        <w:t xml:space="preserve"> 应急救援物资</w:t>
      </w:r>
      <w:bookmarkEnd w:id="333"/>
      <w:bookmarkEnd w:id="334"/>
      <w:bookmarkEnd w:id="335"/>
      <w:bookmarkEnd w:id="336"/>
      <w:bookmarkEnd w:id="337"/>
      <w:bookmarkEnd w:id="338"/>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⑴医疗器材：担架、医药箱，存放在安全环保部。</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⑵通讯器材：管理人员配备手机，并发布最新通讯录。</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⑶交通工具：项目常备一辆值班汽车。</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⑷照明灯具：防水手电筒、头灯、灯具线路等，存放在物资仓库。</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⑸紧急救援工具：千斤顶、撬杠、起重葫芦、吊索具、铁锹等，存放在物资仓库。</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⑹灭火器材：灭火器日常按要求就位，紧急情况集中使用，项目定期检查使用性能。</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⑺其它：安全帽、安全带、分体雨衣、雨鞋、救生衣、手套等。</w:t>
      </w:r>
    </w:p>
    <w:p>
      <w:pPr>
        <w:pStyle w:val="6"/>
        <w:ind w:firstLine="480"/>
        <w:rPr>
          <w:rFonts w:cs="宋体"/>
          <w:b w:val="0"/>
          <w:bCs w:val="0"/>
          <w:szCs w:val="24"/>
        </w:rPr>
      </w:pPr>
      <w:bookmarkStart w:id="339" w:name="_Toc17985"/>
      <w:bookmarkStart w:id="340" w:name="_Toc91085200"/>
      <w:bookmarkStart w:id="341" w:name="_Toc49960694"/>
      <w:bookmarkStart w:id="342" w:name="_Toc24462670"/>
      <w:bookmarkStart w:id="343" w:name="_Toc12559"/>
      <w:bookmarkStart w:id="344" w:name="_Toc1043"/>
      <w:r>
        <w:rPr>
          <w:rFonts w:hint="eastAsia" w:cs="宋体"/>
          <w:b w:val="0"/>
          <w:bCs w:val="0"/>
          <w:szCs w:val="24"/>
        </w:rPr>
        <w:t>6.5</w:t>
      </w:r>
      <w:r>
        <w:rPr>
          <w:rFonts w:cs="宋体"/>
          <w:b w:val="0"/>
          <w:bCs w:val="0"/>
          <w:szCs w:val="24"/>
        </w:rPr>
        <w:t>.3.2</w:t>
      </w:r>
      <w:r>
        <w:rPr>
          <w:rFonts w:hint="eastAsia" w:cs="宋体"/>
          <w:b w:val="0"/>
          <w:bCs w:val="0"/>
          <w:szCs w:val="24"/>
        </w:rPr>
        <w:t xml:space="preserve"> 通信与信息保障</w:t>
      </w:r>
      <w:bookmarkEnd w:id="339"/>
      <w:bookmarkEnd w:id="340"/>
      <w:bookmarkEnd w:id="341"/>
      <w:bookmarkEnd w:id="342"/>
      <w:bookmarkEnd w:id="343"/>
      <w:bookmarkEnd w:id="344"/>
    </w:p>
    <w:p>
      <w:pPr>
        <w:spacing w:after="0" w:afterLines="0" w:line="240" w:lineRule="auto"/>
        <w:ind w:firstLine="480"/>
        <w:jc w:val="center"/>
        <w:rPr>
          <w:rFonts w:ascii="宋体" w:hAnsi="宋体" w:eastAsia="宋体" w:cs="Times New Roman"/>
          <w:highlight w:val="none"/>
        </w:rPr>
      </w:pPr>
      <w:r>
        <w:rPr>
          <w:rFonts w:hint="eastAsia" w:ascii="宋体" w:hAnsi="宋体" w:eastAsia="宋体" w:cs="Times New Roman"/>
          <w:highlight w:val="none"/>
        </w:rPr>
        <w:t>表6.5-2应急联系通讯单</w:t>
      </w:r>
    </w:p>
    <w:tbl>
      <w:tblPr>
        <w:tblStyle w:val="22"/>
        <w:tblW w:w="852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802"/>
        <w:gridCol w:w="2286"/>
        <w:gridCol w:w="2576"/>
        <w:gridCol w:w="85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单位名称</w:t>
            </w:r>
          </w:p>
        </w:tc>
        <w:tc>
          <w:tcPr>
            <w:tcW w:w="2286" w:type="dxa"/>
            <w:shd w:val="clear" w:color="auto" w:fill="2E75B5" w:themeFill="accent1" w:themeFillShade="BF"/>
            <w:vAlign w:val="center"/>
          </w:tcPr>
          <w:p>
            <w:pPr>
              <w:pStyle w:val="55"/>
              <w:rPr>
                <w:sz w:val="24"/>
                <w:szCs w:val="24"/>
                <w:highlight w:val="none"/>
              </w:rPr>
            </w:pPr>
            <w:r>
              <w:rPr>
                <w:rFonts w:hint="eastAsia"/>
                <w:sz w:val="24"/>
                <w:szCs w:val="24"/>
                <w:highlight w:val="none"/>
              </w:rPr>
              <w:t>电话</w:t>
            </w:r>
          </w:p>
        </w:tc>
        <w:tc>
          <w:tcPr>
            <w:tcW w:w="2576" w:type="dxa"/>
            <w:shd w:val="clear" w:color="auto" w:fill="2E75B5" w:themeFill="accent1" w:themeFillShade="BF"/>
            <w:vAlign w:val="center"/>
          </w:tcPr>
          <w:p>
            <w:pPr>
              <w:pStyle w:val="55"/>
              <w:rPr>
                <w:sz w:val="24"/>
                <w:szCs w:val="24"/>
                <w:highlight w:val="none"/>
              </w:rPr>
            </w:pPr>
            <w:r>
              <w:rPr>
                <w:rFonts w:hint="eastAsia"/>
                <w:sz w:val="24"/>
                <w:szCs w:val="24"/>
                <w:highlight w:val="none"/>
              </w:rPr>
              <w:t>联系人</w:t>
            </w:r>
          </w:p>
        </w:tc>
        <w:tc>
          <w:tcPr>
            <w:tcW w:w="858" w:type="dxa"/>
            <w:shd w:val="clear" w:color="auto" w:fill="2E75B5" w:themeFill="accent1" w:themeFillShade="BF"/>
            <w:vAlign w:val="center"/>
          </w:tcPr>
          <w:p>
            <w:pPr>
              <w:pStyle w:val="55"/>
              <w:rPr>
                <w:sz w:val="24"/>
                <w:szCs w:val="24"/>
                <w:highlight w:val="none"/>
              </w:rPr>
            </w:pPr>
            <w:r>
              <w:rPr>
                <w:rFonts w:hint="eastAsia"/>
                <w:sz w:val="24"/>
                <w:szCs w:val="24"/>
                <w:highlight w:val="none"/>
              </w:rPr>
              <w:t>备注</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公安局</w:t>
            </w:r>
          </w:p>
        </w:tc>
        <w:tc>
          <w:tcPr>
            <w:tcW w:w="2286" w:type="dxa"/>
            <w:shd w:val="clear" w:color="auto" w:fill="E2EFD9" w:themeFill="accent6" w:themeFillTint="33"/>
            <w:vAlign w:val="center"/>
          </w:tcPr>
          <w:p>
            <w:pPr>
              <w:pStyle w:val="55"/>
              <w:rPr>
                <w:sz w:val="24"/>
                <w:szCs w:val="24"/>
                <w:highlight w:val="none"/>
              </w:rPr>
            </w:pPr>
            <w:r>
              <w:rPr>
                <w:rFonts w:hint="eastAsia"/>
                <w:sz w:val="24"/>
                <w:szCs w:val="24"/>
                <w:highlight w:val="none"/>
              </w:rPr>
              <w:t>110</w:t>
            </w:r>
          </w:p>
        </w:tc>
        <w:tc>
          <w:tcPr>
            <w:tcW w:w="2576" w:type="dxa"/>
            <w:shd w:val="clear" w:color="auto" w:fill="E2EFD9" w:themeFill="accent6" w:themeFillTint="33"/>
            <w:vAlign w:val="center"/>
          </w:tcPr>
          <w:p>
            <w:pPr>
              <w:pStyle w:val="55"/>
              <w:rPr>
                <w:sz w:val="24"/>
                <w:szCs w:val="24"/>
                <w:highlight w:val="none"/>
              </w:rPr>
            </w:pPr>
            <w:r>
              <w:rPr>
                <w:rFonts w:hint="eastAsia"/>
                <w:sz w:val="24"/>
                <w:szCs w:val="24"/>
                <w:highlight w:val="none"/>
              </w:rPr>
              <w:t>/</w:t>
            </w:r>
          </w:p>
        </w:tc>
        <w:tc>
          <w:tcPr>
            <w:tcW w:w="858" w:type="dxa"/>
            <w:shd w:val="clear" w:color="auto" w:fill="E2EFD9" w:themeFill="accent6" w:themeFillTint="33"/>
            <w:vAlign w:val="center"/>
          </w:tcPr>
          <w:p>
            <w:pPr>
              <w:pStyle w:val="55"/>
              <w:rPr>
                <w:sz w:val="24"/>
                <w:szCs w:val="24"/>
                <w:highlight w:val="none"/>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交警队</w:t>
            </w:r>
          </w:p>
        </w:tc>
        <w:tc>
          <w:tcPr>
            <w:tcW w:w="2286" w:type="dxa"/>
            <w:shd w:val="clear" w:color="auto" w:fill="E2EFD9" w:themeFill="accent6" w:themeFillTint="33"/>
            <w:vAlign w:val="center"/>
          </w:tcPr>
          <w:p>
            <w:pPr>
              <w:pStyle w:val="55"/>
              <w:rPr>
                <w:sz w:val="24"/>
                <w:szCs w:val="24"/>
                <w:highlight w:val="none"/>
              </w:rPr>
            </w:pPr>
            <w:r>
              <w:rPr>
                <w:rFonts w:hint="eastAsia"/>
                <w:sz w:val="24"/>
                <w:szCs w:val="24"/>
                <w:highlight w:val="none"/>
              </w:rPr>
              <w:t>110</w:t>
            </w:r>
          </w:p>
        </w:tc>
        <w:tc>
          <w:tcPr>
            <w:tcW w:w="2576" w:type="dxa"/>
            <w:shd w:val="clear" w:color="auto" w:fill="E2EFD9" w:themeFill="accent6" w:themeFillTint="33"/>
            <w:vAlign w:val="center"/>
          </w:tcPr>
          <w:p>
            <w:pPr>
              <w:pStyle w:val="55"/>
              <w:rPr>
                <w:sz w:val="24"/>
                <w:szCs w:val="24"/>
                <w:highlight w:val="none"/>
              </w:rPr>
            </w:pPr>
            <w:r>
              <w:rPr>
                <w:rFonts w:hint="eastAsia"/>
                <w:sz w:val="24"/>
                <w:szCs w:val="24"/>
                <w:highlight w:val="none"/>
              </w:rPr>
              <w:t>/</w:t>
            </w:r>
          </w:p>
        </w:tc>
        <w:tc>
          <w:tcPr>
            <w:tcW w:w="858" w:type="dxa"/>
            <w:shd w:val="clear" w:color="auto" w:fill="E2EFD9" w:themeFill="accent6" w:themeFillTint="33"/>
            <w:vAlign w:val="center"/>
          </w:tcPr>
          <w:p>
            <w:pPr>
              <w:pStyle w:val="55"/>
              <w:rPr>
                <w:sz w:val="24"/>
                <w:szCs w:val="24"/>
                <w:highlight w:val="none"/>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消防大队</w:t>
            </w:r>
          </w:p>
        </w:tc>
        <w:tc>
          <w:tcPr>
            <w:tcW w:w="2286" w:type="dxa"/>
            <w:shd w:val="clear" w:color="auto" w:fill="E2EFD9" w:themeFill="accent6" w:themeFillTint="33"/>
            <w:vAlign w:val="center"/>
          </w:tcPr>
          <w:p>
            <w:pPr>
              <w:pStyle w:val="55"/>
              <w:rPr>
                <w:sz w:val="24"/>
                <w:szCs w:val="24"/>
                <w:highlight w:val="none"/>
              </w:rPr>
            </w:pPr>
            <w:r>
              <w:rPr>
                <w:rFonts w:hint="eastAsia"/>
                <w:sz w:val="24"/>
                <w:szCs w:val="24"/>
                <w:highlight w:val="none"/>
              </w:rPr>
              <w:t>119</w:t>
            </w:r>
          </w:p>
        </w:tc>
        <w:tc>
          <w:tcPr>
            <w:tcW w:w="2576" w:type="dxa"/>
            <w:shd w:val="clear" w:color="auto" w:fill="E2EFD9" w:themeFill="accent6" w:themeFillTint="33"/>
            <w:vAlign w:val="center"/>
          </w:tcPr>
          <w:p>
            <w:pPr>
              <w:pStyle w:val="55"/>
              <w:rPr>
                <w:sz w:val="24"/>
                <w:szCs w:val="24"/>
                <w:highlight w:val="none"/>
              </w:rPr>
            </w:pPr>
            <w:r>
              <w:rPr>
                <w:rFonts w:hint="eastAsia"/>
                <w:sz w:val="24"/>
                <w:szCs w:val="24"/>
                <w:highlight w:val="none"/>
              </w:rPr>
              <w:t>/</w:t>
            </w:r>
          </w:p>
        </w:tc>
        <w:tc>
          <w:tcPr>
            <w:tcW w:w="858" w:type="dxa"/>
            <w:shd w:val="clear" w:color="auto" w:fill="E2EFD9" w:themeFill="accent6" w:themeFillTint="33"/>
            <w:vAlign w:val="center"/>
          </w:tcPr>
          <w:p>
            <w:pPr>
              <w:pStyle w:val="55"/>
              <w:rPr>
                <w:sz w:val="24"/>
                <w:szCs w:val="24"/>
                <w:highlight w:val="none"/>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施工单位</w:t>
            </w:r>
          </w:p>
        </w:tc>
        <w:tc>
          <w:tcPr>
            <w:tcW w:w="2286" w:type="dxa"/>
            <w:shd w:val="clear" w:color="auto" w:fill="E2EFD9" w:themeFill="accent6" w:themeFillTint="33"/>
            <w:vAlign w:val="center"/>
          </w:tcPr>
          <w:p>
            <w:pPr>
              <w:pStyle w:val="55"/>
              <w:rPr>
                <w:sz w:val="24"/>
                <w:szCs w:val="24"/>
                <w:highlight w:val="none"/>
              </w:rPr>
            </w:pPr>
          </w:p>
        </w:tc>
        <w:tc>
          <w:tcPr>
            <w:tcW w:w="2576" w:type="dxa"/>
            <w:shd w:val="clear" w:color="auto" w:fill="E2EFD9" w:themeFill="accent6" w:themeFillTint="33"/>
            <w:vAlign w:val="center"/>
          </w:tcPr>
          <w:p>
            <w:pPr>
              <w:pStyle w:val="55"/>
              <w:rPr>
                <w:sz w:val="24"/>
                <w:szCs w:val="24"/>
                <w:highlight w:val="none"/>
              </w:rPr>
            </w:pPr>
          </w:p>
        </w:tc>
        <w:tc>
          <w:tcPr>
            <w:tcW w:w="858" w:type="dxa"/>
            <w:shd w:val="clear" w:color="auto" w:fill="E2EFD9" w:themeFill="accent6" w:themeFillTint="33"/>
            <w:vAlign w:val="center"/>
          </w:tcPr>
          <w:p>
            <w:pPr>
              <w:pStyle w:val="55"/>
              <w:rPr>
                <w:sz w:val="24"/>
                <w:szCs w:val="24"/>
                <w:highlight w:val="none"/>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业主值班电话</w:t>
            </w:r>
          </w:p>
        </w:tc>
        <w:tc>
          <w:tcPr>
            <w:tcW w:w="2286" w:type="dxa"/>
            <w:shd w:val="clear" w:color="auto" w:fill="E2EFD9" w:themeFill="accent6" w:themeFillTint="33"/>
            <w:vAlign w:val="center"/>
          </w:tcPr>
          <w:p>
            <w:pPr>
              <w:pStyle w:val="55"/>
              <w:rPr>
                <w:sz w:val="24"/>
                <w:szCs w:val="24"/>
                <w:highlight w:val="none"/>
              </w:rPr>
            </w:pPr>
          </w:p>
        </w:tc>
        <w:tc>
          <w:tcPr>
            <w:tcW w:w="2576" w:type="dxa"/>
            <w:shd w:val="clear" w:color="auto" w:fill="E2EFD9" w:themeFill="accent6" w:themeFillTint="33"/>
            <w:vAlign w:val="center"/>
          </w:tcPr>
          <w:p>
            <w:pPr>
              <w:pStyle w:val="55"/>
              <w:rPr>
                <w:sz w:val="24"/>
                <w:szCs w:val="24"/>
                <w:highlight w:val="none"/>
              </w:rPr>
            </w:pPr>
          </w:p>
        </w:tc>
        <w:tc>
          <w:tcPr>
            <w:tcW w:w="858" w:type="dxa"/>
            <w:shd w:val="clear" w:color="auto" w:fill="E2EFD9" w:themeFill="accent6" w:themeFillTint="33"/>
            <w:vAlign w:val="center"/>
          </w:tcPr>
          <w:p>
            <w:pPr>
              <w:pStyle w:val="55"/>
              <w:rPr>
                <w:sz w:val="24"/>
                <w:szCs w:val="24"/>
                <w:highlight w:val="none"/>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监理值班电话</w:t>
            </w:r>
          </w:p>
        </w:tc>
        <w:tc>
          <w:tcPr>
            <w:tcW w:w="2286" w:type="dxa"/>
            <w:shd w:val="clear" w:color="auto" w:fill="E2EFD9" w:themeFill="accent6" w:themeFillTint="33"/>
            <w:vAlign w:val="center"/>
          </w:tcPr>
          <w:p>
            <w:pPr>
              <w:pStyle w:val="55"/>
              <w:rPr>
                <w:sz w:val="24"/>
                <w:szCs w:val="24"/>
                <w:highlight w:val="none"/>
              </w:rPr>
            </w:pPr>
          </w:p>
        </w:tc>
        <w:tc>
          <w:tcPr>
            <w:tcW w:w="2576" w:type="dxa"/>
            <w:shd w:val="clear" w:color="auto" w:fill="E2EFD9" w:themeFill="accent6" w:themeFillTint="33"/>
            <w:vAlign w:val="center"/>
          </w:tcPr>
          <w:p>
            <w:pPr>
              <w:pStyle w:val="55"/>
              <w:rPr>
                <w:sz w:val="24"/>
                <w:szCs w:val="24"/>
                <w:highlight w:val="none"/>
              </w:rPr>
            </w:pPr>
          </w:p>
        </w:tc>
        <w:tc>
          <w:tcPr>
            <w:tcW w:w="858" w:type="dxa"/>
            <w:shd w:val="clear" w:color="auto" w:fill="E2EFD9" w:themeFill="accent6" w:themeFillTint="33"/>
            <w:vAlign w:val="center"/>
          </w:tcPr>
          <w:p>
            <w:pPr>
              <w:pStyle w:val="55"/>
              <w:rPr>
                <w:sz w:val="24"/>
                <w:szCs w:val="24"/>
                <w:highlight w:val="none"/>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4" w:hRule="exact"/>
          <w:jc w:val="center"/>
        </w:trPr>
        <w:tc>
          <w:tcPr>
            <w:tcW w:w="2802" w:type="dxa"/>
            <w:shd w:val="clear" w:color="auto" w:fill="2E75B5" w:themeFill="accent1" w:themeFillShade="BF"/>
            <w:vAlign w:val="center"/>
          </w:tcPr>
          <w:p>
            <w:pPr>
              <w:pStyle w:val="55"/>
              <w:rPr>
                <w:sz w:val="24"/>
                <w:szCs w:val="24"/>
                <w:highlight w:val="none"/>
              </w:rPr>
            </w:pPr>
            <w:r>
              <w:rPr>
                <w:rFonts w:hint="eastAsia"/>
                <w:sz w:val="24"/>
                <w:szCs w:val="24"/>
                <w:highlight w:val="none"/>
              </w:rPr>
              <w:t>医院救援电话</w:t>
            </w:r>
          </w:p>
        </w:tc>
        <w:tc>
          <w:tcPr>
            <w:tcW w:w="2286" w:type="dxa"/>
            <w:shd w:val="clear" w:color="auto" w:fill="E2EFD9" w:themeFill="accent6" w:themeFillTint="33"/>
            <w:vAlign w:val="center"/>
          </w:tcPr>
          <w:p>
            <w:pPr>
              <w:pStyle w:val="55"/>
              <w:rPr>
                <w:rFonts w:hint="default" w:eastAsia="宋体"/>
                <w:sz w:val="24"/>
                <w:szCs w:val="24"/>
                <w:highlight w:val="none"/>
                <w:lang w:val="en-US" w:eastAsia="zh-CN"/>
              </w:rPr>
            </w:pPr>
            <w:r>
              <w:rPr>
                <w:rFonts w:hint="eastAsia"/>
                <w:sz w:val="24"/>
                <w:szCs w:val="24"/>
                <w:highlight w:val="none"/>
                <w:lang w:val="en-US" w:eastAsia="zh-CN"/>
              </w:rPr>
              <w:t>120</w:t>
            </w:r>
          </w:p>
        </w:tc>
        <w:tc>
          <w:tcPr>
            <w:tcW w:w="2576" w:type="dxa"/>
            <w:shd w:val="clear" w:color="auto" w:fill="E2EFD9" w:themeFill="accent6" w:themeFillTint="33"/>
            <w:vAlign w:val="center"/>
          </w:tcPr>
          <w:p>
            <w:pPr>
              <w:pStyle w:val="55"/>
              <w:rPr>
                <w:sz w:val="24"/>
                <w:szCs w:val="24"/>
                <w:highlight w:val="none"/>
              </w:rPr>
            </w:pPr>
          </w:p>
        </w:tc>
        <w:tc>
          <w:tcPr>
            <w:tcW w:w="858" w:type="dxa"/>
            <w:shd w:val="clear" w:color="auto" w:fill="E2EFD9" w:themeFill="accent6" w:themeFillTint="33"/>
            <w:vAlign w:val="center"/>
          </w:tcPr>
          <w:p>
            <w:pPr>
              <w:pStyle w:val="55"/>
              <w:rPr>
                <w:sz w:val="24"/>
                <w:szCs w:val="24"/>
                <w:highlight w:val="none"/>
              </w:rPr>
            </w:pPr>
          </w:p>
        </w:tc>
      </w:tr>
    </w:tbl>
    <w:p>
      <w:pPr>
        <w:pStyle w:val="6"/>
        <w:ind w:firstLine="480"/>
        <w:rPr>
          <w:rFonts w:cs="宋体"/>
          <w:b w:val="0"/>
          <w:bCs w:val="0"/>
          <w:szCs w:val="24"/>
          <w:highlight w:val="none"/>
        </w:rPr>
      </w:pPr>
      <w:bookmarkStart w:id="345" w:name="_Toc49960695"/>
      <w:bookmarkStart w:id="346" w:name="_Toc91085201"/>
      <w:bookmarkStart w:id="347" w:name="_Toc5802"/>
      <w:bookmarkStart w:id="348" w:name="_Toc30763"/>
      <w:bookmarkStart w:id="349" w:name="_Toc3159"/>
      <w:bookmarkStart w:id="350" w:name="_Toc24462671"/>
      <w:r>
        <w:rPr>
          <w:rFonts w:hint="eastAsia" w:cs="宋体"/>
          <w:b w:val="0"/>
          <w:bCs w:val="0"/>
          <w:szCs w:val="24"/>
          <w:highlight w:val="none"/>
        </w:rPr>
        <w:t>6</w:t>
      </w:r>
      <w:r>
        <w:rPr>
          <w:rFonts w:cs="宋体"/>
          <w:b w:val="0"/>
          <w:bCs w:val="0"/>
          <w:szCs w:val="24"/>
          <w:highlight w:val="none"/>
        </w:rPr>
        <w:t>.</w:t>
      </w:r>
      <w:r>
        <w:rPr>
          <w:rFonts w:hint="eastAsia" w:cs="宋体"/>
          <w:b w:val="0"/>
          <w:bCs w:val="0"/>
          <w:szCs w:val="24"/>
          <w:highlight w:val="none"/>
        </w:rPr>
        <w:t>5.</w:t>
      </w:r>
      <w:r>
        <w:rPr>
          <w:rFonts w:cs="宋体"/>
          <w:b w:val="0"/>
          <w:bCs w:val="0"/>
          <w:szCs w:val="24"/>
          <w:highlight w:val="none"/>
        </w:rPr>
        <w:t>3.3</w:t>
      </w:r>
      <w:r>
        <w:rPr>
          <w:rFonts w:hint="eastAsia" w:cs="宋体"/>
          <w:b w:val="0"/>
          <w:bCs w:val="0"/>
          <w:szCs w:val="24"/>
          <w:highlight w:val="none"/>
        </w:rPr>
        <w:t>应急救援路线</w:t>
      </w:r>
      <w:bookmarkEnd w:id="345"/>
      <w:bookmarkEnd w:id="346"/>
      <w:bookmarkEnd w:id="347"/>
      <w:bookmarkEnd w:id="348"/>
      <w:bookmarkEnd w:id="349"/>
      <w:bookmarkEnd w:id="350"/>
    </w:p>
    <w:p>
      <w:pPr>
        <w:snapToGrid w:val="0"/>
        <w:spacing w:after="0" w:afterLines="0" w:line="360" w:lineRule="auto"/>
        <w:ind w:firstLine="120" w:firstLineChars="50"/>
        <w:jc w:val="both"/>
        <w:rPr>
          <w:rFonts w:ascii="宋体" w:hAnsi="宋体" w:eastAsia="宋体" w:cs="Times New Roman"/>
          <w:highlight w:val="none"/>
        </w:rPr>
      </w:pPr>
      <w:bookmarkStart w:id="351" w:name="_Toc14472"/>
      <w:bookmarkStart w:id="352" w:name="_Toc49960696"/>
      <w:bookmarkStart w:id="353" w:name="_Toc23723"/>
      <w:bookmarkStart w:id="354" w:name="_Toc28218"/>
      <w:bookmarkStart w:id="355" w:name="_Toc12723"/>
      <w:bookmarkStart w:id="356" w:name="_Toc24462672"/>
    </w:p>
    <w:p>
      <w:pPr>
        <w:pStyle w:val="2"/>
        <w:rPr>
          <w:rFonts w:ascii="宋体" w:hAnsi="宋体" w:eastAsia="宋体" w:cs="Times New Roman"/>
          <w:sz w:val="24"/>
          <w:highlight w:val="none"/>
        </w:rPr>
      </w:pPr>
    </w:p>
    <w:p>
      <w:pPr>
        <w:spacing w:after="120"/>
        <w:ind w:firstLine="480"/>
        <w:rPr>
          <w:rFonts w:ascii="宋体" w:hAnsi="宋体" w:eastAsia="宋体" w:cs="Times New Roman"/>
          <w:highlight w:val="none"/>
        </w:rPr>
      </w:pPr>
    </w:p>
    <w:p>
      <w:pPr>
        <w:pStyle w:val="2"/>
        <w:rPr>
          <w:rFonts w:ascii="宋体" w:hAnsi="宋体" w:eastAsia="宋体" w:cs="Times New Roman"/>
          <w:sz w:val="24"/>
          <w:highlight w:val="none"/>
        </w:rPr>
      </w:pPr>
    </w:p>
    <w:p>
      <w:pPr>
        <w:spacing w:after="120"/>
        <w:ind w:firstLine="480"/>
        <w:rPr>
          <w:highlight w:val="none"/>
        </w:rPr>
      </w:pPr>
    </w:p>
    <w:p>
      <w:pPr>
        <w:spacing w:after="0" w:afterLines="0" w:line="240" w:lineRule="auto"/>
        <w:ind w:firstLine="480"/>
        <w:jc w:val="center"/>
        <w:rPr>
          <w:rFonts w:ascii="宋体" w:hAnsi="宋体" w:eastAsia="宋体" w:cs="Times New Roman"/>
          <w:highlight w:val="none"/>
        </w:rPr>
      </w:pPr>
      <w:r>
        <w:rPr>
          <w:rFonts w:hint="eastAsia" w:ascii="宋体" w:hAnsi="宋体" w:eastAsia="宋体" w:cs="Times New Roman"/>
          <w:highlight w:val="none"/>
        </w:rPr>
        <w:t>图6.5-2 应急</w:t>
      </w:r>
      <w:r>
        <w:rPr>
          <w:rFonts w:hint="eastAsia" w:ascii="宋体" w:hAnsi="宋体" w:eastAsia="宋体" w:cs="Times New Roman"/>
          <w:highlight w:val="none"/>
          <w:lang w:val="en-US" w:eastAsia="zh-CN"/>
        </w:rPr>
        <w:t>救援路线</w:t>
      </w:r>
      <w:r>
        <w:rPr>
          <w:rFonts w:hint="eastAsia" w:ascii="宋体" w:hAnsi="宋体" w:eastAsia="宋体" w:cs="Times New Roman"/>
          <w:highlight w:val="none"/>
        </w:rPr>
        <w:t>图</w:t>
      </w:r>
    </w:p>
    <w:p>
      <w:pPr>
        <w:kinsoku w:val="0"/>
        <w:overflowPunct w:val="0"/>
        <w:autoSpaceDE w:val="0"/>
        <w:autoSpaceDN w:val="0"/>
        <w:adjustRightInd w:val="0"/>
        <w:snapToGrid w:val="0"/>
        <w:spacing w:after="120" w:line="360" w:lineRule="auto"/>
        <w:ind w:firstLine="480"/>
        <w:outlineLvl w:val="2"/>
        <w:rPr>
          <w:rFonts w:ascii="宋体" w:hAnsi="宋体" w:eastAsia="宋体" w:cs="Times New Roman"/>
          <w:kern w:val="4"/>
        </w:rPr>
      </w:pPr>
      <w:bookmarkStart w:id="357" w:name="_Toc91085202"/>
      <w:bookmarkStart w:id="358" w:name="_Toc3881"/>
      <w:r>
        <w:rPr>
          <w:rFonts w:hint="eastAsia" w:ascii="宋体" w:hAnsi="宋体" w:eastAsia="宋体" w:cs="Times New Roman"/>
          <w:kern w:val="4"/>
        </w:rPr>
        <w:t>6.5.4 应急响应程序</w:t>
      </w:r>
      <w:bookmarkEnd w:id="351"/>
      <w:bookmarkEnd w:id="352"/>
      <w:bookmarkEnd w:id="353"/>
      <w:bookmarkEnd w:id="354"/>
      <w:bookmarkEnd w:id="355"/>
      <w:bookmarkEnd w:id="356"/>
      <w:bookmarkEnd w:id="357"/>
      <w:bookmarkEnd w:id="358"/>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在施工过程中，一旦预防措施失效，发生险情。项目部应急指挥中心应立即运转，按照规定程序进行险情汇报、处理和评价工作。</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⑴一般事故的应急响应</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当事故或紧急情况发生后，现场值班人员立即向值班应急指挥中心组员汇报。值班人员应根据发生事故的程度和部位，及时向项目部经理汇报。项目经理应召集应急指挥中心成员，组织相关人员和应急材料及设备，针对发生事故或紧急情况进行处理，防止事态扩大。在事故得到控制后，由项目经理负责向公司领导和安全主管部门汇报事故发生原因和处理措施，并组织编写事故报告，在1小内向劳动行政部门、公安部门、检察机关、工会以及市建设行政管理部门报告。</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⑵ 重大事故的应急响应</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当重大事故发生或一般事故扩大形成重大事故后，项目经理接到值班人员情况汇报，立即组织应急指挥中心组员和相关人员，抢救伤员和排除险情，制止事故蔓延扩大，并应注意做好以下工作：</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①为了事故调查分析需要，现场人员在项目经理的组织下保护好事故现场。因抢救伤员和排除而必须移动现场物件时，由应急小组专员做好标记，供事后查证。</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②清理事故现场应在调查组确认无可取证，并充分记录后方可进行。不得借口恢复生产，擅自清理现场造成掩盖事故真相。</w:t>
      </w:r>
    </w:p>
    <w:p>
      <w:pPr>
        <w:snapToGrid w:val="0"/>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③项目经理应立即向公司领导和安全主管部门汇报情况，并组织人员记录情况和编写事故报告，在1小内向劳动行政部门、公安部门、检察机关、工会以及市建设行政管理部门报告。</w:t>
      </w:r>
    </w:p>
    <w:p>
      <w:pPr>
        <w:kinsoku w:val="0"/>
        <w:overflowPunct w:val="0"/>
        <w:autoSpaceDE w:val="0"/>
        <w:autoSpaceDN w:val="0"/>
        <w:adjustRightInd w:val="0"/>
        <w:snapToGrid w:val="0"/>
        <w:spacing w:after="120" w:line="360" w:lineRule="auto"/>
        <w:ind w:firstLine="480"/>
        <w:outlineLvl w:val="2"/>
        <w:rPr>
          <w:rFonts w:ascii="宋体" w:hAnsi="宋体" w:eastAsia="宋体" w:cs="Times New Roman"/>
          <w:kern w:val="4"/>
        </w:rPr>
      </w:pPr>
      <w:bookmarkStart w:id="359" w:name="_Toc24462673"/>
      <w:bookmarkStart w:id="360" w:name="_Toc49960697"/>
      <w:bookmarkStart w:id="361" w:name="_Toc25284"/>
      <w:bookmarkStart w:id="362" w:name="_Toc6713"/>
      <w:bookmarkStart w:id="363" w:name="_Toc91085203"/>
      <w:bookmarkStart w:id="364" w:name="_Toc26269"/>
      <w:bookmarkStart w:id="365" w:name="_Toc2848"/>
      <w:r>
        <w:rPr>
          <w:rFonts w:hint="eastAsia" w:ascii="宋体" w:hAnsi="宋体" w:eastAsia="宋体" w:cs="Times New Roman"/>
          <w:kern w:val="4"/>
        </w:rPr>
        <w:t>6.5.5 应急救援响应措施</w:t>
      </w:r>
      <w:bookmarkEnd w:id="359"/>
      <w:bookmarkEnd w:id="360"/>
      <w:bookmarkEnd w:id="361"/>
      <w:bookmarkEnd w:id="362"/>
      <w:bookmarkEnd w:id="363"/>
      <w:bookmarkEnd w:id="364"/>
      <w:bookmarkEnd w:id="365"/>
      <w:bookmarkStart w:id="366" w:name="_Toc259267775"/>
      <w:bookmarkStart w:id="367" w:name="_Toc174267986"/>
      <w:bookmarkStart w:id="368" w:name="_Toc174267450"/>
      <w:bookmarkStart w:id="369" w:name="_Toc178088264"/>
      <w:bookmarkStart w:id="370" w:name="_Toc178088558"/>
    </w:p>
    <w:bookmarkEnd w:id="366"/>
    <w:bookmarkEnd w:id="367"/>
    <w:bookmarkEnd w:id="368"/>
    <w:bookmarkEnd w:id="369"/>
    <w:bookmarkEnd w:id="370"/>
    <w:p>
      <w:pPr>
        <w:pStyle w:val="6"/>
        <w:ind w:firstLine="480"/>
        <w:rPr>
          <w:rFonts w:cs="宋体"/>
          <w:b w:val="0"/>
          <w:bCs w:val="0"/>
          <w:szCs w:val="24"/>
        </w:rPr>
      </w:pPr>
      <w:bookmarkStart w:id="371" w:name="_Toc91085204"/>
      <w:bookmarkStart w:id="372" w:name="_Toc31155"/>
      <w:bookmarkStart w:id="373" w:name="_Toc178088575"/>
      <w:bookmarkStart w:id="374" w:name="_Toc49960698"/>
      <w:bookmarkStart w:id="375" w:name="_Toc22644"/>
      <w:bookmarkStart w:id="376" w:name="_Toc24462674"/>
      <w:bookmarkStart w:id="377" w:name="_Toc178088281"/>
      <w:bookmarkStart w:id="378" w:name="_Toc21958"/>
      <w:bookmarkStart w:id="379" w:name="_Toc1772"/>
      <w:bookmarkStart w:id="380" w:name="_Toc3987"/>
      <w:r>
        <w:rPr>
          <w:rFonts w:hint="eastAsia" w:cs="宋体"/>
          <w:b w:val="0"/>
          <w:bCs w:val="0"/>
          <w:szCs w:val="24"/>
        </w:rPr>
        <w:t>6</w:t>
      </w:r>
      <w:r>
        <w:rPr>
          <w:rFonts w:cs="宋体"/>
          <w:b w:val="0"/>
          <w:bCs w:val="0"/>
          <w:szCs w:val="24"/>
        </w:rPr>
        <w:t>.5.</w:t>
      </w:r>
      <w:r>
        <w:rPr>
          <w:rFonts w:hint="eastAsia" w:cs="宋体"/>
          <w:b w:val="0"/>
          <w:bCs w:val="0"/>
          <w:szCs w:val="24"/>
        </w:rPr>
        <w:t>5.</w:t>
      </w:r>
      <w:r>
        <w:rPr>
          <w:rFonts w:cs="宋体"/>
          <w:b w:val="0"/>
          <w:bCs w:val="0"/>
          <w:szCs w:val="24"/>
        </w:rPr>
        <w:t>1</w:t>
      </w:r>
      <w:r>
        <w:rPr>
          <w:rFonts w:hint="eastAsia" w:cs="宋体"/>
          <w:b w:val="0"/>
          <w:bCs w:val="0"/>
          <w:szCs w:val="24"/>
        </w:rPr>
        <w:t>起重伤害事故应急救援</w:t>
      </w:r>
      <w:bookmarkEnd w:id="371"/>
      <w:bookmarkEnd w:id="372"/>
      <w:bookmarkEnd w:id="373"/>
      <w:bookmarkEnd w:id="374"/>
      <w:bookmarkEnd w:id="375"/>
      <w:bookmarkEnd w:id="376"/>
      <w:bookmarkEnd w:id="377"/>
      <w:bookmarkEnd w:id="378"/>
      <w:bookmarkEnd w:id="379"/>
      <w:bookmarkEnd w:id="380"/>
    </w:p>
    <w:p>
      <w:pPr>
        <w:spacing w:after="0" w:afterLines="0" w:line="360" w:lineRule="auto"/>
        <w:ind w:firstLine="480"/>
        <w:jc w:val="both"/>
        <w:rPr>
          <w:rFonts w:asciiTheme="minorEastAsia" w:hAnsiTheme="minorEastAsia" w:eastAsiaTheme="minorEastAsia" w:cstheme="minorEastAsia"/>
        </w:rPr>
      </w:pPr>
      <w:bookmarkStart w:id="381" w:name="_Toc178088576"/>
      <w:bookmarkStart w:id="382" w:name="_Toc178088282"/>
      <w:r>
        <w:rPr>
          <w:rFonts w:hint="eastAsia" w:asciiTheme="minorEastAsia" w:hAnsiTheme="minorEastAsia" w:eastAsiaTheme="minorEastAsia" w:cstheme="minorEastAsia"/>
        </w:rPr>
        <w:t>⑴事故发生主要环节</w:t>
      </w:r>
      <w:bookmarkEnd w:id="381"/>
      <w:bookmarkEnd w:id="382"/>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本部分起重伤害事故主要指各种起重吊装设备等。在施工过程中，大型机械制动、吊索、吊具、液压系统等易损环节的安全缺陷以及驾驶人员精神状态不良都容易造成事故的发生。</w:t>
      </w:r>
    </w:p>
    <w:p>
      <w:pPr>
        <w:spacing w:after="0" w:afterLines="0" w:line="360" w:lineRule="auto"/>
        <w:ind w:firstLine="480"/>
        <w:jc w:val="both"/>
        <w:rPr>
          <w:rFonts w:asciiTheme="minorEastAsia" w:hAnsiTheme="minorEastAsia" w:eastAsiaTheme="minorEastAsia" w:cstheme="minorEastAsia"/>
        </w:rPr>
      </w:pPr>
      <w:bookmarkStart w:id="383" w:name="_Toc178088283"/>
      <w:bookmarkStart w:id="384" w:name="_Toc178088577"/>
      <w:r>
        <w:rPr>
          <w:rFonts w:hint="eastAsia" w:asciiTheme="minorEastAsia" w:hAnsiTheme="minorEastAsia" w:eastAsiaTheme="minorEastAsia" w:cstheme="minorEastAsia"/>
        </w:rPr>
        <w:t>⑵预防措施</w:t>
      </w:r>
      <w:bookmarkEnd w:id="383"/>
      <w:bookmarkEnd w:id="384"/>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①由物装部、安全环保部组织人员对机械进行检查验收，确保进场机械的安全性能符合国家相关规定，特种机械驾驶人员持证上岗。</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②由物装部负责对施工场所内使用的机械进行机械性能安全性检查，建立机械台帐、检查记录、维护保养记录，安全环保部负责对场内机械的安全性能进行抽查。</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③安全环保部负责做好进场机械操作人员的安全教育、安全交底、安全操作规程的学习和急救知识技能的培训工作。</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④建立日常检查和专项检查相结合的安全管理控制措施，确保机械安全性能处于可控状态。</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⑤按照国家相关规定对大型机械进行定期检验、维修、保养。</w:t>
      </w:r>
    </w:p>
    <w:p>
      <w:pPr>
        <w:spacing w:after="0" w:afterLines="0" w:line="360" w:lineRule="auto"/>
        <w:ind w:firstLine="480"/>
        <w:jc w:val="both"/>
        <w:rPr>
          <w:rFonts w:asciiTheme="minorEastAsia" w:hAnsiTheme="minorEastAsia" w:eastAsiaTheme="minorEastAsia" w:cstheme="minorEastAsia"/>
        </w:rPr>
      </w:pPr>
      <w:bookmarkStart w:id="385" w:name="_Toc178088578"/>
      <w:bookmarkStart w:id="386" w:name="_Toc178088284"/>
      <w:r>
        <w:rPr>
          <w:rFonts w:hint="eastAsia" w:asciiTheme="minorEastAsia" w:hAnsiTheme="minorEastAsia" w:eastAsiaTheme="minorEastAsia" w:cstheme="minorEastAsia"/>
        </w:rPr>
        <w:t>⑶应急救援程序</w:t>
      </w:r>
      <w:bookmarkEnd w:id="385"/>
      <w:bookmarkEnd w:id="386"/>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①在事故应急救援过程中，坚持“以人为本”的企业理念，以保护遇险职工的生命安全为第一原则，情况危急时，应先组织进行人员疏散工作，之后进行危险处理。</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②大型机械事故未造成人员伤亡时，按照事故报告程序上报项目部安全主管，由安全主管带队对事故进行调查，技术部和物装部负责组织人员对事故现场进行恢复，尽可能不要影响施工进度、质量。</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③有人员伤亡时，应在第一时间拨打119等急救电话请求外部支援，同时通知安全主管，安全主管接到事故报告后，立即报告项目经理并通知应急救援小组按照预案内容根据自己的职责组织抢险救援。</w:t>
      </w:r>
    </w:p>
    <w:p>
      <w:pPr>
        <w:pStyle w:val="6"/>
        <w:ind w:firstLine="480"/>
        <w:rPr>
          <w:rFonts w:cs="宋体"/>
          <w:b w:val="0"/>
          <w:bCs w:val="0"/>
          <w:szCs w:val="24"/>
        </w:rPr>
      </w:pPr>
      <w:bookmarkStart w:id="387" w:name="_Toc91085205"/>
      <w:bookmarkStart w:id="388" w:name="_Toc25599"/>
      <w:bookmarkStart w:id="389" w:name="_Toc49960699"/>
      <w:bookmarkStart w:id="390" w:name="_Toc10168"/>
      <w:bookmarkStart w:id="391" w:name="_Toc11359"/>
      <w:bookmarkStart w:id="392" w:name="_Toc24462675"/>
      <w:bookmarkStart w:id="393" w:name="_Toc2128"/>
      <w:bookmarkStart w:id="394" w:name="_Toc178088579"/>
      <w:bookmarkStart w:id="395" w:name="_Toc178088285"/>
      <w:bookmarkStart w:id="396" w:name="_Toc4209"/>
      <w:r>
        <w:rPr>
          <w:rFonts w:hint="eastAsia" w:cs="宋体"/>
          <w:b w:val="0"/>
          <w:bCs w:val="0"/>
          <w:szCs w:val="24"/>
        </w:rPr>
        <w:t>6.5</w:t>
      </w:r>
      <w:r>
        <w:rPr>
          <w:rFonts w:cs="宋体"/>
          <w:b w:val="0"/>
          <w:bCs w:val="0"/>
          <w:szCs w:val="24"/>
        </w:rPr>
        <w:t>.5.2</w:t>
      </w:r>
      <w:r>
        <w:rPr>
          <w:rFonts w:hint="eastAsia" w:cs="宋体"/>
          <w:b w:val="0"/>
          <w:bCs w:val="0"/>
          <w:szCs w:val="24"/>
        </w:rPr>
        <w:t>触电事故应急救援</w:t>
      </w:r>
      <w:bookmarkEnd w:id="387"/>
      <w:bookmarkEnd w:id="388"/>
      <w:bookmarkEnd w:id="389"/>
      <w:bookmarkEnd w:id="390"/>
      <w:bookmarkEnd w:id="391"/>
      <w:bookmarkEnd w:id="392"/>
      <w:bookmarkEnd w:id="393"/>
      <w:bookmarkEnd w:id="394"/>
      <w:bookmarkEnd w:id="395"/>
      <w:bookmarkEnd w:id="396"/>
    </w:p>
    <w:p>
      <w:pPr>
        <w:spacing w:after="0" w:afterLines="0" w:line="360" w:lineRule="auto"/>
        <w:ind w:firstLine="480"/>
        <w:jc w:val="both"/>
        <w:rPr>
          <w:rFonts w:asciiTheme="minorEastAsia" w:hAnsiTheme="minorEastAsia" w:eastAsiaTheme="minorEastAsia" w:cstheme="minorEastAsia"/>
        </w:rPr>
      </w:pPr>
      <w:bookmarkStart w:id="397" w:name="_Toc178088286"/>
      <w:bookmarkStart w:id="398" w:name="_Toc178088580"/>
      <w:r>
        <w:rPr>
          <w:rFonts w:hint="eastAsia" w:asciiTheme="minorEastAsia" w:hAnsiTheme="minorEastAsia" w:eastAsiaTheme="minorEastAsia" w:cstheme="minorEastAsia"/>
        </w:rPr>
        <w:t>⑴ 事故发生主要环节</w:t>
      </w:r>
      <w:bookmarkEnd w:id="397"/>
      <w:bookmarkEnd w:id="398"/>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在建工程与外电高压线之间未达到安全操作距离或防护不符合安全要求；临时用电架设未采用TN-S系统及“三级配电两级保护”要求；雨天露天电焊作业；不遵守手持电动工具安全操作规程；照明灯具金属外壳未作接零保护；潮湿作业未采用安全电压；高大机械设备未设防雷接地；非专职电工操作临时用电等。</w:t>
      </w:r>
    </w:p>
    <w:p>
      <w:pPr>
        <w:spacing w:after="0" w:afterLines="0" w:line="360" w:lineRule="auto"/>
        <w:ind w:firstLine="480"/>
        <w:jc w:val="both"/>
        <w:rPr>
          <w:rFonts w:asciiTheme="minorEastAsia" w:hAnsiTheme="minorEastAsia" w:eastAsiaTheme="minorEastAsia" w:cstheme="minorEastAsia"/>
        </w:rPr>
      </w:pPr>
      <w:bookmarkStart w:id="399" w:name="_Toc178088287"/>
      <w:bookmarkStart w:id="400" w:name="_Toc178088581"/>
      <w:r>
        <w:rPr>
          <w:rFonts w:hint="eastAsia" w:asciiTheme="minorEastAsia" w:hAnsiTheme="minorEastAsia" w:eastAsiaTheme="minorEastAsia" w:cstheme="minorEastAsia"/>
        </w:rPr>
        <w:t>⑵ 预防措施</w:t>
      </w:r>
      <w:bookmarkEnd w:id="399"/>
      <w:bookmarkEnd w:id="400"/>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施工现场做到临时用电的架设、维护、拆除等由专职电工完成。</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在建工程的外侧防护与外电高压线之间必须保持安全操作距离。达不到要求的，要增设屏障、遮栏或保护网，避免施工机械设备或钢架触高压电线。无安全防护措施时，禁止强行施工。</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采用TN-S系统和漏电保护系统，组成防触电保护系统，形成防触电二道防线。</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在建工程不得在高、低压线下方施工、搭设工棚、建造生活设施或堆放构件、架具、材料及其他杂物。</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坚持“一机、一闸、一漏、一箱”。配电箱、开关箱要合理设置，避免不良环境因素损害和引发电气火灾，其装设位置应避开污染物质、外来固体撞击、强烈振动、高温、潮湿、水溅，以及易燃易爆物等。</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⑥ 雨天禁止露天电焊作业。</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⑦ 按照《建筑施工临时用电安全技术规范》的要求，做好各类电动机械和手持电动工具的接地或接零保护，保证其安全使用。凡移动式照明，必须采用安全电压。</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⑧ 坚持临时用电定期检查制度。</w:t>
      </w:r>
    </w:p>
    <w:p>
      <w:pPr>
        <w:spacing w:after="0" w:afterLines="0" w:line="360" w:lineRule="auto"/>
        <w:ind w:firstLine="480"/>
        <w:jc w:val="both"/>
        <w:rPr>
          <w:rFonts w:asciiTheme="minorEastAsia" w:hAnsiTheme="minorEastAsia" w:eastAsiaTheme="minorEastAsia" w:cstheme="minorEastAsia"/>
        </w:rPr>
      </w:pPr>
      <w:bookmarkStart w:id="401" w:name="_Toc178088582"/>
      <w:bookmarkStart w:id="402" w:name="_Toc178088288"/>
      <w:r>
        <w:rPr>
          <w:rFonts w:hint="eastAsia" w:asciiTheme="minorEastAsia" w:hAnsiTheme="minorEastAsia" w:eastAsiaTheme="minorEastAsia" w:cstheme="minorEastAsia"/>
        </w:rPr>
        <w:t>⑶ 应急救援程序</w:t>
      </w:r>
      <w:bookmarkEnd w:id="401"/>
      <w:bookmarkEnd w:id="402"/>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迅速关闭开关，切断电源，使触电者尽快脱离电源。确认自己无触电危险再进行救护。用绝缘物品挑开或切断触电者身上的电线、灯、插座等带电物品。</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绝缘物品：干燥的竹竿、木棍、扁担、塑料棒等，带木柄的铲子、电工用绝缘钳子。抢救者可站在绝缘物体上，如胶垫、木板；穿着绝缘的鞋、塑料鞋、胶底鞋等。</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触电者脱离电源后，立即将其抬至通风较好的地方，解开病人衣扣、裤带。轻型触电者在脱离电源后，应就地休息1～2小时后再活动。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如果呼吸、心跳停止，必须争分夺秒进行口对口人工呼吸和胸外心脏按压。触电者必须坚持长时间的人工呼吸和心脏按压。</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立即拨打120，急救医生到现场救护。并在不间断抢救的情况下护送到医院进一步急救。</w:t>
      </w:r>
    </w:p>
    <w:p>
      <w:pPr>
        <w:pStyle w:val="6"/>
        <w:ind w:firstLine="480"/>
        <w:rPr>
          <w:rFonts w:cs="宋体"/>
          <w:b w:val="0"/>
          <w:bCs w:val="0"/>
          <w:szCs w:val="24"/>
        </w:rPr>
      </w:pPr>
      <w:bookmarkStart w:id="403" w:name="_Toc91085206"/>
      <w:bookmarkStart w:id="404" w:name="_Toc15572"/>
      <w:bookmarkStart w:id="405" w:name="_Toc24462677"/>
      <w:bookmarkStart w:id="406" w:name="_Toc178088587"/>
      <w:bookmarkStart w:id="407" w:name="_Toc178088293"/>
      <w:bookmarkStart w:id="408" w:name="_Toc17327"/>
      <w:bookmarkStart w:id="409" w:name="_Toc12286"/>
      <w:bookmarkStart w:id="410" w:name="_Toc49960700"/>
      <w:bookmarkStart w:id="411" w:name="_Toc836"/>
      <w:bookmarkStart w:id="412" w:name="_Toc28288"/>
      <w:r>
        <w:rPr>
          <w:rFonts w:hint="eastAsia" w:cs="宋体"/>
          <w:b w:val="0"/>
          <w:bCs w:val="0"/>
          <w:szCs w:val="24"/>
        </w:rPr>
        <w:t>6</w:t>
      </w:r>
      <w:r>
        <w:rPr>
          <w:rFonts w:cs="宋体"/>
          <w:b w:val="0"/>
          <w:bCs w:val="0"/>
          <w:szCs w:val="24"/>
        </w:rPr>
        <w:t>.</w:t>
      </w:r>
      <w:r>
        <w:rPr>
          <w:rFonts w:hint="eastAsia" w:cs="宋体"/>
          <w:b w:val="0"/>
          <w:bCs w:val="0"/>
          <w:szCs w:val="24"/>
        </w:rPr>
        <w:t>5.</w:t>
      </w:r>
      <w:r>
        <w:rPr>
          <w:rFonts w:cs="宋体"/>
          <w:b w:val="0"/>
          <w:bCs w:val="0"/>
          <w:szCs w:val="24"/>
        </w:rPr>
        <w:t>5.3</w:t>
      </w:r>
      <w:r>
        <w:rPr>
          <w:rFonts w:hint="eastAsia" w:cs="宋体"/>
          <w:b w:val="0"/>
          <w:bCs w:val="0"/>
          <w:szCs w:val="24"/>
        </w:rPr>
        <w:t>场内交通事故应急救援</w:t>
      </w:r>
      <w:bookmarkEnd w:id="403"/>
      <w:bookmarkEnd w:id="404"/>
      <w:bookmarkEnd w:id="405"/>
      <w:bookmarkEnd w:id="406"/>
      <w:bookmarkEnd w:id="407"/>
      <w:bookmarkEnd w:id="408"/>
      <w:bookmarkEnd w:id="409"/>
      <w:bookmarkEnd w:id="410"/>
      <w:bookmarkEnd w:id="411"/>
      <w:bookmarkEnd w:id="412"/>
    </w:p>
    <w:p>
      <w:pPr>
        <w:spacing w:after="0" w:afterLines="0" w:line="360" w:lineRule="auto"/>
        <w:ind w:firstLine="480"/>
        <w:jc w:val="both"/>
        <w:rPr>
          <w:rFonts w:asciiTheme="minorEastAsia" w:hAnsiTheme="minorEastAsia" w:eastAsiaTheme="minorEastAsia" w:cstheme="minorEastAsia"/>
        </w:rPr>
      </w:pPr>
      <w:bookmarkStart w:id="413" w:name="_Toc178088294"/>
      <w:bookmarkStart w:id="414" w:name="_Toc178088588"/>
      <w:r>
        <w:rPr>
          <w:rFonts w:hint="eastAsia" w:asciiTheme="minorEastAsia" w:hAnsiTheme="minorEastAsia" w:eastAsiaTheme="minorEastAsia" w:cstheme="minorEastAsia"/>
        </w:rPr>
        <w:t>⑴ 事故发生主要环节</w:t>
      </w:r>
      <w:bookmarkEnd w:id="413"/>
      <w:bookmarkEnd w:id="414"/>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本项目施工现场内交叉作业较多，特别是钢筋运输、钢板桩运输、施工便道上、拌合站内机械车辆较多，作业人员较多，极易发生交通事故。</w:t>
      </w:r>
    </w:p>
    <w:p>
      <w:pPr>
        <w:spacing w:after="0" w:afterLines="0" w:line="360" w:lineRule="auto"/>
        <w:ind w:firstLine="480"/>
        <w:jc w:val="both"/>
        <w:rPr>
          <w:rFonts w:asciiTheme="minorEastAsia" w:hAnsiTheme="minorEastAsia" w:eastAsiaTheme="minorEastAsia" w:cstheme="minorEastAsia"/>
        </w:rPr>
      </w:pPr>
      <w:bookmarkStart w:id="415" w:name="_Toc178088589"/>
      <w:bookmarkStart w:id="416" w:name="_Toc178088295"/>
      <w:r>
        <w:rPr>
          <w:rFonts w:hint="eastAsia" w:asciiTheme="minorEastAsia" w:hAnsiTheme="minorEastAsia" w:eastAsiaTheme="minorEastAsia" w:cstheme="minorEastAsia"/>
        </w:rPr>
        <w:t>⑵ 预防措施</w:t>
      </w:r>
      <w:bookmarkEnd w:id="415"/>
      <w:bookmarkEnd w:id="416"/>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场内机械车辆行驶速度严禁超过5km/h。</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在施工便道设置明显警戒区域，无关人员不准进入。</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加强场内机械、车辆驾驶人员的安全意识，吊车在行使时应先观察周围是否有人，再进行移动。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做好施工机械、车辆的维修保养工作，每台机械由专人负责，避免因为车况不良造成交通事故。</w:t>
      </w:r>
    </w:p>
    <w:p>
      <w:pPr>
        <w:spacing w:after="0" w:afterLines="0" w:line="360" w:lineRule="auto"/>
        <w:ind w:firstLine="480"/>
        <w:jc w:val="both"/>
        <w:rPr>
          <w:rFonts w:asciiTheme="minorEastAsia" w:hAnsiTheme="minorEastAsia" w:eastAsiaTheme="minorEastAsia" w:cstheme="minorEastAsia"/>
        </w:rPr>
      </w:pPr>
      <w:bookmarkStart w:id="417" w:name="_Toc178088590"/>
      <w:bookmarkStart w:id="418" w:name="_Toc178088296"/>
      <w:r>
        <w:rPr>
          <w:rFonts w:hint="eastAsia" w:asciiTheme="minorEastAsia" w:hAnsiTheme="minorEastAsia" w:eastAsiaTheme="minorEastAsia" w:cstheme="minorEastAsia"/>
        </w:rPr>
        <w:t>⑶ 应急救援程序</w:t>
      </w:r>
      <w:bookmarkEnd w:id="417"/>
      <w:bookmarkEnd w:id="418"/>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交通事故发生之后，若无人员伤亡情况，则通知项目部安全主管，由安全主管组织人员进行事故急救。</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若有人员伤亡情况，应该在第一时间拨打112、119等社会急救援助部门的电话求助，之后按照事故报告程序进行事故报告。</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事故影响较大时，应该在第一时间通知应急救援领导小组，组织人员展开救援活动，尽量保护参建员工的生命安全和项目部财产安全，并按照《企业职工伤亡事故报告处理程序》上报上级领导部门及相关政府机构。</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事故调查小组应该对事故现场情况进行拍照留底，留做事故定性及责任划分以及上级领导部门事故调查的依据。</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组织有关部门和人员妥善做好伤亡人员的处置和身份确认，对伤亡人员家属做好相应的接待和安抚解释工作。</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⑥ 按照实事求是、尊重科学的原则，在交管部门、指挥部、政府安全管理部门查明事故原因和责任、对事故进行处理的基础上，项目部编写事故报告，总结事故教训，制定防范措施，并上报总公司安全环保管理部。</w:t>
      </w:r>
    </w:p>
    <w:p>
      <w:pPr>
        <w:pStyle w:val="6"/>
        <w:ind w:firstLine="480"/>
        <w:rPr>
          <w:rFonts w:cs="宋体"/>
          <w:b w:val="0"/>
          <w:bCs w:val="0"/>
          <w:szCs w:val="24"/>
        </w:rPr>
      </w:pPr>
      <w:bookmarkStart w:id="419" w:name="_Toc21563"/>
      <w:bookmarkStart w:id="420" w:name="_Toc178088591"/>
      <w:bookmarkStart w:id="421" w:name="_Toc8573"/>
      <w:bookmarkStart w:id="422" w:name="_Toc24462678"/>
      <w:bookmarkStart w:id="423" w:name="_Toc178088297"/>
      <w:bookmarkStart w:id="424" w:name="_Toc91085207"/>
      <w:bookmarkStart w:id="425" w:name="_Toc15387"/>
      <w:bookmarkStart w:id="426" w:name="_Toc49960702"/>
      <w:bookmarkStart w:id="427" w:name="_Toc30902"/>
      <w:r>
        <w:rPr>
          <w:rFonts w:hint="eastAsia" w:cs="宋体"/>
          <w:b w:val="0"/>
          <w:bCs w:val="0"/>
          <w:szCs w:val="24"/>
        </w:rPr>
        <w:t>6.5</w:t>
      </w:r>
      <w:r>
        <w:rPr>
          <w:rFonts w:cs="宋体"/>
          <w:b w:val="0"/>
          <w:bCs w:val="0"/>
          <w:szCs w:val="24"/>
        </w:rPr>
        <w:t>.5.4</w:t>
      </w:r>
      <w:r>
        <w:rPr>
          <w:rFonts w:hint="eastAsia" w:cs="宋体"/>
          <w:b w:val="0"/>
          <w:bCs w:val="0"/>
          <w:szCs w:val="24"/>
        </w:rPr>
        <w:t>火灾事故应急救援</w:t>
      </w:r>
      <w:bookmarkEnd w:id="419"/>
      <w:bookmarkEnd w:id="420"/>
      <w:bookmarkEnd w:id="421"/>
      <w:bookmarkEnd w:id="422"/>
      <w:bookmarkEnd w:id="423"/>
      <w:bookmarkEnd w:id="424"/>
      <w:bookmarkEnd w:id="425"/>
      <w:bookmarkEnd w:id="426"/>
      <w:bookmarkEnd w:id="427"/>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火灾事故的危害及社会影响较大，极易造成人员伤亡和财产、原始资料损失事故，一旦发生，将会给项目施工带来极大的不良影响。</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生产生活中，项目部应该将预防火灾事故作为安全管理的重点环节进行管理，尽可能早的进行安全应急救援知识、技能的培训，争取在事故发生的第一时间消除险情，确保员工生命安全和财产不受到伤害。</w:t>
      </w:r>
    </w:p>
    <w:p>
      <w:pPr>
        <w:spacing w:after="0" w:afterLines="0" w:line="360" w:lineRule="auto"/>
        <w:ind w:firstLine="480"/>
        <w:jc w:val="both"/>
        <w:rPr>
          <w:rFonts w:asciiTheme="minorEastAsia" w:hAnsiTheme="minorEastAsia" w:eastAsiaTheme="minorEastAsia" w:cstheme="minorEastAsia"/>
        </w:rPr>
      </w:pPr>
      <w:bookmarkStart w:id="428" w:name="_Toc178088298"/>
      <w:bookmarkStart w:id="429" w:name="_Toc178088592"/>
      <w:r>
        <w:rPr>
          <w:rFonts w:hint="eastAsia" w:asciiTheme="minorEastAsia" w:hAnsiTheme="minorEastAsia" w:eastAsiaTheme="minorEastAsia" w:cstheme="minorEastAsia"/>
        </w:rPr>
        <w:t>⑴ 事故发生主要环节</w:t>
      </w:r>
      <w:bookmarkEnd w:id="428"/>
      <w:bookmarkEnd w:id="429"/>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办公区纸质资料、电脑用电插板、氧气/乙炔存放区、配电室、员工生活区。</w:t>
      </w:r>
    </w:p>
    <w:p>
      <w:pPr>
        <w:spacing w:after="0" w:afterLines="0" w:line="360" w:lineRule="auto"/>
        <w:ind w:firstLine="480"/>
        <w:jc w:val="both"/>
        <w:rPr>
          <w:rFonts w:asciiTheme="minorEastAsia" w:hAnsiTheme="minorEastAsia" w:eastAsiaTheme="minorEastAsia" w:cstheme="minorEastAsia"/>
        </w:rPr>
      </w:pPr>
      <w:bookmarkStart w:id="430" w:name="_Toc178088593"/>
      <w:bookmarkStart w:id="431" w:name="_Toc178088299"/>
      <w:r>
        <w:rPr>
          <w:rFonts w:hint="eastAsia" w:asciiTheme="minorEastAsia" w:hAnsiTheme="minorEastAsia" w:eastAsiaTheme="minorEastAsia" w:cstheme="minorEastAsia"/>
        </w:rPr>
        <w:t>⑵ 预防措施</w:t>
      </w:r>
      <w:bookmarkEnd w:id="430"/>
      <w:bookmarkEnd w:id="431"/>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加强生活区及办公区的用电防火安全工作，提高职工防火意识及急救技能。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严格按照《消防法》、《建筑设计防火规范》的相关条款配置足够的灭火器，并分区段由专人负责检查。</w:t>
      </w:r>
      <w:bookmarkStart w:id="432" w:name="_Toc178088300"/>
      <w:bookmarkStart w:id="433" w:name="_Toc178088594"/>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⑶ 应急救援程序</w:t>
      </w:r>
      <w:bookmarkEnd w:id="432"/>
      <w:bookmarkEnd w:id="433"/>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火灾发生之后，应该立即进行上报，并拨打“112，119”等急救电话请求支援。</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火灾较小时，现场人员应该就近取灭火器进行救援。火灾较大时，现场管理人员应该组织人员有序的进行撤离。</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项目部接到事故报告后，应该立即组织人员抢救，首先保证参建员工的生命财产安全和施工原始资料的保存，并请求社会急救单位的支援。</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事故发生后，应该按照《企业职工伤亡事故报告和处理规定》及企业相关要求进行上指挥部和安全生产管理相关机构。</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事故急救处理完毕后，由项目经理带队，项目安全主管负责对事故的起因、过程、责任人进行确定，细化完善安全防护措施和管理制度，并对应急救援预案进行进一步改进。</w:t>
      </w:r>
    </w:p>
    <w:p>
      <w:pPr>
        <w:pStyle w:val="6"/>
        <w:ind w:firstLine="480"/>
        <w:rPr>
          <w:rFonts w:cs="宋体"/>
          <w:b w:val="0"/>
          <w:bCs w:val="0"/>
          <w:szCs w:val="24"/>
        </w:rPr>
      </w:pPr>
      <w:bookmarkStart w:id="434" w:name="_Toc437369495"/>
      <w:bookmarkStart w:id="435" w:name="_Toc436750053"/>
      <w:bookmarkStart w:id="436" w:name="_Toc21282"/>
      <w:bookmarkStart w:id="437" w:name="_Toc91085208"/>
      <w:bookmarkStart w:id="438" w:name="_Toc24462681"/>
      <w:bookmarkStart w:id="439" w:name="_Toc49960704"/>
      <w:bookmarkStart w:id="440" w:name="_Toc30691"/>
      <w:bookmarkStart w:id="441" w:name="_Toc7221"/>
      <w:bookmarkStart w:id="442" w:name="_Toc20433"/>
      <w:r>
        <w:rPr>
          <w:rFonts w:hint="eastAsia" w:cs="宋体"/>
          <w:b w:val="0"/>
          <w:bCs w:val="0"/>
          <w:szCs w:val="24"/>
        </w:rPr>
        <w:t>6.5</w:t>
      </w:r>
      <w:r>
        <w:rPr>
          <w:rFonts w:cs="宋体"/>
          <w:b w:val="0"/>
          <w:bCs w:val="0"/>
          <w:szCs w:val="24"/>
        </w:rPr>
        <w:t>.5.5</w:t>
      </w:r>
      <w:r>
        <w:rPr>
          <w:rFonts w:hint="eastAsia" w:cs="宋体"/>
          <w:b w:val="0"/>
          <w:bCs w:val="0"/>
          <w:szCs w:val="24"/>
        </w:rPr>
        <w:t>机械伤害应急</w:t>
      </w:r>
      <w:bookmarkEnd w:id="434"/>
      <w:bookmarkEnd w:id="435"/>
      <w:r>
        <w:rPr>
          <w:rFonts w:hint="eastAsia" w:cs="宋体"/>
          <w:b w:val="0"/>
          <w:bCs w:val="0"/>
          <w:szCs w:val="24"/>
        </w:rPr>
        <w:t>救援</w:t>
      </w:r>
      <w:bookmarkEnd w:id="436"/>
      <w:bookmarkEnd w:id="437"/>
      <w:bookmarkEnd w:id="438"/>
      <w:bookmarkEnd w:id="439"/>
      <w:bookmarkEnd w:id="440"/>
      <w:bookmarkEnd w:id="441"/>
      <w:bookmarkEnd w:id="442"/>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⑴ 事故发生主要环节</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机械伤害事故是人们在操作或使用机械过程中，因机械故障或操作人员的不安全行为等原因造成的伤害事故。机械伤害事故在地表建筑施工中较为普遍，主要对人体引起挤压、碰撞、冲击、剪切、卷入、绞绕、甩出、切割、切断、刺扎等伤害。发生事故以后，受伤者轻则皮肉受伤，重则伤筋动骨、断肢致残，甚至危及生命。主要涉及的工种有木工、安装工、机械工、电焊工、实习生及其它工种。</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⑵ 预防措施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各种加工机械附近要设有明确的操作注意事项。</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认真做好三级教育，提高全员的安全意识和防护技能，机械操作人员必须熟悉机械设备的性能和正确的操作方法，严格执行安全操作规程。</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砂轮必须进行定期检查，砂轮应无裂纹及其它不良情况，砂轮机必须装有钢板制成的防护罩，禁止使用无防护罩的砂轮机。</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使用时操作人员应站在锯片的侧面，锯片应缓慢靠近被加工物体不准用力过猛。</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对机械的运动部件如旋转件等必须设置防护网，无法用罩网防护的部位应设置警示标志，防止人体触及。</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⑥ 进入施工现场人员必须按规定佩戴好安全帽。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⑦ 对手提式电动工具、安全带等应进行测试，符合质量标准方可使用，不符合标准的一律作废。</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⑧ 机械在使用过程中定期检查、按需修理，做好维护保养，及时修复存在隐患的部位，杜绝机械带病作业。</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⑨ 机械用电线路一律由电工按照规定要求进行安装，禁止一闸多用。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⑩机械维修期间要切断电源，悬挂不准合闸警示牌，必要时要设专人监护。</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⑶ 应急处置措施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当施工人员发生机械伤害事故时，迅速确定事故发生的准确位置、可能波及的范围、设备损坏的程度、人员伤亡等情况，观察伤者的受伤情况、部位、伤害性质，急救人员应尽快赶往出事地点。</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休克、昏迷急救</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让休克者平卧、不用枕头，腿部抬高30度。若属于心原性休克同时伴有心力衰竭、气急，不能平卧时，可采用半卧，注意保暖和安静，尽量不要搬动，如必须搬动时，动作要轻。</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骨折急救</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a.固定断骨的材料可就地取材，如棍、树枝、木板、拐杖、硬纸板等都可作为固定材料，长短要以能固定住骨折处上下两个关节或不使断骨错动为准。</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b.脊柱骨折或颈部骨折时，除非是特殊情况如室内失火，否则应让伤者留在原地，等待携有医疗器材的医护人员来搬动。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c.抬运伤者，从地上抬起时，要多人同时缓缓用力平托；运送时，必须用木板或硬材料，不能用布担架或绳床。木板上可垫棉被，但不能用枕头，颈椎骨折伤者的头须放正，两旁用沙袋将头夹住，不能让头随便晃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严重出血的急救</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止血的方法：</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a.一般止血法：一般伤口小的出血，先用生理盐水涂上红汞药水，然后盖上消毒纱布，用绷带较紧地包扎。</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b.严重出血时，应使用压迫带止血法。这是一种最基本、最常用，也是最有效的止血方法。适用于头、颈、四肢动脉大血管出血的临时止血。即用手指或手掌用力压住比伤口靠近心脏更近部位的动脉跳动处。只要位置找的准，这种方法能马上起到止血作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⑷ 肢体切断。断肢(指)后，有时即刻造成伤者因流血或疼痛而发生休克，所以应设法首先止血，防止伤员休克。其急救要点为：</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a.让伤者躺下，用一块纱布或清洁布块，放在断肢伤口上，再用绷带固定位置。如果找不到绷带，也可用围巾包扎。</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b.如是手臂切断，用绷带把断臂挂在胸前，固定位置；若是一条腿断了，则与另一条腿扎在一起。</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c.料理好伤者后，设法找回断肢。倘若离断的伤肢(指)仍在机器中，千万不能将肢体强行拉出，或将机器倒开(转)，以免增加损伤的机会。</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d.取下断落的肢(指)体后，立即用无菌纱布或干净布片包扎，然后放入塑料袋或橡皮袋中，结扎袋口。运送时应将装有断伤肢体的袋子放入合适的容器中，如广口保温桶等，周围用冰块或冰棍冷冻，迅速同伤员一起送医院以备断肢(指)再植。</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e.离断后的伤肢，如有少许皮肤或其他肌腱相连，不能将其离断，应放在夹板或阔竹片上，然后包扎，立即送到医院作紧急处理。</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f.严禁在离断伤肢(指)的断端涂抹各种药物及药水(包括消毒剂)，更不能涂抹牙膏、灶灰之类试图止血。</w:t>
      </w:r>
    </w:p>
    <w:p>
      <w:pPr>
        <w:pStyle w:val="6"/>
        <w:ind w:firstLine="480"/>
        <w:rPr>
          <w:rFonts w:cs="宋体"/>
          <w:b w:val="0"/>
          <w:bCs w:val="0"/>
          <w:szCs w:val="24"/>
        </w:rPr>
      </w:pPr>
      <w:bookmarkStart w:id="443" w:name="_Toc437369496"/>
      <w:bookmarkStart w:id="444" w:name="_Toc436750054"/>
      <w:bookmarkStart w:id="445" w:name="_Toc1335"/>
      <w:bookmarkStart w:id="446" w:name="_Toc91085209"/>
      <w:bookmarkStart w:id="447" w:name="_Toc24462682"/>
      <w:bookmarkStart w:id="448" w:name="_Toc21592"/>
      <w:bookmarkStart w:id="449" w:name="_Toc49960705"/>
      <w:bookmarkStart w:id="450" w:name="_Toc28972"/>
      <w:bookmarkStart w:id="451" w:name="_Toc30954"/>
      <w:r>
        <w:rPr>
          <w:rFonts w:hint="eastAsia" w:cs="宋体"/>
          <w:b w:val="0"/>
          <w:bCs w:val="0"/>
          <w:szCs w:val="24"/>
        </w:rPr>
        <w:t>6.5</w:t>
      </w:r>
      <w:r>
        <w:rPr>
          <w:rFonts w:cs="宋体"/>
          <w:b w:val="0"/>
          <w:bCs w:val="0"/>
          <w:szCs w:val="24"/>
        </w:rPr>
        <w:t>.5.6</w:t>
      </w:r>
      <w:r>
        <w:rPr>
          <w:rFonts w:hint="eastAsia" w:cs="宋体"/>
          <w:b w:val="0"/>
          <w:bCs w:val="0"/>
          <w:szCs w:val="24"/>
        </w:rPr>
        <w:t>物体打击应急</w:t>
      </w:r>
      <w:bookmarkEnd w:id="443"/>
      <w:bookmarkEnd w:id="444"/>
      <w:r>
        <w:rPr>
          <w:rFonts w:hint="eastAsia" w:cs="宋体"/>
          <w:b w:val="0"/>
          <w:bCs w:val="0"/>
          <w:szCs w:val="24"/>
        </w:rPr>
        <w:t>救援</w:t>
      </w:r>
      <w:bookmarkEnd w:id="445"/>
      <w:bookmarkEnd w:id="446"/>
      <w:bookmarkEnd w:id="447"/>
      <w:bookmarkEnd w:id="448"/>
      <w:bookmarkEnd w:id="449"/>
      <w:bookmarkEnd w:id="450"/>
      <w:bookmarkEnd w:id="451"/>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⑴ 事故发生主要环节</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交叉作业时物料传递往下或向上乱抛材料、工具等物件。</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高处作业时使用的工具，没有放入工具袋或工具箱内或用小绳捆绑于手臂上，有落下伤人的可能。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机械设备的防护装置失效，无法确保作业人员安全。</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进入具有物体打击伤害的施工现场人员没有按规定戴安全帽。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吊运建筑物料时没有使用持有司索工上岗证人员进行指挥，违章指挥，物料吊运时绑扎不牢。</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⑥ 拆除或拆卸作业时未设置警戒区域、缺少专人进行监护。</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⑵ 预防措施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对进场人员进行三级安全培训，换岗人员需重新进行安全培训方可上岗。</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施工现场必须达到《建筑施工安全检查标准》中文明施工的各项要求。</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避免交叉作业。施工计划安排时，尽量避免和减少同一垂直线内的立体交叉作业。无法避免交叉作业时必须设置能阻挡上面坠落物体的隔离层，否则不准施工。 </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④ 上下传递物件禁止抛掷。运送易滑的钢材，绳结必须系牢。起吊物件应使用交互捻制的钢丝绳。钢丝绳如有扭结、变形、断丝、锈蚀等异常现象，应降级使用或报废。严禁使用麻绳起吊重物。吊装不易放稳的构件或大模板应用卡环，不得用吊钩。禁止将物件放在板形构件上起吊。禁止在吊臂下穿行和停留。</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⑤ 正确佩戴安全帽。进入施工现场的所有人员都必须戴好符合安全标准、具有检验合格证的安全帽，并系牢帽带。</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⑶ 应急处置措施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发生物体打击事故后，在120赶到前，医疗急救组根据现场实际情况进行必要的医疗处理。物体打击事故发生在能正常进行救治的地方，医疗急救组应马上投入治疗；如果物体打击事故发生在无法进行急救的地方，应先指导救援人员按正确的方法尽快把伤者转移到安全平台上进行急救。120赶到后，现场急救组要尽量配合120医生进行急救，由医疗急救负责人把伤情、已经采取了的措施向医生做简短而明了的介绍，以便120医生能尽快了解情况，快速而有效的做出急救决策。</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物体打击事故的现场紧急救治时，首先观察伤者的受伤情况、部位、伤害性质，如伤员发生休克，应先处理休克；遇呼吸、心跳停止者，应立即进行人工呼吸，胸外心脏挤压。另外也应对颅脑损伤、骨折和出血等情况进行处理：</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a.如受伤者处于休克状态，要让其平卧、少搬动，并将下肢抬高约20度左右，要采取相应的办法让其苏醒；同时尽快配合120送医院进行抢救治疗。</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b.如物体打击造成颅脑损伤，受伤处于昏迷状态则必须保持呼吸道通畅。让昏迷者平卧，面部转向一侧，以防舌根下坠或分泌物、呕吐物吸入，发生喉阻塞。</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c.如物体打击造成骨折，应初步固定后再搬运，创伤处用消毒的纱布或清洁布等覆盖伤口，用绷带或布条包扎后，及时配合120送医院治疗。</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d.如出现血流严重时，应想办法进行止血，避免流血过多引起生命危险。</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③ 应急响应过程中避免二次伤害的措施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a.如果物体打击造成钢筋、钢管等插入身体内部；现场不能擅自将异物拔掉，只能做清洗伤口或止血等简单处理，应等120到来后，立即送医院，由医院医生进行，避免现场处置时发生大出血造成二次伤害。</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b.如出现大量出血时，现场救治时要尽量止血，防止出血过多导致二次伤害。如果物体打击出现在高处位置，救援人员首先要把伤者按正确的方法搬到安全的地方再进行下步救治，防止伤者或救援人员在不安全的平台上救治时引起高处坠落或物体打击等二次伤害。</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c.如果处在不宜施救的场所时必须将患者搬运到能够安全施救的地方，搬运时应由身体强壮的救援人员进行搬运，如果是脊柱骨折，不要弯曲、扭动患者的颈部和身体，不要接触患者的伤口，要使患者身体放松，尽量将患者放到担架或平板上进行搬运。避免搬运不当引起伤者的二次伤害和救援者的伤害。</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d.事故现场要有专人维持秩序，特别是在高处发生的物体打击事故，禁止施工人员围观，防止人多杂乱，引起围观人员或救援人员高处坠落或物体打击等二次伤害.</w:t>
      </w:r>
    </w:p>
    <w:p>
      <w:pPr>
        <w:pStyle w:val="6"/>
        <w:ind w:firstLine="480"/>
        <w:rPr>
          <w:rFonts w:cs="宋体"/>
          <w:b w:val="0"/>
          <w:bCs w:val="0"/>
          <w:szCs w:val="24"/>
        </w:rPr>
      </w:pPr>
      <w:bookmarkStart w:id="452" w:name="_Toc32145"/>
      <w:bookmarkStart w:id="453" w:name="_Toc5861"/>
      <w:bookmarkStart w:id="454" w:name="_Toc26569"/>
      <w:bookmarkStart w:id="455" w:name="_Toc2239"/>
      <w:bookmarkStart w:id="456" w:name="_Toc24462683"/>
      <w:bookmarkStart w:id="457" w:name="_Toc2729"/>
      <w:bookmarkStart w:id="458" w:name="_Toc91085210"/>
      <w:bookmarkStart w:id="459" w:name="_Toc10979"/>
      <w:bookmarkStart w:id="460" w:name="_Toc15554"/>
      <w:bookmarkStart w:id="461" w:name="_Toc49960706"/>
      <w:r>
        <w:rPr>
          <w:rFonts w:hint="eastAsia" w:cs="宋体"/>
          <w:b w:val="0"/>
          <w:bCs w:val="0"/>
          <w:szCs w:val="24"/>
        </w:rPr>
        <w:t>6.5</w:t>
      </w:r>
      <w:r>
        <w:rPr>
          <w:rFonts w:cs="宋体"/>
          <w:b w:val="0"/>
          <w:bCs w:val="0"/>
          <w:szCs w:val="24"/>
        </w:rPr>
        <w:t>.5.7</w:t>
      </w:r>
      <w:r>
        <w:rPr>
          <w:rFonts w:hint="eastAsia" w:cs="宋体"/>
          <w:b w:val="0"/>
          <w:bCs w:val="0"/>
          <w:szCs w:val="24"/>
        </w:rPr>
        <w:t>高温中暑应急</w:t>
      </w:r>
      <w:bookmarkEnd w:id="452"/>
      <w:bookmarkEnd w:id="453"/>
      <w:bookmarkEnd w:id="454"/>
      <w:r>
        <w:rPr>
          <w:rFonts w:hint="eastAsia" w:cs="宋体"/>
          <w:b w:val="0"/>
          <w:bCs w:val="0"/>
          <w:szCs w:val="24"/>
        </w:rPr>
        <w:t>救援</w:t>
      </w:r>
      <w:bookmarkEnd w:id="455"/>
      <w:bookmarkEnd w:id="456"/>
      <w:bookmarkEnd w:id="457"/>
      <w:bookmarkEnd w:id="458"/>
      <w:bookmarkEnd w:id="459"/>
      <w:bookmarkEnd w:id="460"/>
      <w:bookmarkEnd w:id="461"/>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⑴ 事故发生主要环节</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夏季施工温度高，工作持续时间长，易发生中暑事件。</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⑵ 预防措施</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① 现场设置临时休息亭，配备饮用水及必要的防暑药品。</w:t>
      </w:r>
    </w:p>
    <w:p>
      <w:pPr>
        <w:spacing w:after="0" w:afterLines="0" w:line="36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② 调整作业时间，早晚作业。</w:t>
      </w:r>
    </w:p>
    <w:p>
      <w:pPr>
        <w:spacing w:after="0" w:afterLines="0" w:line="360" w:lineRule="auto"/>
        <w:ind w:firstLineChars="175"/>
        <w:jc w:val="both"/>
        <w:rPr>
          <w:rFonts w:asciiTheme="minorEastAsia" w:hAnsiTheme="minorEastAsia" w:eastAsiaTheme="minorEastAsia" w:cstheme="minorEastAsia"/>
        </w:rPr>
      </w:pPr>
      <w:r>
        <w:rPr>
          <w:rFonts w:hint="eastAsia" w:asciiTheme="minorEastAsia" w:hAnsiTheme="minorEastAsia" w:eastAsiaTheme="minorEastAsia" w:cstheme="minorEastAsia"/>
        </w:rPr>
        <w:t>⑶ 应急处置措施</w:t>
      </w:r>
    </w:p>
    <w:p>
      <w:pPr>
        <w:spacing w:after="0" w:afterLines="0" w:line="360" w:lineRule="auto"/>
        <w:ind w:firstLine="48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① 高温中暑突发事件发生后，救护人员迅速将中暑者移至阴凉、通风的地方，同时垫高头部，解开衣裤，以利呼吸和散热，给予仁丹、十滴水或霍香正气散等，并补充含盐清凉饮料：淡盐水、冷西瓜水、绿豆汤等饮品。</w:t>
      </w:r>
    </w:p>
    <w:p>
      <w:pPr>
        <w:spacing w:after="0" w:afterLines="0" w:line="360" w:lineRule="auto"/>
        <w:ind w:firstLine="48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② 观察中暑者的生命体征、神志变化及各脏器功能状况、防治并发症。</w:t>
      </w:r>
    </w:p>
    <w:p>
      <w:pPr>
        <w:spacing w:after="0" w:afterLines="0" w:line="360" w:lineRule="auto"/>
        <w:ind w:firstLine="480"/>
        <w:jc w:val="both"/>
        <w:rPr>
          <w:rFonts w:ascii="宋体" w:hAnsi="宋体" w:eastAsia="宋体" w:cs="Times New Roman"/>
        </w:rPr>
      </w:pPr>
      <w:r>
        <w:rPr>
          <w:rFonts w:hint="eastAsia" w:asciiTheme="minorEastAsia" w:hAnsiTheme="minorEastAsia" w:eastAsiaTheme="minorEastAsia" w:cstheme="minorEastAsia"/>
          <w:kern w:val="0"/>
        </w:rPr>
        <w:t>③ 采用物理降温与药物降温结合的降温措施（如：头置冰袋或冰帽、大血管区置冰袋、将身体(头部除外)置于4℃水中）给中暑者进行降温，同时要不断摩擦四肢，防止血液循环停滞，促使热量散发。</w:t>
      </w:r>
    </w:p>
    <w:p>
      <w:pPr>
        <w:pStyle w:val="6"/>
        <w:ind w:firstLine="480"/>
        <w:rPr>
          <w:rFonts w:cs="宋体"/>
          <w:b w:val="0"/>
          <w:bCs w:val="0"/>
          <w:szCs w:val="24"/>
        </w:rPr>
      </w:pPr>
      <w:bookmarkStart w:id="462" w:name="_Toc419017183"/>
      <w:bookmarkStart w:id="463" w:name="_Toc415741385"/>
      <w:bookmarkStart w:id="464" w:name="_Toc419017187"/>
      <w:r>
        <w:rPr>
          <w:rFonts w:hint="eastAsia" w:cs="宋体"/>
          <w:b w:val="0"/>
          <w:bCs w:val="0"/>
          <w:szCs w:val="24"/>
        </w:rPr>
        <w:t>6.5.5.8突发性天气应急预案</w:t>
      </w:r>
    </w:p>
    <w:p>
      <w:pPr>
        <w:spacing w:after="0" w:afterLines="0" w:line="360" w:lineRule="auto"/>
        <w:ind w:firstLine="480"/>
        <w:jc w:val="both"/>
        <w:rPr>
          <w:rFonts w:ascii="宋体" w:hAnsi="宋体" w:eastAsia="宋体" w:cs="Times New Roman"/>
          <w:kern w:val="0"/>
        </w:rPr>
      </w:pPr>
      <w:r>
        <w:rPr>
          <w:rFonts w:hint="eastAsia" w:ascii="宋体" w:hAnsi="宋体" w:eastAsia="宋体" w:cs="Times New Roman"/>
          <w:kern w:val="0"/>
        </w:rPr>
        <w:t>（一）</w:t>
      </w:r>
      <w:r>
        <w:rPr>
          <w:rFonts w:ascii="宋体" w:hAnsi="宋体" w:eastAsia="宋体" w:cs="Times New Roman"/>
          <w:kern w:val="0"/>
        </w:rPr>
        <w:t>突发性天气预警阶段</w:t>
      </w:r>
    </w:p>
    <w:p>
      <w:pPr>
        <w:spacing w:after="0" w:afterLines="0" w:line="360" w:lineRule="auto"/>
        <w:ind w:firstLine="480"/>
        <w:jc w:val="both"/>
        <w:rPr>
          <w:rFonts w:ascii="宋体" w:hAnsi="宋体" w:eastAsia="宋体" w:cs="Times New Roman"/>
          <w:kern w:val="0"/>
        </w:rPr>
      </w:pPr>
      <w:r>
        <w:rPr>
          <w:rFonts w:hint="eastAsia" w:ascii="宋体" w:hAnsi="宋体" w:eastAsia="宋体" w:cs="Times New Roman"/>
          <w:kern w:val="0"/>
        </w:rPr>
        <w:t>⑴</w:t>
      </w:r>
      <w:r>
        <w:rPr>
          <w:rFonts w:ascii="宋体" w:hAnsi="宋体" w:eastAsia="宋体" w:cs="Times New Roman"/>
          <w:kern w:val="0"/>
        </w:rPr>
        <w:t>通常突发性天气伴有强雷电活动，影响时间短，但来势突然，使得准备防范的时间较短，因此各部门要平时做好预防及准备工作，在接到突发性天气预警后能够及时撤离，做好防风防雷电工作。</w:t>
      </w:r>
    </w:p>
    <w:p>
      <w:pPr>
        <w:spacing w:after="0" w:afterLines="0" w:line="360" w:lineRule="auto"/>
        <w:ind w:firstLine="480"/>
        <w:jc w:val="both"/>
        <w:rPr>
          <w:rFonts w:ascii="宋体" w:hAnsi="宋体" w:eastAsia="宋体" w:cs="Times New Roman"/>
          <w:kern w:val="0"/>
        </w:rPr>
      </w:pPr>
      <w:r>
        <w:rPr>
          <w:rFonts w:ascii="宋体" w:hAnsi="宋体" w:eastAsia="宋体" w:cs="Times New Roman"/>
          <w:kern w:val="0"/>
        </w:rPr>
        <w:t xml:space="preserve"> </w:t>
      </w:r>
      <w:r>
        <w:rPr>
          <w:rFonts w:hint="eastAsia" w:ascii="宋体" w:hAnsi="宋体" w:eastAsia="宋体" w:cs="Times New Roman"/>
          <w:kern w:val="0"/>
        </w:rPr>
        <w:t>⑵</w:t>
      </w:r>
      <w:r>
        <w:rPr>
          <w:rFonts w:ascii="宋体" w:hAnsi="宋体" w:eastAsia="宋体" w:cs="Times New Roman"/>
          <w:kern w:val="0"/>
        </w:rPr>
        <w:t>生产安全部在接到突发性天气预警后，应立即通知</w:t>
      </w:r>
      <w:r>
        <w:rPr>
          <w:rFonts w:hint="eastAsia" w:ascii="宋体" w:hAnsi="宋体" w:eastAsia="宋体" w:cs="Times New Roman"/>
          <w:kern w:val="0"/>
        </w:rPr>
        <w:t>三防</w:t>
      </w:r>
      <w:r>
        <w:rPr>
          <w:rFonts w:ascii="宋体" w:hAnsi="宋体" w:eastAsia="宋体" w:cs="Times New Roman"/>
          <w:kern w:val="0"/>
        </w:rPr>
        <w:t>领导小组、各个工区。</w:t>
      </w:r>
    </w:p>
    <w:p>
      <w:pPr>
        <w:spacing w:after="0" w:afterLines="0" w:line="360" w:lineRule="auto"/>
        <w:ind w:firstLine="480"/>
        <w:jc w:val="both"/>
        <w:rPr>
          <w:rFonts w:ascii="宋体" w:hAnsi="宋体" w:eastAsia="宋体" w:cs="Times New Roman"/>
          <w:kern w:val="0"/>
        </w:rPr>
      </w:pPr>
      <w:r>
        <w:rPr>
          <w:rFonts w:hint="eastAsia" w:ascii="宋体" w:hAnsi="宋体" w:eastAsia="宋体" w:cs="Times New Roman"/>
          <w:kern w:val="0"/>
        </w:rPr>
        <w:t>⑶</w:t>
      </w:r>
      <w:r>
        <w:rPr>
          <w:rFonts w:ascii="宋体" w:hAnsi="宋体" w:eastAsia="宋体" w:cs="Times New Roman"/>
          <w:kern w:val="0"/>
        </w:rPr>
        <w:t>各部门在接到突发性天气预警后，应立即做好防风防雷电准备工作。停止高处作业，各用电设备要切断电源并做防水措施，未完成结构进行加固。</w:t>
      </w:r>
    </w:p>
    <w:p>
      <w:pPr>
        <w:spacing w:after="0" w:afterLines="0" w:line="360" w:lineRule="auto"/>
        <w:ind w:firstLine="480"/>
        <w:jc w:val="both"/>
        <w:rPr>
          <w:rFonts w:ascii="宋体" w:hAnsi="宋体" w:eastAsia="宋体" w:cs="Times New Roman"/>
          <w:kern w:val="0"/>
        </w:rPr>
      </w:pPr>
      <w:r>
        <w:rPr>
          <w:rFonts w:hint="eastAsia" w:ascii="宋体" w:hAnsi="宋体" w:eastAsia="宋体" w:cs="Times New Roman"/>
          <w:kern w:val="0"/>
        </w:rPr>
        <w:t>⑷</w:t>
      </w:r>
      <w:r>
        <w:rPr>
          <w:rFonts w:ascii="宋体" w:hAnsi="宋体" w:eastAsia="宋体" w:cs="Times New Roman"/>
          <w:kern w:val="0"/>
        </w:rPr>
        <w:t>各小组工作落实到位后，并将落实情况向三防领导小组汇报，由三防领导小组进行检查。</w:t>
      </w:r>
    </w:p>
    <w:p>
      <w:pPr>
        <w:spacing w:after="0" w:afterLines="0" w:line="360" w:lineRule="auto"/>
        <w:ind w:firstLine="480"/>
        <w:jc w:val="both"/>
        <w:rPr>
          <w:rFonts w:ascii="宋体" w:hAnsi="宋体" w:eastAsia="宋体" w:cs="Times New Roman"/>
          <w:kern w:val="0"/>
        </w:rPr>
      </w:pPr>
      <w:r>
        <w:rPr>
          <w:rFonts w:hint="eastAsia" w:ascii="宋体" w:hAnsi="宋体" w:eastAsia="宋体" w:cs="Times New Roman"/>
          <w:kern w:val="0"/>
        </w:rPr>
        <w:t>（二）</w:t>
      </w:r>
      <w:r>
        <w:rPr>
          <w:rFonts w:ascii="宋体" w:hAnsi="宋体" w:eastAsia="宋体" w:cs="Times New Roman"/>
          <w:kern w:val="0"/>
        </w:rPr>
        <w:t>突发性天气来临阶段</w:t>
      </w:r>
    </w:p>
    <w:p>
      <w:pPr>
        <w:spacing w:after="0" w:afterLines="0" w:line="360" w:lineRule="auto"/>
        <w:ind w:firstLine="480"/>
        <w:jc w:val="both"/>
        <w:rPr>
          <w:rFonts w:ascii="宋体" w:hAnsi="宋体" w:eastAsia="宋体" w:cs="Times New Roman"/>
          <w:kern w:val="0"/>
        </w:rPr>
      </w:pPr>
      <w:r>
        <w:rPr>
          <w:rFonts w:hint="eastAsia" w:ascii="宋体" w:hAnsi="宋体" w:eastAsia="宋体" w:cs="宋体"/>
          <w:kern w:val="0"/>
        </w:rPr>
        <w:t>⑴</w:t>
      </w:r>
      <w:r>
        <w:rPr>
          <w:rFonts w:ascii="宋体" w:hAnsi="宋体" w:eastAsia="宋体" w:cs="Times New Roman"/>
          <w:kern w:val="0"/>
        </w:rPr>
        <w:t>各施工班组应停止施工，禁止外出作业。</w:t>
      </w:r>
    </w:p>
    <w:p>
      <w:pPr>
        <w:spacing w:after="0" w:afterLines="0" w:line="360" w:lineRule="auto"/>
        <w:ind w:firstLine="480"/>
        <w:jc w:val="both"/>
        <w:rPr>
          <w:rFonts w:ascii="宋体" w:hAnsi="宋体" w:eastAsia="宋体" w:cs="Times New Roman"/>
          <w:kern w:val="0"/>
        </w:rPr>
      </w:pPr>
      <w:r>
        <w:rPr>
          <w:rFonts w:hint="eastAsia" w:ascii="宋体" w:hAnsi="宋体" w:eastAsia="宋体" w:cs="宋体"/>
          <w:kern w:val="0"/>
        </w:rPr>
        <w:t>⑵</w:t>
      </w:r>
      <w:r>
        <w:rPr>
          <w:rFonts w:hint="eastAsia" w:ascii="宋体" w:hAnsi="宋体" w:eastAsia="宋体" w:cs="Times New Roman"/>
          <w:kern w:val="0"/>
        </w:rPr>
        <w:t>设备停止作业</w:t>
      </w:r>
      <w:r>
        <w:rPr>
          <w:rFonts w:ascii="宋体" w:hAnsi="宋体" w:eastAsia="宋体" w:cs="Times New Roman"/>
          <w:kern w:val="0"/>
        </w:rPr>
        <w:t>。发生险情还应报告海事部门。</w:t>
      </w:r>
    </w:p>
    <w:p>
      <w:pPr>
        <w:spacing w:after="0" w:afterLines="0" w:line="360" w:lineRule="auto"/>
        <w:ind w:firstLine="480"/>
        <w:jc w:val="both"/>
        <w:rPr>
          <w:rFonts w:ascii="宋体" w:hAnsi="宋体" w:eastAsia="宋体" w:cs="Times New Roman"/>
          <w:kern w:val="0"/>
        </w:rPr>
      </w:pPr>
      <w:r>
        <w:rPr>
          <w:rFonts w:hint="eastAsia" w:ascii="宋体" w:hAnsi="宋体" w:eastAsia="宋体" w:cs="Times New Roman"/>
          <w:kern w:val="0"/>
        </w:rPr>
        <w:t>（三）</w:t>
      </w:r>
      <w:r>
        <w:rPr>
          <w:rFonts w:ascii="宋体" w:hAnsi="宋体" w:eastAsia="宋体" w:cs="Times New Roman"/>
          <w:kern w:val="0"/>
        </w:rPr>
        <w:t>突发性天气预警解除阶段</w:t>
      </w:r>
    </w:p>
    <w:p>
      <w:pPr>
        <w:spacing w:after="0" w:afterLines="0" w:line="360" w:lineRule="auto"/>
        <w:ind w:firstLine="480"/>
        <w:jc w:val="both"/>
        <w:rPr>
          <w:rFonts w:ascii="宋体" w:hAnsi="宋体" w:eastAsia="宋体" w:cs="Times New Roman"/>
          <w:kern w:val="0"/>
        </w:rPr>
      </w:pPr>
      <w:r>
        <w:rPr>
          <w:rFonts w:hint="eastAsia" w:ascii="宋体" w:hAnsi="宋体" w:eastAsia="宋体" w:cs="宋体"/>
          <w:kern w:val="0"/>
        </w:rPr>
        <w:t>⑴</w:t>
      </w:r>
      <w:r>
        <w:rPr>
          <w:rFonts w:ascii="宋体" w:hAnsi="宋体" w:eastAsia="宋体" w:cs="Times New Roman"/>
          <w:kern w:val="0"/>
        </w:rPr>
        <w:t>当调度中心接到突发性天气预警解除信号时，要及时通报三防领导小组，当得到三防领导小组的同意后，各工区方可恢复施工</w:t>
      </w:r>
      <w:r>
        <w:rPr>
          <w:rFonts w:hint="eastAsia" w:ascii="宋体" w:hAnsi="宋体" w:eastAsia="宋体" w:cs="Times New Roman"/>
          <w:kern w:val="0"/>
        </w:rPr>
        <w:t>。</w:t>
      </w:r>
    </w:p>
    <w:p>
      <w:pPr>
        <w:spacing w:after="0" w:afterLines="0" w:line="360" w:lineRule="auto"/>
        <w:ind w:firstLine="480"/>
        <w:jc w:val="both"/>
        <w:rPr>
          <w:rFonts w:ascii="宋体" w:hAnsi="宋体" w:eastAsia="宋体" w:cs="Times New Roman"/>
          <w:kern w:val="10"/>
        </w:rPr>
      </w:pPr>
      <w:r>
        <w:rPr>
          <w:rFonts w:hint="eastAsia" w:ascii="宋体" w:hAnsi="宋体" w:eastAsia="宋体" w:cs="宋体"/>
          <w:kern w:val="10"/>
        </w:rPr>
        <w:t>⑵</w:t>
      </w:r>
      <w:r>
        <w:rPr>
          <w:rFonts w:ascii="宋体" w:hAnsi="宋体" w:eastAsia="宋体" w:cs="Times New Roman"/>
          <w:kern w:val="10"/>
        </w:rPr>
        <w:t>各工区接到恢复施工的通知后，应检查机械、电气设备及安全防护设施是否完</w:t>
      </w:r>
      <w:r>
        <w:rPr>
          <w:rFonts w:hint="eastAsia" w:ascii="宋体" w:hAnsi="宋体" w:eastAsia="宋体" w:cs="Times New Roman"/>
          <w:kern w:val="10"/>
        </w:rPr>
        <w:t>成</w:t>
      </w:r>
      <w:r>
        <w:rPr>
          <w:rFonts w:ascii="宋体" w:hAnsi="宋体" w:eastAsia="宋体" w:cs="Times New Roman"/>
          <w:kern w:val="10"/>
        </w:rPr>
        <w:t>。</w:t>
      </w:r>
    </w:p>
    <w:p>
      <w:pPr>
        <w:pStyle w:val="6"/>
        <w:ind w:firstLine="480"/>
        <w:rPr>
          <w:rFonts w:cs="宋体"/>
          <w:b w:val="0"/>
          <w:bCs w:val="0"/>
          <w:szCs w:val="24"/>
        </w:rPr>
      </w:pPr>
      <w:r>
        <w:rPr>
          <w:rFonts w:hint="eastAsia" w:cs="宋体"/>
          <w:b w:val="0"/>
          <w:bCs w:val="0"/>
          <w:szCs w:val="24"/>
        </w:rPr>
        <w:t>6.5.5.9　能见度不良（雾天）应急措施</w:t>
      </w:r>
    </w:p>
    <w:p>
      <w:pPr>
        <w:spacing w:after="0" w:afterLines="0" w:line="360" w:lineRule="auto"/>
        <w:ind w:firstLine="480"/>
        <w:jc w:val="both"/>
        <w:rPr>
          <w:rFonts w:ascii="宋体" w:hAnsi="宋体" w:eastAsia="宋体" w:cs="Times New Roman"/>
          <w:kern w:val="10"/>
        </w:rPr>
      </w:pPr>
      <w:r>
        <w:rPr>
          <w:rFonts w:hint="eastAsia" w:ascii="宋体" w:hAnsi="宋体" w:eastAsia="宋体" w:cs="Times New Roman"/>
          <w:kern w:val="10"/>
        </w:rPr>
        <w:t>根据防能见度不良影响范围和程度，将预警等级分为三级：Ⅰ级（特别严重），Ⅱ级（严重），Ⅲ级（较重）。预警信号分三种，分别以黄色、橙色和红色表示。</w:t>
      </w:r>
    </w:p>
    <w:tbl>
      <w:tblPr>
        <w:tblStyle w:val="22"/>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pPr>
              <w:pStyle w:val="50"/>
              <w:ind w:firstLine="0" w:firstLineChars="0"/>
              <w:rPr>
                <w:sz w:val="24"/>
                <w:szCs w:val="24"/>
                <w:lang w:val="en-US"/>
              </w:rPr>
            </w:pPr>
            <w:r>
              <w:rPr>
                <w:rFonts w:hint="eastAsia"/>
                <w:sz w:val="24"/>
                <w:szCs w:val="24"/>
                <w:lang w:val="en-US"/>
              </w:rPr>
              <w:t>能见度不良预警信号</w:t>
            </w:r>
          </w:p>
        </w:tc>
        <w:tc>
          <w:tcPr>
            <w:tcW w:w="2266" w:type="dxa"/>
            <w:shd w:val="clear" w:color="auto" w:fill="92CDDC"/>
            <w:vAlign w:val="center"/>
          </w:tcPr>
          <w:p>
            <w:pPr>
              <w:pStyle w:val="50"/>
              <w:ind w:firstLine="0" w:firstLineChars="0"/>
              <w:rPr>
                <w:sz w:val="24"/>
                <w:szCs w:val="24"/>
                <w:lang w:val="en-US"/>
              </w:rPr>
            </w:pPr>
            <w:r>
              <w:rPr>
                <w:rFonts w:hint="eastAsia"/>
                <w:sz w:val="24"/>
                <w:szCs w:val="24"/>
                <w:lang w:val="en-US"/>
              </w:rPr>
              <w:t>响应标准</w:t>
            </w:r>
          </w:p>
        </w:tc>
        <w:tc>
          <w:tcPr>
            <w:tcW w:w="4749" w:type="dxa"/>
            <w:shd w:val="clear" w:color="auto" w:fill="92CDDC"/>
            <w:vAlign w:val="center"/>
          </w:tcPr>
          <w:p>
            <w:pPr>
              <w:pStyle w:val="50"/>
              <w:ind w:firstLine="0" w:firstLineChars="0"/>
              <w:rPr>
                <w:sz w:val="24"/>
                <w:szCs w:val="24"/>
                <w:lang w:val="en-US"/>
              </w:rPr>
            </w:pPr>
            <w:r>
              <w:rPr>
                <w:rFonts w:hint="eastAsia"/>
                <w:sz w:val="24"/>
                <w:szCs w:val="24"/>
                <w:lang w:val="en-US"/>
              </w:rPr>
              <w:t>采取的措施</w:t>
            </w:r>
          </w:p>
        </w:tc>
      </w:tr>
      <w:tr>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pPr>
              <w:pStyle w:val="50"/>
              <w:ind w:firstLine="0" w:firstLineChars="0"/>
              <w:rPr>
                <w:sz w:val="24"/>
                <w:szCs w:val="24"/>
                <w:lang w:val="en-US"/>
              </w:rPr>
            </w:pPr>
            <w:r>
              <w:rPr>
                <w:sz w:val="24"/>
                <w:szCs w:val="24"/>
                <w:lang w:val="en-US"/>
              </w:rPr>
              <w:drawing>
                <wp:inline distT="0" distB="0" distL="0" distR="0">
                  <wp:extent cx="1009650" cy="847725"/>
                  <wp:effectExtent l="0" t="0" r="11430" b="5715"/>
                  <wp:docPr id="1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pPr>
              <w:pStyle w:val="50"/>
              <w:ind w:firstLine="0" w:firstLineChars="0"/>
              <w:rPr>
                <w:sz w:val="24"/>
                <w:szCs w:val="24"/>
                <w:lang w:val="en-US"/>
              </w:rPr>
            </w:pPr>
            <w:r>
              <w:rPr>
                <w:rFonts w:hint="eastAsia"/>
                <w:sz w:val="24"/>
                <w:szCs w:val="24"/>
                <w:lang w:val="en-US"/>
              </w:rPr>
              <w:t>Ⅲ级响应标准：12小时内可能出现</w:t>
            </w:r>
            <w:r>
              <w:fldChar w:fldCharType="begin"/>
            </w:r>
            <w:r>
              <w:instrText xml:space="preserve"> HYPERLINK "https://baike.so.com/doc/4600678-4812634.html" \t "https://baike.so.com/doc/_blank" </w:instrText>
            </w:r>
            <w:r>
              <w:fldChar w:fldCharType="separate"/>
            </w:r>
            <w:r>
              <w:rPr>
                <w:sz w:val="24"/>
                <w:szCs w:val="24"/>
                <w:lang w:val="en-US"/>
              </w:rPr>
              <w:t>能见度</w:t>
            </w:r>
            <w:r>
              <w:rPr>
                <w:sz w:val="24"/>
                <w:szCs w:val="24"/>
                <w:lang w:val="en-US"/>
              </w:rPr>
              <w:fldChar w:fldCharType="end"/>
            </w:r>
            <w:r>
              <w:rPr>
                <w:sz w:val="24"/>
                <w:szCs w:val="24"/>
                <w:lang w:val="en-US"/>
              </w:rPr>
              <w:t>小于500米的雾，或者已经出现能见度小于500米、大于等于200米的雾并将持续</w:t>
            </w:r>
            <w:r>
              <w:rPr>
                <w:rFonts w:hint="eastAsia"/>
                <w:sz w:val="24"/>
                <w:szCs w:val="24"/>
                <w:lang w:val="en-US"/>
              </w:rPr>
              <w:t>；</w:t>
            </w:r>
          </w:p>
        </w:tc>
        <w:tc>
          <w:tcPr>
            <w:tcW w:w="4749" w:type="dxa"/>
            <w:shd w:val="clear" w:color="auto" w:fill="DAEEF3"/>
            <w:vAlign w:val="center"/>
          </w:tcPr>
          <w:p>
            <w:pPr>
              <w:pStyle w:val="50"/>
              <w:ind w:firstLine="0" w:firstLineChars="0"/>
              <w:jc w:val="left"/>
              <w:rPr>
                <w:sz w:val="24"/>
                <w:szCs w:val="24"/>
                <w:lang w:val="en-US"/>
              </w:rPr>
            </w:pPr>
            <w:r>
              <w:rPr>
                <w:rFonts w:hint="eastAsia"/>
                <w:sz w:val="24"/>
                <w:szCs w:val="24"/>
                <w:lang w:val="en-US"/>
              </w:rPr>
              <w:t>（1）密切关注灾害发展趋势并通报，应急领导小组副组长或组长组织召开专题会议进行部署；</w:t>
            </w:r>
          </w:p>
          <w:p>
            <w:pPr>
              <w:pStyle w:val="50"/>
              <w:ind w:firstLine="0" w:firstLineChars="0"/>
              <w:jc w:val="left"/>
              <w:rPr>
                <w:sz w:val="24"/>
                <w:szCs w:val="24"/>
                <w:lang w:val="en-US"/>
              </w:rPr>
            </w:pPr>
            <w:r>
              <w:rPr>
                <w:rFonts w:hint="eastAsia"/>
                <w:sz w:val="24"/>
                <w:szCs w:val="24"/>
                <w:lang w:val="en-US"/>
              </w:rPr>
              <w:t>（2）各部门（班组）按照职责做好预防工作；</w:t>
            </w:r>
          </w:p>
          <w:p>
            <w:pPr>
              <w:pStyle w:val="50"/>
              <w:ind w:firstLine="0" w:firstLineChars="0"/>
              <w:jc w:val="left"/>
              <w:rPr>
                <w:sz w:val="24"/>
                <w:szCs w:val="24"/>
                <w:lang w:val="en-US"/>
              </w:rPr>
            </w:pPr>
            <w:r>
              <w:rPr>
                <w:rFonts w:hint="eastAsia"/>
                <w:sz w:val="24"/>
                <w:szCs w:val="24"/>
                <w:lang w:val="en-US"/>
              </w:rPr>
              <w:t>（3）施工机械设备加强调度工作。</w:t>
            </w:r>
          </w:p>
        </w:tc>
      </w:tr>
      <w:tr>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pPr>
              <w:pStyle w:val="50"/>
              <w:ind w:firstLine="0" w:firstLineChars="0"/>
              <w:rPr>
                <w:sz w:val="24"/>
                <w:szCs w:val="24"/>
                <w:lang w:val="en-US"/>
              </w:rPr>
            </w:pPr>
            <w:r>
              <w:rPr>
                <w:sz w:val="24"/>
                <w:szCs w:val="24"/>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pPr>
              <w:pStyle w:val="50"/>
              <w:ind w:firstLine="0" w:firstLineChars="0"/>
              <w:rPr>
                <w:sz w:val="24"/>
                <w:szCs w:val="24"/>
                <w:lang w:val="en-US"/>
              </w:rPr>
            </w:pPr>
            <w:r>
              <w:rPr>
                <w:rFonts w:hint="eastAsia"/>
                <w:sz w:val="24"/>
                <w:szCs w:val="24"/>
                <w:lang w:val="en-US"/>
              </w:rPr>
              <w:t>Ⅱ级响应标准：6小时内可能出现能见度小于200米的雾，或者已经出现能见度小于200米、大于等于50米的雾并将持续；</w:t>
            </w:r>
          </w:p>
        </w:tc>
        <w:tc>
          <w:tcPr>
            <w:tcW w:w="4749" w:type="dxa"/>
            <w:shd w:val="clear" w:color="auto" w:fill="DAEEF3"/>
            <w:vAlign w:val="center"/>
          </w:tcPr>
          <w:p>
            <w:pPr>
              <w:pStyle w:val="50"/>
              <w:ind w:firstLine="0" w:firstLineChars="0"/>
              <w:jc w:val="left"/>
              <w:rPr>
                <w:sz w:val="24"/>
                <w:szCs w:val="24"/>
                <w:lang w:val="en-US"/>
              </w:rPr>
            </w:pPr>
            <w:r>
              <w:rPr>
                <w:rFonts w:hint="eastAsia"/>
                <w:sz w:val="24"/>
                <w:szCs w:val="24"/>
                <w:lang w:val="en-US"/>
              </w:rPr>
              <w:t>（1）及时了解灾害最新动态信息并发布，领导小组成员开始应急值班；</w:t>
            </w:r>
          </w:p>
          <w:p>
            <w:pPr>
              <w:pStyle w:val="50"/>
              <w:ind w:firstLine="0" w:firstLineChars="0"/>
              <w:jc w:val="left"/>
              <w:rPr>
                <w:sz w:val="24"/>
                <w:szCs w:val="24"/>
                <w:lang w:val="en-US"/>
              </w:rPr>
            </w:pPr>
            <w:r>
              <w:rPr>
                <w:rFonts w:hint="eastAsia"/>
                <w:sz w:val="24"/>
                <w:szCs w:val="24"/>
                <w:lang w:val="en-US"/>
              </w:rPr>
              <w:t>（2）停止起重吊装等危险性较大作业；</w:t>
            </w:r>
          </w:p>
          <w:p>
            <w:pPr>
              <w:pStyle w:val="50"/>
              <w:ind w:firstLine="0" w:firstLineChars="0"/>
              <w:jc w:val="left"/>
              <w:rPr>
                <w:sz w:val="24"/>
                <w:szCs w:val="24"/>
                <w:lang w:val="en-US"/>
              </w:rPr>
            </w:pPr>
            <w:r>
              <w:rPr>
                <w:rFonts w:hint="eastAsia"/>
                <w:sz w:val="24"/>
                <w:szCs w:val="24"/>
                <w:lang w:val="en-US"/>
              </w:rPr>
              <w:t>（3）施工机械设备加强管理工作；</w:t>
            </w:r>
          </w:p>
          <w:p>
            <w:pPr>
              <w:pStyle w:val="50"/>
              <w:ind w:firstLine="0" w:firstLineChars="0"/>
              <w:jc w:val="left"/>
              <w:rPr>
                <w:sz w:val="24"/>
                <w:szCs w:val="24"/>
                <w:lang w:val="en-US"/>
              </w:rPr>
            </w:pPr>
            <w:r>
              <w:rPr>
                <w:rFonts w:hint="eastAsia"/>
                <w:sz w:val="24"/>
                <w:szCs w:val="24"/>
                <w:lang w:val="en-US"/>
              </w:rPr>
              <w:t>（4）组织将施工人员撤离至项目部驻地。</w:t>
            </w:r>
          </w:p>
        </w:tc>
      </w:tr>
      <w:tr>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pPr>
              <w:pStyle w:val="50"/>
              <w:ind w:firstLine="0" w:firstLineChars="0"/>
              <w:rPr>
                <w:sz w:val="24"/>
                <w:szCs w:val="24"/>
                <w:lang w:val="en-US"/>
              </w:rPr>
            </w:pPr>
            <w:r>
              <w:rPr>
                <w:sz w:val="24"/>
                <w:szCs w:val="24"/>
                <w:lang w:val="en-US"/>
              </w:rPr>
              <w:drawing>
                <wp:inline distT="0" distB="0" distL="0" distR="0">
                  <wp:extent cx="952500" cy="781050"/>
                  <wp:effectExtent l="0" t="0" r="7620" b="1143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pPr>
              <w:pStyle w:val="50"/>
              <w:ind w:firstLine="0" w:firstLineChars="0"/>
              <w:jc w:val="left"/>
              <w:rPr>
                <w:sz w:val="24"/>
                <w:szCs w:val="24"/>
                <w:lang w:val="en-US"/>
              </w:rPr>
            </w:pPr>
            <w:r>
              <w:rPr>
                <w:rFonts w:hint="eastAsia"/>
                <w:sz w:val="24"/>
                <w:szCs w:val="24"/>
                <w:lang w:val="en-US"/>
              </w:rPr>
              <w:t>Ⅰ级响应标准：2小时内可能出现能见度小于50米的雾，或者已经出现能见度小于50米的雾并将持续</w:t>
            </w:r>
            <w:bookmarkStart w:id="465" w:name="6253351-6466763-3_2"/>
            <w:bookmarkEnd w:id="465"/>
            <w:r>
              <w:rPr>
                <w:rFonts w:hint="eastAsia"/>
                <w:sz w:val="24"/>
                <w:szCs w:val="24"/>
                <w:lang w:val="en-US"/>
              </w:rPr>
              <w:t>；</w:t>
            </w:r>
          </w:p>
        </w:tc>
        <w:tc>
          <w:tcPr>
            <w:tcW w:w="4749" w:type="dxa"/>
            <w:shd w:val="clear" w:color="auto" w:fill="DAEEF3"/>
            <w:vAlign w:val="center"/>
          </w:tcPr>
          <w:p>
            <w:pPr>
              <w:pStyle w:val="50"/>
              <w:ind w:firstLine="0" w:firstLineChars="0"/>
              <w:jc w:val="left"/>
              <w:rPr>
                <w:sz w:val="24"/>
                <w:szCs w:val="24"/>
                <w:lang w:val="en-US"/>
              </w:rPr>
            </w:pPr>
            <w:r>
              <w:rPr>
                <w:rFonts w:hint="eastAsia"/>
                <w:sz w:val="24"/>
                <w:szCs w:val="24"/>
                <w:lang w:val="en-US"/>
              </w:rPr>
              <w:t>（1）各部门（班组）按照职责做好防能见度不良的应急和抢险工作；</w:t>
            </w:r>
          </w:p>
          <w:p>
            <w:pPr>
              <w:pStyle w:val="50"/>
              <w:ind w:firstLine="0" w:firstLineChars="0"/>
              <w:jc w:val="left"/>
              <w:rPr>
                <w:sz w:val="24"/>
                <w:szCs w:val="24"/>
                <w:lang w:val="en-US"/>
              </w:rPr>
            </w:pPr>
            <w:r>
              <w:rPr>
                <w:rFonts w:hint="eastAsia"/>
                <w:sz w:val="24"/>
                <w:szCs w:val="24"/>
                <w:lang w:val="en-US"/>
              </w:rPr>
              <w:t>（2）应急领导小组组长在岗指挥，组织24小时应急值班；</w:t>
            </w:r>
          </w:p>
          <w:p>
            <w:pPr>
              <w:pStyle w:val="50"/>
              <w:ind w:firstLine="0" w:firstLineChars="0"/>
              <w:jc w:val="left"/>
              <w:rPr>
                <w:sz w:val="24"/>
                <w:szCs w:val="24"/>
                <w:lang w:val="en-US"/>
              </w:rPr>
            </w:pPr>
            <w:r>
              <w:rPr>
                <w:rFonts w:hint="eastAsia"/>
                <w:sz w:val="24"/>
                <w:szCs w:val="24"/>
                <w:lang w:val="en-US"/>
              </w:rPr>
              <w:t>（3）停止各作业点一切施工作业活动；</w:t>
            </w:r>
          </w:p>
          <w:p>
            <w:pPr>
              <w:pStyle w:val="50"/>
              <w:ind w:firstLine="0" w:firstLineChars="0"/>
              <w:jc w:val="left"/>
              <w:rPr>
                <w:sz w:val="24"/>
                <w:szCs w:val="24"/>
                <w:lang w:val="en-US"/>
              </w:rPr>
            </w:pPr>
            <w:r>
              <w:rPr>
                <w:rFonts w:hint="eastAsia"/>
                <w:sz w:val="24"/>
                <w:szCs w:val="24"/>
                <w:lang w:val="en-US"/>
              </w:rPr>
              <w:t>（4）确保全部人员撤离至安置点并严格管理；</w:t>
            </w:r>
          </w:p>
          <w:p>
            <w:pPr>
              <w:pStyle w:val="50"/>
              <w:ind w:firstLine="0" w:firstLineChars="0"/>
              <w:jc w:val="left"/>
              <w:rPr>
                <w:sz w:val="24"/>
                <w:szCs w:val="24"/>
                <w:lang w:val="en-US"/>
              </w:rPr>
            </w:pPr>
            <w:r>
              <w:rPr>
                <w:rFonts w:hint="eastAsia"/>
                <w:sz w:val="24"/>
                <w:szCs w:val="24"/>
                <w:lang w:val="en-US"/>
              </w:rPr>
              <w:t>（5）各应急小组人员保持信息畅通及时反馈情况。</w:t>
            </w:r>
          </w:p>
        </w:tc>
      </w:tr>
      <w:bookmarkEnd w:id="462"/>
      <w:bookmarkEnd w:id="463"/>
      <w:bookmarkEnd w:id="464"/>
    </w:tbl>
    <w:p>
      <w:pPr>
        <w:keepNext/>
        <w:keepLines/>
        <w:spacing w:after="120" w:line="360" w:lineRule="auto"/>
        <w:ind w:firstLine="0" w:firstLineChars="0"/>
        <w:jc w:val="both"/>
        <w:outlineLvl w:val="0"/>
        <w:rPr>
          <w:rFonts w:ascii="宋体" w:hAnsi="宋体" w:eastAsia="宋体" w:cs="Times New Roman"/>
          <w:kern w:val="44"/>
        </w:rPr>
      </w:pPr>
      <w:bookmarkStart w:id="466" w:name="_Toc3790"/>
      <w:r>
        <w:rPr>
          <w:rFonts w:hint="eastAsia" w:ascii="宋体" w:hAnsi="宋体" w:eastAsia="宋体" w:cs="Times New Roman"/>
          <w:kern w:val="44"/>
        </w:rPr>
        <w:t>7、安全检查与验收</w:t>
      </w:r>
      <w:bookmarkEnd w:id="132"/>
      <w:bookmarkEnd w:id="133"/>
      <w:bookmarkEnd w:id="466"/>
    </w:p>
    <w:bookmarkEnd w:id="134"/>
    <w:p>
      <w:pPr>
        <w:keepNext/>
        <w:keepLines/>
        <w:spacing w:after="120" w:line="360" w:lineRule="auto"/>
        <w:ind w:firstLine="240" w:firstLineChars="100"/>
        <w:jc w:val="both"/>
        <w:outlineLvl w:val="1"/>
        <w:rPr>
          <w:rFonts w:ascii="宋体" w:hAnsi="宋体" w:eastAsia="宋体" w:cs="Times New Roman"/>
        </w:rPr>
      </w:pPr>
      <w:bookmarkStart w:id="467" w:name="_Toc528139737"/>
      <w:bookmarkStart w:id="468" w:name="_Toc24734"/>
      <w:bookmarkStart w:id="469" w:name="_Toc515971591"/>
      <w:r>
        <w:rPr>
          <w:rFonts w:hint="eastAsia" w:ascii="宋体" w:hAnsi="宋体" w:eastAsia="宋体" w:cs="Times New Roman"/>
        </w:rPr>
        <w:t>7.1检查的方法</w:t>
      </w:r>
      <w:bookmarkEnd w:id="467"/>
      <w:bookmarkEnd w:id="468"/>
      <w:bookmarkEnd w:id="469"/>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（1）安全检查工作由项目部主管领导组织，小组成员和专职人员及现场负责人参加，认真检查施工现场存在的问题，并接受现场作业人员反映施工生产存在的安全问题，及时加以协调和解决。</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坚持定期进行安全检查，将检查出的问题汇总成安全检查记录表，并建立安全隐患检查登记台账，同时检查结束后，召开安全生产检查专题会议，由检查负责人签发隐患整改意见书，要求定人、定期、定措施整改，并对要求整改的内容进行复检。</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（3）做好班前、中、后和节假日前、后的安全检查，特别是作业前必须对作业环境进行认真检查，发现问题要立即解决或及时上报，确保施工作业安全。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（4）专职安全生产管理人员在检查过程中，根据安全生产管理制度和安全技术规程等，及时对违章人员进行制止和处理。每月将全生产情况予以通报，受到通报的班组和个人予以相应奖励或处罚。</w:t>
      </w:r>
    </w:p>
    <w:p>
      <w:pPr>
        <w:keepNext/>
        <w:keepLines/>
        <w:spacing w:after="120" w:line="360" w:lineRule="auto"/>
        <w:ind w:firstLine="240" w:firstLineChars="100"/>
        <w:jc w:val="both"/>
        <w:outlineLvl w:val="1"/>
        <w:rPr>
          <w:rFonts w:ascii="宋体" w:hAnsi="宋体" w:eastAsia="宋体" w:cs="Times New Roman"/>
        </w:rPr>
      </w:pPr>
      <w:bookmarkStart w:id="470" w:name="_Toc528139738"/>
      <w:bookmarkStart w:id="471" w:name="_Toc515971592"/>
      <w:bookmarkStart w:id="472" w:name="_Toc6725"/>
      <w:bookmarkStart w:id="473" w:name="_Hlk518245572"/>
      <w:r>
        <w:rPr>
          <w:rFonts w:hint="eastAsia" w:ascii="宋体" w:hAnsi="宋体" w:eastAsia="宋体" w:cs="Times New Roman"/>
        </w:rPr>
        <w:t>7.2检查的内容</w:t>
      </w:r>
      <w:bookmarkEnd w:id="470"/>
      <w:bookmarkEnd w:id="471"/>
      <w:bookmarkEnd w:id="472"/>
    </w:p>
    <w:bookmarkEnd w:id="473"/>
    <w:p>
      <w:pPr>
        <w:spacing w:after="120" w:line="360" w:lineRule="auto"/>
        <w:ind w:firstLine="480"/>
        <w:outlineLvl w:val="2"/>
        <w:rPr>
          <w:rFonts w:ascii="宋体" w:hAnsi="宋体" w:eastAsia="宋体" w:cs="Times New Roman"/>
        </w:rPr>
      </w:pPr>
      <w:bookmarkStart w:id="474" w:name="_Toc528139739"/>
      <w:r>
        <w:rPr>
          <w:rFonts w:hint="eastAsia" w:ascii="宋体" w:hAnsi="宋体" w:eastAsia="宋体" w:cs="Times New Roman"/>
        </w:rPr>
        <w:t>7.2.1设备投入使用前检查</w:t>
      </w:r>
      <w:bookmarkEnd w:id="474"/>
    </w:p>
    <w:p>
      <w:pPr>
        <w:spacing w:after="0" w:afterLines="0" w:line="360" w:lineRule="auto"/>
        <w:ind w:firstLine="480"/>
        <w:jc w:val="both"/>
        <w:rPr>
          <w:rFonts w:ascii="宋体" w:hAnsi="宋体" w:eastAsia="宋体" w:cs="Times New Roman"/>
        </w:rPr>
      </w:pPr>
      <w:r>
        <w:rPr>
          <w:rFonts w:hint="eastAsia" w:ascii="宋体" w:hAnsi="宋体" w:eastAsia="宋体" w:cs="Times New Roman"/>
        </w:rPr>
        <w:t>设备投入使用前由项目部、监理单位共同组织有关人员对相关内容进行检查验收，验收合格后方可使用。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主要检查以下内容：</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（1）保证运行机构电气连接良好。</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（2）检查底盘下的电力是否顺畅，以防损坏。</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（3）检查塔身连接销轴是否固定到位，安全销是否开口。</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（4）检查标准节扶梯延伸部分的安装情况。</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（5）检查小车检修平台是否安装就位。</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（6）检查平衡臂上走道与护栏的固定情况。</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（7）检查起升和变幅钢丝绳穿绕是否正确。</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（8）检查平衡臂配重的固定情况。</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（9）检查各润滑点和面的润滑情况。</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（10）检查监控系统是否正常，各安全限位是否有效。</w:t>
      </w:r>
    </w:p>
    <w:p>
      <w:pPr>
        <w:spacing w:after="120" w:line="360" w:lineRule="auto"/>
        <w:ind w:firstLine="480"/>
        <w:outlineLvl w:val="2"/>
        <w:rPr>
          <w:rFonts w:ascii="宋体" w:hAnsi="宋体" w:eastAsia="宋体" w:cs="Times New Roman"/>
        </w:rPr>
      </w:pPr>
      <w:bookmarkStart w:id="475" w:name="_Toc528139740"/>
      <w:r>
        <w:rPr>
          <w:rFonts w:hint="eastAsia" w:ascii="宋体" w:hAnsi="宋体" w:eastAsia="宋体" w:cs="Times New Roman"/>
        </w:rPr>
        <w:t>7.2.2正常使用阶段检查</w:t>
      </w:r>
      <w:bookmarkEnd w:id="475"/>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（1）施工现场劳动条件、安全装置、安全设施是否符合安全生产要求；</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（2）塔吊的安全装置是够齐全、灵活可靠，各机械设备的运作保养情况，是否定期检测保养；</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（3）特种作业人员的作业情况，是否按操作规程作业，有无培训及培训记录，持证上岗情况；</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（4）劳动防护用品的发放、使用以及登记台帐情况等；</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（5）各项安全管理制度落实情况。</w:t>
      </w:r>
    </w:p>
    <w:p>
      <w:pPr>
        <w:spacing w:after="120" w:line="360" w:lineRule="auto"/>
        <w:ind w:firstLine="480"/>
        <w:outlineLvl w:val="2"/>
        <w:rPr>
          <w:rFonts w:ascii="宋体" w:hAnsi="宋体" w:eastAsia="宋体" w:cs="Times New Roman"/>
        </w:rPr>
      </w:pPr>
      <w:bookmarkStart w:id="476" w:name="_Toc528139741"/>
      <w:r>
        <w:rPr>
          <w:rFonts w:hint="eastAsia" w:ascii="宋体" w:hAnsi="宋体" w:eastAsia="宋体" w:cs="Times New Roman"/>
        </w:rPr>
        <w:t>7.2.3安全检查方法</w:t>
      </w:r>
      <w:bookmarkEnd w:id="476"/>
    </w:p>
    <w:p>
      <w:pPr>
        <w:spacing w:after="0" w:afterLines="0" w:line="360" w:lineRule="auto"/>
        <w:ind w:firstLine="480"/>
        <w:jc w:val="both"/>
        <w:rPr>
          <w:rFonts w:ascii="宋体" w:hAnsi="宋体" w:eastAsia="宋体" w:cs="Times New Roman"/>
        </w:rPr>
      </w:pPr>
      <w:r>
        <w:rPr>
          <w:rFonts w:hint="eastAsia" w:ascii="宋体" w:hAnsi="宋体" w:eastAsia="宋体" w:cs="Times New Roman"/>
        </w:rPr>
        <w:t>（1）安全检查工作由项目部主管领导组织，小组成员和专职人员及现场负责人参加，认真检查施工现场存在的问题，并接受现场作业人员反映施工生产存在的安全问题，及时加以协调和解决。</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2）坚持定期进行安全检查，将检查出的问题汇总成安全检查记录表，并建立安全隐患检查登记台账，同时检查结束后，由检查负责人签发隐患整改意见书，要求定人、定期、定措施整改，并对要求整改的内容进行复检。</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（3）做好班前、中、后和节假日前、后的安全检查，特别是作业前必须对作业环境进行认真检查，发现问题要立即解决或及时上报，确保施工作业安全。</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（4）专职安全生产管理人员在检查过程中，根据安全生产管理制度和安全技术规程等，及时对违章人员进行制止和处理。每月将全生产情况予以通报，受到通报的班组和个人予以相应奖励或处罚。</w:t>
      </w:r>
    </w:p>
    <w:p>
      <w:pPr>
        <w:spacing w:after="120" w:line="360" w:lineRule="auto"/>
        <w:ind w:firstLine="480"/>
        <w:outlineLvl w:val="2"/>
        <w:rPr>
          <w:rFonts w:ascii="宋体" w:hAnsi="宋体" w:eastAsia="宋体" w:cs="Times New Roman"/>
        </w:rPr>
      </w:pPr>
      <w:bookmarkStart w:id="477" w:name="_Toc528139742"/>
      <w:r>
        <w:rPr>
          <w:rFonts w:hint="eastAsia" w:ascii="宋体" w:hAnsi="宋体" w:eastAsia="宋体" w:cs="Times New Roman"/>
        </w:rPr>
        <w:t>7.2.4塔吊日常使用检查表</w:t>
      </w:r>
      <w:bookmarkEnd w:id="477"/>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表7.2-1 安全检查表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591"/>
        <w:gridCol w:w="2379"/>
        <w:gridCol w:w="3803"/>
        <w:gridCol w:w="1594"/>
      </w:tblGrid>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工程名称</w:t>
            </w:r>
          </w:p>
        </w:tc>
        <w:tc>
          <w:tcPr>
            <w:tcW w:w="1270" w:type="pct"/>
            <w:shd w:val="clear" w:color="auto" w:fill="auto"/>
            <w:vAlign w:val="center"/>
          </w:tcPr>
          <w:p>
            <w:pPr>
              <w:pStyle w:val="56"/>
              <w:adjustRightInd w:val="0"/>
              <w:snapToGrid w:val="0"/>
              <w:rPr>
                <w:rFonts w:hAnsi="宋体" w:eastAsia="宋体" w:cs="宋体"/>
                <w:kern w:val="2"/>
                <w:sz w:val="24"/>
                <w:szCs w:val="24"/>
              </w:rPr>
            </w:pP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塔机型号</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墩号</w:t>
            </w:r>
          </w:p>
        </w:tc>
        <w:tc>
          <w:tcPr>
            <w:tcW w:w="1270" w:type="pct"/>
            <w:shd w:val="clear" w:color="auto" w:fill="auto"/>
            <w:vAlign w:val="center"/>
          </w:tcPr>
          <w:p>
            <w:pPr>
              <w:pStyle w:val="56"/>
              <w:adjustRightInd w:val="0"/>
              <w:snapToGrid w:val="0"/>
              <w:rPr>
                <w:rFonts w:hAnsi="宋体" w:eastAsia="宋体" w:cs="宋体"/>
                <w:kern w:val="2"/>
                <w:sz w:val="24"/>
                <w:szCs w:val="24"/>
              </w:rPr>
            </w:pP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安装高度</w:t>
            </w:r>
          </w:p>
        </w:tc>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米</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序号</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主检项目</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标准要求</w:t>
            </w:r>
          </w:p>
        </w:tc>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检查结果</w:t>
            </w: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1</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基础工程</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尺寸检验合格</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2</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接地电阻</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电阻值须在4欧以下</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3</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金属结构件</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应无变形/无弯曲/无开裂</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4</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小车牵引机构</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手盘轻松无卡阻现象</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5</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起升机构</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手盘轻松无卡阻现象</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6</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回转机构</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手盘轻松无卡阻现象</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7</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液压顶升装置</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压力符合无漏油/无空转</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8</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各钢丝绳</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无拉毛断丝扭曲变形现象</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9</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各滑轮/滚轮</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转动灵活无卡阻现象</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10</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连接固定螺栓</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齐全紧固无松动</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11</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电气设备</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动作灵敏无尘垢</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12</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安全限位装置</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灵敏可靠</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13</w:t>
            </w:r>
          </w:p>
        </w:tc>
        <w:tc>
          <w:tcPr>
            <w:tcW w:w="127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其它</w:t>
            </w:r>
          </w:p>
        </w:tc>
        <w:tc>
          <w:tcPr>
            <w:tcW w:w="2030" w:type="pct"/>
            <w:shd w:val="clear" w:color="auto" w:fill="auto"/>
            <w:vAlign w:val="center"/>
          </w:tcPr>
          <w:p>
            <w:pPr>
              <w:pStyle w:val="56"/>
              <w:adjustRightInd w:val="0"/>
              <w:snapToGrid w:val="0"/>
              <w:rPr>
                <w:rFonts w:hAnsi="宋体" w:eastAsia="宋体" w:cs="宋体"/>
                <w:kern w:val="2"/>
                <w:sz w:val="24"/>
                <w:szCs w:val="24"/>
              </w:rPr>
            </w:pPr>
            <w:r>
              <w:rPr>
                <w:rFonts w:hint="eastAsia" w:hAnsi="宋体" w:eastAsia="宋体" w:cs="宋体"/>
                <w:kern w:val="2"/>
                <w:sz w:val="24"/>
                <w:szCs w:val="24"/>
              </w:rPr>
              <w:t>符合安装要求</w:t>
            </w:r>
          </w:p>
        </w:tc>
        <w:tc>
          <w:tcPr>
            <w:tcW w:w="849" w:type="pct"/>
            <w:shd w:val="clear" w:color="auto" w:fill="auto"/>
            <w:vAlign w:val="center"/>
          </w:tcPr>
          <w:p>
            <w:pPr>
              <w:pStyle w:val="56"/>
              <w:adjustRightInd w:val="0"/>
              <w:snapToGrid w:val="0"/>
              <w:rPr>
                <w:rFonts w:hAnsi="宋体" w:eastAsia="宋体" w:cs="宋体"/>
                <w:kern w:val="2"/>
                <w:sz w:val="24"/>
                <w:szCs w:val="24"/>
              </w:rPr>
            </w:pPr>
          </w:p>
        </w:tc>
      </w:tr>
      <w:tr>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5000" w:type="pct"/>
            <w:gridSpan w:val="4"/>
            <w:shd w:val="clear" w:color="auto" w:fill="auto"/>
            <w:vAlign w:val="center"/>
          </w:tcPr>
          <w:p>
            <w:pPr>
              <w:pStyle w:val="56"/>
              <w:adjustRightInd w:val="0"/>
              <w:snapToGrid w:val="0"/>
              <w:rPr>
                <w:rFonts w:hAnsi="宋体" w:eastAsia="宋体" w:cs="宋体"/>
                <w:kern w:val="2"/>
                <w:sz w:val="24"/>
                <w:szCs w:val="24"/>
              </w:rPr>
            </w:pPr>
          </w:p>
          <w:p>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w:t>
            </w:r>
          </w:p>
          <w:p>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检查人：                   </w:t>
            </w:r>
          </w:p>
          <w:p>
            <w:pPr>
              <w:pStyle w:val="56"/>
              <w:adjustRightInd w:val="0"/>
              <w:snapToGrid w:val="0"/>
              <w:rPr>
                <w:rFonts w:hAnsi="宋体" w:eastAsia="宋体" w:cs="宋体"/>
                <w:kern w:val="2"/>
                <w:sz w:val="24"/>
                <w:szCs w:val="24"/>
              </w:rPr>
            </w:pPr>
          </w:p>
          <w:p>
            <w:pPr>
              <w:pStyle w:val="56"/>
              <w:adjustRightInd w:val="0"/>
              <w:snapToGrid w:val="0"/>
              <w:rPr>
                <w:rFonts w:hAnsi="宋体" w:eastAsia="宋体" w:cs="宋体"/>
                <w:kern w:val="2"/>
                <w:sz w:val="24"/>
                <w:szCs w:val="24"/>
              </w:rPr>
            </w:pPr>
            <w:r>
              <w:rPr>
                <w:rFonts w:hint="eastAsia" w:hAnsi="宋体" w:eastAsia="宋体" w:cs="宋体"/>
                <w:kern w:val="2"/>
                <w:sz w:val="24"/>
                <w:szCs w:val="24"/>
              </w:rPr>
              <w:t xml:space="preserve">                                                 年     月    日</w:t>
            </w:r>
          </w:p>
        </w:tc>
      </w:tr>
    </w:tbl>
    <w:p>
      <w:pPr>
        <w:spacing w:after="120" w:line="360" w:lineRule="auto"/>
        <w:ind w:firstLine="480"/>
        <w:outlineLvl w:val="2"/>
        <w:rPr>
          <w:rFonts w:ascii="宋体" w:hAnsi="宋体" w:eastAsia="宋体" w:cs="Times New Roman"/>
        </w:rPr>
      </w:pPr>
      <w:bookmarkStart w:id="478" w:name="_Toc528139743"/>
      <w:bookmarkStart w:id="479" w:name="_Toc515971593"/>
      <w:r>
        <w:rPr>
          <w:rFonts w:hint="eastAsia" w:ascii="宋体" w:hAnsi="宋体" w:eastAsia="宋体" w:cs="Times New Roman"/>
        </w:rPr>
        <w:t>7.2.5塔吊月度安全检查表</w:t>
      </w:r>
      <w:bookmarkEnd w:id="478"/>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每月对塔机进行两次安全检查。</w:t>
      </w:r>
    </w:p>
    <w:p>
      <w:pPr>
        <w:spacing w:after="0" w:afterLines="0" w:line="240" w:lineRule="auto"/>
        <w:ind w:firstLine="480"/>
        <w:jc w:val="center"/>
        <w:rPr>
          <w:rFonts w:ascii="宋体" w:hAnsi="宋体" w:eastAsia="宋体" w:cs="Times New Roman"/>
        </w:rPr>
      </w:pPr>
      <w:r>
        <w:rPr>
          <w:rFonts w:hint="eastAsia" w:ascii="宋体" w:hAnsi="宋体" w:eastAsia="宋体" w:cs="Times New Roman"/>
        </w:rPr>
        <w:t>表7.2-2 塔吊月度安全检查表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3051"/>
        <w:gridCol w:w="1762"/>
        <w:gridCol w:w="369"/>
        <w:gridCol w:w="370"/>
        <w:gridCol w:w="1776"/>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0" w:type="auto"/>
            <w:vAlign w:val="center"/>
          </w:tcPr>
          <w:p>
            <w:pPr>
              <w:spacing w:after="0" w:afterLines="0" w:line="240" w:lineRule="auto"/>
              <w:ind w:firstLine="0" w:firstLineChars="0"/>
              <w:jc w:val="both"/>
              <w:rPr>
                <w:rFonts w:ascii="黑体" w:hAnsi="黑体" w:eastAsia="黑体" w:cs="黑体"/>
              </w:rPr>
            </w:pPr>
            <w:r>
              <w:rPr>
                <w:rFonts w:hint="eastAsia" w:ascii="黑体" w:hAnsi="黑体" w:eastAsia="黑体" w:cs="黑体"/>
              </w:rPr>
              <w:t>工程名称</w:t>
            </w:r>
          </w:p>
        </w:tc>
        <w:tc>
          <w:tcPr>
            <w:tcW w:w="0" w:type="auto"/>
            <w:gridSpan w:val="4"/>
            <w:vAlign w:val="center"/>
          </w:tcPr>
          <w:p>
            <w:pPr>
              <w:pStyle w:val="60"/>
              <w:spacing w:after="120" w:line="240" w:lineRule="auto"/>
              <w:ind w:firstLine="480"/>
              <w:rPr>
                <w:sz w:val="24"/>
                <w:szCs w:val="24"/>
              </w:rPr>
            </w:pPr>
            <w:r>
              <w:rPr>
                <w:rFonts w:hint="eastAsia" w:ascii="黑体" w:hAnsi="黑体" w:eastAsia="黑体" w:cs="黑体"/>
                <w:b w:val="0"/>
                <w:bCs w:val="0"/>
                <w:sz w:val="24"/>
                <w:szCs w:val="24"/>
                <w:lang w:val="en-US" w:eastAsia="zh-CN"/>
              </w:rPr>
              <w:t xml:space="preserve"> </w:t>
            </w:r>
            <w:r>
              <w:rPr>
                <w:rFonts w:hint="eastAsia" w:eastAsia="黑体" w:cs="Times New Roman"/>
                <w:b w:val="0"/>
                <w:bCs w:val="0"/>
                <w:sz w:val="24"/>
                <w:szCs w:val="24"/>
                <w:lang w:val="en-US" w:eastAsia="zh-CN" w:bidi="ar-SA"/>
              </w:rPr>
              <w:t>鄂黄第二过江通道（燕矶长江大桥及接线）工程</w:t>
            </w:r>
          </w:p>
          <w:p>
            <w:pPr>
              <w:spacing w:after="0" w:afterLines="0" w:line="240" w:lineRule="auto"/>
              <w:ind w:firstLine="0" w:firstLineChars="0"/>
              <w:jc w:val="center"/>
              <w:rPr>
                <w:rFonts w:ascii="黑体" w:hAnsi="黑体" w:eastAsia="黑体" w:cs="黑体"/>
              </w:rPr>
            </w:pP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施工地址</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项目工地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0" w:type="auto"/>
            <w:vAlign w:val="center"/>
          </w:tcPr>
          <w:p>
            <w:pPr>
              <w:spacing w:after="0" w:afterLines="0" w:line="240" w:lineRule="auto"/>
              <w:ind w:firstLine="0" w:firstLineChars="0"/>
              <w:jc w:val="both"/>
              <w:rPr>
                <w:rFonts w:ascii="宋体" w:hAnsi="宋体" w:eastAsia="黑体" w:cs="Times New Roman"/>
              </w:rPr>
            </w:pPr>
            <w:r>
              <w:rPr>
                <w:rFonts w:hint="eastAsia" w:ascii="宋体" w:hAnsi="宋体" w:eastAsia="黑体" w:cs="Times New Roman"/>
              </w:rPr>
              <w:t>出租单位</w:t>
            </w:r>
          </w:p>
        </w:tc>
        <w:tc>
          <w:tcPr>
            <w:tcW w:w="0" w:type="auto"/>
            <w:gridSpan w:val="6"/>
            <w:vAlign w:val="center"/>
          </w:tcPr>
          <w:p>
            <w:pPr>
              <w:spacing w:after="0" w:afterLines="0" w:line="240" w:lineRule="auto"/>
              <w:ind w:firstLine="0" w:firstLineChars="0"/>
              <w:jc w:val="both"/>
              <w:rPr>
                <w:rFonts w:ascii="宋体" w:hAnsi="宋体" w:eastAsia="黑体" w:cs="Times New Roman"/>
              </w:rPr>
            </w:pPr>
            <w:r>
              <w:rPr>
                <w:rFonts w:hint="eastAsia" w:ascii="宋体" w:hAnsi="宋体" w:eastAsia="黑体" w:cs="Times New Roman"/>
              </w:rPr>
              <w:t>重庆钱桥建筑设备租赁有限公司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型号</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XGT7528A-18S1</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设备编号</w:t>
            </w:r>
          </w:p>
        </w:tc>
        <w:tc>
          <w:tcPr>
            <w:tcW w:w="0" w:type="auto"/>
            <w:gridSpan w:val="2"/>
            <w:vAlign w:val="center"/>
          </w:tcPr>
          <w:p>
            <w:pPr>
              <w:spacing w:after="0" w:afterLines="0" w:line="240" w:lineRule="auto"/>
              <w:ind w:firstLine="0" w:firstLineChars="0"/>
              <w:jc w:val="center"/>
              <w:rPr>
                <w:rFonts w:ascii="宋体" w:hAnsi="宋体" w:eastAsia="黑体" w:cs="Times New Roman"/>
              </w:rPr>
            </w:pP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施工高度</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0" w:type="auto"/>
            <w:vAlign w:val="center"/>
          </w:tcPr>
          <w:p>
            <w:pPr>
              <w:spacing w:after="0" w:afterLines="0" w:line="240" w:lineRule="auto"/>
              <w:ind w:firstLine="0" w:firstLineChars="0"/>
              <w:jc w:val="both"/>
              <w:rPr>
                <w:rFonts w:ascii="宋体" w:hAnsi="宋体" w:eastAsia="黑体" w:cs="Times New Roman"/>
              </w:rPr>
            </w:pPr>
            <w:r>
              <w:rPr>
                <w:rFonts w:hint="eastAsia" w:ascii="宋体" w:hAnsi="宋体" w:eastAsia="黑体" w:cs="Times New Roman"/>
              </w:rPr>
              <w:t>附墙个数</w:t>
            </w:r>
          </w:p>
        </w:tc>
        <w:tc>
          <w:tcPr>
            <w:tcW w:w="0" w:type="auto"/>
            <w:vAlign w:val="center"/>
          </w:tcPr>
          <w:p>
            <w:pPr>
              <w:spacing w:after="0" w:afterLines="0" w:line="240" w:lineRule="auto"/>
              <w:ind w:firstLine="0" w:firstLineChars="0"/>
              <w:jc w:val="center"/>
              <w:rPr>
                <w:rFonts w:ascii="宋体" w:hAnsi="宋体" w:eastAsia="黑体" w:cs="Times New Roman"/>
              </w:rPr>
            </w:pP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最大载重量</w:t>
            </w:r>
          </w:p>
        </w:tc>
        <w:tc>
          <w:tcPr>
            <w:tcW w:w="0" w:type="auto"/>
            <w:gridSpan w:val="2"/>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25吨</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检查日期</w:t>
            </w:r>
          </w:p>
        </w:tc>
        <w:tc>
          <w:tcPr>
            <w:tcW w:w="0" w:type="auto"/>
            <w:vAlign w:val="center"/>
          </w:tcPr>
          <w:p>
            <w:pPr>
              <w:spacing w:after="0" w:afterLines="0" w:line="240" w:lineRule="auto"/>
              <w:ind w:firstLine="0" w:firstLineChars="0"/>
              <w:jc w:val="center"/>
              <w:rPr>
                <w:rFonts w:ascii="宋体" w:hAnsi="宋体" w:eastAsia="黑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0" w:type="auto"/>
            <w:gridSpan w:val="5"/>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       查      内      容</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参照标准</w:t>
            </w:r>
          </w:p>
        </w:tc>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（一）基</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础</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1.稳定性；</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JBJ/T187-2009</w:t>
            </w:r>
          </w:p>
        </w:tc>
        <w:tc>
          <w:tcPr>
            <w:tcW w:w="0" w:type="auto"/>
            <w:vAlign w:val="center"/>
          </w:tcPr>
          <w:p>
            <w:pPr>
              <w:spacing w:after="0" w:afterLines="0" w:line="240" w:lineRule="auto"/>
              <w:ind w:firstLine="0" w:firstLineChars="0"/>
              <w:jc w:val="both"/>
              <w:rPr>
                <w:rFonts w:ascii="宋体" w:hAnsi="宋体"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2.排水措施；</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3.沉降量不大于50mm。</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（二）塔</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身</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结</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构</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1.结构无变形、开焊、裂纹；</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2.过渡节、销轴、高强度螺栓等零部件配置齐全、无松动、缺损、无严重锈蚀；</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3.垂直度≤3‰；</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4.爬梯设置防护圈应符合国家标准；</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5.开口销不得用金属丝等代替。</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（三）钢</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丝</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绳</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1.完好、无断股；</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GBT5972-2009</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2.断丝不超过10％；</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3.型号、规格、长度符合本机说明书规定；</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4.固定绳卡数量与绳径匹配，卡间距为6-7倍绳径；</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5.钢绳磨损量不超过钢丝绳的10%；</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6.捆绑起重索具符合要求。</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（四）吊</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钩</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1.无裂纹、变形、严重磨损；</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2.钩身无补焊、钻孔现象；</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3.具有防脱装置;</w:t>
            </w:r>
            <w:r>
              <w:rPr>
                <w:rFonts w:hint="eastAsia" w:ascii="宋体" w:hAnsi="宋体" w:eastAsia="宋体" w:cs="宋体"/>
                <w:kern w:val="0"/>
              </w:rPr>
              <w:t xml:space="preserve"> </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4.挂绳处截面磨损量不超过原高度的10%；</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（五）高度限位</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1.吊钩顶部距起重臂下端800mm，能立即停止起升，但有向下、向内变幅运动；</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2.吊钩不能再下降或卷筒上钢丝绳只剩3圈时，应能立即停止下降运动；</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3.钢丝绳松弛可能造成卷筒上钢丝绳乱绳或反卷，设置下限位。</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（六）幅度限位装置</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1.小车前后两端应设置限位开关和缓冲装置；</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2.限位开关距小车停车时其端部缓冲装置最小距离200mm。</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（七）力矩限制器</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1.应设置力矩限制器；</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GB12602-2009</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2.起重量达到90%-95%时，能发出报警信号；</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3.起重量达到105%-110%时，能停止向不安全方向继续动作。</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4.力矩限制器综合误差不超过±8%。</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（八）附</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着</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架</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1.框架、附着杆安装正确、牢固；无开焊、变形、裂纹；</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JGJ196-2010</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2.各处螺栓、轴销齐全牢固；</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3.间距、数量、安装固定符合说明书要求；</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4.架体不得擅自改动。</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（九）电</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气</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1.电缆无破损，无老化；</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GB5226-2002</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GBT5031-2008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2.各接地、接零保护装置符合要求；</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3.开关等配电装置齐全有效；</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4.绝缘良好；</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5.接闪器、避雷等接地装置良好,；</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6.动力电路和控制电路对地绝缘值不超过0.5兆欧；</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（十）机构油类</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1.减速机、卷扬机、回转机构、液压顶升系统部件齐全、工作正常；</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GBT5051-2008</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2.传动部位有防护罩；</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3.油箱有足够容量；</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 xml:space="preserve">4.油路无泄露、堵塞现象。 </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restart"/>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十一</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制</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动</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器</w:t>
            </w: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1.无可见裂纹;</w:t>
            </w:r>
          </w:p>
        </w:tc>
        <w:tc>
          <w:tcPr>
            <w:tcW w:w="0" w:type="auto"/>
            <w:vMerge w:val="restart"/>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GB5144-2006</w:t>
            </w:r>
          </w:p>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2.制动块摩擦衬垫磨损量未达原厚度的50%;</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3.制动轮表面磨损量未达1.5 mm ~2mm;</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0" w:type="auto"/>
            <w:vMerge w:val="continue"/>
            <w:vAlign w:val="center"/>
          </w:tcPr>
          <w:p>
            <w:pPr>
              <w:spacing w:after="0" w:afterLines="0" w:line="240" w:lineRule="auto"/>
              <w:ind w:firstLine="0" w:firstLineChars="0"/>
              <w:jc w:val="center"/>
              <w:rPr>
                <w:rFonts w:ascii="宋体" w:hAnsi="宋体" w:eastAsia="黑体" w:cs="Times New Roman"/>
              </w:rPr>
            </w:pPr>
          </w:p>
        </w:tc>
        <w:tc>
          <w:tcPr>
            <w:tcW w:w="0" w:type="auto"/>
            <w:gridSpan w:val="4"/>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4.弹簧未出现塑性变形;</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restart"/>
            <w:vAlign w:val="center"/>
          </w:tcPr>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十二</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安</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全</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距</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离</w:t>
            </w: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1.与建筑物周围施工设施之间距离≥0.5米；</w:t>
            </w:r>
          </w:p>
        </w:tc>
        <w:tc>
          <w:tcPr>
            <w:tcW w:w="0" w:type="auto"/>
            <w:vMerge w:val="restart"/>
            <w:vAlign w:val="center"/>
          </w:tcPr>
          <w:p>
            <w:pPr>
              <w:spacing w:after="0" w:afterLines="0" w:line="240" w:lineRule="auto"/>
              <w:ind w:firstLine="0" w:firstLineChars="0"/>
              <w:jc w:val="both"/>
              <w:rPr>
                <w:rFonts w:ascii="仿宋_GB2312" w:hAnsi="宋体" w:eastAsia="仿宋_GB2312" w:cs="Times New Roman"/>
              </w:rPr>
            </w:pPr>
            <w:r>
              <w:rPr>
                <w:rFonts w:hint="eastAsia" w:ascii="宋体" w:hAnsi="宋体" w:eastAsia="仿宋_GB2312" w:cs="Times New Roman"/>
              </w:rPr>
              <w:t>JGJ196-2010</w:t>
            </w:r>
          </w:p>
          <w:p>
            <w:pPr>
              <w:spacing w:after="0" w:afterLines="0" w:line="240" w:lineRule="auto"/>
              <w:ind w:firstLine="0" w:firstLineChars="0"/>
              <w:jc w:val="both"/>
              <w:rPr>
                <w:rFonts w:ascii="仿宋_GB2312"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0" w:type="auto"/>
            <w:vMerge w:val="continue"/>
            <w:vAlign w:val="center"/>
          </w:tcPr>
          <w:p>
            <w:pPr>
              <w:spacing w:after="0" w:afterLines="0" w:line="240" w:lineRule="auto"/>
              <w:ind w:firstLine="0" w:firstLineChars="0"/>
              <w:jc w:val="center"/>
              <w:rPr>
                <w:rFonts w:ascii="仿宋_GB2312" w:hAnsi="宋体" w:eastAsia="黑体" w:cs="Times New Roman"/>
              </w:rPr>
            </w:pP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2.多塔作业相互间应符合要求，有防碰撞措施；</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vAlign w:val="center"/>
          </w:tcPr>
          <w:p>
            <w:pPr>
              <w:spacing w:after="0" w:afterLines="0" w:line="240" w:lineRule="auto"/>
              <w:ind w:firstLine="0" w:firstLineChars="0"/>
              <w:jc w:val="center"/>
              <w:rPr>
                <w:rFonts w:ascii="仿宋_GB2312" w:hAnsi="宋体" w:eastAsia="黑体" w:cs="Times New Roman"/>
              </w:rPr>
            </w:pP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3.各部位与外电线路保持安全距离，达不到要求的必须按规定采取防护措施，防护措施应达到电业部门规定要求。</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0" w:type="auto"/>
            <w:vMerge w:val="restart"/>
            <w:vAlign w:val="center"/>
          </w:tcPr>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十三</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卷</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筒</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滑</w:t>
            </w:r>
          </w:p>
          <w:p>
            <w:pPr>
              <w:spacing w:after="0" w:afterLines="0" w:line="240" w:lineRule="auto"/>
              <w:ind w:firstLine="0" w:firstLineChars="0"/>
              <w:jc w:val="center"/>
              <w:rPr>
                <w:rFonts w:ascii="仿宋_GB2312" w:hAnsi="宋体" w:eastAsia="黑体" w:cs="Times New Roman"/>
              </w:rPr>
            </w:pPr>
            <w:r>
              <w:rPr>
                <w:rFonts w:hint="eastAsia" w:ascii="仿宋_GB2312" w:hAnsi="宋体" w:eastAsia="黑体" w:cs="Times New Roman"/>
              </w:rPr>
              <w:t>轮</w:t>
            </w: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1.卷筒两侧边沿的高度大于钢丝绳直径2倍；</w:t>
            </w:r>
          </w:p>
        </w:tc>
        <w:tc>
          <w:tcPr>
            <w:tcW w:w="0" w:type="auto"/>
            <w:vMerge w:val="restart"/>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GBT13752</w:t>
            </w:r>
          </w:p>
          <w:p>
            <w:pPr>
              <w:spacing w:after="0" w:afterLines="0" w:line="240" w:lineRule="auto"/>
              <w:ind w:firstLine="0" w:firstLineChars="0"/>
              <w:jc w:val="both"/>
              <w:rPr>
                <w:rFonts w:ascii="仿宋_GB2312" w:hAnsi="宋体" w:eastAsia="仿宋_GB2312" w:cs="Times New Roman"/>
              </w:rPr>
            </w:pPr>
            <w:r>
              <w:rPr>
                <w:rFonts w:hint="eastAsia" w:ascii="宋体" w:hAnsi="宋体" w:eastAsia="仿宋_GB2312" w:cs="Times New Roman"/>
              </w:rPr>
              <w:t>JGJ160-2008</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0" w:type="auto"/>
            <w:vMerge w:val="continue"/>
            <w:vAlign w:val="center"/>
          </w:tcPr>
          <w:p>
            <w:pPr>
              <w:spacing w:after="0" w:afterLines="0" w:line="240" w:lineRule="auto"/>
              <w:ind w:firstLine="0" w:firstLineChars="0"/>
              <w:jc w:val="center"/>
              <w:rPr>
                <w:rFonts w:ascii="仿宋_GB2312" w:hAnsi="宋体" w:eastAsia="黑体" w:cs="Times New Roman"/>
              </w:rPr>
            </w:pP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2.卷筒上的钢丝绳至少保留3圈；</w:t>
            </w:r>
          </w:p>
        </w:tc>
        <w:tc>
          <w:tcPr>
            <w:tcW w:w="0" w:type="auto"/>
            <w:vMerge w:val="continue"/>
            <w:vAlign w:val="center"/>
          </w:tcPr>
          <w:p>
            <w:pPr>
              <w:spacing w:after="0" w:afterLines="0" w:line="240" w:lineRule="auto"/>
              <w:ind w:firstLine="0" w:firstLineChars="0"/>
              <w:jc w:val="both"/>
              <w:rPr>
                <w:rFonts w:ascii="仿宋_GB2312"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0" w:type="auto"/>
            <w:vMerge w:val="continue"/>
            <w:vAlign w:val="center"/>
          </w:tcPr>
          <w:p>
            <w:pPr>
              <w:spacing w:after="0" w:afterLines="0" w:line="240" w:lineRule="auto"/>
              <w:ind w:firstLine="0" w:firstLineChars="0"/>
              <w:jc w:val="center"/>
              <w:rPr>
                <w:rFonts w:ascii="仿宋_GB2312" w:hAnsi="宋体" w:eastAsia="黑体" w:cs="Times New Roman"/>
              </w:rPr>
            </w:pP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3.滑轮应设有防绳跳槽装置，且与滑轮最外沿间隙不得超过钢丝绳直径的20％；</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0" w:type="auto"/>
            <w:vMerge w:val="continue"/>
            <w:vAlign w:val="center"/>
          </w:tcPr>
          <w:p>
            <w:pPr>
              <w:spacing w:after="0" w:afterLines="0" w:line="240" w:lineRule="auto"/>
              <w:ind w:firstLine="0" w:firstLineChars="0"/>
              <w:jc w:val="center"/>
              <w:rPr>
                <w:rFonts w:ascii="仿宋_GB2312" w:hAnsi="宋体" w:eastAsia="黑体" w:cs="Times New Roman"/>
              </w:rPr>
            </w:pPr>
          </w:p>
        </w:tc>
        <w:tc>
          <w:tcPr>
            <w:tcW w:w="0" w:type="auto"/>
            <w:gridSpan w:val="4"/>
            <w:vAlign w:val="center"/>
          </w:tcPr>
          <w:p>
            <w:pPr>
              <w:spacing w:after="0" w:afterLines="0" w:line="240" w:lineRule="auto"/>
              <w:ind w:firstLine="0" w:firstLineChars="0"/>
              <w:jc w:val="both"/>
              <w:rPr>
                <w:rFonts w:ascii="仿宋_GB2312" w:hAnsi="宋体" w:eastAsia="仿宋_GB2312" w:cs="Times New Roman"/>
              </w:rPr>
            </w:pPr>
            <w:r>
              <w:rPr>
                <w:rFonts w:hint="eastAsia" w:ascii="仿宋_GB2312" w:hAnsi="宋体" w:eastAsia="仿宋_GB2312" w:cs="Times New Roman"/>
              </w:rPr>
              <w:t>4.滑轮转动灵活、无卡塞现象。</w:t>
            </w:r>
          </w:p>
        </w:tc>
        <w:tc>
          <w:tcPr>
            <w:tcW w:w="0" w:type="auto"/>
            <w:vMerge w:val="continue"/>
            <w:vAlign w:val="center"/>
          </w:tcPr>
          <w:p>
            <w:pPr>
              <w:spacing w:after="0" w:afterLines="0" w:line="240" w:lineRule="auto"/>
              <w:ind w:firstLine="0" w:firstLineChars="0"/>
              <w:jc w:val="both"/>
              <w:rPr>
                <w:rFonts w:ascii="宋体" w:hAnsi="宋体" w:eastAsia="仿宋_GB2312" w:cs="Times New Roman"/>
              </w:rPr>
            </w:pP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0" w:type="auto"/>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十四</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持证上岗</w:t>
            </w:r>
          </w:p>
        </w:tc>
        <w:tc>
          <w:tcPr>
            <w:tcW w:w="0" w:type="auto"/>
            <w:gridSpan w:val="3"/>
            <w:vAlign w:val="center"/>
          </w:tcPr>
          <w:p>
            <w:pPr>
              <w:spacing w:after="0" w:afterLines="0" w:line="240" w:lineRule="auto"/>
              <w:ind w:firstLine="0" w:firstLineChars="0"/>
              <w:jc w:val="both"/>
              <w:rPr>
                <w:rFonts w:ascii="宋体" w:hAnsi="宋体" w:eastAsia="仿宋_GB2312" w:cs="Times New Roman"/>
              </w:rPr>
            </w:pPr>
            <w:r>
              <w:rPr>
                <w:rFonts w:hint="eastAsia" w:ascii="宋体" w:hAnsi="宋体" w:eastAsia="仿宋_GB2312" w:cs="Times New Roman"/>
              </w:rPr>
              <w:t>1.使用过程中塔吊司机必须持证上岗。</w:t>
            </w:r>
          </w:p>
        </w:tc>
        <w:tc>
          <w:tcPr>
            <w:tcW w:w="0" w:type="auto"/>
            <w:gridSpan w:val="2"/>
            <w:vAlign w:val="center"/>
          </w:tcPr>
          <w:p>
            <w:pPr>
              <w:spacing w:after="0" w:afterLines="0" w:line="240" w:lineRule="auto"/>
              <w:ind w:firstLine="0" w:firstLineChars="0"/>
              <w:jc w:val="both"/>
              <w:rPr>
                <w:rFonts w:ascii="宋体" w:hAnsi="宋体" w:eastAsia="仿宋_GB2312" w:cs="Times New Roman"/>
              </w:rPr>
            </w:pPr>
            <w:r>
              <w:rPr>
                <w:rFonts w:ascii="宋体" w:hAnsi="宋体" w:eastAsia="仿宋_GB2312" w:cs="Times New Roman"/>
              </w:rPr>
              <w:t>JGJ196-2010</w:t>
            </w:r>
          </w:p>
        </w:tc>
        <w:tc>
          <w:tcPr>
            <w:tcW w:w="0" w:type="auto"/>
            <w:vAlign w:val="center"/>
          </w:tcPr>
          <w:p>
            <w:pPr>
              <w:spacing w:after="0" w:afterLines="0" w:line="240" w:lineRule="auto"/>
              <w:ind w:firstLine="0" w:firstLineChars="0"/>
              <w:jc w:val="both"/>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0" w:type="auto"/>
            <w:tcBorders>
              <w:bottom w:val="single" w:color="auto" w:sz="4" w:space="0"/>
            </w:tcBorders>
            <w:vAlign w:val="center"/>
          </w:tcPr>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十五</w:t>
            </w:r>
          </w:p>
          <w:p>
            <w:pPr>
              <w:spacing w:after="0" w:afterLines="0" w:line="240" w:lineRule="auto"/>
              <w:ind w:firstLine="0" w:firstLineChars="0"/>
              <w:jc w:val="center"/>
              <w:rPr>
                <w:rFonts w:ascii="宋体" w:hAnsi="宋体" w:eastAsia="黑体" w:cs="Times New Roman"/>
              </w:rPr>
            </w:pPr>
            <w:r>
              <w:rPr>
                <w:rFonts w:hint="eastAsia" w:ascii="宋体" w:hAnsi="宋体" w:eastAsia="黑体" w:cs="Times New Roman"/>
              </w:rPr>
              <w:t>检查结论及整改措施</w:t>
            </w:r>
          </w:p>
        </w:tc>
        <w:tc>
          <w:tcPr>
            <w:tcW w:w="0" w:type="auto"/>
            <w:gridSpan w:val="6"/>
            <w:tcBorders>
              <w:bottom w:val="single" w:color="auto" w:sz="4" w:space="0"/>
            </w:tcBorders>
            <w:vAlign w:val="center"/>
          </w:tcPr>
          <w:p>
            <w:pPr>
              <w:spacing w:after="0" w:afterLines="0" w:line="240" w:lineRule="auto"/>
              <w:ind w:firstLine="0" w:firstLineChars="0"/>
              <w:jc w:val="both"/>
              <w:rPr>
                <w:rFonts w:ascii="宋体" w:hAnsi="宋体" w:eastAsia="黑体" w:cs="Times New Roman"/>
              </w:rPr>
            </w:pPr>
          </w:p>
          <w:p>
            <w:pPr>
              <w:spacing w:after="0" w:afterLines="0" w:line="240" w:lineRule="auto"/>
              <w:ind w:firstLine="0" w:firstLineChars="0"/>
              <w:jc w:val="both"/>
              <w:rPr>
                <w:rFonts w:ascii="宋体" w:hAnsi="宋体" w:eastAsia="黑体" w:cs="Times New Roman"/>
              </w:rPr>
            </w:pPr>
          </w:p>
          <w:p>
            <w:pPr>
              <w:spacing w:after="0" w:afterLines="0" w:line="240" w:lineRule="auto"/>
              <w:ind w:firstLine="0" w:firstLineChars="0"/>
              <w:jc w:val="both"/>
              <w:rPr>
                <w:rFonts w:ascii="宋体" w:hAnsi="宋体" w:eastAsia="黑体" w:cs="Times New Roman"/>
              </w:rPr>
            </w:pPr>
          </w:p>
          <w:p>
            <w:pPr>
              <w:spacing w:after="0" w:afterLines="0" w:line="240" w:lineRule="auto"/>
              <w:ind w:firstLine="0" w:firstLineChars="0"/>
              <w:jc w:val="both"/>
              <w:rPr>
                <w:rFonts w:ascii="宋体" w:hAnsi="宋体" w:eastAsia="黑体" w:cs="Times New Roman"/>
              </w:rPr>
            </w:pPr>
          </w:p>
          <w:p>
            <w:pPr>
              <w:spacing w:after="0" w:afterLines="0" w:line="240" w:lineRule="auto"/>
              <w:ind w:firstLine="0" w:firstLineChars="0"/>
              <w:jc w:val="both"/>
              <w:rPr>
                <w:rFonts w:ascii="宋体" w:hAnsi="宋体" w:eastAsia="黑体" w:cs="Times New Roman"/>
              </w:rPr>
            </w:pPr>
          </w:p>
        </w:tc>
      </w:tr>
    </w:tbl>
    <w:p>
      <w:pPr>
        <w:spacing w:after="0" w:afterLines="0" w:line="360" w:lineRule="auto"/>
        <w:ind w:firstLine="480"/>
        <w:jc w:val="both"/>
        <w:rPr>
          <w:rFonts w:ascii="宋体" w:hAnsi="宋体" w:eastAsia="宋体" w:cs="Times New Roman"/>
        </w:rPr>
      </w:pPr>
      <w:bookmarkStart w:id="480" w:name="_Toc528139744"/>
      <w:bookmarkEnd w:id="480"/>
    </w:p>
    <w:p>
      <w:pPr>
        <w:keepNext/>
        <w:keepLines/>
        <w:spacing w:after="120" w:line="360" w:lineRule="auto"/>
        <w:ind w:firstLine="240" w:firstLineChars="100"/>
        <w:jc w:val="both"/>
        <w:outlineLvl w:val="1"/>
        <w:rPr>
          <w:rFonts w:ascii="宋体" w:hAnsi="宋体" w:eastAsia="宋体" w:cs="Times New Roman"/>
        </w:rPr>
      </w:pPr>
      <w:bookmarkStart w:id="481" w:name="_Toc31098"/>
      <w:bookmarkStart w:id="482" w:name="_Toc528139745"/>
      <w:r>
        <w:rPr>
          <w:rFonts w:hint="eastAsia" w:ascii="宋体" w:hAnsi="宋体" w:eastAsia="宋体" w:cs="Times New Roman"/>
        </w:rPr>
        <w:t>7.3安全检查的整改</w:t>
      </w:r>
      <w:bookmarkEnd w:id="479"/>
      <w:bookmarkEnd w:id="481"/>
      <w:bookmarkEnd w:id="482"/>
    </w:p>
    <w:p>
      <w:pPr>
        <w:spacing w:after="0" w:afterLines="0" w:line="360" w:lineRule="auto"/>
        <w:ind w:firstLine="480"/>
        <w:jc w:val="both"/>
        <w:rPr>
          <w:rFonts w:ascii="宋体" w:hAnsi="宋体" w:eastAsia="宋体" w:cs="Times New Roman"/>
        </w:rPr>
      </w:pPr>
      <w:r>
        <w:rPr>
          <w:rFonts w:hint="eastAsia" w:ascii="宋体" w:hAnsi="宋体" w:eastAsia="宋体" w:cs="Times New Roman"/>
        </w:rPr>
        <w:t>安全隐患整改验收工作主要包括：隐患登记、整改、复查、销案。对检查出的安全隐患在安全隐患检查督查登记台账中登记，作为安全隐患整改复查依据，同时下发安全隐患整改意见书，要求隐患责任作业队定期、定人、定措施进行整改落实；对有可能即将发生的安全隐患，立即下令停工整改；对于现场违章作业、违章指挥行为，现场检查人员当场指出进行整改；负责整改的作业队、人员在整改完成后及时向本项目安全部门进行反馈信息，本项目安全部门立即进行复查，经复查合格后，进行销案。</w:t>
      </w:r>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每阶段检查过程均拍摄影像资料，不同期相同部位进行影像析对比，给出销案依据，正常安全施工。</w:t>
      </w:r>
    </w:p>
    <w:p>
      <w:pPr>
        <w:keepNext/>
        <w:keepLines/>
        <w:spacing w:after="120" w:line="360" w:lineRule="auto"/>
        <w:ind w:firstLine="240" w:firstLineChars="100"/>
        <w:jc w:val="both"/>
        <w:outlineLvl w:val="1"/>
        <w:rPr>
          <w:rFonts w:ascii="宋体" w:hAnsi="宋体" w:eastAsia="宋体" w:cs="Times New Roman"/>
        </w:rPr>
      </w:pPr>
      <w:bookmarkStart w:id="483" w:name="_Toc11024"/>
      <w:bookmarkStart w:id="484" w:name="_Toc528139746"/>
      <w:r>
        <w:rPr>
          <w:rFonts w:hint="eastAsia" w:ascii="宋体" w:hAnsi="宋体" w:eastAsia="宋体" w:cs="Times New Roman"/>
        </w:rPr>
        <w:t>7.4塔机验收</w:t>
      </w:r>
      <w:bookmarkEnd w:id="483"/>
      <w:bookmarkEnd w:id="484"/>
    </w:p>
    <w:p>
      <w:pPr>
        <w:spacing w:after="120" w:line="360" w:lineRule="auto"/>
        <w:ind w:firstLine="480"/>
        <w:outlineLvl w:val="2"/>
        <w:rPr>
          <w:rFonts w:ascii="宋体" w:hAnsi="宋体" w:eastAsia="宋体" w:cs="Times New Roman"/>
        </w:rPr>
      </w:pPr>
      <w:bookmarkStart w:id="485" w:name="_Toc528139747"/>
      <w:r>
        <w:rPr>
          <w:rFonts w:hint="eastAsia" w:ascii="宋体" w:hAnsi="宋体" w:eastAsia="宋体" w:cs="Times New Roman"/>
        </w:rPr>
        <w:t>7.4.1验收内容</w:t>
      </w:r>
      <w:bookmarkEnd w:id="485"/>
    </w:p>
    <w:p>
      <w:pPr>
        <w:spacing w:after="0" w:afterLines="0" w:line="360" w:lineRule="auto"/>
        <w:ind w:firstLine="0" w:firstLineChars="0"/>
        <w:jc w:val="center"/>
        <w:rPr>
          <w:rFonts w:ascii="宋体" w:hAnsi="宋体" w:eastAsia="宋体" w:cs="Times New Roman"/>
        </w:rPr>
      </w:pPr>
      <w:r>
        <w:rPr>
          <w:rFonts w:hint="eastAsia" w:ascii="宋体" w:hAnsi="宋体" w:eastAsia="宋体" w:cs="Times New Roman"/>
        </w:rPr>
        <w:t>表7.4－1 塔机验收表</w:t>
      </w:r>
    </w:p>
    <w:tbl>
      <w:tblPr>
        <w:tblStyle w:val="22"/>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16"/>
        <w:gridCol w:w="3544"/>
        <w:gridCol w:w="366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名称</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序号</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项目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要求</w:t>
            </w:r>
          </w:p>
        </w:tc>
        <w:tc>
          <w:tcPr>
            <w:tcW w:w="93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金属结构件</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主要结构件</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外观无明显裂纹、变形、严重磨损 与锈蚀</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主要连接螺栓</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齐全、紧固</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主要连接销轴</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连接可靠</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过渡节、塔身节、附着装置、过道、平台、栏杆、踏板等</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无严重锈蚀、缺损；栏杆高度符合要求</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梯子、护圈、休息平台</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梯子尺寸符合要求，外观完好无损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爬升与回转</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平衡阀或液压锁与油缸间连接</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平衡阀或液压锁且与油缸用硬管连接</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回转限位</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吊钩</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防脱钩保险装置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应完整、灵敏可靠</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钩体（裂纹、磨损、补焊、变形）</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磨损≤10%；开口变形≤15%；无裂纹、补焊</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滑轮及防钢丝绳跳绳装置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起升系统</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力矩限制器</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起升高度限位</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钢丝绳完好度</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符合GB/T5972-2006第3.5条</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超重量限制器</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滑轮防钢丝绳跳槽装置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6</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防脱钩装置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7</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绳筒两侧的边缘高度</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超过外层钢丝绳两倍直径</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变幅系统</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变幅限位</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钢丝绳完好度</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符合GB/T5972-2006第3.5条</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防变幅绳断绳装置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完好有效</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钢丝绳端部固定</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完好有效</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滑轮防跳绳装置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6</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小车防坠落保护</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7</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小车断绳保护装置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8</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小车行走端部挡架与缓冲</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9</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检修挂蓝</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电气及保护</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紧急断电开关</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非自动复位，且便于司机操作</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塔机专用开关箱</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安全装置的指示信号或声响报警信号</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完好可靠</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电源电缆与电缆保护</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电缆无破损、老化。电缆保护完好无损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5</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风速仪</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完好</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其它</w:t>
            </w: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1</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制动器</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符合要求</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2</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滑轮</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外观无破损、裂纹，无严重磨损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3</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卷筒</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外观无破损、裂纹，无严重磨损</w:t>
            </w:r>
          </w:p>
        </w:tc>
        <w:tc>
          <w:tcPr>
            <w:tcW w:w="930" w:type="dxa"/>
            <w:vAlign w:val="center"/>
          </w:tcPr>
          <w:p>
            <w:pPr>
              <w:spacing w:after="0" w:afterLines="0" w:line="240" w:lineRule="auto"/>
              <w:ind w:firstLine="0" w:firstLineChars="0"/>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pPr>
              <w:spacing w:after="0" w:afterLines="0" w:line="240" w:lineRule="auto"/>
              <w:ind w:firstLine="0" w:firstLineChars="0"/>
              <w:jc w:val="center"/>
              <w:rPr>
                <w:rFonts w:ascii="宋体" w:hAnsi="宋体" w:eastAsia="宋体" w:cs="Times New Roman"/>
              </w:rPr>
            </w:pPr>
          </w:p>
        </w:tc>
        <w:tc>
          <w:tcPr>
            <w:tcW w:w="716"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4</w:t>
            </w:r>
          </w:p>
        </w:tc>
        <w:tc>
          <w:tcPr>
            <w:tcW w:w="3544"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有可能伤人的活动零部件外露部分</w:t>
            </w:r>
          </w:p>
        </w:tc>
        <w:tc>
          <w:tcPr>
            <w:tcW w:w="3660" w:type="dxa"/>
            <w:vAlign w:val="center"/>
          </w:tcPr>
          <w:p>
            <w:pPr>
              <w:spacing w:after="0" w:afterLines="0" w:line="240" w:lineRule="auto"/>
              <w:ind w:firstLine="0" w:firstLineChars="0"/>
              <w:jc w:val="center"/>
              <w:rPr>
                <w:rFonts w:ascii="宋体" w:hAnsi="宋体" w:eastAsia="宋体" w:cs="Times New Roman"/>
              </w:rPr>
            </w:pPr>
            <w:r>
              <w:rPr>
                <w:rFonts w:hint="eastAsia" w:ascii="宋体" w:hAnsi="宋体" w:eastAsia="宋体" w:cs="Times New Roman"/>
              </w:rPr>
              <w:t>设防护罩</w:t>
            </w:r>
          </w:p>
        </w:tc>
        <w:tc>
          <w:tcPr>
            <w:tcW w:w="930" w:type="dxa"/>
            <w:vAlign w:val="center"/>
          </w:tcPr>
          <w:p>
            <w:pPr>
              <w:spacing w:after="0" w:afterLines="0" w:line="240" w:lineRule="auto"/>
              <w:ind w:firstLine="0" w:firstLineChars="0"/>
              <w:jc w:val="center"/>
              <w:rPr>
                <w:rFonts w:ascii="宋体" w:hAnsi="宋体" w:eastAsia="宋体" w:cs="Times New Roman"/>
              </w:rPr>
            </w:pPr>
          </w:p>
        </w:tc>
      </w:tr>
    </w:tbl>
    <w:p>
      <w:pPr>
        <w:spacing w:after="120" w:line="360" w:lineRule="auto"/>
        <w:ind w:firstLine="480"/>
        <w:outlineLvl w:val="2"/>
        <w:rPr>
          <w:rFonts w:ascii="宋体" w:hAnsi="宋体" w:eastAsia="宋体" w:cs="Times New Roman"/>
        </w:rPr>
      </w:pPr>
      <w:bookmarkStart w:id="486" w:name="_Toc528139748"/>
      <w:r>
        <w:rPr>
          <w:rFonts w:hint="eastAsia" w:ascii="宋体" w:hAnsi="宋体" w:eastAsia="宋体" w:cs="Times New Roman"/>
        </w:rPr>
        <w:t>7.4.2验收记录</w:t>
      </w:r>
      <w:bookmarkEnd w:id="486"/>
    </w:p>
    <w:p>
      <w:pPr>
        <w:pStyle w:val="43"/>
        <w:rPr>
          <w:color w:val="auto"/>
        </w:rPr>
      </w:pPr>
    </w:p>
    <w:p>
      <w:pPr>
        <w:snapToGrid w:val="0"/>
        <w:spacing w:after="0" w:afterLines="0" w:line="240" w:lineRule="auto"/>
        <w:ind w:right="420" w:firstLine="480"/>
        <w:jc w:val="center"/>
        <w:rPr>
          <w:rFonts w:ascii="宋体" w:hAnsi="宋体" w:eastAsia="宋体" w:cs="Times New Roman"/>
        </w:rPr>
      </w:pPr>
      <w:r>
        <w:rPr>
          <w:rFonts w:hint="eastAsia" w:ascii="黑体" w:hAnsi="宋体" w:eastAsia="黑体" w:cs="Times New Roman"/>
        </w:rPr>
        <w:t>施工设备进场验收记录</w:t>
      </w:r>
    </w:p>
    <w:p>
      <w:pPr>
        <w:spacing w:after="0" w:afterLines="0" w:line="360" w:lineRule="auto"/>
        <w:ind w:firstLine="480"/>
        <w:jc w:val="both"/>
        <w:rPr>
          <w:rFonts w:ascii="黑体" w:hAnsi="黑体" w:eastAsia="黑体" w:cs="黑体"/>
          <w:u w:val="single"/>
        </w:rPr>
      </w:pPr>
      <w:r>
        <w:rPr>
          <w:rFonts w:hint="eastAsia" w:ascii="黑体" w:hAnsi="黑体" w:eastAsia="黑体" w:cs="黑体"/>
        </w:rPr>
        <w:t>项目名称：</w:t>
      </w:r>
      <w:r>
        <w:rPr>
          <w:rFonts w:hint="eastAsia" w:ascii="黑体" w:hAnsi="黑体" w:eastAsia="黑体" w:cs="黑体"/>
          <w:u w:val="single"/>
        </w:rPr>
        <w:t xml:space="preserve">                                 </w:t>
      </w:r>
      <w:r>
        <w:rPr>
          <w:rFonts w:hint="eastAsia" w:ascii="黑体" w:hAnsi="黑体" w:eastAsia="黑体" w:cs="黑体"/>
        </w:rPr>
        <w:t xml:space="preserve">      编  号：</w:t>
      </w:r>
      <w:r>
        <w:rPr>
          <w:rFonts w:hint="eastAsia" w:ascii="黑体" w:hAnsi="黑体" w:eastAsia="黑体" w:cs="黑体"/>
          <w:u w:val="single"/>
        </w:rPr>
        <w:t xml:space="preserve">  　　　　　　　　　　　　　           </w:t>
      </w:r>
    </w:p>
    <w:p>
      <w:pPr>
        <w:spacing w:after="0" w:afterLines="0" w:line="360" w:lineRule="auto"/>
        <w:ind w:firstLine="480"/>
        <w:jc w:val="both"/>
        <w:rPr>
          <w:rFonts w:ascii="黑体" w:hAnsi="黑体" w:eastAsia="黑体" w:cs="黑体"/>
          <w:u w:val="single"/>
        </w:rPr>
      </w:pPr>
      <w:r>
        <w:rPr>
          <w:rFonts w:hint="eastAsia" w:ascii="黑体" w:hAnsi="黑体" w:eastAsia="黑体" w:cs="黑体"/>
        </w:rPr>
        <w:t>施工单位：</w:t>
      </w:r>
      <w:r>
        <w:rPr>
          <w:rFonts w:hint="eastAsia" w:ascii="黑体" w:hAnsi="黑体" w:eastAsia="黑体" w:cs="黑体"/>
          <w:u w:val="single"/>
        </w:rPr>
        <w:t xml:space="preserve">                          </w:t>
      </w:r>
      <w:r>
        <w:rPr>
          <w:rFonts w:hint="eastAsia" w:ascii="黑体" w:hAnsi="黑体" w:eastAsia="黑体" w:cs="黑体"/>
        </w:rPr>
        <w:t xml:space="preserve">             合同段：</w:t>
      </w:r>
      <w:r>
        <w:rPr>
          <w:rFonts w:hint="eastAsia" w:ascii="黑体" w:hAnsi="黑体" w:eastAsia="黑体" w:cs="黑体"/>
          <w:u w:val="single"/>
        </w:rPr>
        <w:t xml:space="preserve">                  </w:t>
      </w:r>
    </w:p>
    <w:tbl>
      <w:tblPr>
        <w:tblStyle w:val="22"/>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9"/>
        <w:gridCol w:w="2381"/>
        <w:gridCol w:w="1219"/>
        <w:gridCol w:w="1341"/>
        <w:gridCol w:w="54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87" w:type="dxa"/>
            <w:gridSpan w:val="2"/>
            <w:vAlign w:val="center"/>
          </w:tcPr>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施工单位</w:t>
            </w:r>
          </w:p>
        </w:tc>
        <w:tc>
          <w:tcPr>
            <w:tcW w:w="3600" w:type="dxa"/>
            <w:gridSpan w:val="2"/>
            <w:vAlign w:val="center"/>
          </w:tcPr>
          <w:p>
            <w:pPr>
              <w:snapToGrid w:val="0"/>
              <w:spacing w:after="0" w:afterLines="0" w:line="240" w:lineRule="auto"/>
              <w:ind w:firstLine="0" w:firstLineChars="0"/>
              <w:jc w:val="center"/>
              <w:rPr>
                <w:rFonts w:ascii="黑体" w:hAnsi="黑体" w:eastAsia="黑体" w:cs="黑体"/>
              </w:rPr>
            </w:pPr>
          </w:p>
        </w:tc>
        <w:tc>
          <w:tcPr>
            <w:tcW w:w="1341"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合同段</w:t>
            </w:r>
          </w:p>
        </w:tc>
        <w:tc>
          <w:tcPr>
            <w:tcW w:w="3340" w:type="dxa"/>
            <w:gridSpan w:val="2"/>
            <w:vAlign w:val="center"/>
          </w:tcPr>
          <w:p>
            <w:pPr>
              <w:snapToGrid w:val="0"/>
              <w:spacing w:after="0" w:afterLines="0" w:line="240" w:lineRule="auto"/>
              <w:ind w:firstLine="0" w:firstLineChars="0"/>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设备名称</w:t>
            </w:r>
          </w:p>
        </w:tc>
        <w:tc>
          <w:tcPr>
            <w:tcW w:w="3600"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塔机</w:t>
            </w:r>
          </w:p>
        </w:tc>
        <w:tc>
          <w:tcPr>
            <w:tcW w:w="1341"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型号/编号</w:t>
            </w:r>
          </w:p>
        </w:tc>
        <w:tc>
          <w:tcPr>
            <w:tcW w:w="3340" w:type="dxa"/>
            <w:gridSpan w:val="2"/>
            <w:vAlign w:val="center"/>
          </w:tcPr>
          <w:p>
            <w:pPr>
              <w:snapToGrid w:val="0"/>
              <w:spacing w:after="0" w:afterLines="0" w:line="240" w:lineRule="auto"/>
              <w:ind w:firstLine="0" w:firstLineChars="0"/>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使用地点</w:t>
            </w:r>
          </w:p>
        </w:tc>
        <w:tc>
          <w:tcPr>
            <w:tcW w:w="3600"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项目工地</w:t>
            </w:r>
          </w:p>
        </w:tc>
        <w:tc>
          <w:tcPr>
            <w:tcW w:w="1341"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验收日期</w:t>
            </w:r>
          </w:p>
        </w:tc>
        <w:tc>
          <w:tcPr>
            <w:tcW w:w="3340" w:type="dxa"/>
            <w:gridSpan w:val="2"/>
            <w:vAlign w:val="center"/>
          </w:tcPr>
          <w:p>
            <w:pPr>
              <w:snapToGrid w:val="0"/>
              <w:spacing w:after="0" w:afterLines="0" w:line="240" w:lineRule="auto"/>
              <w:ind w:firstLine="0" w:firstLineChars="0"/>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设备来源</w:t>
            </w:r>
          </w:p>
        </w:tc>
        <w:tc>
          <w:tcPr>
            <w:tcW w:w="3600"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bdr w:val="single" w:color="auto" w:sz="4" w:space="0"/>
              </w:rPr>
              <w:t xml:space="preserve">   </w:t>
            </w:r>
            <w:r>
              <w:rPr>
                <w:rFonts w:hint="eastAsia" w:ascii="黑体" w:hAnsi="黑体" w:eastAsia="黑体" w:cs="黑体"/>
              </w:rPr>
              <w:t xml:space="preserve"> 自有     </w:t>
            </w:r>
            <w:r>
              <w:rPr>
                <w:rFonts w:hint="eastAsia" w:ascii="黑体" w:hAnsi="黑体" w:eastAsia="黑体" w:cs="黑体"/>
                <w:bdr w:val="single" w:color="auto" w:sz="4" w:space="0"/>
              </w:rPr>
              <w:t xml:space="preserve">   </w:t>
            </w:r>
            <w:r>
              <w:rPr>
                <w:rFonts w:hint="eastAsia" w:ascii="黑体" w:hAnsi="黑体" w:eastAsia="黑体" w:cs="黑体"/>
              </w:rPr>
              <w:t>租赁</w:t>
            </w:r>
          </w:p>
        </w:tc>
        <w:tc>
          <w:tcPr>
            <w:tcW w:w="1341"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出租单位</w:t>
            </w:r>
          </w:p>
        </w:tc>
        <w:tc>
          <w:tcPr>
            <w:tcW w:w="3340"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重庆钱桥建筑设备租赁有限公司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安装单位</w:t>
            </w:r>
          </w:p>
        </w:tc>
        <w:tc>
          <w:tcPr>
            <w:tcW w:w="3600"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 xml:space="preserve">重庆钱桥建筑设备租赁有限公司 </w:t>
            </w:r>
          </w:p>
        </w:tc>
        <w:tc>
          <w:tcPr>
            <w:tcW w:w="1341" w:type="dxa"/>
            <w:vAlign w:val="center"/>
          </w:tcPr>
          <w:p>
            <w:pPr>
              <w:snapToGrid w:val="0"/>
              <w:spacing w:after="0" w:afterLines="0" w:line="240" w:lineRule="auto"/>
              <w:ind w:firstLine="0" w:firstLineChars="0"/>
              <w:jc w:val="center"/>
              <w:rPr>
                <w:rFonts w:ascii="黑体" w:hAnsi="黑体" w:eastAsia="黑体" w:cs="黑体"/>
                <w:spacing w:val="-20"/>
              </w:rPr>
            </w:pPr>
            <w:r>
              <w:rPr>
                <w:rFonts w:hint="eastAsia" w:ascii="黑体" w:hAnsi="黑体" w:eastAsia="黑体" w:cs="黑体"/>
                <w:spacing w:val="-20"/>
              </w:rPr>
              <w:t>安装单位资质</w:t>
            </w:r>
          </w:p>
        </w:tc>
        <w:tc>
          <w:tcPr>
            <w:tcW w:w="3340" w:type="dxa"/>
            <w:gridSpan w:val="2"/>
            <w:vAlign w:val="center"/>
          </w:tcPr>
          <w:p>
            <w:pPr>
              <w:snapToGrid w:val="0"/>
              <w:spacing w:after="0" w:afterLines="0" w:line="240" w:lineRule="auto"/>
              <w:ind w:firstLine="0" w:firstLineChars="0"/>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7"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检测单位</w:t>
            </w:r>
          </w:p>
        </w:tc>
        <w:tc>
          <w:tcPr>
            <w:tcW w:w="3600" w:type="dxa"/>
            <w:gridSpan w:val="2"/>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 xml:space="preserve"> </w:t>
            </w:r>
          </w:p>
        </w:tc>
        <w:tc>
          <w:tcPr>
            <w:tcW w:w="1341" w:type="dxa"/>
            <w:vAlign w:val="center"/>
          </w:tcPr>
          <w:p>
            <w:pPr>
              <w:snapToGrid w:val="0"/>
              <w:spacing w:after="0" w:afterLines="0" w:line="240" w:lineRule="auto"/>
              <w:ind w:firstLine="0" w:firstLineChars="0"/>
              <w:jc w:val="center"/>
              <w:rPr>
                <w:rFonts w:ascii="黑体" w:hAnsi="黑体" w:eastAsia="黑体" w:cs="黑体"/>
                <w:spacing w:val="-20"/>
              </w:rPr>
            </w:pPr>
            <w:r>
              <w:rPr>
                <w:rFonts w:hint="eastAsia" w:ascii="黑体" w:hAnsi="黑体" w:eastAsia="黑体" w:cs="黑体"/>
                <w:spacing w:val="-20"/>
              </w:rPr>
              <w:t>检测单位资质</w:t>
            </w:r>
          </w:p>
        </w:tc>
        <w:tc>
          <w:tcPr>
            <w:tcW w:w="3340" w:type="dxa"/>
            <w:gridSpan w:val="2"/>
            <w:vAlign w:val="center"/>
          </w:tcPr>
          <w:p>
            <w:pPr>
              <w:snapToGrid w:val="0"/>
              <w:spacing w:after="0" w:afterLines="0" w:line="240" w:lineRule="auto"/>
              <w:ind w:firstLine="0" w:firstLineChars="0"/>
              <w:jc w:val="center"/>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468"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验收意见及结论</w:t>
            </w:r>
          </w:p>
        </w:tc>
        <w:tc>
          <w:tcPr>
            <w:tcW w:w="9000" w:type="dxa"/>
            <w:gridSpan w:val="6"/>
          </w:tcPr>
          <w:p>
            <w:pPr>
              <w:snapToGrid w:val="0"/>
              <w:spacing w:after="0" w:afterLines="0" w:line="240" w:lineRule="auto"/>
              <w:ind w:firstLine="0" w:firstLineChars="0"/>
              <w:jc w:val="both"/>
              <w:rPr>
                <w:rFonts w:ascii="黑体" w:hAnsi="黑体" w:eastAsia="黑体"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68"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附件</w:t>
            </w:r>
          </w:p>
        </w:tc>
        <w:tc>
          <w:tcPr>
            <w:tcW w:w="9000" w:type="dxa"/>
            <w:gridSpan w:val="6"/>
            <w:vAlign w:val="center"/>
          </w:tcPr>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 xml:space="preserve">1. </w:t>
            </w:r>
            <w:r>
              <w:rPr>
                <w:rFonts w:hint="eastAsia" w:ascii="黑体" w:hAnsi="黑体" w:eastAsia="黑体" w:cs="黑体"/>
                <w:bdr w:val="single" w:color="auto" w:sz="4" w:space="0"/>
              </w:rPr>
              <w:t xml:space="preserve">   </w:t>
            </w:r>
            <w:r>
              <w:rPr>
                <w:rFonts w:hint="eastAsia" w:ascii="黑体" w:hAnsi="黑体" w:eastAsia="黑体" w:cs="黑体"/>
              </w:rPr>
              <w:t xml:space="preserve"> 设备生产（制造）许可证、产品合格证复印件； 2. </w:t>
            </w:r>
            <w:r>
              <w:rPr>
                <w:rFonts w:hint="eastAsia" w:ascii="黑体" w:hAnsi="黑体" w:eastAsia="黑体" w:cs="黑体"/>
                <w:bdr w:val="single" w:color="auto" w:sz="4" w:space="0"/>
              </w:rPr>
              <w:t xml:space="preserve">   </w:t>
            </w:r>
            <w:r>
              <w:rPr>
                <w:rFonts w:hint="eastAsia" w:ascii="黑体" w:hAnsi="黑体" w:eastAsia="黑体" w:cs="黑体"/>
              </w:rPr>
              <w:t xml:space="preserve"> 检测单位检测报告；</w:t>
            </w: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 xml:space="preserve">3. </w:t>
            </w:r>
            <w:r>
              <w:rPr>
                <w:rFonts w:hint="eastAsia" w:ascii="黑体" w:hAnsi="黑体" w:eastAsia="黑体" w:cs="黑体"/>
                <w:bdr w:val="single" w:color="auto" w:sz="4" w:space="0"/>
              </w:rPr>
              <w:t xml:space="preserve">   </w:t>
            </w:r>
            <w:r>
              <w:rPr>
                <w:rFonts w:hint="eastAsia" w:ascii="黑体" w:hAnsi="黑体" w:eastAsia="黑体" w:cs="黑体"/>
              </w:rPr>
              <w:t xml:space="preserve"> 安装单位资质证书复印件；                   4. </w:t>
            </w:r>
            <w:r>
              <w:rPr>
                <w:rFonts w:hint="eastAsia" w:ascii="黑体" w:hAnsi="黑体" w:eastAsia="黑体" w:cs="黑体"/>
                <w:bdr w:val="single" w:color="auto" w:sz="4" w:space="0"/>
              </w:rPr>
              <w:t xml:space="preserve">   </w:t>
            </w:r>
            <w:r>
              <w:rPr>
                <w:rFonts w:hint="eastAsia" w:ascii="黑体" w:hAnsi="黑体" w:eastAsia="黑体" w:cs="黑体"/>
              </w:rPr>
              <w:t xml:space="preserve"> 检测单位资质证书复印件；</w:t>
            </w: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 xml:space="preserve">5. </w:t>
            </w:r>
            <w:r>
              <w:rPr>
                <w:rFonts w:hint="eastAsia" w:ascii="黑体" w:hAnsi="黑体" w:eastAsia="黑体" w:cs="黑体"/>
                <w:bdr w:val="single" w:color="auto" w:sz="4" w:space="0"/>
              </w:rPr>
              <w:t xml:space="preserve">   </w:t>
            </w:r>
            <w:r>
              <w:rPr>
                <w:rFonts w:hint="eastAsia" w:ascii="黑体" w:hAnsi="黑体" w:eastAsia="黑体" w:cs="黑体"/>
              </w:rPr>
              <w:t xml:space="preserve"> 设备操作规程。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8" w:hRule="atLeast"/>
        </w:trPr>
        <w:tc>
          <w:tcPr>
            <w:tcW w:w="468" w:type="dxa"/>
            <w:vAlign w:val="center"/>
          </w:tcPr>
          <w:p>
            <w:pPr>
              <w:snapToGrid w:val="0"/>
              <w:spacing w:after="0" w:afterLines="0" w:line="240" w:lineRule="auto"/>
              <w:ind w:firstLine="0" w:firstLineChars="0"/>
              <w:jc w:val="center"/>
              <w:rPr>
                <w:rFonts w:ascii="黑体" w:hAnsi="黑体" w:eastAsia="黑体" w:cs="黑体"/>
              </w:rPr>
            </w:pPr>
            <w:r>
              <w:rPr>
                <w:rFonts w:hint="eastAsia" w:ascii="黑体" w:hAnsi="黑体" w:eastAsia="黑体" w:cs="黑体"/>
              </w:rPr>
              <w:t>参加验收单位及人员</w:t>
            </w:r>
          </w:p>
        </w:tc>
        <w:tc>
          <w:tcPr>
            <w:tcW w:w="3100" w:type="dxa"/>
            <w:gridSpan w:val="2"/>
          </w:tcPr>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施工（承租）单位：</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专职安全员：</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验收负责人：</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年   月  日</w:t>
            </w:r>
          </w:p>
        </w:tc>
        <w:tc>
          <w:tcPr>
            <w:tcW w:w="3100" w:type="dxa"/>
            <w:gridSpan w:val="3"/>
          </w:tcPr>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安装单位：</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验收负责人：</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年   月  日</w:t>
            </w:r>
          </w:p>
        </w:tc>
        <w:tc>
          <w:tcPr>
            <w:tcW w:w="2800" w:type="dxa"/>
          </w:tcPr>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出租单位：</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both"/>
              <w:rPr>
                <w:rFonts w:ascii="黑体" w:hAnsi="黑体" w:eastAsia="黑体" w:cs="黑体"/>
              </w:rPr>
            </w:pPr>
            <w:r>
              <w:rPr>
                <w:rFonts w:hint="eastAsia" w:ascii="黑体" w:hAnsi="黑体" w:eastAsia="黑体" w:cs="黑体"/>
              </w:rPr>
              <w:t>验收负责人：</w:t>
            </w:r>
          </w:p>
          <w:p>
            <w:pPr>
              <w:snapToGrid w:val="0"/>
              <w:spacing w:after="0" w:afterLines="0" w:line="240" w:lineRule="auto"/>
              <w:ind w:firstLine="0" w:firstLineChars="0"/>
              <w:jc w:val="both"/>
              <w:rPr>
                <w:rFonts w:ascii="黑体" w:hAnsi="黑体" w:eastAsia="黑体" w:cs="黑体"/>
              </w:rPr>
            </w:pPr>
          </w:p>
          <w:p>
            <w:pPr>
              <w:snapToGrid w:val="0"/>
              <w:spacing w:after="0" w:afterLines="0" w:line="240" w:lineRule="auto"/>
              <w:ind w:firstLine="0" w:firstLineChars="0"/>
              <w:jc w:val="right"/>
              <w:rPr>
                <w:rFonts w:ascii="黑体" w:hAnsi="黑体" w:eastAsia="黑体" w:cs="黑体"/>
              </w:rPr>
            </w:pPr>
            <w:r>
              <w:rPr>
                <w:rFonts w:hint="eastAsia" w:ascii="黑体" w:hAnsi="黑体" w:eastAsia="黑体" w:cs="黑体"/>
              </w:rPr>
              <w:t>年   月  日</w:t>
            </w:r>
          </w:p>
        </w:tc>
      </w:tr>
    </w:tbl>
    <w:p>
      <w:pPr>
        <w:spacing w:after="0" w:afterLines="0" w:line="240" w:lineRule="auto"/>
        <w:ind w:firstLine="480"/>
        <w:jc w:val="both"/>
        <w:rPr>
          <w:rFonts w:ascii="仿宋_GB2312" w:hAnsi="宋体" w:eastAsia="仿宋_GB2312" w:cs="Times New Roman"/>
        </w:rPr>
      </w:pPr>
      <w:r>
        <w:rPr>
          <w:rFonts w:hint="eastAsia" w:ascii="仿宋_GB2312" w:hAnsi="宋体" w:eastAsia="仿宋_GB2312" w:cs="Times New Roman"/>
        </w:rPr>
        <w:t xml:space="preserve"> 注：设备进场后验收。</w:t>
      </w:r>
    </w:p>
    <w:p>
      <w:pPr>
        <w:autoSpaceDE w:val="0"/>
        <w:autoSpaceDN w:val="0"/>
        <w:adjustRightInd w:val="0"/>
        <w:spacing w:after="120" w:line="360" w:lineRule="auto"/>
        <w:ind w:firstLine="480"/>
        <w:rPr>
          <w:rFonts w:ascii="宋体" w:hAnsi="宋体" w:eastAsia="宋体" w:cs="宋体"/>
          <w:kern w:val="0"/>
        </w:rPr>
      </w:pPr>
    </w:p>
    <w:bookmarkEnd w:id="55"/>
    <w:p>
      <w:pPr>
        <w:keepNext/>
        <w:keepLines/>
        <w:numPr>
          <w:ilvl w:val="0"/>
          <w:numId w:val="11"/>
        </w:numPr>
        <w:spacing w:after="120" w:line="360" w:lineRule="auto"/>
        <w:ind w:firstLine="0" w:firstLineChars="0"/>
        <w:jc w:val="both"/>
        <w:outlineLvl w:val="0"/>
        <w:rPr>
          <w:rFonts w:ascii="宋体" w:hAnsi="宋体" w:eastAsia="宋体" w:cs="Times New Roman"/>
          <w:kern w:val="44"/>
        </w:rPr>
      </w:pPr>
      <w:bookmarkStart w:id="487" w:name="_Toc3489"/>
      <w:r>
        <w:rPr>
          <w:rFonts w:hint="eastAsia" w:ascii="宋体" w:hAnsi="宋体" w:eastAsia="宋体" w:cs="Times New Roman"/>
          <w:kern w:val="44"/>
        </w:rPr>
        <w:t>监测监控措施</w:t>
      </w:r>
      <w:bookmarkEnd w:id="487"/>
    </w:p>
    <w:p>
      <w:pPr>
        <w:keepNext/>
        <w:keepLines/>
        <w:spacing w:after="120" w:line="360" w:lineRule="auto"/>
        <w:ind w:firstLine="240" w:firstLineChars="100"/>
        <w:jc w:val="both"/>
        <w:outlineLvl w:val="3"/>
        <w:rPr>
          <w:rFonts w:ascii="宋体" w:hAnsi="宋体" w:eastAsia="宋体" w:cs="Times New Roman"/>
        </w:rPr>
      </w:pPr>
      <w:bookmarkStart w:id="488" w:name="_Toc4389"/>
      <w:r>
        <w:rPr>
          <w:rFonts w:hint="eastAsia" w:ascii="宋体" w:hAnsi="宋体" w:eastAsia="宋体" w:cs="Times New Roman"/>
        </w:rPr>
        <w:t>8.1.监测项目</w:t>
      </w:r>
      <w:bookmarkEnd w:id="488"/>
    </w:p>
    <w:p>
      <w:pPr>
        <w:spacing w:after="0" w:afterLines="0" w:line="360" w:lineRule="auto"/>
        <w:ind w:firstLine="480"/>
        <w:jc w:val="both"/>
        <w:rPr>
          <w:rFonts w:ascii="宋体" w:hAnsi="宋体" w:eastAsia="宋体" w:cs="Times New Roman"/>
        </w:rPr>
      </w:pPr>
      <w:r>
        <w:rPr>
          <w:rFonts w:hint="eastAsia" w:ascii="宋体" w:hAnsi="宋体" w:eastAsia="宋体" w:cs="Times New Roman"/>
        </w:rPr>
        <w:t>根据本工程特点，塔吊监测的主要内容主要为塔吊塔身垂直度监测、基础沉降监测、 基础位移监测、塔机所有安全装置的监测。</w:t>
      </w:r>
    </w:p>
    <w:p>
      <w:pPr>
        <w:spacing w:before="75" w:after="0" w:afterLines="0" w:line="229" w:lineRule="auto"/>
        <w:ind w:firstLine="240" w:firstLineChars="100"/>
        <w:jc w:val="both"/>
        <w:outlineLvl w:val="3"/>
        <w:rPr>
          <w:rFonts w:ascii="宋体" w:hAnsi="宋体" w:eastAsia="宋体" w:cs="Times New Roman"/>
        </w:rPr>
      </w:pPr>
      <w:r>
        <w:rPr>
          <w:rFonts w:hint="eastAsia" w:ascii="宋体" w:hAnsi="宋体" w:eastAsia="宋体" w:cs="Times New Roman"/>
        </w:rPr>
        <w:t>8.2监测人员配备</w:t>
      </w:r>
    </w:p>
    <w:p>
      <w:pPr>
        <w:autoSpaceDE w:val="0"/>
        <w:autoSpaceDN w:val="0"/>
        <w:adjustRightInd w:val="0"/>
        <w:spacing w:after="120" w:line="360" w:lineRule="auto"/>
        <w:ind w:firstLine="0" w:firstLineChars="0"/>
        <w:rPr>
          <w:rFonts w:ascii="宋体" w:hAnsi="宋体" w:eastAsia="宋体" w:cs="Times New Roman"/>
        </w:rPr>
      </w:pPr>
    </w:p>
    <w:p>
      <w:pPr>
        <w:spacing w:after="0" w:afterLines="0" w:line="360" w:lineRule="auto"/>
        <w:ind w:firstLine="480"/>
        <w:jc w:val="both"/>
        <w:rPr>
          <w:rFonts w:ascii="宋体" w:hAnsi="宋体" w:eastAsia="宋体" w:cs="Times New Roman"/>
        </w:rPr>
      </w:pPr>
    </w:p>
    <w:tbl>
      <w:tblPr>
        <w:tblStyle w:val="57"/>
        <w:tblW w:w="90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513"/>
        <w:gridCol w:w="5475"/>
        <w:gridCol w:w="1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984" w:type="dxa"/>
            <w:shd w:val="clear" w:color="auto" w:fill="D9D9D9"/>
          </w:tcPr>
          <w:p>
            <w:pPr>
              <w:spacing w:before="156" w:after="0" w:afterLines="0" w:line="228" w:lineRule="auto"/>
              <w:ind w:firstLine="500"/>
              <w:jc w:val="both"/>
              <w:rPr>
                <w:rFonts w:ascii="宋体" w:hAnsi="宋体" w:eastAsia="宋体" w:cs="宋体"/>
              </w:rPr>
            </w:pPr>
            <w:r>
              <w:rPr>
                <w:rFonts w:ascii="宋体" w:hAnsi="宋体" w:eastAsia="宋体" w:cs="宋体"/>
                <w:spacing w:val="5"/>
              </w:rPr>
              <w:t>姓</w:t>
            </w:r>
            <w:r>
              <w:rPr>
                <w:rFonts w:ascii="宋体" w:hAnsi="宋体" w:eastAsia="宋体" w:cs="宋体"/>
                <w:spacing w:val="4"/>
              </w:rPr>
              <w:t>名</w:t>
            </w:r>
          </w:p>
        </w:tc>
        <w:tc>
          <w:tcPr>
            <w:tcW w:w="1513" w:type="dxa"/>
            <w:shd w:val="clear" w:color="auto" w:fill="D9D9D9"/>
          </w:tcPr>
          <w:p>
            <w:pPr>
              <w:spacing w:before="156" w:after="0" w:afterLines="0" w:line="228" w:lineRule="auto"/>
              <w:ind w:firstLine="496"/>
              <w:jc w:val="both"/>
              <w:rPr>
                <w:rFonts w:ascii="宋体" w:hAnsi="宋体" w:eastAsia="宋体" w:cs="宋体"/>
              </w:rPr>
            </w:pPr>
            <w:r>
              <w:rPr>
                <w:rFonts w:ascii="宋体" w:hAnsi="宋体" w:eastAsia="宋体" w:cs="宋体"/>
                <w:spacing w:val="4"/>
              </w:rPr>
              <w:t>职务</w:t>
            </w:r>
          </w:p>
        </w:tc>
        <w:tc>
          <w:tcPr>
            <w:tcW w:w="5475" w:type="dxa"/>
            <w:shd w:val="clear" w:color="auto" w:fill="D9D9D9"/>
            <w:vAlign w:val="center"/>
          </w:tcPr>
          <w:p>
            <w:pPr>
              <w:spacing w:before="156" w:after="0" w:afterLines="0" w:line="228" w:lineRule="auto"/>
              <w:ind w:firstLine="0" w:firstLineChars="0"/>
              <w:jc w:val="center"/>
              <w:rPr>
                <w:rFonts w:ascii="宋体" w:hAnsi="宋体" w:eastAsia="宋体" w:cs="宋体"/>
              </w:rPr>
            </w:pPr>
            <w:r>
              <w:rPr>
                <w:rFonts w:ascii="宋体" w:hAnsi="宋体" w:eastAsia="宋体" w:cs="宋体"/>
                <w:spacing w:val="7"/>
              </w:rPr>
              <w:t>工作内</w:t>
            </w:r>
            <w:r>
              <w:rPr>
                <w:rFonts w:ascii="宋体" w:hAnsi="宋体" w:eastAsia="宋体" w:cs="宋体"/>
                <w:spacing w:val="6"/>
              </w:rPr>
              <w:t>容</w:t>
            </w:r>
          </w:p>
        </w:tc>
        <w:tc>
          <w:tcPr>
            <w:tcW w:w="1074" w:type="dxa"/>
            <w:shd w:val="clear" w:color="auto" w:fill="D9D9D9"/>
            <w:vAlign w:val="center"/>
          </w:tcPr>
          <w:p>
            <w:pPr>
              <w:spacing w:before="156" w:after="0" w:afterLines="0" w:line="229" w:lineRule="auto"/>
              <w:ind w:firstLine="496"/>
              <w:jc w:val="both"/>
              <w:rPr>
                <w:rFonts w:ascii="宋体" w:hAnsi="宋体" w:eastAsia="宋体" w:cs="宋体"/>
              </w:rPr>
            </w:pPr>
            <w:r>
              <w:rPr>
                <w:rFonts w:ascii="宋体" w:hAnsi="宋体" w:eastAsia="宋体" w:cs="宋体"/>
                <w:spacing w:val="4"/>
              </w:rPr>
              <w:t>备</w:t>
            </w:r>
            <w:r>
              <w:rPr>
                <w:rFonts w:ascii="宋体" w:hAnsi="宋体" w:eastAsia="宋体" w:cs="宋体"/>
                <w:spacing w:val="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984"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李玉成</w:t>
            </w:r>
          </w:p>
        </w:tc>
        <w:tc>
          <w:tcPr>
            <w:tcW w:w="1513"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8"/>
              </w:rPr>
              <w:t>项目</w:t>
            </w:r>
            <w:r>
              <w:rPr>
                <w:rFonts w:ascii="宋体" w:hAnsi="宋体" w:eastAsia="宋体" w:cs="宋体"/>
                <w:spacing w:val="7"/>
              </w:rPr>
              <w:t>负责人</w:t>
            </w:r>
          </w:p>
        </w:tc>
        <w:tc>
          <w:tcPr>
            <w:tcW w:w="5475"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10"/>
              </w:rPr>
              <w:t>负</w:t>
            </w:r>
            <w:r>
              <w:rPr>
                <w:rFonts w:ascii="宋体" w:hAnsi="宋体" w:eastAsia="宋体" w:cs="宋体"/>
                <w:spacing w:val="9"/>
              </w:rPr>
              <w:t>责塔吊审核塔吊安装方案中所需监测数据</w:t>
            </w:r>
          </w:p>
        </w:tc>
        <w:tc>
          <w:tcPr>
            <w:tcW w:w="1074" w:type="dxa"/>
            <w:vAlign w:val="center"/>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jc w:val="center"/>
        </w:trPr>
        <w:tc>
          <w:tcPr>
            <w:tcW w:w="984" w:type="dxa"/>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rPr>
              <w:t>张存祥</w:t>
            </w:r>
          </w:p>
        </w:tc>
        <w:tc>
          <w:tcPr>
            <w:tcW w:w="1513" w:type="dxa"/>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7"/>
              </w:rPr>
              <w:t>技术总工</w:t>
            </w:r>
          </w:p>
        </w:tc>
        <w:tc>
          <w:tcPr>
            <w:tcW w:w="5475"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5"/>
                <w:position w:val="23"/>
              </w:rPr>
              <w:t>负责协调工作、监管测量员与安装单位对塔吊安装前、中、后的相关数据进行测量，并制作测量表格，收集监测资料。</w:t>
            </w:r>
          </w:p>
        </w:tc>
        <w:tc>
          <w:tcPr>
            <w:tcW w:w="1074" w:type="dxa"/>
            <w:vAlign w:val="center"/>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984"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刘云祥</w:t>
            </w:r>
          </w:p>
        </w:tc>
        <w:tc>
          <w:tcPr>
            <w:tcW w:w="1513"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7"/>
              </w:rPr>
              <w:t>安</w:t>
            </w:r>
            <w:r>
              <w:rPr>
                <w:rFonts w:ascii="宋体" w:hAnsi="宋体" w:eastAsia="宋体" w:cs="宋体"/>
                <w:spacing w:val="6"/>
              </w:rPr>
              <w:t>全总监</w:t>
            </w:r>
          </w:p>
        </w:tc>
        <w:tc>
          <w:tcPr>
            <w:tcW w:w="5475"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9"/>
              </w:rPr>
              <w:t>负责塔吊安装过程中</w:t>
            </w:r>
            <w:r>
              <w:rPr>
                <w:rFonts w:ascii="宋体" w:hAnsi="宋体" w:eastAsia="宋体" w:cs="宋体"/>
                <w:spacing w:val="8"/>
              </w:rPr>
              <w:t>的安全监管</w:t>
            </w:r>
          </w:p>
        </w:tc>
        <w:tc>
          <w:tcPr>
            <w:tcW w:w="1074" w:type="dxa"/>
            <w:vAlign w:val="center"/>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984"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罗乾龙</w:t>
            </w:r>
          </w:p>
        </w:tc>
        <w:tc>
          <w:tcPr>
            <w:tcW w:w="1513"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7"/>
              </w:rPr>
              <w:t>测量组长</w:t>
            </w:r>
          </w:p>
        </w:tc>
        <w:tc>
          <w:tcPr>
            <w:tcW w:w="5475"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9"/>
              </w:rPr>
              <w:t>负责塔吊安装过程中</w:t>
            </w:r>
            <w:r>
              <w:rPr>
                <w:rFonts w:ascii="宋体" w:hAnsi="宋体" w:eastAsia="宋体" w:cs="宋体"/>
                <w:spacing w:val="8"/>
              </w:rPr>
              <w:t>的测量工作</w:t>
            </w:r>
          </w:p>
        </w:tc>
        <w:tc>
          <w:tcPr>
            <w:tcW w:w="1074" w:type="dxa"/>
            <w:vAlign w:val="center"/>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984"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杨治丹</w:t>
            </w:r>
          </w:p>
        </w:tc>
        <w:tc>
          <w:tcPr>
            <w:tcW w:w="1513"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7"/>
              </w:rPr>
              <w:t>安</w:t>
            </w:r>
            <w:r>
              <w:rPr>
                <w:rFonts w:ascii="宋体" w:hAnsi="宋体" w:eastAsia="宋体" w:cs="宋体"/>
                <w:spacing w:val="6"/>
              </w:rPr>
              <w:t>全部长</w:t>
            </w:r>
          </w:p>
        </w:tc>
        <w:tc>
          <w:tcPr>
            <w:tcW w:w="5475"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9"/>
              </w:rPr>
              <w:t>负责塔吊安装过程中</w:t>
            </w:r>
            <w:r>
              <w:rPr>
                <w:rFonts w:ascii="宋体" w:hAnsi="宋体" w:eastAsia="宋体" w:cs="宋体"/>
                <w:spacing w:val="8"/>
              </w:rPr>
              <w:t>的安全监管</w:t>
            </w:r>
          </w:p>
        </w:tc>
        <w:tc>
          <w:tcPr>
            <w:tcW w:w="1074" w:type="dxa"/>
            <w:vAlign w:val="center"/>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jc w:val="center"/>
        </w:trPr>
        <w:tc>
          <w:tcPr>
            <w:tcW w:w="984" w:type="dxa"/>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rPr>
              <w:t>吕仕昌</w:t>
            </w:r>
          </w:p>
        </w:tc>
        <w:tc>
          <w:tcPr>
            <w:tcW w:w="1513"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安装单位现场负责人</w:t>
            </w:r>
          </w:p>
        </w:tc>
        <w:tc>
          <w:tcPr>
            <w:tcW w:w="5475" w:type="dxa"/>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9"/>
              </w:rPr>
              <w:t>负责编制塔吊方案中</w:t>
            </w:r>
            <w:r>
              <w:rPr>
                <w:rFonts w:ascii="宋体" w:hAnsi="宋体" w:eastAsia="宋体" w:cs="宋体"/>
                <w:spacing w:val="8"/>
              </w:rPr>
              <w:t>的检测数据</w:t>
            </w:r>
          </w:p>
        </w:tc>
        <w:tc>
          <w:tcPr>
            <w:tcW w:w="1074" w:type="dxa"/>
            <w:vAlign w:val="center"/>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984" w:type="dxa"/>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熊登</w:t>
            </w:r>
          </w:p>
        </w:tc>
        <w:tc>
          <w:tcPr>
            <w:tcW w:w="1513"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7"/>
              </w:rPr>
              <w:t>安</w:t>
            </w:r>
            <w:r>
              <w:rPr>
                <w:rFonts w:ascii="宋体" w:hAnsi="宋体" w:eastAsia="宋体" w:cs="宋体"/>
                <w:spacing w:val="6"/>
              </w:rPr>
              <w:t>拆工长</w:t>
            </w:r>
          </w:p>
        </w:tc>
        <w:tc>
          <w:tcPr>
            <w:tcW w:w="5475" w:type="dxa"/>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9"/>
              </w:rPr>
              <w:t>负责配合测量员完成塔吊监测工</w:t>
            </w:r>
            <w:r>
              <w:rPr>
                <w:rFonts w:ascii="宋体" w:hAnsi="宋体" w:eastAsia="宋体" w:cs="宋体"/>
                <w:spacing w:val="6"/>
              </w:rPr>
              <w:t>作</w:t>
            </w:r>
          </w:p>
        </w:tc>
        <w:tc>
          <w:tcPr>
            <w:tcW w:w="1074" w:type="dxa"/>
            <w:vAlign w:val="center"/>
          </w:tcPr>
          <w:p>
            <w:pPr>
              <w:spacing w:after="0" w:afterLines="0" w:line="240" w:lineRule="auto"/>
              <w:ind w:firstLine="0" w:firstLineChars="0"/>
              <w:jc w:val="center"/>
              <w:rPr>
                <w:rFonts w:ascii="Arial" w:hAnsi="宋体" w:eastAsia="宋体" w:cs="Times New Roman"/>
              </w:rPr>
            </w:pPr>
          </w:p>
        </w:tc>
      </w:tr>
    </w:tbl>
    <w:p>
      <w:pPr>
        <w:spacing w:before="75" w:after="0" w:afterLines="0" w:line="229" w:lineRule="auto"/>
        <w:ind w:firstLine="0" w:firstLineChars="0"/>
        <w:jc w:val="both"/>
        <w:outlineLvl w:val="3"/>
        <w:rPr>
          <w:rFonts w:ascii="宋体" w:hAnsi="宋体" w:eastAsia="宋体" w:cs="Times New Roman"/>
        </w:rPr>
      </w:pPr>
      <w:r>
        <w:rPr>
          <w:rFonts w:hint="eastAsia" w:ascii="宋体" w:hAnsi="宋体" w:eastAsia="宋体" w:cs="Times New Roman"/>
        </w:rPr>
        <w:t>8.3监测监管要求</w:t>
      </w:r>
    </w:p>
    <w:p>
      <w:pPr>
        <w:spacing w:before="228" w:after="0" w:afterLines="0" w:line="412" w:lineRule="auto"/>
        <w:ind w:left="10" w:right="1" w:firstLine="496"/>
        <w:jc w:val="both"/>
        <w:rPr>
          <w:rFonts w:ascii="宋体" w:hAnsi="宋体" w:eastAsia="宋体" w:cs="宋体"/>
        </w:rPr>
      </w:pPr>
      <w:r>
        <w:rPr>
          <w:rFonts w:ascii="宋体" w:hAnsi="宋体" w:eastAsia="宋体" w:cs="宋体"/>
          <w:spacing w:val="4"/>
        </w:rPr>
        <w:t>1.</w:t>
      </w:r>
      <w:r>
        <w:rPr>
          <w:rFonts w:ascii="宋体" w:hAnsi="宋体" w:eastAsia="宋体" w:cs="宋体"/>
          <w:spacing w:val="8"/>
        </w:rPr>
        <w:t>前期准备</w:t>
      </w:r>
      <w:r>
        <w:rPr>
          <w:rFonts w:ascii="宋体" w:hAnsi="宋体" w:eastAsia="宋体" w:cs="宋体"/>
          <w:spacing w:val="9"/>
        </w:rPr>
        <w:t>：</w:t>
      </w:r>
      <w:r>
        <w:rPr>
          <w:rFonts w:ascii="宋体" w:hAnsi="宋体" w:eastAsia="宋体" w:cs="宋体"/>
          <w:spacing w:val="8"/>
        </w:rPr>
        <w:t>必须将所需监测资料收集齐全</w:t>
      </w:r>
      <w:r>
        <w:rPr>
          <w:rFonts w:ascii="宋体" w:hAnsi="宋体" w:eastAsia="宋体" w:cs="宋体"/>
          <w:spacing w:val="9"/>
        </w:rPr>
        <w:t>，</w:t>
      </w:r>
      <w:r>
        <w:rPr>
          <w:rFonts w:ascii="宋体" w:hAnsi="宋体" w:eastAsia="宋体" w:cs="宋体"/>
          <w:spacing w:val="8"/>
        </w:rPr>
        <w:t>所需测量数据制定</w:t>
      </w:r>
      <w:r>
        <w:rPr>
          <w:rFonts w:ascii="宋体" w:hAnsi="宋体" w:eastAsia="宋体" w:cs="宋体"/>
          <w:spacing w:val="7"/>
        </w:rPr>
        <w:t>成表格</w:t>
      </w:r>
      <w:r>
        <w:rPr>
          <w:rFonts w:ascii="宋体" w:hAnsi="宋体" w:eastAsia="宋体" w:cs="宋体"/>
          <w:spacing w:val="9"/>
        </w:rPr>
        <w:t>，</w:t>
      </w:r>
      <w:r>
        <w:rPr>
          <w:rFonts w:ascii="宋体" w:hAnsi="宋体" w:eastAsia="宋体" w:cs="宋体"/>
          <w:spacing w:val="7"/>
        </w:rPr>
        <w:t>并将控制</w:t>
      </w:r>
      <w:r>
        <w:rPr>
          <w:rFonts w:ascii="宋体" w:hAnsi="宋体" w:eastAsia="宋体" w:cs="宋体"/>
        </w:rPr>
        <w:t xml:space="preserve"> </w:t>
      </w:r>
      <w:r>
        <w:rPr>
          <w:rFonts w:ascii="宋体" w:hAnsi="宋体" w:eastAsia="宋体" w:cs="宋体"/>
          <w:spacing w:val="8"/>
        </w:rPr>
        <w:t>要求负责表</w:t>
      </w:r>
      <w:r>
        <w:rPr>
          <w:rFonts w:ascii="宋体" w:hAnsi="宋体" w:eastAsia="宋体" w:cs="宋体"/>
          <w:spacing w:val="7"/>
        </w:rPr>
        <w:t>格后面</w:t>
      </w:r>
      <w:r>
        <w:rPr>
          <w:rFonts w:ascii="宋体" w:hAnsi="宋体" w:eastAsia="宋体" w:cs="宋体"/>
          <w:spacing w:val="8"/>
        </w:rPr>
        <w:t>；</w:t>
      </w:r>
    </w:p>
    <w:p>
      <w:pPr>
        <w:spacing w:before="1" w:after="0" w:afterLines="0" w:line="411" w:lineRule="auto"/>
        <w:ind w:left="9" w:right="1" w:firstLine="500"/>
        <w:jc w:val="both"/>
        <w:rPr>
          <w:rFonts w:ascii="宋体" w:hAnsi="宋体" w:eastAsia="宋体" w:cs="宋体"/>
        </w:rPr>
      </w:pPr>
      <w:r>
        <w:rPr>
          <w:rFonts w:ascii="宋体" w:hAnsi="宋体" w:eastAsia="宋体" w:cs="宋体"/>
          <w:spacing w:val="5"/>
        </w:rPr>
        <w:t>2.</w:t>
      </w:r>
      <w:r>
        <w:rPr>
          <w:rFonts w:ascii="宋体" w:hAnsi="宋体" w:eastAsia="宋体" w:cs="宋体"/>
          <w:spacing w:val="9"/>
        </w:rPr>
        <w:t>现</w:t>
      </w:r>
      <w:r>
        <w:rPr>
          <w:rFonts w:ascii="宋体" w:hAnsi="宋体" w:eastAsia="宋体" w:cs="宋体"/>
          <w:spacing w:val="8"/>
        </w:rPr>
        <w:t>场测量</w:t>
      </w:r>
      <w:r>
        <w:rPr>
          <w:rFonts w:ascii="宋体" w:hAnsi="宋体" w:eastAsia="宋体" w:cs="宋体"/>
          <w:spacing w:val="10"/>
        </w:rPr>
        <w:t>：</w:t>
      </w:r>
      <w:r>
        <w:rPr>
          <w:rFonts w:ascii="宋体" w:hAnsi="宋体" w:eastAsia="宋体" w:cs="宋体"/>
          <w:spacing w:val="8"/>
        </w:rPr>
        <w:t>保证测量人员固定</w:t>
      </w:r>
      <w:r>
        <w:rPr>
          <w:rFonts w:ascii="宋体" w:hAnsi="宋体" w:eastAsia="宋体" w:cs="宋体"/>
          <w:spacing w:val="10"/>
        </w:rPr>
        <w:t>，</w:t>
      </w:r>
      <w:r>
        <w:rPr>
          <w:rFonts w:ascii="宋体" w:hAnsi="宋体" w:eastAsia="宋体" w:cs="宋体"/>
          <w:spacing w:val="8"/>
        </w:rPr>
        <w:t>设备固定</w:t>
      </w:r>
      <w:r>
        <w:rPr>
          <w:rFonts w:ascii="宋体" w:hAnsi="宋体" w:eastAsia="宋体" w:cs="宋体"/>
          <w:spacing w:val="10"/>
        </w:rPr>
        <w:t>、</w:t>
      </w:r>
      <w:r>
        <w:rPr>
          <w:rFonts w:ascii="宋体" w:hAnsi="宋体" w:eastAsia="宋体" w:cs="宋体"/>
          <w:spacing w:val="8"/>
        </w:rPr>
        <w:t>观测线路固定的三固定原则</w:t>
      </w:r>
      <w:r>
        <w:rPr>
          <w:rFonts w:ascii="宋体" w:hAnsi="宋体" w:eastAsia="宋体" w:cs="宋体"/>
          <w:spacing w:val="10"/>
        </w:rPr>
        <w:t>，</w:t>
      </w:r>
      <w:r>
        <w:rPr>
          <w:rFonts w:ascii="宋体" w:hAnsi="宋体" w:eastAsia="宋体" w:cs="宋体"/>
          <w:spacing w:val="8"/>
        </w:rPr>
        <w:t>保证测</w:t>
      </w:r>
      <w:r>
        <w:rPr>
          <w:rFonts w:ascii="宋体" w:hAnsi="宋体" w:eastAsia="宋体" w:cs="宋体"/>
        </w:rPr>
        <w:t xml:space="preserve"> </w:t>
      </w:r>
      <w:r>
        <w:rPr>
          <w:rFonts w:ascii="宋体" w:hAnsi="宋体" w:eastAsia="宋体" w:cs="宋体"/>
          <w:spacing w:val="9"/>
        </w:rPr>
        <w:t>量仪器工作正常</w:t>
      </w:r>
      <w:r>
        <w:rPr>
          <w:rFonts w:ascii="宋体" w:hAnsi="宋体" w:eastAsia="宋体" w:cs="宋体"/>
          <w:spacing w:val="11"/>
        </w:rPr>
        <w:t>，</w:t>
      </w:r>
      <w:r>
        <w:rPr>
          <w:rFonts w:ascii="宋体" w:hAnsi="宋体" w:eastAsia="宋体" w:cs="宋体"/>
          <w:spacing w:val="9"/>
        </w:rPr>
        <w:t>现场测量员技术过关</w:t>
      </w:r>
      <w:r>
        <w:rPr>
          <w:rFonts w:ascii="宋体" w:hAnsi="宋体" w:eastAsia="宋体" w:cs="宋体"/>
          <w:spacing w:val="11"/>
        </w:rPr>
        <w:t>，</w:t>
      </w:r>
      <w:r>
        <w:rPr>
          <w:rFonts w:ascii="宋体" w:hAnsi="宋体" w:eastAsia="宋体" w:cs="宋体"/>
          <w:spacing w:val="9"/>
        </w:rPr>
        <w:t>注意施工安全</w:t>
      </w:r>
      <w:r>
        <w:rPr>
          <w:rFonts w:ascii="宋体" w:hAnsi="宋体" w:eastAsia="宋体" w:cs="宋体"/>
          <w:spacing w:val="10"/>
        </w:rPr>
        <w:t>；</w:t>
      </w:r>
    </w:p>
    <w:p>
      <w:pPr>
        <w:spacing w:before="1" w:after="0" w:afterLines="0" w:line="412" w:lineRule="auto"/>
        <w:ind w:left="14" w:right="1" w:firstLine="504"/>
        <w:jc w:val="both"/>
        <w:rPr>
          <w:rFonts w:ascii="宋体" w:hAnsi="宋体" w:eastAsia="宋体" w:cs="宋体"/>
        </w:rPr>
      </w:pPr>
      <w:r>
        <w:rPr>
          <w:rFonts w:ascii="宋体" w:hAnsi="宋体" w:eastAsia="宋体" w:cs="宋体"/>
          <w:spacing w:val="6"/>
        </w:rPr>
        <w:t>3</w:t>
      </w:r>
      <w:r>
        <w:rPr>
          <w:rFonts w:ascii="宋体" w:hAnsi="宋体" w:eastAsia="宋体" w:cs="宋体"/>
          <w:spacing w:val="5"/>
        </w:rPr>
        <w:t>.</w:t>
      </w:r>
      <w:r>
        <w:rPr>
          <w:rFonts w:ascii="宋体" w:hAnsi="宋体" w:eastAsia="宋体" w:cs="宋体"/>
          <w:spacing w:val="8"/>
        </w:rPr>
        <w:t>数据处理</w:t>
      </w:r>
      <w:r>
        <w:rPr>
          <w:rFonts w:ascii="宋体" w:hAnsi="宋体" w:eastAsia="宋体" w:cs="宋体"/>
          <w:spacing w:val="10"/>
        </w:rPr>
        <w:t>：</w:t>
      </w:r>
      <w:r>
        <w:rPr>
          <w:rFonts w:ascii="宋体" w:hAnsi="宋体" w:eastAsia="宋体" w:cs="宋体"/>
          <w:spacing w:val="8"/>
        </w:rPr>
        <w:t>现场测量数据必须形成档案</w:t>
      </w:r>
      <w:r>
        <w:rPr>
          <w:rFonts w:ascii="宋体" w:hAnsi="宋体" w:eastAsia="宋体" w:cs="宋体"/>
          <w:spacing w:val="10"/>
        </w:rPr>
        <w:t>，</w:t>
      </w:r>
      <w:r>
        <w:rPr>
          <w:rFonts w:ascii="宋体" w:hAnsi="宋体" w:eastAsia="宋体" w:cs="宋体"/>
          <w:spacing w:val="8"/>
        </w:rPr>
        <w:t>以便存储</w:t>
      </w:r>
      <w:r>
        <w:rPr>
          <w:rFonts w:ascii="宋体" w:hAnsi="宋体" w:eastAsia="宋体" w:cs="宋体"/>
          <w:spacing w:val="10"/>
        </w:rPr>
        <w:t>。</w:t>
      </w:r>
      <w:r>
        <w:rPr>
          <w:rFonts w:ascii="宋体" w:hAnsi="宋体" w:eastAsia="宋体" w:cs="宋体"/>
          <w:spacing w:val="8"/>
        </w:rPr>
        <w:t>同时将测量数据及时反馈给</w:t>
      </w:r>
      <w:r>
        <w:rPr>
          <w:rFonts w:ascii="宋体" w:hAnsi="宋体" w:eastAsia="宋体" w:cs="宋体"/>
        </w:rPr>
        <w:t xml:space="preserve"> </w:t>
      </w:r>
      <w:r>
        <w:rPr>
          <w:rFonts w:ascii="宋体" w:hAnsi="宋体" w:eastAsia="宋体" w:cs="宋体"/>
          <w:spacing w:val="10"/>
        </w:rPr>
        <w:t>安</w:t>
      </w:r>
      <w:r>
        <w:rPr>
          <w:rFonts w:ascii="宋体" w:hAnsi="宋体" w:eastAsia="宋体" w:cs="宋体"/>
          <w:spacing w:val="9"/>
        </w:rPr>
        <w:t>拆工长</w:t>
      </w:r>
      <w:r>
        <w:rPr>
          <w:rFonts w:ascii="宋体" w:hAnsi="宋体" w:eastAsia="宋体" w:cs="宋体"/>
          <w:spacing w:val="11"/>
        </w:rPr>
        <w:t>，</w:t>
      </w:r>
      <w:r>
        <w:rPr>
          <w:rFonts w:ascii="宋体" w:hAnsi="宋体" w:eastAsia="宋体" w:cs="宋体"/>
          <w:spacing w:val="9"/>
        </w:rPr>
        <w:t>安拆工长根据反馈数据确定是否需要采取相应处理措施</w:t>
      </w:r>
      <w:r>
        <w:rPr>
          <w:rFonts w:ascii="宋体" w:hAnsi="宋体" w:eastAsia="宋体" w:cs="宋体"/>
          <w:spacing w:val="11"/>
        </w:rPr>
        <w:t>；</w:t>
      </w:r>
    </w:p>
    <w:p>
      <w:pPr>
        <w:spacing w:after="0" w:afterLines="0" w:line="411" w:lineRule="auto"/>
        <w:ind w:left="8" w:right="1" w:firstLine="500"/>
        <w:jc w:val="both"/>
        <w:rPr>
          <w:rFonts w:ascii="宋体" w:hAnsi="宋体" w:eastAsia="宋体" w:cs="宋体"/>
        </w:rPr>
      </w:pPr>
      <w:r>
        <w:rPr>
          <w:rFonts w:ascii="宋体" w:hAnsi="宋体" w:eastAsia="宋体" w:cs="宋体"/>
          <w:spacing w:val="5"/>
        </w:rPr>
        <w:t>4.</w:t>
      </w:r>
      <w:r>
        <w:rPr>
          <w:rFonts w:ascii="宋体" w:hAnsi="宋体" w:eastAsia="宋体" w:cs="宋体"/>
          <w:spacing w:val="9"/>
        </w:rPr>
        <w:t>档案归档</w:t>
      </w:r>
      <w:r>
        <w:rPr>
          <w:rFonts w:ascii="宋体" w:hAnsi="宋体" w:eastAsia="宋体" w:cs="宋体"/>
          <w:spacing w:val="10"/>
        </w:rPr>
        <w:t>：</w:t>
      </w:r>
      <w:r>
        <w:rPr>
          <w:rFonts w:ascii="宋体" w:hAnsi="宋体" w:eastAsia="宋体" w:cs="宋体"/>
          <w:spacing w:val="9"/>
        </w:rPr>
        <w:t>塔</w:t>
      </w:r>
      <w:r>
        <w:rPr>
          <w:rFonts w:ascii="宋体" w:hAnsi="宋体" w:eastAsia="宋体" w:cs="宋体"/>
          <w:spacing w:val="8"/>
        </w:rPr>
        <w:t>吊安装完成</w:t>
      </w:r>
      <w:r>
        <w:rPr>
          <w:rFonts w:ascii="宋体" w:hAnsi="宋体" w:eastAsia="宋体" w:cs="宋体"/>
          <w:spacing w:val="10"/>
        </w:rPr>
        <w:t>，</w:t>
      </w:r>
      <w:r>
        <w:rPr>
          <w:rFonts w:ascii="宋体" w:hAnsi="宋体" w:eastAsia="宋体" w:cs="宋体"/>
          <w:spacing w:val="8"/>
        </w:rPr>
        <w:t>检测合格后</w:t>
      </w:r>
      <w:r>
        <w:rPr>
          <w:rFonts w:ascii="宋体" w:hAnsi="宋体" w:eastAsia="宋体" w:cs="宋体"/>
          <w:spacing w:val="10"/>
        </w:rPr>
        <w:t>，</w:t>
      </w:r>
      <w:r>
        <w:rPr>
          <w:rFonts w:ascii="宋体" w:hAnsi="宋体" w:eastAsia="宋体" w:cs="宋体"/>
          <w:spacing w:val="8"/>
        </w:rPr>
        <w:t>保证所有监测资料能够快速查阅</w:t>
      </w:r>
      <w:r>
        <w:rPr>
          <w:rFonts w:ascii="宋体" w:hAnsi="宋体" w:eastAsia="宋体" w:cs="宋体"/>
          <w:spacing w:val="10"/>
        </w:rPr>
        <w:t>，</w:t>
      </w:r>
      <w:r>
        <w:rPr>
          <w:rFonts w:ascii="宋体" w:hAnsi="宋体" w:eastAsia="宋体" w:cs="宋体"/>
          <w:spacing w:val="8"/>
        </w:rPr>
        <w:t>资料</w:t>
      </w:r>
      <w:r>
        <w:rPr>
          <w:rFonts w:ascii="宋体" w:hAnsi="宋体" w:eastAsia="宋体" w:cs="宋体"/>
        </w:rPr>
        <w:t xml:space="preserve"> </w:t>
      </w:r>
      <w:r>
        <w:rPr>
          <w:rFonts w:ascii="宋体" w:hAnsi="宋体" w:eastAsia="宋体" w:cs="宋体"/>
          <w:spacing w:val="8"/>
        </w:rPr>
        <w:t>控制</w:t>
      </w:r>
      <w:r>
        <w:rPr>
          <w:rFonts w:ascii="宋体" w:hAnsi="宋体" w:eastAsia="宋体" w:cs="宋体"/>
          <w:spacing w:val="10"/>
        </w:rPr>
        <w:t>、</w:t>
      </w:r>
      <w:r>
        <w:rPr>
          <w:rFonts w:ascii="宋体" w:hAnsi="宋体" w:eastAsia="宋体" w:cs="宋体"/>
          <w:spacing w:val="8"/>
        </w:rPr>
        <w:t>保护措</w:t>
      </w:r>
      <w:r>
        <w:rPr>
          <w:rFonts w:ascii="宋体" w:hAnsi="宋体" w:eastAsia="宋体" w:cs="宋体"/>
          <w:spacing w:val="7"/>
        </w:rPr>
        <w:t>施全面</w:t>
      </w:r>
      <w:r>
        <w:rPr>
          <w:rFonts w:ascii="宋体" w:hAnsi="宋体" w:eastAsia="宋体" w:cs="宋体"/>
          <w:spacing w:val="10"/>
        </w:rPr>
        <w:t>；</w:t>
      </w:r>
    </w:p>
    <w:p>
      <w:pPr>
        <w:spacing w:after="120"/>
        <w:ind w:firstLine="480"/>
        <w:sectPr>
          <w:headerReference r:id="rId9" w:type="default"/>
          <w:footerReference r:id="rId10" w:type="default"/>
          <w:pgSz w:w="11906" w:h="16839"/>
          <w:pgMar w:top="1235" w:right="1337" w:bottom="1156" w:left="1416" w:header="737" w:footer="964" w:gutter="0"/>
          <w:cols w:space="720" w:num="1"/>
        </w:sectPr>
      </w:pPr>
    </w:p>
    <w:p>
      <w:pPr>
        <w:spacing w:after="0" w:afterLines="0" w:line="90" w:lineRule="exact"/>
        <w:ind w:firstLine="480"/>
        <w:jc w:val="both"/>
        <w:rPr>
          <w:rFonts w:ascii="宋体" w:hAnsi="宋体" w:eastAsia="宋体" w:cs="Times New Roman"/>
        </w:rPr>
      </w:pPr>
      <w:bookmarkStart w:id="489" w:name="_bookmark67"/>
      <w:bookmarkEnd w:id="489"/>
    </w:p>
    <w:p>
      <w:pPr>
        <w:spacing w:before="75" w:after="0" w:afterLines="0" w:line="229" w:lineRule="auto"/>
        <w:ind w:firstLine="240" w:firstLineChars="100"/>
        <w:jc w:val="both"/>
        <w:outlineLvl w:val="3"/>
        <w:rPr>
          <w:rFonts w:ascii="宋体" w:hAnsi="宋体" w:eastAsia="宋体" w:cs="Times New Roman"/>
        </w:rPr>
      </w:pPr>
      <w:bookmarkStart w:id="490" w:name="_bookmark68"/>
      <w:bookmarkEnd w:id="490"/>
      <w:bookmarkStart w:id="491" w:name="_bookmark69"/>
      <w:bookmarkEnd w:id="491"/>
      <w:r>
        <w:rPr>
          <w:rFonts w:hint="eastAsia" w:ascii="宋体" w:hAnsi="宋体" w:eastAsia="宋体" w:cs="Times New Roman"/>
        </w:rPr>
        <w:t>8.4监测方法</w:t>
      </w:r>
    </w:p>
    <w:p>
      <w:pPr>
        <w:spacing w:before="229" w:after="0" w:afterLines="0" w:line="394" w:lineRule="auto"/>
        <w:ind w:left="28" w:right="1" w:firstLine="516"/>
        <w:jc w:val="both"/>
        <w:rPr>
          <w:rFonts w:ascii="宋体" w:hAnsi="宋体" w:eastAsia="宋体" w:cs="宋体"/>
          <w:spacing w:val="4"/>
        </w:rPr>
      </w:pPr>
      <w:r>
        <w:rPr>
          <w:rFonts w:ascii="宋体" w:hAnsi="宋体" w:eastAsia="宋体" w:cs="宋体"/>
          <w:spacing w:val="9"/>
        </w:rPr>
        <w:t>用经纬仪定期测量塔吊垂</w:t>
      </w:r>
      <w:r>
        <w:rPr>
          <w:rFonts w:ascii="宋体" w:hAnsi="宋体" w:eastAsia="宋体" w:cs="宋体"/>
          <w:spacing w:val="8"/>
        </w:rPr>
        <w:t>直度确保塔吊使用过程的安全稳定</w:t>
      </w:r>
      <w:r>
        <w:rPr>
          <w:rFonts w:ascii="宋体" w:hAnsi="宋体" w:eastAsia="宋体" w:cs="宋体"/>
          <w:spacing w:val="9"/>
        </w:rPr>
        <w:t>，</w:t>
      </w:r>
      <w:r>
        <w:rPr>
          <w:rFonts w:ascii="宋体" w:hAnsi="宋体" w:eastAsia="宋体" w:cs="宋体"/>
          <w:spacing w:val="8"/>
        </w:rPr>
        <w:t>独立高度下或最上层</w:t>
      </w:r>
      <w:r>
        <w:rPr>
          <w:rFonts w:ascii="宋体" w:hAnsi="宋体" w:eastAsia="宋体" w:cs="宋体"/>
        </w:rPr>
        <w:t xml:space="preserve"> </w:t>
      </w:r>
      <w:r>
        <w:rPr>
          <w:rFonts w:ascii="宋体" w:hAnsi="宋体" w:eastAsia="宋体" w:cs="宋体"/>
          <w:spacing w:val="5"/>
        </w:rPr>
        <w:t>附着框以上塔身轴线对支承面垂直度不得大于</w:t>
      </w:r>
      <w:r>
        <w:rPr>
          <w:rFonts w:ascii="宋体" w:hAnsi="宋体" w:eastAsia="宋体" w:cs="宋体"/>
          <w:spacing w:val="3"/>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2"/>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2"/>
        </w:rPr>
        <w:t>0</w:t>
      </w:r>
      <w:r>
        <w:rPr>
          <w:rFonts w:ascii="宋体" w:hAnsi="宋体" w:eastAsia="宋体" w:cs="宋体"/>
          <w:spacing w:val="5"/>
        </w:rPr>
        <w:t>，</w:t>
      </w:r>
      <w:r>
        <w:rPr>
          <w:rFonts w:ascii="宋体" w:hAnsi="宋体" w:eastAsia="宋体" w:cs="宋体"/>
          <w:spacing w:val="4"/>
        </w:rPr>
        <w:t>最上层附着框以下塔身轴线对支</w:t>
      </w:r>
    </w:p>
    <w:tbl>
      <w:tblPr>
        <w:tblStyle w:val="57"/>
        <w:tblW w:w="9002"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1031"/>
        <w:gridCol w:w="1031"/>
        <w:gridCol w:w="1031"/>
        <w:gridCol w:w="1031"/>
        <w:gridCol w:w="1032"/>
        <w:gridCol w:w="1031"/>
        <w:gridCol w:w="1032"/>
        <w:gridCol w:w="7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1036"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5"/>
              </w:rPr>
              <w:t>序号</w:t>
            </w:r>
          </w:p>
        </w:tc>
        <w:tc>
          <w:tcPr>
            <w:tcW w:w="1031"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观测</w:t>
            </w:r>
            <w:r>
              <w:rPr>
                <w:rFonts w:ascii="宋体" w:hAnsi="宋体" w:eastAsia="宋体" w:cs="宋体"/>
                <w:spacing w:val="6"/>
                <w:position w:val="23"/>
              </w:rPr>
              <w:t>日</w:t>
            </w:r>
          </w:p>
          <w:p>
            <w:pPr>
              <w:spacing w:after="0" w:afterLines="0" w:line="240" w:lineRule="auto"/>
              <w:ind w:firstLine="0" w:firstLineChars="0"/>
              <w:jc w:val="center"/>
              <w:rPr>
                <w:rFonts w:ascii="宋体" w:hAnsi="宋体" w:eastAsia="宋体" w:cs="宋体"/>
              </w:rPr>
            </w:pPr>
            <w:r>
              <w:rPr>
                <w:rFonts w:ascii="宋体" w:hAnsi="宋体" w:eastAsia="宋体" w:cs="宋体"/>
              </w:rPr>
              <w:t>期</w:t>
            </w:r>
          </w:p>
        </w:tc>
        <w:tc>
          <w:tcPr>
            <w:tcW w:w="1031"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测</w:t>
            </w:r>
            <w:r>
              <w:rPr>
                <w:rFonts w:ascii="宋体" w:hAnsi="宋体" w:eastAsia="宋体" w:cs="宋体"/>
                <w:spacing w:val="6"/>
                <w:position w:val="23"/>
              </w:rPr>
              <w:t>量高</w:t>
            </w:r>
          </w:p>
          <w:p>
            <w:pPr>
              <w:spacing w:after="0" w:afterLines="0" w:line="240" w:lineRule="auto"/>
              <w:ind w:firstLine="0" w:firstLineChars="0"/>
              <w:jc w:val="center"/>
              <w:rPr>
                <w:rFonts w:ascii="宋体" w:hAnsi="宋体" w:eastAsia="宋体" w:cs="宋体"/>
              </w:rPr>
            </w:pPr>
            <w:r>
              <w:rPr>
                <w:rFonts w:ascii="宋体" w:hAnsi="宋体" w:eastAsia="宋体" w:cs="宋体"/>
                <w:spacing w:val="1"/>
              </w:rPr>
              <w:t>度</w:t>
            </w:r>
          </w:p>
        </w:tc>
        <w:tc>
          <w:tcPr>
            <w:tcW w:w="1031"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2"/>
                <w:position w:val="23"/>
              </w:rPr>
              <w:t>X</w:t>
            </w:r>
            <w:r>
              <w:rPr>
                <w:rFonts w:ascii="宋体" w:hAnsi="宋体" w:eastAsia="宋体" w:cs="宋体"/>
                <w:spacing w:val="-15"/>
                <w:position w:val="23"/>
              </w:rPr>
              <w:t xml:space="preserve"> </w:t>
            </w:r>
            <w:r>
              <w:rPr>
                <w:rFonts w:ascii="宋体" w:hAnsi="宋体" w:eastAsia="宋体" w:cs="宋体"/>
                <w:spacing w:val="-2"/>
                <w:position w:val="23"/>
              </w:rPr>
              <w:t>方</w:t>
            </w:r>
            <w:r>
              <w:rPr>
                <w:rFonts w:ascii="宋体" w:hAnsi="宋体" w:eastAsia="宋体" w:cs="宋体"/>
                <w:spacing w:val="-1"/>
                <w:position w:val="23"/>
              </w:rPr>
              <w:t>向偏</w:t>
            </w:r>
          </w:p>
          <w:p>
            <w:pPr>
              <w:spacing w:after="0" w:afterLines="0" w:line="240" w:lineRule="auto"/>
              <w:ind w:firstLine="0" w:firstLineChars="0"/>
              <w:jc w:val="center"/>
              <w:rPr>
                <w:rFonts w:ascii="宋体" w:hAnsi="宋体" w:eastAsia="宋体" w:cs="宋体"/>
              </w:rPr>
            </w:pPr>
            <w:r>
              <w:rPr>
                <w:rFonts w:ascii="宋体" w:hAnsi="宋体" w:eastAsia="宋体" w:cs="宋体"/>
              </w:rPr>
              <w:t>差</w:t>
            </w:r>
          </w:p>
        </w:tc>
        <w:tc>
          <w:tcPr>
            <w:tcW w:w="1031"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2"/>
                <w:position w:val="23"/>
              </w:rPr>
              <w:t>Y</w:t>
            </w:r>
            <w:r>
              <w:rPr>
                <w:rFonts w:ascii="宋体" w:hAnsi="宋体" w:eastAsia="宋体" w:cs="宋体"/>
                <w:spacing w:val="-15"/>
                <w:position w:val="23"/>
              </w:rPr>
              <w:t xml:space="preserve"> </w:t>
            </w:r>
            <w:r>
              <w:rPr>
                <w:rFonts w:ascii="宋体" w:hAnsi="宋体" w:eastAsia="宋体" w:cs="宋体"/>
                <w:spacing w:val="-1"/>
                <w:position w:val="23"/>
              </w:rPr>
              <w:t>方向偏</w:t>
            </w:r>
          </w:p>
          <w:p>
            <w:pPr>
              <w:spacing w:after="0" w:afterLines="0" w:line="240" w:lineRule="auto"/>
              <w:ind w:firstLine="0" w:firstLineChars="0"/>
              <w:jc w:val="center"/>
              <w:rPr>
                <w:rFonts w:ascii="宋体" w:hAnsi="宋体" w:eastAsia="宋体" w:cs="宋体"/>
              </w:rPr>
            </w:pPr>
            <w:r>
              <w:rPr>
                <w:rFonts w:ascii="宋体" w:hAnsi="宋体" w:eastAsia="宋体" w:cs="宋体"/>
              </w:rPr>
              <w:t>差</w:t>
            </w:r>
          </w:p>
        </w:tc>
        <w:tc>
          <w:tcPr>
            <w:tcW w:w="1032"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垂</w:t>
            </w:r>
            <w:r>
              <w:rPr>
                <w:rFonts w:ascii="宋体" w:hAnsi="宋体" w:eastAsia="宋体" w:cs="宋体"/>
                <w:spacing w:val="6"/>
                <w:position w:val="23"/>
              </w:rPr>
              <w:t>直度</w:t>
            </w:r>
          </w:p>
          <w:p>
            <w:pPr>
              <w:spacing w:after="0" w:afterLines="0" w:line="240" w:lineRule="auto"/>
              <w:ind w:firstLine="0" w:firstLineChars="0"/>
              <w:jc w:val="center"/>
              <w:rPr>
                <w:rFonts w:ascii="宋体" w:hAnsi="宋体" w:eastAsia="宋体" w:cs="宋体"/>
              </w:rPr>
            </w:pPr>
            <w:r>
              <w:rPr>
                <w:rFonts w:ascii="宋体" w:hAnsi="宋体" w:eastAsia="宋体" w:cs="宋体"/>
                <w:spacing w:val="5"/>
              </w:rPr>
              <w:t>偏</w:t>
            </w:r>
            <w:r>
              <w:rPr>
                <w:rFonts w:ascii="宋体" w:hAnsi="宋体" w:eastAsia="宋体" w:cs="宋体"/>
                <w:spacing w:val="4"/>
              </w:rPr>
              <w:t>差</w:t>
            </w:r>
          </w:p>
        </w:tc>
        <w:tc>
          <w:tcPr>
            <w:tcW w:w="1031"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7"/>
                <w:position w:val="23"/>
              </w:rPr>
              <w:t>测</w:t>
            </w:r>
            <w:r>
              <w:rPr>
                <w:rFonts w:ascii="宋体" w:hAnsi="宋体" w:eastAsia="宋体" w:cs="宋体"/>
                <w:spacing w:val="6"/>
                <w:position w:val="23"/>
              </w:rPr>
              <w:t>量仪</w:t>
            </w:r>
          </w:p>
          <w:p>
            <w:pPr>
              <w:spacing w:after="0" w:afterLines="0" w:line="240" w:lineRule="auto"/>
              <w:ind w:firstLine="0" w:firstLineChars="0"/>
              <w:jc w:val="center"/>
              <w:rPr>
                <w:rFonts w:ascii="宋体" w:hAnsi="宋体" w:eastAsia="宋体" w:cs="宋体"/>
              </w:rPr>
            </w:pPr>
            <w:r>
              <w:rPr>
                <w:rFonts w:ascii="宋体" w:hAnsi="宋体" w:eastAsia="宋体" w:cs="宋体"/>
                <w:spacing w:val="7"/>
              </w:rPr>
              <w:t>器型</w:t>
            </w:r>
            <w:r>
              <w:rPr>
                <w:rFonts w:ascii="宋体" w:hAnsi="宋体" w:eastAsia="宋体" w:cs="宋体"/>
                <w:spacing w:val="6"/>
              </w:rPr>
              <w:t>号</w:t>
            </w:r>
          </w:p>
        </w:tc>
        <w:tc>
          <w:tcPr>
            <w:tcW w:w="1032"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7"/>
              </w:rPr>
              <w:t>检测</w:t>
            </w:r>
            <w:r>
              <w:rPr>
                <w:rFonts w:ascii="宋体" w:hAnsi="宋体" w:eastAsia="宋体" w:cs="宋体"/>
                <w:spacing w:val="6"/>
              </w:rPr>
              <w:t>人</w:t>
            </w:r>
          </w:p>
        </w:tc>
        <w:tc>
          <w:tcPr>
            <w:tcW w:w="747" w:type="dxa"/>
          </w:tcPr>
          <w:p>
            <w:pPr>
              <w:spacing w:after="0" w:afterLines="0" w:line="240" w:lineRule="auto"/>
              <w:ind w:firstLine="0" w:firstLineChars="0"/>
              <w:jc w:val="center"/>
              <w:rPr>
                <w:rFonts w:ascii="宋体" w:hAnsi="宋体" w:eastAsia="宋体" w:cs="宋体"/>
              </w:rPr>
            </w:pPr>
            <w:r>
              <w:rPr>
                <w:rFonts w:ascii="宋体" w:hAnsi="宋体" w:eastAsia="宋体" w:cs="宋体"/>
                <w:spacing w:val="4"/>
              </w:rPr>
              <w:t>备</w:t>
            </w:r>
            <w:r>
              <w:rPr>
                <w:rFonts w:ascii="宋体" w:hAnsi="宋体" w:eastAsia="宋体" w:cs="宋体"/>
                <w:spacing w:val="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ascii="宋体" w:hAnsi="宋体" w:eastAsia="宋体" w:cs="宋体"/>
              </w:rPr>
              <w:t>1</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2</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3</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4</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5</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6</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7</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8</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9</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36" w:type="dxa"/>
          </w:tcPr>
          <w:p>
            <w:pPr>
              <w:spacing w:after="0" w:afterLines="0" w:line="240" w:lineRule="auto"/>
              <w:ind w:firstLine="0" w:firstLineChars="0"/>
              <w:jc w:val="center"/>
              <w:rPr>
                <w:rFonts w:ascii="宋体" w:hAnsi="宋体" w:eastAsia="宋体" w:cs="宋体"/>
              </w:rPr>
            </w:pPr>
            <w:r>
              <w:rPr>
                <w:rFonts w:hint="eastAsia" w:ascii="宋体" w:hAnsi="宋体" w:eastAsia="宋体" w:cs="宋体"/>
              </w:rPr>
              <w:t>10</w:t>
            </w: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1031" w:type="dxa"/>
          </w:tcPr>
          <w:p>
            <w:pPr>
              <w:spacing w:after="0" w:afterLines="0" w:line="240" w:lineRule="auto"/>
              <w:ind w:firstLine="0" w:firstLineChars="0"/>
              <w:jc w:val="center"/>
              <w:rPr>
                <w:rFonts w:ascii="Arial" w:hAnsi="宋体" w:eastAsia="宋体" w:cs="Times New Roman"/>
              </w:rPr>
            </w:pPr>
          </w:p>
        </w:tc>
        <w:tc>
          <w:tcPr>
            <w:tcW w:w="1032" w:type="dxa"/>
          </w:tcPr>
          <w:p>
            <w:pPr>
              <w:spacing w:after="0" w:afterLines="0" w:line="240" w:lineRule="auto"/>
              <w:ind w:firstLine="0" w:firstLineChars="0"/>
              <w:jc w:val="center"/>
              <w:rPr>
                <w:rFonts w:ascii="Arial" w:hAnsi="宋体" w:eastAsia="宋体" w:cs="Times New Roman"/>
              </w:rPr>
            </w:pPr>
          </w:p>
        </w:tc>
        <w:tc>
          <w:tcPr>
            <w:tcW w:w="747" w:type="dxa"/>
          </w:tcPr>
          <w:p>
            <w:pPr>
              <w:spacing w:after="0" w:afterLines="0" w:line="240" w:lineRule="auto"/>
              <w:ind w:firstLine="0" w:firstLineChars="0"/>
              <w:jc w:val="center"/>
              <w:rPr>
                <w:rFonts w:ascii="Arial" w:hAnsi="宋体" w:eastAsia="宋体" w:cs="Times New Roman"/>
              </w:rPr>
            </w:pPr>
          </w:p>
        </w:tc>
      </w:tr>
    </w:tbl>
    <w:p>
      <w:pPr>
        <w:spacing w:after="0" w:afterLines="0" w:line="249" w:lineRule="auto"/>
        <w:ind w:firstLine="0" w:firstLineChars="0"/>
        <w:jc w:val="both"/>
        <w:rPr>
          <w:rFonts w:ascii="宋体" w:hAnsi="宋体" w:eastAsia="宋体" w:cs="Times New Roman"/>
        </w:rPr>
      </w:pPr>
      <w:r>
        <w:rPr>
          <w:rFonts w:ascii="宋体" w:hAnsi="宋体" w:eastAsia="宋体" w:cs="Times New Roman"/>
        </w:rPr>
        <mc:AlternateContent>
          <mc:Choice Requires="wps">
            <w:drawing>
              <wp:anchor distT="0" distB="0" distL="114300" distR="114300" simplePos="0" relativeHeight="251665408" behindDoc="0" locked="0" layoutInCell="0" allowOverlap="1">
                <wp:simplePos x="0" y="0"/>
                <wp:positionH relativeFrom="page">
                  <wp:posOffset>899795</wp:posOffset>
                </wp:positionH>
                <wp:positionV relativeFrom="page">
                  <wp:posOffset>778510</wp:posOffset>
                </wp:positionV>
                <wp:extent cx="5761355" cy="6350"/>
                <wp:effectExtent l="0" t="0" r="0" b="0"/>
                <wp:wrapNone/>
                <wp:docPr id="153" name="任意多边形 153"/>
                <wp:cNvGraphicFramePr/>
                <a:graphic xmlns:a="http://schemas.openxmlformats.org/drawingml/2006/main">
                  <a:graphicData uri="http://schemas.microsoft.com/office/word/2010/wordprocessingShape">
                    <wps:wsp>
                      <wps:cNvSpPr/>
                      <wps:spPr>
                        <a:xfrm>
                          <a:off x="0" y="0"/>
                          <a:ext cx="5761355" cy="6350"/>
                        </a:xfrm>
                        <a:custGeom>
                          <a:avLst/>
                          <a:gdLst/>
                          <a:ahLst/>
                          <a:cxnLst/>
                          <a:rect l="0" t="0" r="0" b="0"/>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61.3pt;height:0.5pt;width:453.65pt;mso-position-horizontal-relative:page;mso-position-vertical-relative:page;z-index:251665408;mso-width-relative:page;mso-height-relative:page;" fillcolor="#000000" filled="t" stroked="f" coordsize="9072,10" o:allowincell="f" o:gfxdata="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gNoV2QAAAAwBAAAP&#10;AAAAAAAAAAEAIAAAACIAAABkcnMvZG93bnJldi54bWxQSwECFAAUAAAACACHTuJAivJJ4xcCAACe&#10;BAAADgAAAAAAAAABACAAAAAoAQAAZHJzL2Uyb0RvYy54bWxQSwUGAAAAAAYABgBZAQAAsQUAAAAA&#10;" path="m0,0l9072,0,9072,9,0,9,0,0xe">
                <v:fill on="t" focussize="0,0"/>
                <v:stroke on="f"/>
                <v:imagedata o:title=""/>
                <o:lock v:ext="edit" aspectratio="f"/>
              </v:shape>
            </w:pict>
          </mc:Fallback>
        </mc:AlternateContent>
      </w:r>
    </w:p>
    <w:p>
      <w:pPr>
        <w:spacing w:after="0" w:afterLines="0" w:line="249" w:lineRule="auto"/>
        <w:ind w:firstLine="480"/>
        <w:jc w:val="both"/>
        <w:rPr>
          <w:rFonts w:ascii="宋体" w:hAnsi="宋体" w:eastAsia="宋体" w:cs="Times New Roman"/>
        </w:rPr>
      </w:pPr>
      <w:r>
        <w:rPr>
          <w:rFonts w:ascii="宋体" w:hAnsi="宋体" w:eastAsia="宋体" w:cs="Times New Roman"/>
        </w:rPr>
        <mc:AlternateContent>
          <mc:Choice Requires="wps">
            <w:drawing>
              <wp:anchor distT="0" distB="0" distL="114300" distR="114300" simplePos="0" relativeHeight="251664384" behindDoc="0" locked="0" layoutInCell="0" allowOverlap="1">
                <wp:simplePos x="0" y="0"/>
                <wp:positionH relativeFrom="page">
                  <wp:posOffset>899795</wp:posOffset>
                </wp:positionH>
                <wp:positionV relativeFrom="page">
                  <wp:posOffset>778510</wp:posOffset>
                </wp:positionV>
                <wp:extent cx="5761355"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5761355" cy="6350"/>
                        </a:xfrm>
                        <a:custGeom>
                          <a:avLst/>
                          <a:gdLst/>
                          <a:ahLst/>
                          <a:cxnLst/>
                          <a:rect l="0" t="0" r="0" b="0"/>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61.3pt;height:0.5pt;width:453.65pt;mso-position-horizontal-relative:page;mso-position-vertical-relative:page;z-index:251664384;mso-width-relative:page;mso-height-relative:page;" fillcolor="#000000" filled="t" stroked="f" coordsize="9072,10" o:allowincell="f" o:gfxdata="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4DaFdkAAAAMAQAADwAA&#10;AAAAAAABACAAAAAiAAAAZHJzL2Rvd25yZXYueG1sUEsBAhQAFAAAAAgAh07iQK8mTlkVAgAAnAQA&#10;AA4AAAAAAAAAAQAgAAAAKAEAAGRycy9lMm9Eb2MueG1sUEsFBgAAAAAGAAYAWQEAAK8FAAAAAA==&#10;" path="m0,0l9072,0,9072,9,0,9,0,0xe">
                <v:fill on="t" focussize="0,0"/>
                <v:stroke on="f"/>
                <v:imagedata o:title=""/>
                <o:lock v:ext="edit" aspectratio="f"/>
              </v:shape>
            </w:pict>
          </mc:Fallback>
        </mc:AlternateContent>
      </w:r>
    </w:p>
    <w:p>
      <w:pPr>
        <w:spacing w:before="75" w:after="0" w:afterLines="0" w:line="229" w:lineRule="auto"/>
        <w:ind w:firstLine="240" w:firstLineChars="100"/>
        <w:jc w:val="both"/>
        <w:outlineLvl w:val="3"/>
        <w:rPr>
          <w:rFonts w:ascii="宋体" w:hAnsi="宋体" w:eastAsia="宋体" w:cs="Times New Roman"/>
        </w:rPr>
      </w:pPr>
      <w:r>
        <w:rPr>
          <w:rFonts w:hint="eastAsia" w:ascii="宋体" w:hAnsi="宋体" w:eastAsia="宋体" w:cs="Times New Roman"/>
        </w:rPr>
        <w:t>8.5其它监测监管事项</w:t>
      </w:r>
    </w:p>
    <w:p>
      <w:pPr>
        <w:spacing w:before="75" w:after="0" w:afterLines="0" w:line="229" w:lineRule="auto"/>
        <w:ind w:firstLine="240" w:firstLineChars="100"/>
        <w:jc w:val="center"/>
        <w:rPr>
          <w:rFonts w:ascii="宋体" w:hAnsi="宋体" w:eastAsia="宋体" w:cs="Times New Roman"/>
        </w:rPr>
      </w:pPr>
      <w:r>
        <w:rPr>
          <w:rFonts w:hint="eastAsia" w:ascii="宋体" w:hAnsi="宋体" w:eastAsia="宋体" w:cs="Times New Roman"/>
        </w:rPr>
        <w:t>表</w:t>
      </w:r>
      <w:r>
        <w:rPr>
          <w:rFonts w:ascii="宋体" w:hAnsi="宋体" w:eastAsia="宋体" w:cs="Times New Roman"/>
        </w:rPr>
        <w:t xml:space="preserve"> 8.5-1</w:t>
      </w:r>
      <w:r>
        <w:rPr>
          <w:rFonts w:hint="eastAsia" w:ascii="宋体" w:hAnsi="宋体" w:eastAsia="宋体" w:cs="Times New Roman"/>
        </w:rPr>
        <w:t xml:space="preserve"> 主要监测内容明细表</w:t>
      </w:r>
    </w:p>
    <w:tbl>
      <w:tblPr>
        <w:tblStyle w:val="57"/>
        <w:tblW w:w="90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
        <w:gridCol w:w="1094"/>
        <w:gridCol w:w="557"/>
        <w:gridCol w:w="20"/>
        <w:gridCol w:w="1532"/>
        <w:gridCol w:w="714"/>
        <w:gridCol w:w="21"/>
        <w:gridCol w:w="555"/>
        <w:gridCol w:w="2125"/>
        <w:gridCol w:w="133"/>
        <w:gridCol w:w="20"/>
        <w:gridCol w:w="969"/>
        <w:gridCol w:w="1271"/>
        <w:gridCol w:w="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6" w:hRule="atLeast"/>
          <w:jc w:val="center"/>
        </w:trPr>
        <w:tc>
          <w:tcPr>
            <w:tcW w:w="1114" w:type="dxa"/>
            <w:gridSpan w:val="2"/>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施工</w:t>
            </w:r>
            <w:r>
              <w:rPr>
                <w:rFonts w:hint="eastAsia" w:ascii="宋体" w:hAnsi="宋体" w:eastAsia="宋体" w:cs="宋体"/>
                <w:spacing w:val="7"/>
              </w:rPr>
              <w:t>单位</w:t>
            </w:r>
          </w:p>
        </w:tc>
        <w:tc>
          <w:tcPr>
            <w:tcW w:w="2109" w:type="dxa"/>
            <w:gridSpan w:val="3"/>
            <w:vAlign w:val="center"/>
          </w:tcPr>
          <w:p>
            <w:pPr>
              <w:spacing w:after="0" w:afterLines="0" w:line="240" w:lineRule="auto"/>
              <w:ind w:firstLine="0" w:firstLineChars="0"/>
              <w:jc w:val="center"/>
              <w:rPr>
                <w:rFonts w:ascii="宋体" w:hAnsi="宋体" w:eastAsia="宋体" w:cs="宋体"/>
              </w:rPr>
            </w:pPr>
          </w:p>
        </w:tc>
        <w:tc>
          <w:tcPr>
            <w:tcW w:w="1290"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工程名</w:t>
            </w:r>
            <w:r>
              <w:rPr>
                <w:rFonts w:hint="eastAsia" w:ascii="宋体" w:hAnsi="宋体" w:eastAsia="宋体" w:cs="宋体"/>
                <w:spacing w:val="6"/>
              </w:rPr>
              <w:t>称</w:t>
            </w:r>
          </w:p>
        </w:tc>
        <w:tc>
          <w:tcPr>
            <w:tcW w:w="2125" w:type="dxa"/>
            <w:vAlign w:val="center"/>
          </w:tcPr>
          <w:p>
            <w:pPr>
              <w:spacing w:after="0" w:afterLines="0" w:line="240" w:lineRule="auto"/>
              <w:ind w:firstLine="0" w:firstLineChars="0"/>
              <w:jc w:val="center"/>
              <w:rPr>
                <w:rFonts w:ascii="宋体" w:hAnsi="宋体" w:eastAsia="宋体" w:cs="宋体"/>
              </w:rPr>
            </w:pPr>
          </w:p>
        </w:tc>
        <w:tc>
          <w:tcPr>
            <w:tcW w:w="1122"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工程地</w:t>
            </w:r>
            <w:r>
              <w:rPr>
                <w:rFonts w:hint="eastAsia" w:ascii="宋体" w:hAnsi="宋体" w:eastAsia="宋体" w:cs="宋体"/>
                <w:spacing w:val="6"/>
              </w:rPr>
              <w:t>址</w:t>
            </w:r>
          </w:p>
        </w:tc>
        <w:tc>
          <w:tcPr>
            <w:tcW w:w="1271" w:type="dxa"/>
            <w:vAlign w:val="center"/>
          </w:tcPr>
          <w:p>
            <w:pPr>
              <w:spacing w:after="0" w:afterLines="0" w:line="240" w:lineRule="auto"/>
              <w:ind w:firstLine="0" w:firstLineChars="0"/>
              <w:jc w:val="center"/>
              <w:rPr>
                <w:rFonts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2" w:hRule="atLeast"/>
          <w:jc w:val="center"/>
        </w:trPr>
        <w:tc>
          <w:tcPr>
            <w:tcW w:w="1114" w:type="dxa"/>
            <w:gridSpan w:val="2"/>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生产厂</w:t>
            </w:r>
            <w:r>
              <w:rPr>
                <w:rFonts w:hint="eastAsia" w:ascii="宋体" w:hAnsi="宋体" w:eastAsia="宋体" w:cs="宋体"/>
                <w:spacing w:val="6"/>
              </w:rPr>
              <w:t>家</w:t>
            </w:r>
          </w:p>
        </w:tc>
        <w:tc>
          <w:tcPr>
            <w:tcW w:w="2109" w:type="dxa"/>
            <w:gridSpan w:val="3"/>
            <w:vAlign w:val="center"/>
          </w:tcPr>
          <w:p>
            <w:pPr>
              <w:spacing w:after="0" w:afterLines="0" w:line="240" w:lineRule="auto"/>
              <w:ind w:firstLine="0" w:firstLineChars="0"/>
              <w:jc w:val="center"/>
              <w:rPr>
                <w:rFonts w:ascii="宋体" w:hAnsi="宋体" w:eastAsia="宋体" w:cs="宋体"/>
              </w:rPr>
            </w:pPr>
          </w:p>
        </w:tc>
        <w:tc>
          <w:tcPr>
            <w:tcW w:w="1290"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安</w:t>
            </w:r>
            <w:r>
              <w:rPr>
                <w:rFonts w:hint="eastAsia" w:ascii="宋体" w:hAnsi="宋体" w:eastAsia="宋体" w:cs="宋体"/>
                <w:spacing w:val="6"/>
              </w:rPr>
              <w:t>装单位</w:t>
            </w:r>
          </w:p>
        </w:tc>
        <w:tc>
          <w:tcPr>
            <w:tcW w:w="2125" w:type="dxa"/>
            <w:vAlign w:val="center"/>
          </w:tcPr>
          <w:p>
            <w:pPr>
              <w:spacing w:after="0" w:afterLines="0" w:line="240" w:lineRule="auto"/>
              <w:ind w:firstLine="0" w:firstLineChars="0"/>
              <w:jc w:val="center"/>
              <w:rPr>
                <w:rFonts w:ascii="宋体" w:hAnsi="宋体" w:eastAsia="宋体" w:cs="宋体"/>
              </w:rPr>
            </w:pPr>
          </w:p>
        </w:tc>
        <w:tc>
          <w:tcPr>
            <w:tcW w:w="1122"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规格型号</w:t>
            </w:r>
          </w:p>
        </w:tc>
        <w:tc>
          <w:tcPr>
            <w:tcW w:w="1271" w:type="dxa"/>
            <w:vAlign w:val="center"/>
          </w:tcPr>
          <w:p>
            <w:pPr>
              <w:spacing w:after="0" w:afterLines="0" w:line="240" w:lineRule="auto"/>
              <w:ind w:firstLine="0" w:firstLineChars="0"/>
              <w:jc w:val="center"/>
              <w:rPr>
                <w:rFonts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2"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监测项目</w:t>
            </w:r>
          </w:p>
        </w:tc>
        <w:tc>
          <w:tcPr>
            <w:tcW w:w="2266"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技术要求</w:t>
            </w:r>
          </w:p>
        </w:tc>
        <w:tc>
          <w:tcPr>
            <w:tcW w:w="2834" w:type="dxa"/>
            <w:gridSpan w:val="4"/>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监</w:t>
            </w:r>
            <w:r>
              <w:rPr>
                <w:rFonts w:hint="eastAsia" w:ascii="宋体" w:hAnsi="宋体" w:eastAsia="宋体" w:cs="宋体"/>
                <w:spacing w:val="8"/>
              </w:rPr>
              <w:t>测方法</w:t>
            </w:r>
            <w:r>
              <w:rPr>
                <w:rFonts w:hint="eastAsia" w:ascii="宋体" w:hAnsi="宋体" w:eastAsia="宋体" w:cs="宋体"/>
                <w:spacing w:val="10"/>
              </w:rPr>
              <w:t>、</w:t>
            </w:r>
            <w:r>
              <w:rPr>
                <w:rFonts w:hint="eastAsia" w:ascii="宋体" w:hAnsi="宋体" w:eastAsia="宋体" w:cs="宋体"/>
                <w:spacing w:val="8"/>
              </w:rPr>
              <w:t>仪器</w:t>
            </w:r>
          </w:p>
        </w:tc>
        <w:tc>
          <w:tcPr>
            <w:tcW w:w="2260"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监测</w:t>
            </w:r>
            <w:r>
              <w:rPr>
                <w:rFonts w:hint="eastAsia" w:ascii="宋体" w:hAnsi="宋体" w:eastAsia="宋体" w:cs="宋体"/>
                <w:spacing w:val="8"/>
              </w:rPr>
              <w:t>周期</w:t>
            </w:r>
            <w:r>
              <w:rPr>
                <w:rFonts w:hint="eastAsia" w:ascii="宋体" w:hAnsi="宋体" w:eastAsia="宋体" w:cs="宋体"/>
                <w:spacing w:val="4"/>
              </w:rPr>
              <w:t>/</w:t>
            </w:r>
            <w:r>
              <w:rPr>
                <w:rFonts w:hint="eastAsia" w:ascii="宋体" w:hAnsi="宋体" w:eastAsia="宋体" w:cs="宋体"/>
                <w:spacing w:val="8"/>
              </w:rPr>
              <w:t>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1030"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埋件预埋质量</w:t>
            </w:r>
          </w:p>
        </w:tc>
        <w:tc>
          <w:tcPr>
            <w:tcW w:w="2266"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position w:val="23"/>
              </w:rPr>
              <w:t>严格按照图纸要求</w:t>
            </w:r>
            <w:r>
              <w:rPr>
                <w:rFonts w:hint="eastAsia" w:ascii="宋体" w:hAnsi="宋体" w:eastAsia="宋体" w:cs="宋体"/>
                <w:spacing w:val="7"/>
                <w:position w:val="23"/>
              </w:rPr>
              <w:t>的</w:t>
            </w: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定位于精度预</w:t>
            </w:r>
            <w:r>
              <w:rPr>
                <w:rFonts w:hint="eastAsia" w:ascii="宋体" w:hAnsi="宋体" w:eastAsia="宋体" w:cs="宋体"/>
                <w:spacing w:val="6"/>
              </w:rPr>
              <w:t>埋</w:t>
            </w:r>
            <w:r>
              <w:rPr>
                <w:rFonts w:hint="eastAsia" w:ascii="宋体" w:hAnsi="宋体" w:eastAsia="宋体" w:cs="宋体"/>
                <w:spacing w:val="8"/>
              </w:rPr>
              <w:t>。</w:t>
            </w:r>
          </w:p>
        </w:tc>
        <w:tc>
          <w:tcPr>
            <w:tcW w:w="2834" w:type="dxa"/>
            <w:gridSpan w:val="4"/>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position w:val="23"/>
              </w:rPr>
              <w:t>使用经纬仪定位基准线</w:t>
            </w:r>
            <w:r>
              <w:rPr>
                <w:rFonts w:hint="eastAsia" w:ascii="宋体" w:hAnsi="宋体" w:eastAsia="宋体" w:cs="宋体"/>
                <w:spacing w:val="10"/>
                <w:position w:val="23"/>
              </w:rPr>
              <w:t>，</w:t>
            </w:r>
            <w:r>
              <w:rPr>
                <w:rFonts w:hint="eastAsia" w:ascii="宋体" w:hAnsi="宋体" w:eastAsia="宋体" w:cs="宋体"/>
                <w:spacing w:val="9"/>
                <w:position w:val="23"/>
              </w:rPr>
              <w:t>卷</w:t>
            </w: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尺测量预</w:t>
            </w:r>
            <w:r>
              <w:rPr>
                <w:rFonts w:hint="eastAsia" w:ascii="宋体" w:hAnsi="宋体" w:eastAsia="宋体" w:cs="宋体"/>
                <w:spacing w:val="7"/>
              </w:rPr>
              <w:t>埋误差</w:t>
            </w:r>
            <w:r>
              <w:rPr>
                <w:rFonts w:hint="eastAsia" w:ascii="宋体" w:hAnsi="宋体" w:eastAsia="宋体" w:cs="宋体"/>
                <w:spacing w:val="9"/>
              </w:rPr>
              <w:t>。</w:t>
            </w:r>
          </w:p>
        </w:tc>
        <w:tc>
          <w:tcPr>
            <w:tcW w:w="2260"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塔</w:t>
            </w:r>
            <w:r>
              <w:rPr>
                <w:rFonts w:hint="eastAsia" w:ascii="宋体" w:hAnsi="宋体" w:eastAsia="宋体" w:cs="宋体"/>
                <w:spacing w:val="8"/>
              </w:rPr>
              <w:t>吊安装之前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2"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5"/>
              </w:rPr>
              <w:t>顶</w:t>
            </w:r>
            <w:r>
              <w:rPr>
                <w:rFonts w:hint="eastAsia" w:ascii="宋体" w:hAnsi="宋体" w:eastAsia="宋体" w:cs="宋体"/>
                <w:spacing w:val="4"/>
              </w:rPr>
              <w:t>升</w:t>
            </w:r>
          </w:p>
        </w:tc>
        <w:tc>
          <w:tcPr>
            <w:tcW w:w="2266"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按顶升</w:t>
            </w:r>
            <w:r>
              <w:rPr>
                <w:rFonts w:hint="eastAsia" w:ascii="宋体" w:hAnsi="宋体" w:eastAsia="宋体" w:cs="宋体"/>
                <w:spacing w:val="8"/>
              </w:rPr>
              <w:t>具体要求</w:t>
            </w:r>
          </w:p>
        </w:tc>
        <w:tc>
          <w:tcPr>
            <w:tcW w:w="2834" w:type="dxa"/>
            <w:gridSpan w:val="4"/>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1"/>
              </w:rPr>
              <w:t>内眼观察</w:t>
            </w:r>
          </w:p>
        </w:tc>
        <w:tc>
          <w:tcPr>
            <w:tcW w:w="2260"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顶升</w:t>
            </w:r>
            <w:r>
              <w:rPr>
                <w:rFonts w:hint="eastAsia" w:ascii="宋体" w:hAnsi="宋体" w:eastAsia="宋体" w:cs="宋体"/>
                <w:spacing w:val="7"/>
              </w:rPr>
              <w:t>前</w:t>
            </w:r>
            <w:r>
              <w:rPr>
                <w:rFonts w:hint="eastAsia" w:ascii="宋体" w:hAnsi="宋体" w:eastAsia="宋体" w:cs="宋体"/>
                <w:spacing w:val="12"/>
              </w:rPr>
              <w:t>、</w:t>
            </w:r>
            <w:r>
              <w:rPr>
                <w:rFonts w:hint="eastAsia" w:ascii="宋体" w:hAnsi="宋体" w:eastAsia="宋体" w:cs="宋体"/>
                <w:spacing w:val="7"/>
              </w:rPr>
              <w:t>中</w:t>
            </w:r>
            <w:r>
              <w:rPr>
                <w:rFonts w:hint="eastAsia" w:ascii="宋体" w:hAnsi="宋体" w:eastAsia="宋体" w:cs="宋体"/>
                <w:spacing w:val="12"/>
              </w:rPr>
              <w:t>、</w:t>
            </w:r>
            <w:r>
              <w:rPr>
                <w:rFonts w:hint="eastAsia" w:ascii="宋体" w:hAnsi="宋体" w:eastAsia="宋体" w:cs="宋体"/>
                <w:spacing w:val="7"/>
              </w:rPr>
              <w:t>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2568"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塔身垂直度</w:t>
            </w:r>
          </w:p>
        </w:tc>
        <w:tc>
          <w:tcPr>
            <w:tcW w:w="2266"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15"/>
              </w:rPr>
              <w:t>塔身垂直度偏</w:t>
            </w:r>
            <w:r>
              <w:rPr>
                <w:rFonts w:hint="eastAsia" w:ascii="宋体" w:hAnsi="宋体" w:eastAsia="宋体" w:cs="宋体"/>
                <w:spacing w:val="14"/>
              </w:rPr>
              <w:t>差在</w:t>
            </w:r>
            <w:r>
              <w:rPr>
                <w:rFonts w:hint="eastAsia" w:ascii="宋体" w:hAnsi="宋体" w:eastAsia="宋体" w:cs="宋体"/>
                <w:spacing w:val="7"/>
              </w:rPr>
              <w:t>4</w:t>
            </w:r>
            <w:r>
              <w:rPr>
                <w:rFonts w:hint="eastAsia" w:ascii="宋体" w:hAnsi="宋体" w:eastAsia="宋体" w:cs="宋体"/>
                <w:spacing w:val="14"/>
              </w:rPr>
              <w:t>‰</w:t>
            </w:r>
            <w:r>
              <w:rPr>
                <w:rFonts w:hint="eastAsia" w:ascii="宋体" w:hAnsi="宋体" w:eastAsia="宋体" w:cs="宋体"/>
              </w:rPr>
              <w:t xml:space="preserve"> </w:t>
            </w:r>
            <w:r>
              <w:rPr>
                <w:rFonts w:hint="eastAsia" w:ascii="宋体" w:hAnsi="宋体" w:eastAsia="宋体" w:cs="宋体"/>
                <w:spacing w:val="-7"/>
              </w:rPr>
              <w:t>以内</w:t>
            </w:r>
          </w:p>
        </w:tc>
        <w:tc>
          <w:tcPr>
            <w:tcW w:w="2834" w:type="dxa"/>
            <w:gridSpan w:val="4"/>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使用经纬仪测量</w:t>
            </w:r>
            <w:r>
              <w:rPr>
                <w:rFonts w:hint="eastAsia" w:ascii="宋体" w:hAnsi="宋体" w:eastAsia="宋体" w:cs="宋体"/>
                <w:spacing w:val="10"/>
              </w:rPr>
              <w:t>，</w:t>
            </w:r>
            <w:r>
              <w:rPr>
                <w:rFonts w:hint="eastAsia" w:ascii="宋体" w:hAnsi="宋体" w:eastAsia="宋体" w:cs="宋体"/>
                <w:spacing w:val="9"/>
              </w:rPr>
              <w:t>将起重</w:t>
            </w:r>
            <w:r>
              <w:rPr>
                <w:rFonts w:hint="eastAsia" w:ascii="宋体" w:hAnsi="宋体" w:eastAsia="宋体" w:cs="宋体"/>
                <w:spacing w:val="8"/>
              </w:rPr>
              <w:t>臂</w:t>
            </w:r>
            <w:r>
              <w:rPr>
                <w:rFonts w:hint="eastAsia" w:ascii="宋体" w:hAnsi="宋体" w:eastAsia="宋体" w:cs="宋体"/>
              </w:rPr>
              <w:t xml:space="preserve"> </w:t>
            </w:r>
            <w:r>
              <w:rPr>
                <w:rFonts w:hint="eastAsia" w:ascii="宋体" w:hAnsi="宋体" w:eastAsia="宋体" w:cs="宋体"/>
                <w:spacing w:val="9"/>
              </w:rPr>
              <w:t>转到东西方向</w:t>
            </w:r>
            <w:r>
              <w:rPr>
                <w:rFonts w:hint="eastAsia" w:ascii="宋体" w:hAnsi="宋体" w:eastAsia="宋体" w:cs="宋体"/>
                <w:spacing w:val="10"/>
              </w:rPr>
              <w:t>，</w:t>
            </w:r>
            <w:r>
              <w:rPr>
                <w:rFonts w:hint="eastAsia" w:ascii="宋体" w:hAnsi="宋体" w:eastAsia="宋体" w:cs="宋体"/>
                <w:spacing w:val="9"/>
              </w:rPr>
              <w:t>检测南方</w:t>
            </w:r>
            <w:r>
              <w:rPr>
                <w:rFonts w:hint="eastAsia" w:ascii="宋体" w:hAnsi="宋体" w:eastAsia="宋体" w:cs="宋体"/>
                <w:spacing w:val="8"/>
              </w:rPr>
              <w:t>方</w:t>
            </w:r>
            <w:r>
              <w:rPr>
                <w:rFonts w:hint="eastAsia" w:ascii="宋体" w:hAnsi="宋体" w:eastAsia="宋体" w:cs="宋体"/>
              </w:rPr>
              <w:t xml:space="preserve"> </w:t>
            </w:r>
            <w:r>
              <w:rPr>
                <w:rFonts w:hint="eastAsia" w:ascii="宋体" w:hAnsi="宋体" w:eastAsia="宋体" w:cs="宋体"/>
                <w:spacing w:val="9"/>
              </w:rPr>
              <w:t>向塔身垂直度</w:t>
            </w:r>
            <w:r>
              <w:rPr>
                <w:rFonts w:hint="eastAsia" w:ascii="宋体" w:hAnsi="宋体" w:eastAsia="宋体" w:cs="宋体"/>
                <w:spacing w:val="10"/>
              </w:rPr>
              <w:t>，</w:t>
            </w:r>
            <w:r>
              <w:rPr>
                <w:rFonts w:hint="eastAsia" w:ascii="宋体" w:hAnsi="宋体" w:eastAsia="宋体" w:cs="宋体"/>
                <w:spacing w:val="9"/>
              </w:rPr>
              <w:t>将起重臂</w:t>
            </w:r>
            <w:r>
              <w:rPr>
                <w:rFonts w:hint="eastAsia" w:ascii="宋体" w:hAnsi="宋体" w:eastAsia="宋体" w:cs="宋体"/>
                <w:spacing w:val="8"/>
              </w:rPr>
              <w:t>转</w:t>
            </w:r>
            <w:r>
              <w:rPr>
                <w:rFonts w:hint="eastAsia" w:ascii="宋体" w:hAnsi="宋体" w:eastAsia="宋体" w:cs="宋体"/>
              </w:rPr>
              <w:t xml:space="preserve"> </w:t>
            </w:r>
            <w:r>
              <w:rPr>
                <w:rFonts w:hint="eastAsia" w:ascii="宋体" w:hAnsi="宋体" w:eastAsia="宋体" w:cs="宋体"/>
                <w:spacing w:val="9"/>
              </w:rPr>
              <w:t>到南北方向</w:t>
            </w:r>
            <w:r>
              <w:rPr>
                <w:rFonts w:hint="eastAsia" w:ascii="宋体" w:hAnsi="宋体" w:eastAsia="宋体" w:cs="宋体"/>
                <w:spacing w:val="10"/>
              </w:rPr>
              <w:t>，</w:t>
            </w:r>
            <w:r>
              <w:rPr>
                <w:rFonts w:hint="eastAsia" w:ascii="宋体" w:hAnsi="宋体" w:eastAsia="宋体" w:cs="宋体"/>
                <w:spacing w:val="9"/>
              </w:rPr>
              <w:t>加测东西方</w:t>
            </w:r>
            <w:r>
              <w:rPr>
                <w:rFonts w:hint="eastAsia" w:ascii="宋体" w:hAnsi="宋体" w:eastAsia="宋体" w:cs="宋体"/>
                <w:spacing w:val="8"/>
              </w:rPr>
              <w:t>向</w:t>
            </w: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7"/>
              </w:rPr>
              <w:t>塔身垂</w:t>
            </w:r>
            <w:r>
              <w:rPr>
                <w:rFonts w:hint="eastAsia" w:ascii="宋体" w:hAnsi="宋体" w:eastAsia="宋体" w:cs="宋体"/>
                <w:spacing w:val="6"/>
              </w:rPr>
              <w:t>直度</w:t>
            </w:r>
            <w:r>
              <w:rPr>
                <w:rFonts w:hint="eastAsia" w:ascii="宋体" w:hAnsi="宋体" w:eastAsia="宋体" w:cs="宋体"/>
                <w:spacing w:val="8"/>
              </w:rPr>
              <w:t>。</w:t>
            </w:r>
          </w:p>
        </w:tc>
        <w:tc>
          <w:tcPr>
            <w:tcW w:w="2260"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首次安装或</w:t>
            </w:r>
            <w:r>
              <w:rPr>
                <w:rFonts w:hint="eastAsia" w:ascii="宋体" w:hAnsi="宋体" w:eastAsia="宋体" w:cs="宋体"/>
                <w:spacing w:val="8"/>
              </w:rPr>
              <w:t>每次加节</w:t>
            </w:r>
            <w:r>
              <w:rPr>
                <w:rFonts w:hint="eastAsia" w:ascii="宋体" w:hAnsi="宋体" w:eastAsia="宋体" w:cs="宋体"/>
              </w:rPr>
              <w:t xml:space="preserve"> 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1543"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4"/>
              </w:rPr>
              <w:t>风速</w:t>
            </w:r>
          </w:p>
        </w:tc>
        <w:tc>
          <w:tcPr>
            <w:tcW w:w="2266"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1"/>
              </w:rPr>
              <w:t xml:space="preserve">6 </w:t>
            </w:r>
            <w:r>
              <w:rPr>
                <w:rFonts w:hint="eastAsia" w:ascii="宋体" w:hAnsi="宋体" w:eastAsia="宋体" w:cs="宋体"/>
                <w:spacing w:val="3"/>
              </w:rPr>
              <w:t>级风以上不准起吊</w:t>
            </w:r>
          </w:p>
        </w:tc>
        <w:tc>
          <w:tcPr>
            <w:tcW w:w="2834" w:type="dxa"/>
            <w:gridSpan w:val="4"/>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9"/>
              </w:rPr>
              <w:t>使用风速仪监控塔吊顶部风</w:t>
            </w:r>
            <w:r>
              <w:rPr>
                <w:rFonts w:hint="eastAsia" w:ascii="宋体" w:hAnsi="宋体" w:eastAsia="宋体" w:cs="宋体"/>
              </w:rPr>
              <w:t xml:space="preserve"> 速</w:t>
            </w:r>
            <w:r>
              <w:rPr>
                <w:rFonts w:hint="eastAsia" w:ascii="宋体" w:hAnsi="宋体" w:eastAsia="宋体" w:cs="宋体"/>
                <w:spacing w:val="-94"/>
              </w:rPr>
              <w:t>，</w:t>
            </w:r>
            <w:r>
              <w:rPr>
                <w:rFonts w:hint="eastAsia" w:ascii="宋体" w:hAnsi="宋体" w:eastAsia="宋体" w:cs="宋体"/>
              </w:rPr>
              <w:t>6</w:t>
            </w:r>
            <w:r>
              <w:rPr>
                <w:rFonts w:hint="eastAsia" w:ascii="宋体" w:hAnsi="宋体" w:eastAsia="宋体" w:cs="宋体"/>
                <w:spacing w:val="-1"/>
              </w:rPr>
              <w:t xml:space="preserve"> </w:t>
            </w:r>
            <w:r>
              <w:rPr>
                <w:rFonts w:hint="eastAsia" w:ascii="宋体" w:hAnsi="宋体" w:eastAsia="宋体" w:cs="宋体"/>
              </w:rPr>
              <w:t>级风以上不准吊重</w:t>
            </w:r>
            <w:r>
              <w:rPr>
                <w:rFonts w:hint="eastAsia" w:ascii="宋体" w:hAnsi="宋体" w:eastAsia="宋体" w:cs="宋体"/>
                <w:spacing w:val="-94"/>
              </w:rPr>
              <w:t>。</w:t>
            </w:r>
            <w:r>
              <w:rPr>
                <w:rFonts w:hint="eastAsia" w:ascii="宋体" w:hAnsi="宋体" w:eastAsia="宋体" w:cs="宋体"/>
              </w:rPr>
              <w:t>（塔吊自带</w:t>
            </w:r>
            <w:r>
              <w:rPr>
                <w:rFonts w:hint="eastAsia" w:ascii="宋体" w:hAnsi="宋体" w:eastAsia="宋体" w:cs="宋体"/>
                <w:spacing w:val="-5"/>
              </w:rPr>
              <w:t>）</w:t>
            </w:r>
          </w:p>
        </w:tc>
        <w:tc>
          <w:tcPr>
            <w:tcW w:w="2260" w:type="dxa"/>
            <w:gridSpan w:val="3"/>
            <w:vAlign w:val="center"/>
          </w:tcPr>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p>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5"/>
              </w:rPr>
              <w:t>每</w:t>
            </w:r>
            <w:r>
              <w:rPr>
                <w:rFonts w:hint="eastAsia" w:ascii="宋体" w:hAnsi="宋体" w:eastAsia="宋体" w:cs="宋体"/>
                <w:spacing w:val="4"/>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0" w:type="dxa"/>
          <w:trHeight w:val="574"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8"/>
              </w:rPr>
              <w:t>安全保</w:t>
            </w:r>
            <w:r>
              <w:rPr>
                <w:rFonts w:hint="eastAsia" w:ascii="宋体" w:hAnsi="宋体" w:eastAsia="宋体" w:cs="宋体"/>
                <w:spacing w:val="7"/>
              </w:rPr>
              <w:t>护装置</w:t>
            </w:r>
          </w:p>
        </w:tc>
        <w:tc>
          <w:tcPr>
            <w:tcW w:w="2266"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2"/>
                <w:position w:val="1"/>
              </w:rPr>
              <w:t>1.</w:t>
            </w:r>
            <w:r>
              <w:rPr>
                <w:rFonts w:hint="eastAsia" w:ascii="宋体" w:hAnsi="宋体" w:eastAsia="宋体" w:cs="宋体"/>
                <w:spacing w:val="3"/>
                <w:position w:val="1"/>
              </w:rPr>
              <w:t>高度限</w:t>
            </w:r>
            <w:r>
              <w:rPr>
                <w:rFonts w:hint="eastAsia" w:ascii="宋体" w:hAnsi="宋体" w:eastAsia="宋体" w:cs="宋体"/>
                <w:spacing w:val="2"/>
                <w:position w:val="1"/>
              </w:rPr>
              <w:t>位</w:t>
            </w:r>
            <w:r>
              <w:rPr>
                <w:rFonts w:hint="eastAsia" w:ascii="宋体" w:hAnsi="宋体" w:eastAsia="宋体" w:cs="宋体"/>
                <w:spacing w:val="3"/>
                <w:position w:val="1"/>
              </w:rPr>
              <w:t>，</w:t>
            </w:r>
            <w:r>
              <w:rPr>
                <w:rFonts w:hint="eastAsia" w:ascii="宋体" w:hAnsi="宋体" w:eastAsia="宋体" w:cs="宋体"/>
                <w:spacing w:val="2"/>
                <w:position w:val="1"/>
              </w:rPr>
              <w:t>吊钩距起</w:t>
            </w:r>
            <w:r>
              <w:rPr>
                <w:rFonts w:ascii="宋体" w:hAnsi="宋体" w:eastAsia="宋体" w:cs="宋体"/>
              </w:rPr>
              <w:t>重臂</w:t>
            </w:r>
            <w:r>
              <w:rPr>
                <w:rFonts w:ascii="宋体" w:hAnsi="宋体" w:eastAsia="宋体" w:cs="宋体"/>
                <w:spacing w:val="-1"/>
              </w:rPr>
              <w:t xml:space="preserve"> </w:t>
            </w:r>
            <w:r>
              <w:rPr>
                <w:rFonts w:ascii="宋体" w:hAnsi="宋体" w:eastAsia="宋体" w:cs="宋体"/>
              </w:rPr>
              <w:t>2m 跳闸</w:t>
            </w:r>
            <w:r>
              <w:rPr>
                <w:rFonts w:ascii="宋体" w:hAnsi="宋体" w:eastAsia="宋体" w:cs="宋体"/>
                <w:spacing w:val="-56"/>
              </w:rPr>
              <w:t>；</w:t>
            </w:r>
            <w:r>
              <w:rPr>
                <w:rFonts w:ascii="宋体" w:hAnsi="宋体" w:eastAsia="宋体" w:cs="宋体"/>
              </w:rPr>
              <w:t xml:space="preserve"> </w:t>
            </w:r>
            <w:r>
              <w:rPr>
                <w:rFonts w:ascii="宋体" w:hAnsi="宋体" w:eastAsia="宋体" w:cs="宋体"/>
                <w:spacing w:val="3"/>
              </w:rPr>
              <w:t>2.</w:t>
            </w:r>
            <w:r>
              <w:rPr>
                <w:rFonts w:ascii="宋体" w:hAnsi="宋体" w:eastAsia="宋体" w:cs="宋体"/>
                <w:spacing w:val="4"/>
              </w:rPr>
              <w:t>重量与力矩限</w:t>
            </w:r>
            <w:r>
              <w:rPr>
                <w:rFonts w:ascii="宋体" w:hAnsi="宋体" w:eastAsia="宋体" w:cs="宋体"/>
                <w:spacing w:val="3"/>
              </w:rPr>
              <w:t>制</w:t>
            </w:r>
            <w:r>
              <w:rPr>
                <w:rFonts w:ascii="宋体" w:hAnsi="宋体" w:eastAsia="宋体" w:cs="宋体"/>
                <w:spacing w:val="5"/>
              </w:rPr>
              <w:t>：</w:t>
            </w:r>
            <w:r>
              <w:rPr>
                <w:rFonts w:ascii="宋体" w:hAnsi="宋体" w:eastAsia="宋体" w:cs="宋体"/>
                <w:spacing w:val="3"/>
              </w:rPr>
              <w:t>根</w:t>
            </w:r>
            <w:r>
              <w:rPr>
                <w:rFonts w:ascii="宋体" w:hAnsi="宋体" w:eastAsia="宋体" w:cs="宋体"/>
                <w:spacing w:val="8"/>
              </w:rPr>
              <w:t>据性能参</w:t>
            </w:r>
            <w:r>
              <w:rPr>
                <w:rFonts w:ascii="宋体" w:hAnsi="宋体" w:eastAsia="宋体" w:cs="宋体"/>
                <w:spacing w:val="7"/>
              </w:rPr>
              <w:t>数试吊</w:t>
            </w:r>
            <w:r>
              <w:rPr>
                <w:rFonts w:ascii="宋体" w:hAnsi="宋体" w:eastAsia="宋体" w:cs="宋体"/>
                <w:spacing w:val="8"/>
              </w:rPr>
              <w:t>；</w:t>
            </w:r>
          </w:p>
        </w:tc>
        <w:tc>
          <w:tcPr>
            <w:tcW w:w="2834" w:type="dxa"/>
            <w:gridSpan w:val="4"/>
            <w:vAlign w:val="center"/>
          </w:tcPr>
          <w:p>
            <w:pPr>
              <w:spacing w:before="156" w:after="0" w:afterLines="0" w:line="474" w:lineRule="auto"/>
              <w:ind w:right="17" w:firstLine="0" w:firstLineChars="0"/>
              <w:jc w:val="both"/>
              <w:rPr>
                <w:rFonts w:ascii="宋体" w:hAnsi="宋体" w:eastAsia="宋体" w:cs="宋体"/>
              </w:rPr>
            </w:pPr>
            <w:r>
              <w:rPr>
                <w:rFonts w:hint="eastAsia" w:ascii="宋体" w:hAnsi="宋体" w:eastAsia="宋体" w:cs="宋体"/>
                <w:spacing w:val="4"/>
                <w:position w:val="1"/>
              </w:rPr>
              <w:t>1.</w:t>
            </w:r>
            <w:r>
              <w:rPr>
                <w:rFonts w:hint="eastAsia" w:ascii="宋体" w:hAnsi="宋体" w:eastAsia="宋体" w:cs="宋体"/>
                <w:spacing w:val="8"/>
                <w:position w:val="1"/>
              </w:rPr>
              <w:t>塔机吊钩到达距离起重臂</w:t>
            </w:r>
            <w:r>
              <w:rPr>
                <w:rFonts w:ascii="宋体" w:hAnsi="宋体" w:eastAsia="宋体" w:cs="宋体"/>
              </w:rPr>
              <w:t>2m</w:t>
            </w:r>
            <w:r>
              <w:rPr>
                <w:rFonts w:ascii="宋体" w:hAnsi="宋体" w:eastAsia="宋体" w:cs="宋体"/>
                <w:spacing w:val="-1"/>
              </w:rPr>
              <w:t xml:space="preserve"> </w:t>
            </w:r>
            <w:r>
              <w:rPr>
                <w:rFonts w:ascii="宋体" w:hAnsi="宋体" w:eastAsia="宋体" w:cs="宋体"/>
              </w:rPr>
              <w:t>位置时跳闸</w:t>
            </w:r>
            <w:r>
              <w:rPr>
                <w:rFonts w:ascii="宋体" w:hAnsi="宋体" w:eastAsia="宋体" w:cs="宋体"/>
                <w:spacing w:val="-2"/>
              </w:rPr>
              <w:t>。</w:t>
            </w:r>
            <w:r>
              <w:rPr>
                <w:rFonts w:ascii="宋体" w:hAnsi="宋体" w:eastAsia="宋体" w:cs="宋体"/>
              </w:rPr>
              <w:t>（塔机自带</w:t>
            </w:r>
            <w:r>
              <w:rPr>
                <w:rFonts w:ascii="宋体" w:hAnsi="宋体" w:eastAsia="宋体" w:cs="宋体"/>
                <w:spacing w:val="-2"/>
              </w:rPr>
              <w:t>）</w:t>
            </w:r>
            <w:r>
              <w:rPr>
                <w:rFonts w:ascii="宋体" w:hAnsi="宋体" w:eastAsia="宋体" w:cs="宋体"/>
              </w:rPr>
              <w:t xml:space="preserve"> </w:t>
            </w:r>
            <w:r>
              <w:rPr>
                <w:rFonts w:ascii="宋体" w:hAnsi="宋体" w:eastAsia="宋体" w:cs="宋体"/>
                <w:spacing w:val="5"/>
              </w:rPr>
              <w:t>2.</w:t>
            </w:r>
            <w:r>
              <w:rPr>
                <w:rFonts w:ascii="宋体" w:hAnsi="宋体" w:eastAsia="宋体" w:cs="宋体"/>
                <w:spacing w:val="9"/>
              </w:rPr>
              <w:t>超重</w:t>
            </w:r>
            <w:r>
              <w:rPr>
                <w:rFonts w:ascii="宋体" w:hAnsi="宋体" w:eastAsia="宋体" w:cs="宋体"/>
                <w:spacing w:val="10"/>
              </w:rPr>
              <w:t>、</w:t>
            </w:r>
            <w:r>
              <w:rPr>
                <w:rFonts w:ascii="宋体" w:hAnsi="宋体" w:eastAsia="宋体" w:cs="宋体"/>
                <w:spacing w:val="9"/>
              </w:rPr>
              <w:t>超力矩塔机不能</w:t>
            </w:r>
            <w:r>
              <w:rPr>
                <w:rFonts w:ascii="宋体" w:hAnsi="宋体" w:eastAsia="宋体" w:cs="宋体"/>
                <w:spacing w:val="8"/>
              </w:rPr>
              <w:t>起</w:t>
            </w:r>
          </w:p>
          <w:p>
            <w:pPr>
              <w:spacing w:after="0" w:afterLines="0" w:line="240" w:lineRule="auto"/>
              <w:ind w:firstLine="0" w:firstLineChars="0"/>
              <w:jc w:val="center"/>
              <w:rPr>
                <w:rFonts w:ascii="宋体" w:hAnsi="宋体" w:eastAsia="宋体" w:cs="宋体"/>
              </w:rPr>
            </w:pPr>
            <w:r>
              <w:rPr>
                <w:rFonts w:ascii="宋体" w:hAnsi="宋体" w:eastAsia="宋体" w:cs="宋体"/>
                <w:spacing w:val="4"/>
              </w:rPr>
              <w:t>吊（</w:t>
            </w:r>
            <w:r>
              <w:rPr>
                <w:rFonts w:ascii="宋体" w:hAnsi="宋体" w:eastAsia="宋体" w:cs="宋体"/>
                <w:spacing w:val="3"/>
              </w:rPr>
              <w:t>塔机自带</w:t>
            </w:r>
            <w:r>
              <w:rPr>
                <w:rFonts w:ascii="宋体" w:hAnsi="宋体" w:eastAsia="宋体" w:cs="宋体"/>
                <w:spacing w:val="4"/>
              </w:rPr>
              <w:t>）</w:t>
            </w:r>
          </w:p>
        </w:tc>
        <w:tc>
          <w:tcPr>
            <w:tcW w:w="2260"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5"/>
              </w:rPr>
              <w:t>每</w:t>
            </w:r>
            <w:r>
              <w:rPr>
                <w:rFonts w:hint="eastAsia" w:ascii="宋体" w:hAnsi="宋体" w:eastAsia="宋体" w:cs="宋体"/>
                <w:spacing w:val="4"/>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030" w:hRule="atLeast"/>
          <w:jc w:val="center"/>
        </w:trPr>
        <w:tc>
          <w:tcPr>
            <w:tcW w:w="1671" w:type="dxa"/>
            <w:gridSpan w:val="3"/>
          </w:tcPr>
          <w:p>
            <w:pPr>
              <w:spacing w:after="0" w:afterLines="0" w:line="341" w:lineRule="auto"/>
              <w:ind w:firstLine="480"/>
              <w:jc w:val="center"/>
              <w:rPr>
                <w:rFonts w:ascii="Arial" w:hAnsi="宋体" w:eastAsia="宋体" w:cs="Times New Roman"/>
              </w:rPr>
            </w:pPr>
          </w:p>
          <w:p>
            <w:pPr>
              <w:spacing w:before="65" w:after="0" w:afterLines="0" w:line="228" w:lineRule="auto"/>
              <w:ind w:firstLine="0" w:firstLineChars="0"/>
              <w:jc w:val="center"/>
              <w:rPr>
                <w:rFonts w:ascii="宋体" w:hAnsi="宋体" w:eastAsia="宋体" w:cs="宋体"/>
              </w:rPr>
            </w:pPr>
            <w:r>
              <w:rPr>
                <w:rFonts w:ascii="宋体" w:hAnsi="宋体" w:eastAsia="宋体" w:cs="宋体"/>
                <w:spacing w:val="4"/>
              </w:rPr>
              <w:t>防雷装置</w:t>
            </w:r>
          </w:p>
        </w:tc>
        <w:tc>
          <w:tcPr>
            <w:tcW w:w="2267" w:type="dxa"/>
            <w:gridSpan w:val="3"/>
          </w:tcPr>
          <w:p>
            <w:pPr>
              <w:spacing w:before="151" w:after="0" w:afterLines="0" w:line="513" w:lineRule="exact"/>
              <w:ind w:firstLine="0" w:firstLineChars="0"/>
              <w:jc w:val="center"/>
              <w:rPr>
                <w:rFonts w:ascii="宋体" w:hAnsi="宋体" w:eastAsia="宋体" w:cs="宋体"/>
              </w:rPr>
            </w:pPr>
            <w:r>
              <w:rPr>
                <w:rFonts w:ascii="宋体" w:hAnsi="宋体" w:eastAsia="宋体" w:cs="宋体"/>
                <w:spacing w:val="9"/>
                <w:position w:val="23"/>
              </w:rPr>
              <w:t>塔机避雷线与建筑</w:t>
            </w:r>
            <w:r>
              <w:rPr>
                <w:rFonts w:ascii="宋体" w:hAnsi="宋体" w:eastAsia="宋体" w:cs="宋体"/>
                <w:spacing w:val="8"/>
                <w:position w:val="23"/>
              </w:rPr>
              <w:t>物</w:t>
            </w:r>
          </w:p>
          <w:p>
            <w:pPr>
              <w:spacing w:after="0" w:afterLines="0" w:line="229" w:lineRule="auto"/>
              <w:ind w:firstLine="512"/>
              <w:jc w:val="center"/>
              <w:rPr>
                <w:rFonts w:ascii="宋体" w:hAnsi="宋体" w:eastAsia="宋体" w:cs="宋体"/>
              </w:rPr>
            </w:pPr>
            <w:r>
              <w:rPr>
                <w:rFonts w:ascii="宋体" w:hAnsi="宋体" w:eastAsia="宋体" w:cs="宋体"/>
                <w:spacing w:val="8"/>
              </w:rPr>
              <w:t>接地</w:t>
            </w:r>
            <w:r>
              <w:rPr>
                <w:rFonts w:ascii="宋体" w:hAnsi="宋体" w:eastAsia="宋体" w:cs="宋体"/>
                <w:spacing w:val="7"/>
              </w:rPr>
              <w:t>相连</w:t>
            </w:r>
          </w:p>
        </w:tc>
        <w:tc>
          <w:tcPr>
            <w:tcW w:w="2833" w:type="dxa"/>
            <w:gridSpan w:val="4"/>
          </w:tcPr>
          <w:p>
            <w:pPr>
              <w:spacing w:before="151" w:after="0" w:afterLines="0" w:line="513" w:lineRule="exact"/>
              <w:ind w:firstLine="0" w:firstLineChars="0"/>
              <w:jc w:val="center"/>
              <w:rPr>
                <w:rFonts w:ascii="宋体" w:hAnsi="宋体" w:eastAsia="宋体" w:cs="宋体"/>
              </w:rPr>
            </w:pPr>
            <w:r>
              <w:rPr>
                <w:rFonts w:ascii="宋体" w:hAnsi="宋体" w:eastAsia="宋体" w:cs="宋体"/>
                <w:spacing w:val="3"/>
                <w:position w:val="23"/>
              </w:rPr>
              <w:t>检测</w:t>
            </w:r>
            <w:r>
              <w:rPr>
                <w:rFonts w:ascii="宋体" w:hAnsi="宋体" w:eastAsia="宋体" w:cs="宋体"/>
                <w:spacing w:val="2"/>
                <w:position w:val="23"/>
              </w:rPr>
              <w:t>避雷电阻</w:t>
            </w:r>
            <w:r>
              <w:rPr>
                <w:rFonts w:ascii="宋体" w:hAnsi="宋体" w:eastAsia="宋体" w:cs="宋体"/>
                <w:spacing w:val="3"/>
                <w:position w:val="23"/>
              </w:rPr>
              <w:t>，</w:t>
            </w:r>
            <w:r>
              <w:rPr>
                <w:rFonts w:ascii="宋体" w:hAnsi="宋体" w:eastAsia="宋体" w:cs="宋体"/>
                <w:spacing w:val="2"/>
                <w:position w:val="23"/>
              </w:rPr>
              <w:t xml:space="preserve">要求电阻在 </w:t>
            </w:r>
            <w:r>
              <w:rPr>
                <w:rFonts w:ascii="宋体" w:hAnsi="宋体" w:eastAsia="宋体" w:cs="宋体"/>
                <w:spacing w:val="1"/>
                <w:position w:val="23"/>
              </w:rPr>
              <w:t>1</w:t>
            </w:r>
          </w:p>
          <w:p>
            <w:pPr>
              <w:spacing w:after="0" w:afterLines="0" w:line="227" w:lineRule="auto"/>
              <w:ind w:firstLine="0" w:firstLineChars="0"/>
              <w:jc w:val="center"/>
              <w:rPr>
                <w:rFonts w:ascii="宋体" w:hAnsi="宋体" w:eastAsia="宋体" w:cs="宋体"/>
              </w:rPr>
            </w:pPr>
            <w:r>
              <w:rPr>
                <w:rFonts w:ascii="宋体" w:hAnsi="宋体" w:eastAsia="宋体" w:cs="宋体"/>
                <w:spacing w:val="-7"/>
              </w:rPr>
              <w:t>Ω之内</w:t>
            </w:r>
          </w:p>
        </w:tc>
        <w:tc>
          <w:tcPr>
            <w:tcW w:w="2260" w:type="dxa"/>
            <w:gridSpan w:val="3"/>
          </w:tcPr>
          <w:p>
            <w:pPr>
              <w:spacing w:after="0" w:afterLines="0" w:line="340" w:lineRule="auto"/>
              <w:ind w:firstLine="480"/>
              <w:jc w:val="center"/>
              <w:rPr>
                <w:rFonts w:ascii="Arial" w:hAnsi="宋体" w:eastAsia="宋体" w:cs="Times New Roman"/>
              </w:rPr>
            </w:pPr>
          </w:p>
          <w:p>
            <w:pPr>
              <w:spacing w:before="65" w:after="0" w:afterLines="0" w:line="228" w:lineRule="auto"/>
              <w:ind w:firstLine="0" w:firstLineChars="0"/>
              <w:jc w:val="center"/>
              <w:rPr>
                <w:rFonts w:ascii="宋体" w:hAnsi="宋体" w:eastAsia="宋体" w:cs="宋体"/>
              </w:rPr>
            </w:pPr>
            <w:r>
              <w:rPr>
                <w:rFonts w:ascii="宋体" w:hAnsi="宋体" w:eastAsia="宋体" w:cs="宋体"/>
                <w:spacing w:val="8"/>
              </w:rPr>
              <w:t>每次爬升后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030" w:hRule="atLeast"/>
          <w:jc w:val="center"/>
        </w:trPr>
        <w:tc>
          <w:tcPr>
            <w:tcW w:w="1671" w:type="dxa"/>
            <w:gridSpan w:val="3"/>
          </w:tcPr>
          <w:p>
            <w:pPr>
              <w:spacing w:after="0" w:afterLines="0" w:line="342" w:lineRule="auto"/>
              <w:ind w:firstLine="480"/>
              <w:jc w:val="center"/>
              <w:rPr>
                <w:rFonts w:ascii="Arial" w:hAnsi="宋体" w:eastAsia="宋体" w:cs="Times New Roman"/>
              </w:rPr>
            </w:pPr>
          </w:p>
          <w:p>
            <w:pPr>
              <w:spacing w:before="65" w:after="0" w:afterLines="0" w:line="231" w:lineRule="auto"/>
              <w:ind w:firstLine="0" w:firstLineChars="0"/>
              <w:jc w:val="center"/>
              <w:rPr>
                <w:rFonts w:ascii="宋体" w:hAnsi="宋体" w:eastAsia="宋体" w:cs="宋体"/>
              </w:rPr>
            </w:pPr>
            <w:r>
              <w:rPr>
                <w:rFonts w:ascii="宋体" w:hAnsi="宋体" w:eastAsia="宋体" w:cs="宋体"/>
                <w:spacing w:val="8"/>
              </w:rPr>
              <w:t>钢</w:t>
            </w:r>
            <w:r>
              <w:rPr>
                <w:rFonts w:ascii="宋体" w:hAnsi="宋体" w:eastAsia="宋体" w:cs="宋体"/>
                <w:spacing w:val="7"/>
              </w:rPr>
              <w:t>丝绳</w:t>
            </w:r>
          </w:p>
        </w:tc>
        <w:tc>
          <w:tcPr>
            <w:tcW w:w="2267" w:type="dxa"/>
            <w:gridSpan w:val="3"/>
          </w:tcPr>
          <w:p>
            <w:pPr>
              <w:spacing w:before="153" w:after="0" w:afterLines="0" w:line="545" w:lineRule="exact"/>
              <w:ind w:firstLine="0" w:firstLineChars="0"/>
              <w:jc w:val="center"/>
              <w:rPr>
                <w:rFonts w:ascii="宋体" w:hAnsi="宋体" w:eastAsia="宋体" w:cs="宋体"/>
              </w:rPr>
            </w:pPr>
            <w:r>
              <w:rPr>
                <w:rFonts w:ascii="宋体" w:hAnsi="宋体" w:eastAsia="宋体" w:cs="宋体"/>
                <w:spacing w:val="9"/>
                <w:position w:val="26"/>
              </w:rPr>
              <w:t>按钢</w:t>
            </w:r>
            <w:r>
              <w:rPr>
                <w:rFonts w:ascii="宋体" w:hAnsi="宋体" w:eastAsia="宋体" w:cs="宋体"/>
                <w:spacing w:val="8"/>
                <w:position w:val="26"/>
              </w:rPr>
              <w:t>丝绳标准</w:t>
            </w:r>
          </w:p>
          <w:p>
            <w:pPr>
              <w:spacing w:after="0" w:afterLines="0" w:line="191" w:lineRule="auto"/>
              <w:ind w:firstLine="0" w:firstLineChars="0"/>
              <w:jc w:val="center"/>
              <w:rPr>
                <w:rFonts w:ascii="宋体" w:hAnsi="宋体" w:eastAsia="宋体" w:cs="宋体"/>
              </w:rPr>
            </w:pPr>
            <w:r>
              <w:rPr>
                <w:rFonts w:ascii="宋体" w:hAnsi="宋体" w:eastAsia="宋体" w:cs="宋体"/>
                <w:spacing w:val="5"/>
              </w:rPr>
              <w:t>GB891</w:t>
            </w:r>
            <w:r>
              <w:rPr>
                <w:rFonts w:ascii="宋体" w:hAnsi="宋体" w:eastAsia="宋体" w:cs="宋体"/>
                <w:spacing w:val="4"/>
              </w:rPr>
              <w:t>8-2006</w:t>
            </w:r>
          </w:p>
        </w:tc>
        <w:tc>
          <w:tcPr>
            <w:tcW w:w="2833" w:type="dxa"/>
            <w:gridSpan w:val="4"/>
          </w:tcPr>
          <w:p>
            <w:pPr>
              <w:spacing w:after="0" w:afterLines="0" w:line="342" w:lineRule="auto"/>
              <w:ind w:firstLine="480"/>
              <w:jc w:val="center"/>
              <w:rPr>
                <w:rFonts w:ascii="Arial" w:hAnsi="宋体" w:eastAsia="宋体" w:cs="Times New Roman"/>
              </w:rPr>
            </w:pPr>
          </w:p>
          <w:p>
            <w:pPr>
              <w:spacing w:before="65" w:after="0" w:afterLines="0" w:line="228" w:lineRule="auto"/>
              <w:ind w:firstLine="0" w:firstLineChars="0"/>
              <w:jc w:val="center"/>
              <w:rPr>
                <w:rFonts w:ascii="宋体" w:hAnsi="宋体" w:eastAsia="宋体" w:cs="宋体"/>
              </w:rPr>
            </w:pPr>
            <w:r>
              <w:rPr>
                <w:rFonts w:ascii="宋体" w:hAnsi="宋体" w:eastAsia="宋体" w:cs="宋体"/>
                <w:spacing w:val="3"/>
              </w:rPr>
              <w:t>肉</w:t>
            </w:r>
            <w:r>
              <w:rPr>
                <w:rFonts w:ascii="宋体" w:hAnsi="宋体" w:eastAsia="宋体" w:cs="宋体"/>
                <w:spacing w:val="2"/>
              </w:rPr>
              <w:t>眼观察</w:t>
            </w:r>
          </w:p>
        </w:tc>
        <w:tc>
          <w:tcPr>
            <w:tcW w:w="2260" w:type="dxa"/>
            <w:gridSpan w:val="3"/>
          </w:tcPr>
          <w:p>
            <w:pPr>
              <w:spacing w:after="0" w:afterLines="0" w:line="342" w:lineRule="auto"/>
              <w:ind w:firstLine="480"/>
              <w:jc w:val="center"/>
              <w:rPr>
                <w:rFonts w:ascii="Arial" w:hAnsi="宋体" w:eastAsia="宋体" w:cs="Times New Roman"/>
              </w:rPr>
            </w:pPr>
          </w:p>
          <w:p>
            <w:pPr>
              <w:spacing w:before="65" w:after="0" w:afterLines="0" w:line="228"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543" w:hRule="atLeast"/>
          <w:jc w:val="center"/>
        </w:trPr>
        <w:tc>
          <w:tcPr>
            <w:tcW w:w="1671" w:type="dxa"/>
            <w:gridSpan w:val="3"/>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4"/>
              </w:rPr>
              <w:t>吊装吊点与吊</w:t>
            </w:r>
            <w:r>
              <w:rPr>
                <w:rFonts w:ascii="宋体" w:hAnsi="宋体" w:eastAsia="宋体" w:cs="宋体"/>
              </w:rPr>
              <w:t xml:space="preserve"> </w:t>
            </w:r>
            <w:r>
              <w:rPr>
                <w:rFonts w:ascii="宋体" w:hAnsi="宋体" w:eastAsia="宋体" w:cs="宋体"/>
                <w:spacing w:val="8"/>
              </w:rPr>
              <w:t>装用钢丝绳</w:t>
            </w:r>
          </w:p>
        </w:tc>
        <w:tc>
          <w:tcPr>
            <w:tcW w:w="2267"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9"/>
              </w:rPr>
              <w:t>要求构件吊点选择</w:t>
            </w:r>
            <w:r>
              <w:rPr>
                <w:rFonts w:ascii="宋体" w:hAnsi="宋体" w:eastAsia="宋体" w:cs="宋体"/>
                <w:spacing w:val="7"/>
              </w:rPr>
              <w:t>合</w:t>
            </w:r>
            <w:r>
              <w:rPr>
                <w:rFonts w:ascii="宋体" w:hAnsi="宋体" w:eastAsia="宋体" w:cs="宋体"/>
              </w:rPr>
              <w:t xml:space="preserve"> </w:t>
            </w:r>
            <w:r>
              <w:rPr>
                <w:rFonts w:ascii="宋体" w:hAnsi="宋体" w:eastAsia="宋体" w:cs="宋体"/>
                <w:spacing w:val="4"/>
              </w:rPr>
              <w:t>理</w:t>
            </w:r>
            <w:r>
              <w:rPr>
                <w:rFonts w:ascii="宋体" w:hAnsi="宋体" w:eastAsia="宋体" w:cs="宋体"/>
                <w:spacing w:val="5"/>
              </w:rPr>
              <w:t>，</w:t>
            </w:r>
            <w:r>
              <w:rPr>
                <w:rFonts w:ascii="宋体" w:hAnsi="宋体" w:eastAsia="宋体" w:cs="宋体"/>
                <w:spacing w:val="4"/>
              </w:rPr>
              <w:t>吊装钢丝绳满</w:t>
            </w:r>
            <w:r>
              <w:rPr>
                <w:rFonts w:ascii="宋体" w:hAnsi="宋体" w:eastAsia="宋体" w:cs="宋体"/>
                <w:spacing w:val="3"/>
              </w:rPr>
              <w:t>足使</w:t>
            </w:r>
            <w:r>
              <w:rPr>
                <w:rFonts w:ascii="宋体" w:hAnsi="宋体" w:eastAsia="宋体" w:cs="宋体"/>
                <w:spacing w:val="5"/>
              </w:rPr>
              <w:t>用要</w:t>
            </w:r>
            <w:r>
              <w:rPr>
                <w:rFonts w:ascii="宋体" w:hAnsi="宋体" w:eastAsia="宋体" w:cs="宋体"/>
                <w:spacing w:val="4"/>
              </w:rPr>
              <w:t>求</w:t>
            </w:r>
            <w:r>
              <w:rPr>
                <w:rFonts w:ascii="宋体" w:hAnsi="宋体" w:eastAsia="宋体" w:cs="宋体"/>
                <w:spacing w:val="6"/>
              </w:rPr>
              <w:t>。</w:t>
            </w:r>
          </w:p>
        </w:tc>
        <w:tc>
          <w:tcPr>
            <w:tcW w:w="2833" w:type="dxa"/>
            <w:gridSpan w:val="4"/>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9"/>
              </w:rPr>
              <w:t>专人绑扎构件</w:t>
            </w:r>
            <w:r>
              <w:rPr>
                <w:rFonts w:ascii="宋体" w:hAnsi="宋体" w:eastAsia="宋体" w:cs="宋体"/>
                <w:spacing w:val="10"/>
              </w:rPr>
              <w:t>，</w:t>
            </w:r>
            <w:r>
              <w:rPr>
                <w:rFonts w:ascii="宋体" w:hAnsi="宋体" w:eastAsia="宋体" w:cs="宋体"/>
                <w:spacing w:val="9"/>
              </w:rPr>
              <w:t>吊装钢丝</w:t>
            </w:r>
            <w:r>
              <w:rPr>
                <w:rFonts w:ascii="宋体" w:hAnsi="宋体" w:eastAsia="宋体" w:cs="宋体"/>
                <w:spacing w:val="8"/>
              </w:rPr>
              <w:t>绳</w:t>
            </w:r>
            <w:r>
              <w:rPr>
                <w:rFonts w:ascii="宋体" w:hAnsi="宋体" w:eastAsia="宋体" w:cs="宋体"/>
              </w:rPr>
              <w:t>安全系数取</w:t>
            </w:r>
            <w:r>
              <w:rPr>
                <w:rFonts w:ascii="宋体" w:hAnsi="宋体" w:eastAsia="宋体" w:cs="宋体"/>
                <w:spacing w:val="-1"/>
              </w:rPr>
              <w:t xml:space="preserve"> </w:t>
            </w:r>
            <w:r>
              <w:rPr>
                <w:rFonts w:ascii="宋体" w:hAnsi="宋体" w:eastAsia="宋体" w:cs="宋体"/>
              </w:rPr>
              <w:t>8 倍以上</w:t>
            </w:r>
            <w:r>
              <w:rPr>
                <w:rFonts w:ascii="宋体" w:hAnsi="宋体" w:eastAsia="宋体" w:cs="宋体"/>
                <w:spacing w:val="-22"/>
              </w:rPr>
              <w:t>。</w:t>
            </w:r>
          </w:p>
        </w:tc>
        <w:tc>
          <w:tcPr>
            <w:tcW w:w="2260" w:type="dxa"/>
            <w:gridSpan w:val="3"/>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572"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r>
              <w:rPr>
                <w:rFonts w:hint="eastAsia" w:ascii="宋体" w:hAnsi="宋体" w:eastAsia="宋体" w:cs="宋体"/>
                <w:spacing w:val="-1"/>
              </w:rPr>
              <w:t xml:space="preserve">100 </w:t>
            </w:r>
            <w:r>
              <w:rPr>
                <w:rFonts w:ascii="宋体" w:hAnsi="宋体" w:eastAsia="宋体" w:cs="宋体"/>
                <w:spacing w:val="-1"/>
              </w:rPr>
              <w:t>t</w:t>
            </w:r>
            <w:r>
              <w:rPr>
                <w:rFonts w:ascii="宋体" w:hAnsi="宋体" w:eastAsia="宋体" w:cs="宋体"/>
                <w:spacing w:val="-13"/>
              </w:rPr>
              <w:t xml:space="preserve"> </w:t>
            </w:r>
            <w:r>
              <w:rPr>
                <w:rFonts w:ascii="宋体" w:hAnsi="宋体" w:eastAsia="宋体" w:cs="宋体"/>
                <w:spacing w:val="-1"/>
              </w:rPr>
              <w:t>汽车吊</w:t>
            </w:r>
          </w:p>
        </w:tc>
        <w:tc>
          <w:tcPr>
            <w:tcW w:w="2267"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8"/>
              </w:rPr>
              <w:t>严禁超力</w:t>
            </w:r>
            <w:r>
              <w:rPr>
                <w:rFonts w:ascii="宋体" w:hAnsi="宋体" w:eastAsia="宋体" w:cs="宋体"/>
                <w:spacing w:val="7"/>
              </w:rPr>
              <w:t>矩</w:t>
            </w:r>
          </w:p>
        </w:tc>
        <w:tc>
          <w:tcPr>
            <w:tcW w:w="2833" w:type="dxa"/>
            <w:gridSpan w:val="4"/>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1"/>
              </w:rPr>
              <w:t>内眼观察</w:t>
            </w:r>
          </w:p>
        </w:tc>
        <w:tc>
          <w:tcPr>
            <w:tcW w:w="2260"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8"/>
              </w:rPr>
              <w:t>塔机安装时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1352" w:hRule="atLeast"/>
          <w:jc w:val="center"/>
        </w:trPr>
        <w:tc>
          <w:tcPr>
            <w:tcW w:w="1671" w:type="dxa"/>
            <w:gridSpan w:val="3"/>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7"/>
              </w:rPr>
              <w:t>标</w:t>
            </w:r>
            <w:r>
              <w:rPr>
                <w:rFonts w:ascii="宋体" w:hAnsi="宋体" w:eastAsia="宋体" w:cs="宋体"/>
                <w:spacing w:val="6"/>
              </w:rPr>
              <w:t>准节</w:t>
            </w:r>
          </w:p>
        </w:tc>
        <w:tc>
          <w:tcPr>
            <w:tcW w:w="2267"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4"/>
                <w:position w:val="23"/>
              </w:rPr>
              <w:t>标准节主</w:t>
            </w:r>
            <w:r>
              <w:rPr>
                <w:rFonts w:hint="eastAsia" w:ascii="宋体" w:hAnsi="宋体" w:eastAsia="宋体" w:cs="宋体"/>
                <w:spacing w:val="4"/>
                <w:position w:val="23"/>
              </w:rPr>
              <w:t>肢</w:t>
            </w:r>
            <w:r>
              <w:rPr>
                <w:rFonts w:ascii="宋体" w:hAnsi="宋体" w:eastAsia="宋体" w:cs="宋体"/>
                <w:spacing w:val="4"/>
                <w:position w:val="23"/>
              </w:rPr>
              <w:t>，斜撑杆无裂纹，螺栓连接牢靠</w:t>
            </w:r>
          </w:p>
        </w:tc>
        <w:tc>
          <w:tcPr>
            <w:tcW w:w="2833" w:type="dxa"/>
            <w:gridSpan w:val="4"/>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3"/>
              </w:rPr>
              <w:t>肉</w:t>
            </w:r>
            <w:r>
              <w:rPr>
                <w:rFonts w:ascii="宋体" w:hAnsi="宋体" w:eastAsia="宋体" w:cs="宋体"/>
                <w:spacing w:val="2"/>
              </w:rPr>
              <w:t>眼观察</w:t>
            </w:r>
          </w:p>
        </w:tc>
        <w:tc>
          <w:tcPr>
            <w:tcW w:w="2260" w:type="dxa"/>
            <w:gridSpan w:val="3"/>
            <w:vAlign w:val="center"/>
          </w:tcPr>
          <w:p>
            <w:pPr>
              <w:spacing w:after="0" w:afterLines="0" w:line="240" w:lineRule="auto"/>
              <w:ind w:firstLine="0" w:firstLineChars="0"/>
              <w:jc w:val="center"/>
              <w:rPr>
                <w:rFonts w:ascii="Arial" w:hAnsi="宋体" w:eastAsia="宋体" w:cs="Times New Roman"/>
              </w:rPr>
            </w:pPr>
          </w:p>
          <w:p>
            <w:pPr>
              <w:spacing w:after="0" w:afterLines="0" w:line="240"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0" w:type="dxa"/>
          <w:trHeight w:val="576" w:hRule="atLeast"/>
          <w:jc w:val="center"/>
        </w:trPr>
        <w:tc>
          <w:tcPr>
            <w:tcW w:w="1671"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8"/>
              </w:rPr>
              <w:t>塔</w:t>
            </w:r>
            <w:r>
              <w:rPr>
                <w:rFonts w:ascii="宋体" w:hAnsi="宋体" w:eastAsia="宋体" w:cs="宋体"/>
                <w:spacing w:val="7"/>
              </w:rPr>
              <w:t>吊基础</w:t>
            </w:r>
          </w:p>
        </w:tc>
        <w:tc>
          <w:tcPr>
            <w:tcW w:w="2267"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9"/>
              </w:rPr>
              <w:t>基础无</w:t>
            </w:r>
            <w:r>
              <w:rPr>
                <w:rFonts w:ascii="宋体" w:hAnsi="宋体" w:eastAsia="宋体" w:cs="宋体"/>
                <w:spacing w:val="8"/>
              </w:rPr>
              <w:t>积水</w:t>
            </w:r>
            <w:r>
              <w:rPr>
                <w:rFonts w:ascii="宋体" w:hAnsi="宋体" w:eastAsia="宋体" w:cs="宋体"/>
                <w:spacing w:val="10"/>
              </w:rPr>
              <w:t>，</w:t>
            </w:r>
            <w:r>
              <w:rPr>
                <w:rFonts w:ascii="宋体" w:hAnsi="宋体" w:eastAsia="宋体" w:cs="宋体"/>
                <w:spacing w:val="8"/>
              </w:rPr>
              <w:t>下沉</w:t>
            </w:r>
          </w:p>
        </w:tc>
        <w:tc>
          <w:tcPr>
            <w:tcW w:w="2833" w:type="dxa"/>
            <w:gridSpan w:val="4"/>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3"/>
              </w:rPr>
              <w:t>肉</w:t>
            </w:r>
            <w:r>
              <w:rPr>
                <w:rFonts w:ascii="宋体" w:hAnsi="宋体" w:eastAsia="宋体" w:cs="宋体"/>
                <w:spacing w:val="2"/>
              </w:rPr>
              <w:t>眼观察</w:t>
            </w:r>
          </w:p>
        </w:tc>
        <w:tc>
          <w:tcPr>
            <w:tcW w:w="2260" w:type="dxa"/>
            <w:gridSpan w:val="3"/>
            <w:vAlign w:val="center"/>
          </w:tcPr>
          <w:p>
            <w:pPr>
              <w:spacing w:after="0" w:afterLines="0" w:line="240" w:lineRule="auto"/>
              <w:ind w:firstLine="0" w:firstLineChars="0"/>
              <w:jc w:val="center"/>
              <w:rPr>
                <w:rFonts w:ascii="宋体" w:hAnsi="宋体" w:eastAsia="宋体" w:cs="宋体"/>
              </w:rPr>
            </w:pPr>
            <w:r>
              <w:rPr>
                <w:rFonts w:ascii="宋体" w:hAnsi="宋体" w:eastAsia="宋体" w:cs="宋体"/>
                <w:spacing w:val="5"/>
              </w:rPr>
              <w:t>每</w:t>
            </w:r>
            <w:r>
              <w:rPr>
                <w:rFonts w:ascii="宋体" w:hAnsi="宋体" w:eastAsia="宋体" w:cs="宋体"/>
                <w:spacing w:val="4"/>
              </w:rPr>
              <w:t>天</w:t>
            </w:r>
          </w:p>
        </w:tc>
      </w:tr>
    </w:tbl>
    <w:p>
      <w:pPr>
        <w:spacing w:after="120"/>
        <w:ind w:firstLine="480"/>
        <w:sectPr>
          <w:headerReference r:id="rId11" w:type="default"/>
          <w:footerReference r:id="rId12" w:type="default"/>
          <w:pgSz w:w="11906" w:h="16839"/>
          <w:pgMar w:top="1235" w:right="1416" w:bottom="1156" w:left="1416" w:header="794" w:footer="996" w:gutter="0"/>
          <w:cols w:space="720" w:num="1"/>
        </w:sectPr>
      </w:pPr>
    </w:p>
    <w:p>
      <w:pPr>
        <w:pStyle w:val="3"/>
        <w:spacing w:before="120" w:after="120"/>
        <w:rPr>
          <w:rFonts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10辅助起重设备参数</w:t>
      </w:r>
      <w:bookmarkEnd w:id="34"/>
    </w:p>
    <w:p>
      <w:pPr>
        <w:spacing w:after="0" w:afterLines="0" w:line="240" w:lineRule="auto"/>
        <w:ind w:firstLine="0" w:firstLineChars="0"/>
        <w:jc w:val="both"/>
        <w:rPr>
          <w:rFonts w:ascii="宋体" w:hAnsi="宋体" w:eastAsia="宋体" w:cs="宋体"/>
          <w:bCs/>
        </w:rPr>
      </w:pPr>
      <w:r>
        <w:rPr>
          <w:rFonts w:hint="eastAsia" w:ascii="宋体" w:hAnsi="宋体" w:eastAsia="宋体" w:cs="宋体"/>
          <w:bCs/>
        </w:rPr>
        <w:t>80t型汽车起重机外形图</w:t>
      </w:r>
    </w:p>
    <w:p>
      <w:pPr>
        <w:pStyle w:val="11"/>
        <w:spacing w:after="120"/>
        <w:jc w:val="center"/>
        <w:rPr>
          <w:rFonts w:eastAsia="宋体" w:cs="宋体"/>
          <w:bCs/>
        </w:rPr>
      </w:pPr>
      <w:r>
        <w:drawing>
          <wp:inline distT="0" distB="0" distL="114300" distR="114300">
            <wp:extent cx="4516120" cy="5105400"/>
            <wp:effectExtent l="0" t="0" r="1016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60"/>
                    <a:stretch>
                      <a:fillRect/>
                    </a:stretch>
                  </pic:blipFill>
                  <pic:spPr>
                    <a:xfrm>
                      <a:off x="0" y="0"/>
                      <a:ext cx="4516120" cy="5105400"/>
                    </a:xfrm>
                    <a:prstGeom prst="rect">
                      <a:avLst/>
                    </a:prstGeom>
                    <a:noFill/>
                    <a:ln>
                      <a:noFill/>
                    </a:ln>
                  </pic:spPr>
                </pic:pic>
              </a:graphicData>
            </a:graphic>
          </wp:inline>
        </w:drawing>
      </w:r>
    </w:p>
    <w:p>
      <w:pPr>
        <w:spacing w:after="120"/>
        <w:ind w:firstLine="480"/>
        <w:rPr>
          <w:rFonts w:eastAsia="宋体" w:cs="宋体"/>
          <w:bCs/>
        </w:rPr>
      </w:pPr>
      <w:r>
        <w:rPr>
          <w:rFonts w:hint="eastAsia" w:eastAsia="宋体" w:cs="宋体"/>
          <w:bCs/>
        </w:rPr>
        <w:br w:type="page"/>
      </w:r>
    </w:p>
    <w:p>
      <w:pPr>
        <w:pStyle w:val="11"/>
        <w:spacing w:after="120"/>
        <w:rPr>
          <w:rFonts w:eastAsia="宋体" w:cs="宋体"/>
          <w:bCs/>
        </w:rPr>
      </w:pPr>
      <w:r>
        <w:rPr>
          <w:rFonts w:hint="eastAsia" w:eastAsia="宋体" w:cs="宋体"/>
          <w:bCs/>
        </w:rPr>
        <w:t>80t型汽车起重机起重性能参数表</w:t>
      </w:r>
    </w:p>
    <w:p>
      <w:pPr>
        <w:pStyle w:val="11"/>
        <w:spacing w:after="120"/>
        <w:jc w:val="center"/>
        <w:rPr>
          <w:rFonts w:eastAsia="宋体" w:cs="宋体"/>
          <w:bCs/>
        </w:rPr>
      </w:pPr>
      <w:r>
        <w:drawing>
          <wp:inline distT="0" distB="0" distL="114300" distR="114300">
            <wp:extent cx="4946015" cy="6588125"/>
            <wp:effectExtent l="0" t="0" r="6985" b="1079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1"/>
                    <a:stretch>
                      <a:fillRect/>
                    </a:stretch>
                  </pic:blipFill>
                  <pic:spPr>
                    <a:xfrm>
                      <a:off x="0" y="0"/>
                      <a:ext cx="4946015" cy="6588125"/>
                    </a:xfrm>
                    <a:prstGeom prst="rect">
                      <a:avLst/>
                    </a:prstGeom>
                    <a:noFill/>
                    <a:ln>
                      <a:noFill/>
                    </a:ln>
                  </pic:spPr>
                </pic:pic>
              </a:graphicData>
            </a:graphic>
          </wp:inline>
        </w:drawing>
      </w:r>
    </w:p>
    <w:p>
      <w:pPr>
        <w:pStyle w:val="11"/>
        <w:spacing w:after="120"/>
        <w:rPr>
          <w:rFonts w:eastAsia="宋体" w:cs="宋体"/>
          <w:bCs/>
        </w:rPr>
      </w:pPr>
    </w:p>
    <w:p>
      <w:pPr>
        <w:pStyle w:val="3"/>
        <w:spacing w:before="120" w:after="120"/>
        <w:rPr>
          <w:rFonts w:ascii="宋体" w:hAnsi="宋体" w:eastAsia="宋体" w:cs="宋体"/>
          <w:b w:val="0"/>
          <w:bCs/>
          <w:color w:val="000000" w:themeColor="text1"/>
          <w:sz w:val="24"/>
          <w:szCs w:val="24"/>
          <w14:textFill>
            <w14:solidFill>
              <w14:schemeClr w14:val="tx1"/>
            </w14:solidFill>
          </w14:textFill>
        </w:rPr>
      </w:pPr>
      <w:bookmarkStart w:id="492" w:name="_Toc26080"/>
      <w:r>
        <w:rPr>
          <w:rFonts w:hint="eastAsia" w:ascii="宋体" w:hAnsi="宋体" w:eastAsia="宋体" w:cs="宋体"/>
          <w:b w:val="0"/>
          <w:bCs/>
          <w:color w:val="000000" w:themeColor="text1"/>
          <w:sz w:val="24"/>
          <w:szCs w:val="24"/>
          <w14:textFill>
            <w14:solidFill>
              <w14:schemeClr w14:val="tx1"/>
            </w14:solidFill>
          </w14:textFill>
        </w:rPr>
        <w:t>11.计算书</w:t>
      </w:r>
      <w:bookmarkEnd w:id="492"/>
    </w:p>
    <w:p>
      <w:pPr>
        <w:pStyle w:val="4"/>
        <w:spacing w:before="120" w:after="120"/>
        <w:rPr>
          <w:rFonts w:ascii="宋体" w:hAnsi="宋体" w:eastAsia="宋体" w:cs="宋体"/>
          <w:bCs/>
          <w:color w:val="000000" w:themeColor="text1"/>
          <w:sz w:val="24"/>
          <w14:textFill>
            <w14:solidFill>
              <w14:schemeClr w14:val="tx1"/>
            </w14:solidFill>
          </w14:textFill>
        </w:rPr>
      </w:pPr>
      <w:bookmarkStart w:id="493" w:name="_Toc30393"/>
      <w:r>
        <w:rPr>
          <w:rFonts w:hint="eastAsia" w:ascii="宋体" w:hAnsi="宋体" w:eastAsia="宋体" w:cs="宋体"/>
          <w:bCs/>
          <w:color w:val="000000" w:themeColor="text1"/>
          <w:sz w:val="24"/>
          <w14:textFill>
            <w14:solidFill>
              <w14:schemeClr w14:val="tx1"/>
            </w14:solidFill>
          </w14:textFill>
        </w:rPr>
        <w:t>11.1选用起重设备站位点承载力计算</w:t>
      </w:r>
      <w:bookmarkEnd w:id="493"/>
    </w:p>
    <w:p>
      <w:pPr>
        <w:pStyle w:val="47"/>
        <w:ind w:firstLine="480"/>
        <w:rPr>
          <w:szCs w:val="24"/>
        </w:rPr>
      </w:pPr>
      <w:r>
        <w:rPr>
          <w:rFonts w:hint="eastAsia"/>
          <w:szCs w:val="24"/>
        </w:rPr>
        <w:t>最的重件为剩余起重臂总成，为10.56t，此时汽车吊的幅度为10m,计算如下:</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汽车吊支反力计算</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汽车吊选型： 80.0 t</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汽车吊整机重量（带配重）G：  66.0   t</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汽车吊臂长L： 37.75   m</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汽车吊支腿间距（l×b，其中b≤l）  8.0   m×  6.43    m</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吊物幅度（R）：  10.0  m</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在R幅度下的额定载荷（PQ）：  13.8   t</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吊物重量GP：  10.56   t</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作用于起重机上的风力（F）：  3000.0   N（若不确定，则可取0，表示无风）</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若风力F不为0，则需要填写以下信息：</w:t>
      </w:r>
    </w:p>
    <w:p>
      <w:pPr>
        <w:spacing w:after="0" w:afterLines="0" w:line="360" w:lineRule="auto"/>
        <w:ind w:firstLine="0" w:firstLineChars="0"/>
        <w:jc w:val="both"/>
        <w:rPr>
          <w:rFonts w:asciiTheme="minorHAnsi" w:hAnsiTheme="minorHAnsi" w:eastAsiaTheme="minorEastAsia"/>
        </w:rPr>
      </w:pPr>
      <w:r>
        <w:rPr>
          <w:rFonts w:hint="eastAsia" w:asciiTheme="minorHAnsi" w:hAnsiTheme="minorHAnsi" w:eastAsiaTheme="minorEastAsia"/>
        </w:rPr>
        <w:t>起重机挡风面积的形心高度（h2）， 4.0   m</w:t>
      </w:r>
    </w:p>
    <w:p>
      <w:pPr>
        <w:spacing w:after="0" w:afterLines="0" w:line="240" w:lineRule="auto"/>
        <w:ind w:firstLine="0" w:firstLineChars="0"/>
        <w:jc w:val="both"/>
        <w:rPr>
          <w:rFonts w:asciiTheme="minorHAnsi" w:hAnsiTheme="minorHAnsi" w:eastAsiaTheme="minorEastAsia"/>
          <w:u w:val="single"/>
        </w:rPr>
      </w:pPr>
      <w:r>
        <w:rPr>
          <w:rFonts w:hint="eastAsia" w:asciiTheme="minorHAnsi" w:hAnsiTheme="minorHAnsi" w:eastAsiaTheme="minorEastAsia"/>
        </w:rPr>
        <w:t xml:space="preserve">重物摆动角度（0≤αⅡ≤6），默认为6：   6.0   </w:t>
      </w:r>
    </w:p>
    <w:p>
      <w:pPr>
        <w:spacing w:after="0" w:afterLines="0" w:line="360" w:lineRule="auto"/>
        <w:ind w:firstLine="0" w:firstLineChars="0"/>
        <w:jc w:val="both"/>
        <w:rPr>
          <w:rFonts w:asciiTheme="minorHAnsi" w:hAnsiTheme="minorHAnsi" w:eastAsiaTheme="minorEastAsia"/>
          <w:u w:val="single"/>
        </w:rPr>
      </w:pPr>
      <w:r>
        <w:rPr>
          <w:rFonts w:hint="eastAsia" w:asciiTheme="minorHAnsi" w:hAnsiTheme="minorHAnsi" w:eastAsiaTheme="minorEastAsia"/>
        </w:rPr>
        <w:t>起重机的起重臂的端部距地面的距离（h3）: 40.4    m</w:t>
      </w:r>
    </w:p>
    <w:p>
      <w:pPr>
        <w:spacing w:after="0" w:afterLines="0" w:line="240" w:lineRule="auto"/>
        <w:ind w:firstLine="0" w:firstLineChars="0"/>
        <w:jc w:val="both"/>
        <w:rPr>
          <w:rFonts w:asciiTheme="minorHAnsi" w:hAnsiTheme="minorHAnsi" w:eastAsiaTheme="minorEastAsia"/>
          <w:sz w:val="21"/>
          <w:szCs w:val="21"/>
        </w:rPr>
      </w:pPr>
      <w:r>
        <w:rPr>
          <w:rFonts w:hint="eastAsia" w:asciiTheme="minorHAnsi" w:hAnsiTheme="minorHAnsi" w:eastAsiaTheme="minorEastAsia"/>
        </w:rPr>
        <w:t xml:space="preserve">    </w:t>
      </w:r>
    </w:p>
    <w:p>
      <w:pPr>
        <w:numPr>
          <w:ilvl w:val="0"/>
          <w:numId w:val="12"/>
        </w:num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根据起重机性能表，按抗倾覆稳定性反算出起重机的重心</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验算工况</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验算工况</w:t>
            </w:r>
          </w:p>
        </w:tc>
        <w:tc>
          <w:tcPr>
            <w:tcW w:w="5835"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工况特征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1</w:t>
            </w:r>
          </w:p>
        </w:tc>
        <w:tc>
          <w:tcPr>
            <w:tcW w:w="5835"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无风静载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2</w:t>
            </w:r>
          </w:p>
        </w:tc>
        <w:tc>
          <w:tcPr>
            <w:tcW w:w="5835"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有风动载</w:t>
            </w:r>
          </w:p>
        </w:tc>
      </w:tr>
    </w:tbl>
    <w:p>
      <w:pPr>
        <w:spacing w:after="0" w:afterLines="0" w:line="240" w:lineRule="auto"/>
        <w:ind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以上两种工况下载荷系数和载荷组合分别为</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验算工况</w:t>
            </w:r>
          </w:p>
        </w:tc>
        <w:tc>
          <w:tcPr>
            <w:tcW w:w="915" w:type="dxa"/>
          </w:tcPr>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自重系数K</w:t>
            </w:r>
            <w:r>
              <w:rPr>
                <w:rFonts w:hint="eastAsia" w:asciiTheme="minorHAnsi" w:hAnsiTheme="minorHAnsi" w:eastAsiaTheme="minorEastAsia"/>
                <w:vertAlign w:val="subscript"/>
              </w:rPr>
              <w:t>G</w:t>
            </w:r>
          </w:p>
        </w:tc>
        <w:tc>
          <w:tcPr>
            <w:tcW w:w="2026" w:type="dxa"/>
          </w:tcPr>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起升载荷系数K</w:t>
            </w:r>
            <w:r>
              <w:rPr>
                <w:rFonts w:hint="eastAsia" w:asciiTheme="minorHAnsi" w:hAnsiTheme="minorHAnsi" w:eastAsiaTheme="minorEastAsia"/>
                <w:vertAlign w:val="subscript"/>
              </w:rPr>
              <w:t>P</w:t>
            </w:r>
          </w:p>
        </w:tc>
        <w:tc>
          <w:tcPr>
            <w:tcW w:w="1348" w:type="dxa"/>
          </w:tcPr>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水平惯性力系数（包括物品K</w:t>
            </w:r>
            <w:r>
              <w:rPr>
                <w:rFonts w:hint="eastAsia" w:asciiTheme="minorHAnsi" w:hAnsiTheme="minorHAnsi" w:eastAsiaTheme="minorEastAsia"/>
                <w:vertAlign w:val="subscript"/>
              </w:rPr>
              <w:t>i</w:t>
            </w:r>
          </w:p>
        </w:tc>
        <w:tc>
          <w:tcPr>
            <w:tcW w:w="879" w:type="dxa"/>
          </w:tcPr>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风力系数K</w:t>
            </w:r>
            <w:r>
              <w:rPr>
                <w:rFonts w:hint="eastAsia" w:asciiTheme="minorHAnsi" w:hAnsiTheme="minorHAnsi" w:eastAsiaTheme="minorEastAsia"/>
                <w:vertAlign w:val="subscript"/>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1</w:t>
            </w:r>
          </w:p>
        </w:tc>
        <w:tc>
          <w:tcPr>
            <w:tcW w:w="915" w:type="dxa"/>
            <w:vMerge w:val="restart"/>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1</w:t>
            </w:r>
          </w:p>
        </w:tc>
        <w:tc>
          <w:tcPr>
            <w:tcW w:w="2026"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K</w:t>
            </w:r>
            <w:r>
              <w:rPr>
                <w:rFonts w:hint="eastAsia" w:asciiTheme="minorHAnsi" w:hAnsiTheme="minorHAnsi" w:eastAsiaTheme="minorEastAsia"/>
                <w:vertAlign w:val="subscript"/>
              </w:rPr>
              <w:t>P1</w:t>
            </w:r>
            <w:r>
              <w:rPr>
                <w:rFonts w:hint="eastAsia" w:asciiTheme="minorHAnsi" w:hAnsiTheme="minorHAnsi" w:eastAsiaTheme="minorEastAsia"/>
              </w:rPr>
              <w:t>=1.35</w:t>
            </w:r>
          </w:p>
        </w:tc>
        <w:tc>
          <w:tcPr>
            <w:tcW w:w="1348"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0</w:t>
            </w:r>
          </w:p>
        </w:tc>
        <w:tc>
          <w:tcPr>
            <w:tcW w:w="879"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2</w:t>
            </w:r>
          </w:p>
        </w:tc>
        <w:tc>
          <w:tcPr>
            <w:tcW w:w="915" w:type="dxa"/>
            <w:vMerge w:val="continue"/>
            <w:vAlign w:val="center"/>
          </w:tcPr>
          <w:p>
            <w:pPr>
              <w:spacing w:after="0" w:afterLines="0" w:line="240" w:lineRule="auto"/>
              <w:ind w:firstLine="0" w:firstLineChars="0"/>
              <w:jc w:val="center"/>
              <w:rPr>
                <w:rFonts w:asciiTheme="minorHAnsi" w:hAnsiTheme="minorHAnsi" w:eastAsiaTheme="minorEastAsia"/>
              </w:rPr>
            </w:pPr>
          </w:p>
        </w:tc>
        <w:tc>
          <w:tcPr>
            <w:tcW w:w="2026"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K</w:t>
            </w:r>
            <w:r>
              <w:rPr>
                <w:rFonts w:hint="eastAsia" w:asciiTheme="minorHAnsi" w:hAnsiTheme="minorHAnsi" w:eastAsiaTheme="minorEastAsia"/>
                <w:vertAlign w:val="subscript"/>
              </w:rPr>
              <w:t>P2</w:t>
            </w:r>
            <w:r>
              <w:rPr>
                <w:rFonts w:hint="eastAsia" w:asciiTheme="minorHAnsi" w:hAnsiTheme="minorHAnsi" w:eastAsiaTheme="minorEastAsia"/>
              </w:rPr>
              <w:t>=1.15</w:t>
            </w:r>
          </w:p>
        </w:tc>
        <w:tc>
          <w:tcPr>
            <w:tcW w:w="1348"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1</w:t>
            </w:r>
          </w:p>
        </w:tc>
        <w:tc>
          <w:tcPr>
            <w:tcW w:w="879" w:type="dxa"/>
            <w:vAlign w:val="center"/>
          </w:tcPr>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1</w:t>
            </w:r>
          </w:p>
        </w:tc>
      </w:tr>
    </w:tbl>
    <w:p>
      <w:pPr>
        <w:spacing w:after="0" w:afterLines="0" w:line="240" w:lineRule="auto"/>
        <w:ind w:firstLine="0"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工况一：根据无风静载下抗倾覆稳定性校验计算式反推起重机的重心</w:t>
      </w:r>
    </w:p>
    <w:p>
      <w:pPr>
        <w:widowControl/>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drawing>
          <wp:inline distT="0" distB="0" distL="114300" distR="114300">
            <wp:extent cx="3565525" cy="2341880"/>
            <wp:effectExtent l="12700" t="12700" r="18415" b="22860"/>
            <wp:docPr id="11" name="图片 11"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6468986(1)"/>
                    <pic:cNvPicPr>
                      <a:picLocks noChangeAspect="1"/>
                    </pic:cNvPicPr>
                  </pic:nvPicPr>
                  <pic:blipFill>
                    <a:blip r:embed="rId62"/>
                    <a:stretch>
                      <a:fillRect/>
                    </a:stretch>
                  </pic:blipFill>
                  <pic:spPr>
                    <a:xfrm>
                      <a:off x="0" y="0"/>
                      <a:ext cx="3565525" cy="2341880"/>
                    </a:xfrm>
                    <a:prstGeom prst="rect">
                      <a:avLst/>
                    </a:prstGeom>
                    <a:ln w="12700" cmpd="sng">
                      <a:solidFill>
                        <a:schemeClr val="accent1">
                          <a:shade val="50000"/>
                        </a:schemeClr>
                      </a:solidFill>
                      <a:prstDash val="solid"/>
                    </a:ln>
                  </pic:spPr>
                </pic:pic>
              </a:graphicData>
            </a:graphic>
          </wp:inline>
        </w:drawing>
      </w:r>
    </w:p>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无风静载工况的抗倾覆稳定性</w:t>
      </w:r>
    </w:p>
    <w:p>
      <w:pPr>
        <w:spacing w:after="0" w:afterLines="0" w:line="240" w:lineRule="auto"/>
        <w:ind w:firstLine="0"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color w:val="0000FF"/>
        </w:rPr>
      </w:pPr>
      <w:r>
        <w:rPr>
          <w:rFonts w:hint="eastAsia" w:asciiTheme="minorHAnsi" w:hAnsiTheme="minorHAnsi" w:eastAsiaTheme="minorEastAsia"/>
        </w:rPr>
        <w:t>其计算式为：</w:t>
      </w:r>
      <w:r>
        <w:rPr>
          <w:rFonts w:hint="eastAsia" w:asciiTheme="minorHAnsi" w:hAnsiTheme="minorHAnsi" w:eastAsiaTheme="minorEastAsia"/>
          <w:position w:val="-14"/>
        </w:rPr>
        <w:drawing>
          <wp:inline distT="0" distB="0" distL="114300" distR="114300">
            <wp:extent cx="2536190" cy="414655"/>
            <wp:effectExtent l="0" t="0" r="8890" b="12065"/>
            <wp:docPr id="6" name="图片 6"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式1"/>
                    <pic:cNvPicPr>
                      <a:picLocks noChangeAspect="1"/>
                    </pic:cNvPicPr>
                  </pic:nvPicPr>
                  <pic:blipFill>
                    <a:blip r:embed="rId63"/>
                    <a:stretch>
                      <a:fillRect/>
                    </a:stretch>
                  </pic:blipFill>
                  <pic:spPr>
                    <a:xfrm>
                      <a:off x="0" y="0"/>
                      <a:ext cx="2536190" cy="414655"/>
                    </a:xfrm>
                    <a:prstGeom prst="rect">
                      <a:avLst/>
                    </a:prstGeom>
                  </pic:spPr>
                </pic:pic>
              </a:graphicData>
            </a:graphic>
          </wp:inline>
        </w:drawing>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令</w:t>
      </w:r>
      <w:r>
        <w:rPr>
          <w:rFonts w:asciiTheme="minorHAnsi" w:hAnsiTheme="minorHAnsi" w:eastAsiaTheme="minorEastAsia"/>
        </w:rPr>
        <w:drawing>
          <wp:inline distT="0" distB="0" distL="114300" distR="114300">
            <wp:extent cx="670560" cy="369570"/>
            <wp:effectExtent l="0" t="0" r="0" b="11430"/>
            <wp:docPr id="12" name="图片 12"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公式2"/>
                    <pic:cNvPicPr>
                      <a:picLocks noChangeAspect="1"/>
                    </pic:cNvPicPr>
                  </pic:nvPicPr>
                  <pic:blipFill>
                    <a:blip r:embed="rId64"/>
                    <a:stretch>
                      <a:fillRect/>
                    </a:stretch>
                  </pic:blipFill>
                  <pic:spPr>
                    <a:xfrm>
                      <a:off x="0" y="0"/>
                      <a:ext cx="670560" cy="369570"/>
                    </a:xfrm>
                    <a:prstGeom prst="rect">
                      <a:avLst/>
                    </a:prstGeom>
                  </pic:spPr>
                </pic:pic>
              </a:graphicData>
            </a:graphic>
          </wp:inline>
        </w:drawing>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则起重机的重心最小需满足</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drawing>
          <wp:inline distT="0" distB="0" distL="114300" distR="114300">
            <wp:extent cx="4692015" cy="1020445"/>
            <wp:effectExtent l="0" t="0" r="1905" b="635"/>
            <wp:docPr id="9" name="图片 9" descr="公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式3"/>
                    <pic:cNvPicPr>
                      <a:picLocks noChangeAspect="1"/>
                    </pic:cNvPicPr>
                  </pic:nvPicPr>
                  <pic:blipFill>
                    <a:blip r:embed="rId65"/>
                    <a:stretch>
                      <a:fillRect/>
                    </a:stretch>
                  </pic:blipFill>
                  <pic:spPr>
                    <a:xfrm>
                      <a:off x="0" y="0"/>
                      <a:ext cx="4692015" cy="1020445"/>
                    </a:xfrm>
                    <a:prstGeom prst="rect">
                      <a:avLst/>
                    </a:prstGeom>
                  </pic:spPr>
                </pic:pic>
              </a:graphicData>
            </a:graphic>
          </wp:inline>
        </w:drawing>
      </w:r>
      <w:r>
        <w:rPr>
          <w:rFonts w:hint="eastAsia" w:asciiTheme="minorHAnsi" w:hAnsiTheme="minorHAnsi" w:eastAsiaTheme="minorEastAsia"/>
        </w:rPr>
        <w:t xml:space="preserve">         </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=-1.3  （１）</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式中    K</w:t>
      </w:r>
      <w:r>
        <w:rPr>
          <w:rFonts w:hint="eastAsia" w:asciiTheme="minorHAnsi" w:hAnsiTheme="minorHAnsi" w:eastAsiaTheme="minorEastAsia"/>
          <w:vertAlign w:val="subscript"/>
        </w:rPr>
        <w:t>G</w:t>
      </w:r>
      <w:r>
        <w:rPr>
          <w:rFonts w:hint="eastAsia" w:asciiTheme="minorHAnsi" w:hAnsiTheme="minorHAnsi" w:eastAsiaTheme="minorEastAsia"/>
        </w:rPr>
        <w:t>和K</w:t>
      </w:r>
      <w:r>
        <w:rPr>
          <w:rFonts w:hint="eastAsia" w:asciiTheme="minorHAnsi" w:hAnsiTheme="minorHAnsi" w:eastAsiaTheme="minorEastAsia"/>
          <w:vertAlign w:val="subscript"/>
        </w:rPr>
        <w:t>P1</w:t>
      </w:r>
      <w:r>
        <w:rPr>
          <w:rFonts w:hint="eastAsia" w:asciiTheme="minorHAnsi" w:hAnsiTheme="minorHAnsi" w:eastAsiaTheme="minorEastAsia"/>
        </w:rPr>
        <w:t>——分别为起重机自重和起升载荷系数；</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G——起重机重力（N）</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b——起重机轨距（对汽车式和轮胎式起重机为两侧车轮间的横向间距），打支腿作业时为支腿的横向间距（m）；</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c1——起重机重心到回转中心的水平距离（ｍ）；</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R——起升载荷的幅度（m）</w:t>
      </w:r>
    </w:p>
    <w:p>
      <w:pPr>
        <w:spacing w:after="0" w:afterLines="0" w:line="240" w:lineRule="auto"/>
        <w:ind w:firstLine="1440" w:firstLineChars="600"/>
        <w:jc w:val="both"/>
        <w:rPr>
          <w:rFonts w:asciiTheme="minorHAnsi" w:hAnsiTheme="minorHAnsi" w:eastAsiaTheme="minorEastAsia"/>
        </w:rPr>
      </w:pPr>
      <w:r>
        <w:rPr>
          <w:rFonts w:hint="eastAsia" w:asciiTheme="minorHAnsi" w:hAnsiTheme="minorHAnsi" w:eastAsiaTheme="minorEastAsia"/>
        </w:rPr>
        <w:t>P</w:t>
      </w:r>
      <w:r>
        <w:rPr>
          <w:rFonts w:hint="eastAsia" w:asciiTheme="minorHAnsi" w:hAnsiTheme="minorHAnsi" w:eastAsiaTheme="minorEastAsia"/>
          <w:vertAlign w:val="subscript"/>
        </w:rPr>
        <w:t>Q</w:t>
      </w:r>
      <w:r>
        <w:rPr>
          <w:rFonts w:hint="eastAsia" w:asciiTheme="minorHAnsi" w:hAnsiTheme="minorHAnsi" w:eastAsiaTheme="minorEastAsia"/>
        </w:rPr>
        <w:t>——幅度R时的额定起升重量（按起重机性能表中取值，即幅度为R时，其吊重为P</w:t>
      </w:r>
      <w:r>
        <w:rPr>
          <w:rFonts w:hint="eastAsia" w:asciiTheme="minorHAnsi" w:hAnsiTheme="minorHAnsi" w:eastAsiaTheme="minorEastAsia"/>
          <w:vertAlign w:val="subscript"/>
        </w:rPr>
        <w:t>Q</w:t>
      </w:r>
      <w:r>
        <w:rPr>
          <w:rFonts w:hint="eastAsia" w:asciiTheme="minorHAnsi" w:hAnsiTheme="minorHAnsi" w:eastAsiaTheme="minorEastAsia"/>
        </w:rPr>
        <w:t>）。</w:t>
      </w:r>
    </w:p>
    <w:p>
      <w:pPr>
        <w:spacing w:after="0" w:afterLines="0" w:line="240" w:lineRule="auto"/>
        <w:ind w:firstLine="0"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工况二：有风动载</w:t>
      </w:r>
    </w:p>
    <w:p>
      <w:pPr>
        <w:spacing w:after="0" w:afterLines="0" w:line="240" w:lineRule="auto"/>
        <w:ind w:firstLine="0" w:firstLineChars="0"/>
        <w:jc w:val="both"/>
        <w:rPr>
          <w:rFonts w:asciiTheme="minorHAnsi" w:hAnsiTheme="minorHAnsi" w:eastAsiaTheme="minorEastAsia"/>
        </w:rPr>
      </w:pPr>
    </w:p>
    <w:p>
      <w:pPr>
        <w:widowControl/>
        <w:spacing w:after="0" w:afterLines="0" w:line="240" w:lineRule="auto"/>
        <w:ind w:firstLine="0" w:firstLineChars="0"/>
        <w:jc w:val="center"/>
        <w:rPr>
          <w:rFonts w:ascii="宋体" w:hAnsi="宋体" w:eastAsia="宋体" w:cs="宋体"/>
          <w:kern w:val="0"/>
          <w:lang w:bidi="ar"/>
        </w:rPr>
      </w:pPr>
      <w:r>
        <w:rPr>
          <w:rFonts w:ascii="宋体" w:hAnsi="宋体" w:eastAsia="宋体" w:cs="宋体"/>
          <w:kern w:val="0"/>
        </w:rPr>
        <w:drawing>
          <wp:inline distT="0" distB="0" distL="114300" distR="114300">
            <wp:extent cx="5271770" cy="3723640"/>
            <wp:effectExtent l="12700" t="12700" r="19050" b="12700"/>
            <wp:docPr id="13" name="图片 13"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6736004(1)"/>
                    <pic:cNvPicPr>
                      <a:picLocks noChangeAspect="1"/>
                    </pic:cNvPicPr>
                  </pic:nvPicPr>
                  <pic:blipFill>
                    <a:blip r:embed="rId66"/>
                    <a:stretch>
                      <a:fillRect/>
                    </a:stretch>
                  </pic:blipFill>
                  <pic:spPr>
                    <a:xfrm>
                      <a:off x="0" y="0"/>
                      <a:ext cx="5271770" cy="3723640"/>
                    </a:xfrm>
                    <a:prstGeom prst="rect">
                      <a:avLst/>
                    </a:prstGeom>
                    <a:ln w="12700" cmpd="sng">
                      <a:solidFill>
                        <a:schemeClr val="accent1">
                          <a:shade val="50000"/>
                        </a:schemeClr>
                      </a:solidFill>
                      <a:prstDash val="solid"/>
                    </a:ln>
                  </pic:spPr>
                </pic:pic>
              </a:graphicData>
            </a:graphic>
          </wp:inline>
        </w:drawing>
      </w:r>
    </w:p>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起重机定置作业时的抗倾覆稳定性（臂架垂直于倾覆线）</w:t>
      </w:r>
    </w:p>
    <w:p>
      <w:pPr>
        <w:numPr>
          <w:ilvl w:val="0"/>
          <w:numId w:val="13"/>
        </w:num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臂架垂直于危险倾覆线（假定起重机轨距或两侧车轮间的横向间距小于轴距）其稳定性校核计算式为</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color w:val="0000FF"/>
          <w:position w:val="-14"/>
        </w:rPr>
        <w:drawing>
          <wp:inline distT="0" distB="0" distL="114300" distR="114300">
            <wp:extent cx="5273040" cy="634365"/>
            <wp:effectExtent l="0" t="0" r="0" b="5715"/>
            <wp:docPr id="14" name="图片 14"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公式4"/>
                    <pic:cNvPicPr>
                      <a:picLocks noChangeAspect="1"/>
                    </pic:cNvPicPr>
                  </pic:nvPicPr>
                  <pic:blipFill>
                    <a:blip r:embed="rId67"/>
                    <a:stretch>
                      <a:fillRect/>
                    </a:stretch>
                  </pic:blipFill>
                  <pic:spPr>
                    <a:xfrm>
                      <a:off x="0" y="0"/>
                      <a:ext cx="5273040" cy="634365"/>
                    </a:xfrm>
                    <a:prstGeom prst="rect">
                      <a:avLst/>
                    </a:prstGeom>
                  </pic:spPr>
                </pic:pic>
              </a:graphicData>
            </a:graphic>
          </wp:inline>
        </w:drawing>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令</w:t>
      </w:r>
      <w:r>
        <w:rPr>
          <w:rFonts w:asciiTheme="minorHAnsi" w:hAnsiTheme="minorHAnsi" w:eastAsiaTheme="minorEastAsia"/>
        </w:rPr>
        <w:drawing>
          <wp:inline distT="0" distB="0" distL="114300" distR="114300">
            <wp:extent cx="706755" cy="389255"/>
            <wp:effectExtent l="0" t="0" r="9525" b="6985"/>
            <wp:docPr id="22" name="图片 22"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公式2"/>
                    <pic:cNvPicPr>
                      <a:picLocks noChangeAspect="1"/>
                    </pic:cNvPicPr>
                  </pic:nvPicPr>
                  <pic:blipFill>
                    <a:blip r:embed="rId64"/>
                    <a:stretch>
                      <a:fillRect/>
                    </a:stretch>
                  </pic:blipFill>
                  <pic:spPr>
                    <a:xfrm>
                      <a:off x="0" y="0"/>
                      <a:ext cx="706755" cy="389255"/>
                    </a:xfrm>
                    <a:prstGeom prst="rect">
                      <a:avLst/>
                    </a:prstGeom>
                  </pic:spPr>
                </pic:pic>
              </a:graphicData>
            </a:graphic>
          </wp:inline>
        </w:drawing>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则起重机的重心最小需满足</w:t>
      </w:r>
    </w:p>
    <w:p>
      <w:pPr>
        <w:spacing w:after="0" w:afterLines="0" w:line="240" w:lineRule="auto"/>
        <w:ind w:firstLine="0" w:firstLineChars="0"/>
        <w:jc w:val="both"/>
        <w:rPr>
          <w:rFonts w:asciiTheme="minorHAnsi" w:hAnsiTheme="minorHAnsi" w:eastAsiaTheme="minorEastAsia"/>
        </w:rPr>
      </w:pPr>
      <w:r>
        <w:rPr>
          <w:rFonts w:asciiTheme="minorHAnsi" w:hAnsiTheme="minorHAnsi" w:eastAsiaTheme="minorEastAsia"/>
          <w:sz w:val="21"/>
        </w:rPr>
        <w:drawing>
          <wp:inline distT="0" distB="0" distL="114300" distR="114300">
            <wp:extent cx="4473575" cy="1563370"/>
            <wp:effectExtent l="0" t="0" r="6985" b="635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68"/>
                    <a:stretch>
                      <a:fillRect/>
                    </a:stretch>
                  </pic:blipFill>
                  <pic:spPr>
                    <a:xfrm>
                      <a:off x="0" y="0"/>
                      <a:ext cx="4473575" cy="1563370"/>
                    </a:xfrm>
                    <a:prstGeom prst="rect">
                      <a:avLst/>
                    </a:prstGeom>
                    <a:noFill/>
                    <a:ln>
                      <a:noFill/>
                    </a:ln>
                  </pic:spPr>
                </pic:pic>
              </a:graphicData>
            </a:graphic>
          </wp:inline>
        </w:drawing>
      </w:r>
      <w:r>
        <w:rPr>
          <w:rFonts w:hint="eastAsia" w:asciiTheme="minorHAnsi" w:hAnsiTheme="minorHAnsi" w:eastAsiaTheme="minorEastAsia"/>
        </w:rPr>
        <w:t xml:space="preserve">     </w:t>
      </w:r>
    </w:p>
    <w:p>
      <w:pPr>
        <w:spacing w:after="0" w:afterLines="0" w:line="240" w:lineRule="auto"/>
        <w:ind w:firstLine="240" w:firstLineChars="100"/>
        <w:jc w:val="both"/>
        <w:rPr>
          <w:rFonts w:asciiTheme="minorHAnsi" w:hAnsiTheme="minorHAnsi" w:eastAsiaTheme="minorEastAsia"/>
        </w:rPr>
      </w:pPr>
      <w:r>
        <w:rPr>
          <w:rFonts w:hint="eastAsia" w:asciiTheme="minorHAnsi" w:hAnsiTheme="minorHAnsi" w:eastAsiaTheme="minorEastAsia"/>
        </w:rPr>
        <w:t>=-0.54 （２）其中——工作状态下吊重绳相对铅垂线的最大偏摆角（°），取0°或3°~6°。</w:t>
      </w:r>
      <w:r>
        <w:rPr>
          <w:rFonts w:hint="eastAsia" w:asciiTheme="minorHAnsi" w:hAnsiTheme="minorHAnsi" w:eastAsiaTheme="minorEastAsia"/>
        </w:rPr>
        <w:object>
          <v:shape id="_x0000_i1026" o:spt="75" type="#_x0000_t75" style="height:17pt;width:17pt;" o:ole="t" filled="f" o:preferrelative="t" stroked="f" coordsize="21600,21600">
            <v:path/>
            <v:fill on="f" focussize="0,0"/>
            <v:stroke on="f" joinstyle="miter"/>
            <v:imagedata r:id="rId70" o:title=""/>
            <o:lock v:ext="edit" aspectratio="t"/>
            <w10:wrap type="none"/>
            <w10:anchorlock/>
          </v:shape>
          <o:OLEObject Type="Embed" ProgID="Equation.3" ShapeID="_x0000_i1026" DrawAspect="Content" ObjectID="_1468075726" r:id="rId69">
            <o:LockedField>false</o:LockedField>
          </o:OLEObject>
        </w:objec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K</w:t>
      </w:r>
      <w:r>
        <w:rPr>
          <w:rFonts w:hint="eastAsia" w:asciiTheme="minorHAnsi" w:hAnsiTheme="minorHAnsi" w:eastAsiaTheme="minorEastAsia"/>
          <w:vertAlign w:val="subscript"/>
        </w:rPr>
        <w:t>f</w:t>
      </w:r>
      <w:r>
        <w:rPr>
          <w:rFonts w:hint="eastAsia" w:asciiTheme="minorHAnsi" w:hAnsiTheme="minorHAnsi" w:eastAsiaTheme="minorEastAsia"/>
        </w:rPr>
        <w:t>——风力系数</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h</w:t>
      </w:r>
      <w:r>
        <w:rPr>
          <w:rFonts w:hint="eastAsia" w:asciiTheme="minorHAnsi" w:hAnsiTheme="minorHAnsi" w:eastAsiaTheme="minorEastAsia"/>
          <w:vertAlign w:val="subscript"/>
        </w:rPr>
        <w:t>２</w:t>
      </w:r>
      <w:r>
        <w:rPr>
          <w:rFonts w:hint="eastAsia" w:asciiTheme="minorHAnsi" w:hAnsiTheme="minorHAnsi" w:eastAsiaTheme="minorEastAsia"/>
        </w:rPr>
        <w:t>——起重机挡风面积的形心高度（ｍ）</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h</w:t>
      </w:r>
      <w:r>
        <w:rPr>
          <w:rFonts w:hint="eastAsia" w:asciiTheme="minorHAnsi" w:hAnsiTheme="minorHAnsi" w:eastAsiaTheme="minorEastAsia"/>
          <w:vertAlign w:val="subscript"/>
        </w:rPr>
        <w:t>３</w:t>
      </w:r>
      <w:r>
        <w:rPr>
          <w:rFonts w:hint="eastAsia" w:asciiTheme="minorHAnsi" w:hAnsiTheme="minorHAnsi" w:eastAsiaTheme="minorEastAsia"/>
        </w:rPr>
        <w:t>——起重机臂架端物品悬吊点的高度</w:t>
      </w:r>
    </w:p>
    <w:p>
      <w:pPr>
        <w:spacing w:after="0" w:afterLines="0" w:line="240" w:lineRule="auto"/>
        <w:ind w:firstLine="720" w:firstLineChars="300"/>
        <w:jc w:val="both"/>
        <w:rPr>
          <w:rFonts w:asciiTheme="minorHAnsi" w:hAnsiTheme="minorHAnsi" w:eastAsiaTheme="minorEastAsia"/>
        </w:rPr>
      </w:pPr>
      <w:r>
        <w:rPr>
          <w:rFonts w:hint="eastAsia" w:asciiTheme="minorHAnsi" w:hAnsiTheme="minorHAnsi" w:eastAsiaTheme="minorEastAsia"/>
        </w:rPr>
        <w:t>F——作用于起重机上的风力（Ｎ）</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其余符号与上式同。</w:t>
      </w:r>
    </w:p>
    <w:p>
      <w:pPr>
        <w:spacing w:after="0" w:afterLines="0" w:line="240" w:lineRule="auto"/>
        <w:ind w:firstLine="0" w:firstLineChars="0"/>
        <w:jc w:val="both"/>
        <w:rPr>
          <w:rFonts w:asciiTheme="minorHAnsi" w:hAnsiTheme="minorHAnsi" w:eastAsiaTheme="minorEastAsia"/>
        </w:rPr>
      </w:pPr>
    </w:p>
    <w:p>
      <w:pPr>
        <w:numPr>
          <w:ilvl w:val="0"/>
          <w:numId w:val="13"/>
        </w:num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臂架与倾覆线成４５</w:t>
      </w:r>
      <w:r>
        <w:rPr>
          <w:rFonts w:hint="eastAsia" w:ascii="微软雅黑" w:hAnsi="微软雅黑" w:eastAsia="微软雅黑" w:cs="微软雅黑"/>
        </w:rPr>
        <w:t>°</w:t>
      </w:r>
      <w:r>
        <w:rPr>
          <w:rFonts w:hint="eastAsia" w:asciiTheme="minorHAnsi" w:hAnsiTheme="minorHAnsi" w:eastAsiaTheme="minorEastAsia"/>
        </w:rPr>
        <w:t>时</w:t>
      </w:r>
    </w:p>
    <w:p>
      <w:pPr>
        <w:widowControl/>
        <w:spacing w:after="0" w:afterLines="0" w:line="240" w:lineRule="auto"/>
        <w:ind w:firstLine="0" w:firstLineChars="0"/>
        <w:jc w:val="center"/>
        <w:rPr>
          <w:rFonts w:asciiTheme="minorHAnsi" w:hAnsiTheme="minorHAnsi" w:eastAsiaTheme="minorEastAsia"/>
          <w:sz w:val="21"/>
        </w:rPr>
      </w:pPr>
      <w:r>
        <w:rPr>
          <w:rFonts w:hint="eastAsia" w:asciiTheme="minorHAnsi" w:hAnsiTheme="minorHAnsi" w:eastAsiaTheme="minorEastAsia"/>
          <w:sz w:val="21"/>
        </w:rPr>
        <w:drawing>
          <wp:inline distT="0" distB="0" distL="114300" distR="114300">
            <wp:extent cx="5006340" cy="3718560"/>
            <wp:effectExtent l="12700" t="12700" r="25400" b="17780"/>
            <wp:docPr id="4" name="图片 4"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736993(1)"/>
                    <pic:cNvPicPr>
                      <a:picLocks noChangeAspect="1"/>
                    </pic:cNvPicPr>
                  </pic:nvPicPr>
                  <pic:blipFill>
                    <a:blip r:embed="rId71"/>
                    <a:stretch>
                      <a:fillRect/>
                    </a:stretch>
                  </pic:blipFill>
                  <pic:spPr>
                    <a:xfrm>
                      <a:off x="0" y="0"/>
                      <a:ext cx="5006340" cy="3718560"/>
                    </a:xfrm>
                    <a:prstGeom prst="rect">
                      <a:avLst/>
                    </a:prstGeom>
                    <a:ln w="12700" cmpd="sng">
                      <a:solidFill>
                        <a:schemeClr val="accent1">
                          <a:shade val="50000"/>
                        </a:schemeClr>
                      </a:solidFill>
                      <a:prstDash val="solid"/>
                    </a:ln>
                  </pic:spPr>
                </pic:pic>
              </a:graphicData>
            </a:graphic>
          </wp:inline>
        </w:drawing>
      </w:r>
    </w:p>
    <w:p>
      <w:pPr>
        <w:spacing w:after="0" w:afterLines="0" w:line="240" w:lineRule="auto"/>
        <w:ind w:firstLine="0" w:firstLineChars="0"/>
        <w:jc w:val="center"/>
        <w:rPr>
          <w:rFonts w:asciiTheme="minorHAnsi" w:hAnsiTheme="minorHAnsi" w:eastAsiaTheme="minorEastAsia"/>
        </w:rPr>
      </w:pPr>
      <w:r>
        <w:rPr>
          <w:rFonts w:hint="eastAsia" w:asciiTheme="minorHAnsi" w:hAnsiTheme="minorHAnsi" w:eastAsiaTheme="minorEastAsia"/>
        </w:rPr>
        <w:t>起重机定置作业时的抗倾覆稳定性（臂架与倾覆线成４５</w:t>
      </w:r>
      <w:r>
        <w:rPr>
          <w:rFonts w:hint="eastAsia" w:ascii="微软雅黑" w:hAnsi="微软雅黑" w:eastAsia="微软雅黑" w:cs="微软雅黑"/>
        </w:rPr>
        <w:t>°时</w:t>
      </w:r>
      <w:r>
        <w:rPr>
          <w:rFonts w:hint="eastAsia" w:asciiTheme="minorHAnsi" w:hAnsiTheme="minorHAnsi" w:eastAsiaTheme="minorEastAsia"/>
        </w:rPr>
        <w:t>）</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其稳定性校核公式为：</w:t>
      </w:r>
    </w:p>
    <w:p>
      <w:pPr>
        <w:spacing w:after="0" w:afterLines="0" w:line="240" w:lineRule="auto"/>
        <w:ind w:firstLine="0" w:firstLineChars="0"/>
        <w:jc w:val="both"/>
        <w:rPr>
          <w:rFonts w:asciiTheme="minorHAnsi" w:hAnsiTheme="minorHAnsi" w:eastAsiaTheme="minorEastAsia"/>
          <w:position w:val="-30"/>
        </w:rPr>
      </w:pPr>
      <w:r>
        <w:rPr>
          <w:rFonts w:hint="eastAsia" w:asciiTheme="minorHAnsi" w:hAnsiTheme="minorHAnsi" w:eastAsiaTheme="minorEastAsia"/>
        </w:rPr>
        <w:t xml:space="preserve"> </w:t>
      </w:r>
      <w:r>
        <w:rPr>
          <w:rFonts w:asciiTheme="minorHAnsi" w:hAnsiTheme="minorHAnsi" w:eastAsiaTheme="minorEastAsia"/>
          <w:position w:val="-30"/>
        </w:rPr>
        <w:drawing>
          <wp:inline distT="0" distB="0" distL="114300" distR="114300">
            <wp:extent cx="5268595" cy="579120"/>
            <wp:effectExtent l="0" t="0" r="4445" b="0"/>
            <wp:docPr id="31" name="图片 31"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公式6"/>
                    <pic:cNvPicPr>
                      <a:picLocks noChangeAspect="1"/>
                    </pic:cNvPicPr>
                  </pic:nvPicPr>
                  <pic:blipFill>
                    <a:blip r:embed="rId72"/>
                    <a:stretch>
                      <a:fillRect/>
                    </a:stretch>
                  </pic:blipFill>
                  <pic:spPr>
                    <a:xfrm>
                      <a:off x="0" y="0"/>
                      <a:ext cx="5268595" cy="579120"/>
                    </a:xfrm>
                    <a:prstGeom prst="rect">
                      <a:avLst/>
                    </a:prstGeom>
                  </pic:spPr>
                </pic:pic>
              </a:graphicData>
            </a:graphic>
          </wp:inline>
        </w:drawing>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令</w:t>
      </w:r>
      <w:r>
        <w:rPr>
          <w:rFonts w:asciiTheme="minorHAnsi" w:hAnsiTheme="minorHAnsi" w:eastAsiaTheme="minorEastAsia"/>
        </w:rPr>
        <w:drawing>
          <wp:inline distT="0" distB="0" distL="114300" distR="114300">
            <wp:extent cx="689610" cy="379730"/>
            <wp:effectExtent l="0" t="0" r="11430" b="1270"/>
            <wp:docPr id="33" name="图片 33"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公式2"/>
                    <pic:cNvPicPr>
                      <a:picLocks noChangeAspect="1"/>
                    </pic:cNvPicPr>
                  </pic:nvPicPr>
                  <pic:blipFill>
                    <a:blip r:embed="rId64"/>
                    <a:stretch>
                      <a:fillRect/>
                    </a:stretch>
                  </pic:blipFill>
                  <pic:spPr>
                    <a:xfrm>
                      <a:off x="0" y="0"/>
                      <a:ext cx="689610" cy="379730"/>
                    </a:xfrm>
                    <a:prstGeom prst="rect">
                      <a:avLst/>
                    </a:prstGeom>
                  </pic:spPr>
                </pic:pic>
              </a:graphicData>
            </a:graphic>
          </wp:inline>
        </w:drawing>
      </w:r>
    </w:p>
    <w:p>
      <w:pPr>
        <w:spacing w:after="0" w:afterLines="0" w:line="240" w:lineRule="auto"/>
        <w:ind w:firstLine="0"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则起重机的重心最小需满足</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drawing>
          <wp:inline distT="0" distB="0" distL="114300" distR="114300">
            <wp:extent cx="4561205" cy="1590040"/>
            <wp:effectExtent l="0" t="0" r="10795" b="10160"/>
            <wp:docPr id="38" name="图片 38" descr="公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公式7"/>
                    <pic:cNvPicPr>
                      <a:picLocks noChangeAspect="1"/>
                    </pic:cNvPicPr>
                  </pic:nvPicPr>
                  <pic:blipFill>
                    <a:blip r:embed="rId73"/>
                    <a:stretch>
                      <a:fillRect/>
                    </a:stretch>
                  </pic:blipFill>
                  <pic:spPr>
                    <a:xfrm>
                      <a:off x="0" y="0"/>
                      <a:ext cx="4561205" cy="1590040"/>
                    </a:xfrm>
                    <a:prstGeom prst="rect">
                      <a:avLst/>
                    </a:prstGeom>
                  </pic:spPr>
                </pic:pic>
              </a:graphicData>
            </a:graphic>
          </wp:inline>
        </w:drawing>
      </w:r>
      <w:r>
        <w:rPr>
          <w:rFonts w:hint="eastAsia" w:asciiTheme="minorHAnsi" w:hAnsiTheme="minorHAnsi" w:eastAsiaTheme="minorEastAsia"/>
        </w:rPr>
        <w:t xml:space="preserve">      </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=-1.91 （３）</w:t>
      </w:r>
    </w:p>
    <w:p>
      <w:pPr>
        <w:spacing w:after="0" w:afterLines="0" w:line="240" w:lineRule="auto"/>
        <w:ind w:firstLine="0"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二计算起重机支承反力</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2.1 四点支承的支腿支反力</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取ｃ＝min[c1、c2、c3]= 0.0，可使以下计算偏安全</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drawing>
          <wp:inline distT="0" distB="0" distL="114300" distR="114300">
            <wp:extent cx="4529455" cy="4036695"/>
            <wp:effectExtent l="12700" t="12700" r="14605" b="19685"/>
            <wp:docPr id="39" name="图片 39"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16737278(1)"/>
                    <pic:cNvPicPr>
                      <a:picLocks noChangeAspect="1"/>
                    </pic:cNvPicPr>
                  </pic:nvPicPr>
                  <pic:blipFill>
                    <a:blip r:embed="rId74"/>
                    <a:stretch>
                      <a:fillRect/>
                    </a:stretch>
                  </pic:blipFill>
                  <pic:spPr>
                    <a:xfrm>
                      <a:off x="0" y="0"/>
                      <a:ext cx="4529455" cy="4036695"/>
                    </a:xfrm>
                    <a:prstGeom prst="rect">
                      <a:avLst/>
                    </a:prstGeom>
                    <a:ln w="12700" cmpd="sng">
                      <a:solidFill>
                        <a:schemeClr val="accent1">
                          <a:shade val="50000"/>
                        </a:schemeClr>
                      </a:solidFill>
                      <a:prstDash val="solid"/>
                    </a:ln>
                  </pic:spPr>
                </pic:pic>
              </a:graphicData>
            </a:graphic>
          </wp:inline>
        </w:drawing>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起重机由ABCD四点支承，其重力为G，等效重心为距回转中心的距离为c，夹角为</w:t>
      </w:r>
      <w:r>
        <w:rPr>
          <w:rFonts w:ascii="Arial" w:hAnsi="Arial" w:cs="Arial" w:eastAsiaTheme="minorEastAsia"/>
        </w:rPr>
        <w:t>β</w:t>
      </w:r>
      <w:r>
        <w:rPr>
          <w:rFonts w:hint="eastAsia" w:asciiTheme="minorHAnsi" w:hAnsiTheme="minorHAnsi" w:eastAsiaTheme="minorEastAsia"/>
        </w:rPr>
        <w:t>，货物的重量为Gp，在幅度为R，夹角为</w:t>
      </w:r>
      <w:r>
        <w:rPr>
          <w:rFonts w:ascii="Arial" w:hAnsi="Arial" w:cs="Arial" w:eastAsiaTheme="minorEastAsia"/>
        </w:rPr>
        <w:t>β</w:t>
      </w:r>
      <w:r>
        <w:rPr>
          <w:rFonts w:hint="eastAsia" w:asciiTheme="minorHAnsi" w:hAnsiTheme="minorHAnsi" w:eastAsiaTheme="minorEastAsia"/>
        </w:rPr>
        <w:t xml:space="preserve">时，刚性支腿ABCD的垂直反力分别为   </w:t>
      </w:r>
      <w:r>
        <w:rPr>
          <w:rFonts w:hint="eastAsia" w:asciiTheme="minorHAnsi" w:hAnsiTheme="minorHAnsi" w:eastAsiaTheme="minorEastAsia"/>
          <w:color w:val="0000FF"/>
        </w:rPr>
        <w:t xml:space="preserve"> </w:t>
      </w:r>
    </w:p>
    <w:p>
      <w:pPr>
        <w:spacing w:after="0" w:afterLines="0" w:line="240" w:lineRule="auto"/>
        <w:ind w:firstLine="0" w:firstLineChars="0"/>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3152140" cy="713105"/>
            <wp:effectExtent l="0" t="0" r="2540" b="31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75"/>
                    <a:stretch>
                      <a:fillRect/>
                    </a:stretch>
                  </pic:blipFill>
                  <pic:spPr>
                    <a:xfrm>
                      <a:off x="0" y="0"/>
                      <a:ext cx="3152140" cy="713105"/>
                    </a:xfrm>
                    <a:prstGeom prst="rect">
                      <a:avLst/>
                    </a:prstGeom>
                    <a:noFill/>
                    <a:ln>
                      <a:noFill/>
                    </a:ln>
                  </pic:spPr>
                </pic:pic>
              </a:graphicData>
            </a:graphic>
          </wp:inline>
        </w:drawing>
      </w:r>
    </w:p>
    <w:p>
      <w:pPr>
        <w:spacing w:after="0" w:afterLines="0" w:line="240" w:lineRule="auto"/>
        <w:ind w:firstLine="0" w:firstLineChars="0"/>
        <w:jc w:val="both"/>
        <w:rPr>
          <w:rFonts w:asciiTheme="minorHAnsi" w:hAnsiTheme="minorHAnsi" w:eastAsiaTheme="minorEastAsia"/>
          <w:sz w:val="21"/>
        </w:rPr>
      </w:pPr>
      <w:r>
        <w:rPr>
          <w:rFonts w:hint="eastAsia" w:asciiTheme="minorHAnsi" w:hAnsiTheme="minorHAnsi" w:eastAsiaTheme="minorEastAsia"/>
          <w:sz w:val="21"/>
        </w:rPr>
        <w:t>=169.0KN</w:t>
      </w:r>
    </w:p>
    <w:p>
      <w:pPr>
        <w:spacing w:after="0" w:afterLines="0" w:line="240" w:lineRule="auto"/>
        <w:ind w:firstLine="0" w:firstLineChars="0"/>
        <w:jc w:val="both"/>
        <w:rPr>
          <w:rFonts w:asciiTheme="minorHAnsi" w:hAnsiTheme="minorHAnsi" w:eastAsiaTheme="minorEastAsia"/>
          <w:sz w:val="21"/>
        </w:rPr>
      </w:pPr>
    </w:p>
    <w:p>
      <w:pPr>
        <w:spacing w:after="0" w:afterLines="0" w:line="240" w:lineRule="auto"/>
        <w:ind w:firstLine="0" w:firstLineChars="0"/>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3132455" cy="671830"/>
            <wp:effectExtent l="0" t="0" r="6985"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6"/>
                    <a:stretch>
                      <a:fillRect/>
                    </a:stretch>
                  </pic:blipFill>
                  <pic:spPr>
                    <a:xfrm>
                      <a:off x="0" y="0"/>
                      <a:ext cx="3132455" cy="671830"/>
                    </a:xfrm>
                    <a:prstGeom prst="rect">
                      <a:avLst/>
                    </a:prstGeom>
                    <a:noFill/>
                    <a:ln>
                      <a:noFill/>
                    </a:ln>
                  </pic:spPr>
                </pic:pic>
              </a:graphicData>
            </a:graphic>
          </wp:inline>
        </w:drawing>
      </w:r>
    </w:p>
    <w:p>
      <w:pPr>
        <w:spacing w:after="0" w:afterLines="0" w:line="240" w:lineRule="auto"/>
        <w:ind w:firstLine="0" w:firstLineChars="0"/>
        <w:jc w:val="both"/>
        <w:rPr>
          <w:rFonts w:asciiTheme="minorHAnsi" w:hAnsiTheme="minorHAnsi" w:eastAsiaTheme="minorEastAsia"/>
          <w:sz w:val="21"/>
        </w:rPr>
      </w:pPr>
      <w:r>
        <w:rPr>
          <w:rFonts w:hint="eastAsia" w:asciiTheme="minorHAnsi" w:hAnsiTheme="minorHAnsi" w:eastAsiaTheme="minorEastAsia"/>
          <w:sz w:val="21"/>
        </w:rPr>
        <w:t>=296.8KN</w:t>
      </w:r>
    </w:p>
    <w:p>
      <w:pPr>
        <w:spacing w:after="0" w:afterLines="0" w:line="240" w:lineRule="auto"/>
        <w:ind w:firstLine="0" w:firstLineChars="0"/>
        <w:jc w:val="both"/>
        <w:rPr>
          <w:rFonts w:asciiTheme="minorHAnsi" w:hAnsiTheme="minorHAnsi" w:eastAsiaTheme="minorEastAsia"/>
          <w:sz w:val="21"/>
        </w:rPr>
      </w:pPr>
    </w:p>
    <w:p>
      <w:pPr>
        <w:spacing w:after="0" w:afterLines="0" w:line="240" w:lineRule="auto"/>
        <w:ind w:firstLine="0" w:firstLineChars="0"/>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3100705" cy="621665"/>
            <wp:effectExtent l="0" t="0" r="8255" b="317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77"/>
                    <a:stretch>
                      <a:fillRect/>
                    </a:stretch>
                  </pic:blipFill>
                  <pic:spPr>
                    <a:xfrm>
                      <a:off x="0" y="0"/>
                      <a:ext cx="3100705" cy="621665"/>
                    </a:xfrm>
                    <a:prstGeom prst="rect">
                      <a:avLst/>
                    </a:prstGeom>
                    <a:noFill/>
                    <a:ln>
                      <a:noFill/>
                    </a:ln>
                  </pic:spPr>
                </pic:pic>
              </a:graphicData>
            </a:graphic>
          </wp:inline>
        </w:drawing>
      </w:r>
    </w:p>
    <w:p>
      <w:pPr>
        <w:spacing w:after="0" w:afterLines="0" w:line="240" w:lineRule="auto"/>
        <w:ind w:firstLine="0" w:firstLineChars="0"/>
        <w:jc w:val="both"/>
        <w:rPr>
          <w:rFonts w:asciiTheme="minorHAnsi" w:hAnsiTheme="minorHAnsi" w:eastAsiaTheme="minorEastAsia"/>
          <w:sz w:val="21"/>
        </w:rPr>
      </w:pPr>
      <w:r>
        <w:rPr>
          <w:rFonts w:hint="eastAsia" w:asciiTheme="minorHAnsi" w:hAnsiTheme="minorHAnsi" w:eastAsiaTheme="minorEastAsia"/>
          <w:sz w:val="21"/>
        </w:rPr>
        <w:t>=213.79999999999998KN</w:t>
      </w:r>
    </w:p>
    <w:p>
      <w:pPr>
        <w:spacing w:after="0" w:afterLines="0" w:line="240" w:lineRule="auto"/>
        <w:ind w:firstLine="0" w:firstLineChars="0"/>
        <w:jc w:val="both"/>
        <w:rPr>
          <w:rFonts w:asciiTheme="minorHAnsi" w:hAnsiTheme="minorHAnsi" w:eastAsiaTheme="minorEastAsia"/>
          <w:sz w:val="21"/>
        </w:rPr>
      </w:pPr>
    </w:p>
    <w:p>
      <w:pPr>
        <w:spacing w:after="0" w:afterLines="0" w:line="240" w:lineRule="auto"/>
        <w:ind w:firstLine="0" w:firstLineChars="0"/>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3021330" cy="669925"/>
            <wp:effectExtent l="0" t="0" r="11430" b="63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78"/>
                    <a:stretch>
                      <a:fillRect/>
                    </a:stretch>
                  </pic:blipFill>
                  <pic:spPr>
                    <a:xfrm>
                      <a:off x="0" y="0"/>
                      <a:ext cx="3021330" cy="669925"/>
                    </a:xfrm>
                    <a:prstGeom prst="rect">
                      <a:avLst/>
                    </a:prstGeom>
                    <a:noFill/>
                    <a:ln>
                      <a:noFill/>
                    </a:ln>
                  </pic:spPr>
                </pic:pic>
              </a:graphicData>
            </a:graphic>
          </wp:inline>
        </w:drawing>
      </w:r>
    </w:p>
    <w:p>
      <w:pPr>
        <w:spacing w:after="0" w:afterLines="0" w:line="240" w:lineRule="auto"/>
        <w:ind w:firstLine="0" w:firstLineChars="0"/>
        <w:jc w:val="both"/>
        <w:rPr>
          <w:rFonts w:asciiTheme="minorHAnsi" w:hAnsiTheme="minorHAnsi" w:eastAsiaTheme="minorEastAsia"/>
          <w:sz w:val="21"/>
        </w:rPr>
      </w:pPr>
      <w:r>
        <w:rPr>
          <w:rFonts w:hint="eastAsia" w:asciiTheme="minorHAnsi" w:hAnsiTheme="minorHAnsi" w:eastAsiaTheme="minorEastAsia"/>
          <w:sz w:val="21"/>
        </w:rPr>
        <w:t>=86.0KN</w:t>
      </w:r>
    </w:p>
    <w:p>
      <w:pPr>
        <w:spacing w:after="0" w:afterLines="0" w:line="240" w:lineRule="auto"/>
        <w:ind w:firstLine="0" w:firstLineChars="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其中</w:t>
      </w:r>
      <w:r>
        <w:rPr>
          <w:rFonts w:asciiTheme="minorHAnsi" w:hAnsiTheme="minorHAnsi" w:eastAsiaTheme="minorEastAsia"/>
          <w:position w:val="-14"/>
        </w:rPr>
        <w:object>
          <v:shape id="_x0000_i1027" o:spt="75" type="#_x0000_t75" style="height:19pt;width:51pt;" o:ole="t" filled="f" o:preferrelative="t" stroked="f" coordsize="21600,21600">
            <v:path/>
            <v:fill on="f" focussize="0,0"/>
            <v:stroke on="f" joinstyle="miter"/>
            <v:imagedata r:id="rId80" o:title=""/>
            <o:lock v:ext="edit" aspectratio="t"/>
            <w10:wrap type="none"/>
            <w10:anchorlock/>
          </v:shape>
          <o:OLEObject Type="Embed" ProgID="Equation.3" ShapeID="_x0000_i1027" DrawAspect="Content" ObjectID="_1468075727" r:id="rId79">
            <o:LockedField>false</o:LockedField>
          </o:OLEObject>
        </w:object>
      </w:r>
      <w:r>
        <w:rPr>
          <w:rFonts w:hint="eastAsia" w:asciiTheme="minorHAnsi" w:hAnsiTheme="minorHAnsi" w:eastAsiaTheme="minorEastAsia"/>
        </w:rPr>
        <w:t>为货物向旋转中心转化的力矩在x、y方向的分力矩</w:t>
      </w:r>
    </w:p>
    <w:p>
      <w:pPr>
        <w:spacing w:after="0" w:afterLines="0" w:line="240" w:lineRule="auto"/>
        <w:ind w:left="840" w:firstLineChars="0"/>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1499870" cy="480060"/>
            <wp:effectExtent l="0" t="0" r="8890" b="762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81"/>
                    <a:stretch>
                      <a:fillRect/>
                    </a:stretch>
                  </pic:blipFill>
                  <pic:spPr>
                    <a:xfrm>
                      <a:off x="0" y="0"/>
                      <a:ext cx="1499870" cy="480060"/>
                    </a:xfrm>
                    <a:prstGeom prst="rect">
                      <a:avLst/>
                    </a:prstGeom>
                    <a:noFill/>
                    <a:ln>
                      <a:noFill/>
                    </a:ln>
                  </pic:spPr>
                </pic:pic>
              </a:graphicData>
            </a:graphic>
          </wp:inline>
        </w:drawing>
      </w:r>
    </w:p>
    <w:p>
      <w:pPr>
        <w:spacing w:after="0" w:afterLines="0" w:line="240" w:lineRule="auto"/>
        <w:ind w:left="840" w:firstLineChars="0"/>
        <w:jc w:val="both"/>
        <w:rPr>
          <w:rFonts w:asciiTheme="minorHAnsi" w:hAnsiTheme="minorHAnsi" w:eastAsiaTheme="minorEastAsia"/>
          <w:sz w:val="21"/>
        </w:rPr>
      </w:pPr>
      <w:r>
        <w:rPr>
          <w:rFonts w:hint="eastAsia" w:asciiTheme="minorHAnsi" w:hAnsiTheme="minorHAnsi" w:eastAsiaTheme="minorEastAsia"/>
          <w:sz w:val="21"/>
        </w:rPr>
        <w:t>=82.11tm</w:t>
      </w:r>
    </w:p>
    <w:p>
      <w:pPr>
        <w:spacing w:after="0" w:afterLines="0" w:line="240" w:lineRule="auto"/>
        <w:ind w:left="840" w:firstLineChars="0"/>
        <w:jc w:val="both"/>
        <w:rPr>
          <w:rFonts w:asciiTheme="minorHAnsi" w:hAnsiTheme="minorHAnsi" w:eastAsiaTheme="minorEastAsia"/>
          <w:sz w:val="21"/>
        </w:rPr>
      </w:pPr>
    </w:p>
    <w:p>
      <w:pPr>
        <w:spacing w:after="0" w:afterLines="0" w:line="240" w:lineRule="auto"/>
        <w:ind w:left="840" w:firstLineChars="0"/>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1506855" cy="512445"/>
            <wp:effectExtent l="0" t="0" r="1905" b="571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82"/>
                    <a:stretch>
                      <a:fillRect/>
                    </a:stretch>
                  </pic:blipFill>
                  <pic:spPr>
                    <a:xfrm>
                      <a:off x="0" y="0"/>
                      <a:ext cx="1506855" cy="512445"/>
                    </a:xfrm>
                    <a:prstGeom prst="rect">
                      <a:avLst/>
                    </a:prstGeom>
                    <a:noFill/>
                    <a:ln>
                      <a:noFill/>
                    </a:ln>
                  </pic:spPr>
                </pic:pic>
              </a:graphicData>
            </a:graphic>
          </wp:inline>
        </w:drawing>
      </w:r>
    </w:p>
    <w:p>
      <w:pPr>
        <w:spacing w:after="0" w:afterLines="0" w:line="240" w:lineRule="auto"/>
        <w:ind w:left="840" w:firstLineChars="0"/>
        <w:jc w:val="both"/>
        <w:rPr>
          <w:rFonts w:asciiTheme="minorHAnsi" w:hAnsiTheme="minorHAnsi" w:eastAsiaTheme="minorEastAsia"/>
        </w:rPr>
      </w:pPr>
      <w:r>
        <w:rPr>
          <w:rFonts w:hint="eastAsia" w:asciiTheme="minorHAnsi" w:hAnsiTheme="minorHAnsi" w:eastAsiaTheme="minorEastAsia"/>
          <w:sz w:val="21"/>
        </w:rPr>
        <w:t>=66.4tm</w:t>
      </w: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 xml:space="preserve">  </w:t>
      </w:r>
      <w:r>
        <w:rPr>
          <w:rFonts w:asciiTheme="minorHAnsi" w:hAnsiTheme="minorHAnsi" w:eastAsiaTheme="minorEastAsia"/>
          <w:position w:val="-14"/>
        </w:rPr>
        <w:object>
          <v:shape id="_x0000_i1028" o:spt="75" type="#_x0000_t75" style="height:19pt;width:54pt;" o:ole="t" filled="f" o:preferrelative="t" stroked="f" coordsize="21600,21600">
            <v:path/>
            <v:fill on="f" focussize="0,0"/>
            <v:stroke on="f" joinstyle="miter"/>
            <v:imagedata r:id="rId84" o:title=""/>
            <o:lock v:ext="edit" aspectratio="t"/>
            <w10:wrap type="none"/>
            <w10:anchorlock/>
          </v:shape>
          <o:OLEObject Type="Embed" ProgID="Equation.3" ShapeID="_x0000_i1028" DrawAspect="Content" ObjectID="_1468075728" r:id="rId83">
            <o:LockedField>false</o:LockedField>
          </o:OLEObject>
        </w:object>
      </w:r>
      <w:r>
        <w:rPr>
          <w:rFonts w:hint="eastAsia" w:asciiTheme="minorHAnsi" w:hAnsiTheme="minorHAnsi" w:eastAsiaTheme="minorEastAsia"/>
        </w:rPr>
        <w:t>为起重机向旋转中心转化的力矩在x、y方向的分力矩</w:t>
      </w:r>
    </w:p>
    <w:p>
      <w:pPr>
        <w:spacing w:after="0" w:afterLines="0" w:line="240" w:lineRule="auto"/>
        <w:ind w:firstLine="1205" w:firstLineChars="574"/>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1550035" cy="433705"/>
            <wp:effectExtent l="0" t="0" r="4445" b="825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85"/>
                    <a:stretch>
                      <a:fillRect/>
                    </a:stretch>
                  </pic:blipFill>
                  <pic:spPr>
                    <a:xfrm>
                      <a:off x="0" y="0"/>
                      <a:ext cx="1550035" cy="433705"/>
                    </a:xfrm>
                    <a:prstGeom prst="rect">
                      <a:avLst/>
                    </a:prstGeom>
                    <a:noFill/>
                    <a:ln>
                      <a:noFill/>
                    </a:ln>
                  </pic:spPr>
                </pic:pic>
              </a:graphicData>
            </a:graphic>
          </wp:inline>
        </w:drawing>
      </w:r>
    </w:p>
    <w:p>
      <w:pPr>
        <w:spacing w:after="0" w:afterLines="0" w:line="240" w:lineRule="auto"/>
        <w:ind w:firstLine="1205" w:firstLineChars="574"/>
        <w:jc w:val="both"/>
        <w:rPr>
          <w:rFonts w:asciiTheme="minorHAnsi" w:hAnsiTheme="minorHAnsi" w:eastAsiaTheme="minorEastAsia"/>
          <w:sz w:val="21"/>
        </w:rPr>
      </w:pPr>
      <w:r>
        <w:rPr>
          <w:rFonts w:hint="eastAsia" w:asciiTheme="minorHAnsi" w:hAnsiTheme="minorHAnsi" w:eastAsiaTheme="minorEastAsia"/>
          <w:sz w:val="21"/>
        </w:rPr>
        <w:t>=0.0tm</w:t>
      </w:r>
    </w:p>
    <w:p>
      <w:pPr>
        <w:spacing w:after="0" w:afterLines="0" w:line="240" w:lineRule="auto"/>
        <w:ind w:firstLine="1205" w:firstLineChars="574"/>
        <w:jc w:val="both"/>
        <w:rPr>
          <w:rFonts w:asciiTheme="minorHAnsi" w:hAnsiTheme="minorHAnsi" w:eastAsiaTheme="minorEastAsia"/>
          <w:sz w:val="21"/>
        </w:rPr>
      </w:pPr>
      <w:r>
        <w:rPr>
          <w:rFonts w:asciiTheme="minorHAnsi" w:hAnsiTheme="minorHAnsi" w:eastAsiaTheme="minorEastAsia"/>
          <w:sz w:val="21"/>
        </w:rPr>
        <w:drawing>
          <wp:inline distT="0" distB="0" distL="114300" distR="114300">
            <wp:extent cx="1531620" cy="429260"/>
            <wp:effectExtent l="0" t="0" r="7620" b="1270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86"/>
                    <a:stretch>
                      <a:fillRect/>
                    </a:stretch>
                  </pic:blipFill>
                  <pic:spPr>
                    <a:xfrm>
                      <a:off x="0" y="0"/>
                      <a:ext cx="1531620" cy="429260"/>
                    </a:xfrm>
                    <a:prstGeom prst="rect">
                      <a:avLst/>
                    </a:prstGeom>
                    <a:noFill/>
                    <a:ln>
                      <a:noFill/>
                    </a:ln>
                  </pic:spPr>
                </pic:pic>
              </a:graphicData>
            </a:graphic>
          </wp:inline>
        </w:drawing>
      </w:r>
    </w:p>
    <w:p>
      <w:pPr>
        <w:spacing w:after="0" w:afterLines="0" w:line="240" w:lineRule="auto"/>
        <w:ind w:firstLine="1205" w:firstLineChars="574"/>
        <w:jc w:val="both"/>
        <w:rPr>
          <w:rFonts w:asciiTheme="minorHAnsi" w:hAnsiTheme="minorHAnsi" w:eastAsiaTheme="minorEastAsia"/>
        </w:rPr>
      </w:pPr>
      <w:r>
        <w:rPr>
          <w:rFonts w:hint="eastAsia" w:asciiTheme="minorHAnsi" w:hAnsiTheme="minorHAnsi" w:eastAsiaTheme="minorEastAsia"/>
          <w:sz w:val="21"/>
        </w:rPr>
        <w:t>=0.0tm</w:t>
      </w:r>
    </w:p>
    <w:p>
      <w:pPr>
        <w:spacing w:after="0" w:afterLines="0" w:line="240" w:lineRule="auto"/>
        <w:ind w:firstLine="960" w:firstLineChars="400"/>
        <w:jc w:val="both"/>
        <w:rPr>
          <w:rFonts w:asciiTheme="minorHAnsi" w:hAnsiTheme="minorHAnsi" w:eastAsiaTheme="minorEastAsia"/>
        </w:rPr>
      </w:pPr>
    </w:p>
    <w:p>
      <w:pPr>
        <w:spacing w:after="0" w:afterLines="0" w:line="240" w:lineRule="auto"/>
        <w:ind w:firstLine="0" w:firstLineChars="0"/>
        <w:jc w:val="both"/>
        <w:rPr>
          <w:rFonts w:asciiTheme="minorHAnsi" w:hAnsiTheme="minorHAnsi" w:eastAsiaTheme="minorEastAsia"/>
        </w:rPr>
      </w:pPr>
      <w:r>
        <w:rPr>
          <w:rFonts w:hint="eastAsia" w:asciiTheme="minorHAnsi" w:hAnsiTheme="minorHAnsi" w:eastAsiaTheme="minorEastAsia"/>
        </w:rPr>
        <w:t>当β=β0=arctan(b/l) =0.68度时，即臂架垂直于支承平面的对角线AC时，NB达到最大值，此时ND为最小值。将β0代入工中，即可求出最大支承反力和最小支承反力。最大支承反力为296.8KN，最小支承反力为86.0KN。</w:t>
      </w:r>
    </w:p>
    <w:p>
      <w:pPr>
        <w:spacing w:after="0" w:afterLines="0" w:line="240" w:lineRule="auto"/>
        <w:ind w:firstLine="0" w:firstLineChars="0"/>
        <w:jc w:val="both"/>
        <w:rPr>
          <w:rFonts w:asciiTheme="minorHAnsi" w:hAnsiTheme="minorHAnsi" w:eastAsiaTheme="minorEastAsia"/>
        </w:rPr>
      </w:pPr>
    </w:p>
    <w:p>
      <w:pPr>
        <w:spacing w:after="120"/>
        <w:ind w:firstLine="480"/>
        <w:rPr>
          <w:rFonts w:ascii="宋体" w:hAnsi="宋体" w:eastAsia="宋体" w:cs="宋体"/>
        </w:rPr>
      </w:pPr>
      <w:r>
        <w:rPr>
          <w:rFonts w:hint="eastAsia" w:ascii="宋体" w:hAnsi="宋体" w:eastAsia="宋体" w:cs="宋体"/>
        </w:rPr>
        <w:t>根据以上计算数据,支立时,每个支腿下方放好2m×2m钢板及枕木。</w:t>
      </w:r>
    </w:p>
    <w:p>
      <w:pPr>
        <w:spacing w:after="120"/>
        <w:ind w:firstLine="480"/>
        <w:rPr>
          <w:rFonts w:ascii="宋体" w:hAnsi="宋体" w:eastAsia="宋体" w:cs="宋体"/>
        </w:rPr>
      </w:pPr>
      <w:r>
        <w:rPr>
          <w:rFonts w:hint="eastAsia" w:ascii="宋体" w:hAnsi="宋体" w:eastAsia="宋体" w:cs="宋体"/>
        </w:rPr>
        <w:t>支反力下方：N=F/4=296.8/4=74.2Kpa，小于地基承载力，故满足要求。</w:t>
      </w:r>
    </w:p>
    <w:p>
      <w:pPr>
        <w:pStyle w:val="4"/>
        <w:spacing w:before="120" w:after="120"/>
        <w:rPr>
          <w:rFonts w:ascii="宋体" w:hAnsi="宋体" w:eastAsia="宋体" w:cs="宋体"/>
          <w:bCs/>
          <w:color w:val="000000" w:themeColor="text1"/>
          <w:sz w:val="24"/>
          <w14:textFill>
            <w14:solidFill>
              <w14:schemeClr w14:val="tx1"/>
            </w14:solidFill>
          </w14:textFill>
        </w:rPr>
      </w:pPr>
      <w:bookmarkStart w:id="494" w:name="_Toc5249"/>
      <w:r>
        <w:rPr>
          <w:rFonts w:hint="eastAsia" w:ascii="宋体" w:hAnsi="宋体" w:eastAsia="宋体" w:cs="宋体"/>
          <w:bCs/>
          <w:color w:val="000000" w:themeColor="text1"/>
          <w:sz w:val="24"/>
          <w14:textFill>
            <w14:solidFill>
              <w14:schemeClr w14:val="tx1"/>
            </w14:solidFill>
          </w14:textFill>
        </w:rPr>
        <w:t>11.2选用的吊索受力计算</w:t>
      </w:r>
      <w:bookmarkEnd w:id="494"/>
    </w:p>
    <w:p>
      <w:pPr>
        <w:spacing w:after="120"/>
        <w:ind w:firstLine="48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选用钢丝绳结构：6×19+FC，公称抗拉强度1700MPa，单位：mm</w:t>
      </w:r>
    </w:p>
    <w:p>
      <w:pPr>
        <w:spacing w:after="0" w:afterLines="0"/>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表11-1</w:t>
      </w:r>
    </w:p>
    <w:p>
      <w:pPr>
        <w:spacing w:after="120"/>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inline distT="0" distB="0" distL="114300" distR="114300">
            <wp:extent cx="4899660" cy="5095875"/>
            <wp:effectExtent l="0" t="0" r="0"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87"/>
                    <a:stretch>
                      <a:fillRect/>
                    </a:stretch>
                  </pic:blipFill>
                  <pic:spPr>
                    <a:xfrm>
                      <a:off x="0" y="0"/>
                      <a:ext cx="4913241" cy="5109874"/>
                    </a:xfrm>
                    <a:prstGeom prst="rect">
                      <a:avLst/>
                    </a:prstGeom>
                    <a:noFill/>
                    <a:ln w="9525">
                      <a:noFill/>
                    </a:ln>
                  </pic:spPr>
                </pic:pic>
              </a:graphicData>
            </a:graphic>
          </wp:inline>
        </w:drawing>
      </w:r>
    </w:p>
    <w:p>
      <w:pPr>
        <w:spacing w:after="120"/>
        <w:ind w:firstLine="0" w:firstLineChars="0"/>
        <w:rPr>
          <w:rFonts w:ascii="宋体" w:hAnsi="宋体" w:eastAsia="宋体" w:cs="宋体"/>
          <w:bCs/>
          <w:color w:val="000000" w:themeColor="text1"/>
          <w14:textFill>
            <w14:solidFill>
              <w14:schemeClr w14:val="tx1"/>
            </w14:solidFill>
          </w14:textFill>
        </w:rPr>
      </w:pPr>
      <w:bookmarkStart w:id="495" w:name="_Hlk37180082"/>
      <w:r>
        <w:rPr>
          <w:rFonts w:hint="eastAsia" w:ascii="宋体" w:hAnsi="宋体" w:eastAsia="宋体" w:cs="宋体"/>
          <w:bCs/>
          <w:color w:val="000000" w:themeColor="text1"/>
          <w14:textFill>
            <w14:solidFill>
              <w14:schemeClr w14:val="tx1"/>
            </w14:solidFill>
          </w14:textFill>
        </w:rPr>
        <w:t>钢丝绳最小破断拉力见表11-2</w:t>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表11-2</w:t>
      </w:r>
    </w:p>
    <w:tbl>
      <w:tblPr>
        <w:tblStyle w:val="2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直径（mm）</w:t>
            </w:r>
          </w:p>
        </w:tc>
        <w:tc>
          <w:tcPr>
            <w:tcW w:w="30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直径φ=16mm</w:t>
            </w:r>
          </w:p>
        </w:tc>
        <w:tc>
          <w:tcPr>
            <w:tcW w:w="3080"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破断拉力（kN）</w:t>
            </w:r>
          </w:p>
        </w:tc>
        <w:tc>
          <w:tcPr>
            <w:tcW w:w="30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S</w:t>
            </w:r>
            <w:r>
              <w:rPr>
                <w:rFonts w:hint="eastAsia" w:ascii="宋体" w:hAnsi="宋体" w:eastAsia="宋体" w:cs="宋体"/>
                <w:bCs/>
                <w:color w:val="000000" w:themeColor="text1"/>
                <w:vertAlign w:val="subscript"/>
                <w14:textFill>
                  <w14:solidFill>
                    <w14:schemeClr w14:val="tx1"/>
                  </w14:solidFill>
                </w14:textFill>
              </w:rPr>
              <w:t>p</w:t>
            </w:r>
            <w:r>
              <w:rPr>
                <w:rFonts w:hint="eastAsia" w:ascii="宋体" w:hAnsi="宋体" w:eastAsia="宋体" w:cs="宋体"/>
                <w:bCs/>
                <w:color w:val="000000" w:themeColor="text1"/>
                <w14:textFill>
                  <w14:solidFill>
                    <w14:schemeClr w14:val="tx1"/>
                  </w14:solidFill>
                </w14:textFill>
              </w:rPr>
              <w:t>=150</w:t>
            </w:r>
          </w:p>
        </w:tc>
        <w:tc>
          <w:tcPr>
            <w:tcW w:w="3080"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S</w:t>
            </w:r>
            <w:r>
              <w:rPr>
                <w:rFonts w:hint="eastAsia" w:ascii="宋体" w:hAnsi="宋体" w:eastAsia="宋体" w:cs="宋体"/>
                <w:bCs/>
                <w:color w:val="000000" w:themeColor="text1"/>
                <w:vertAlign w:val="subscript"/>
                <w14:textFill>
                  <w14:solidFill>
                    <w14:schemeClr w14:val="tx1"/>
                  </w14:solidFill>
                </w14:textFill>
              </w:rPr>
              <w:t>p</w:t>
            </w:r>
            <w:r>
              <w:rPr>
                <w:rFonts w:hint="eastAsia" w:ascii="宋体" w:hAnsi="宋体" w:eastAsia="宋体" w:cs="宋体"/>
                <w:bCs/>
                <w:color w:val="000000" w:themeColor="text1"/>
                <w14:textFill>
                  <w14:solidFill>
                    <w14:schemeClr w14:val="tx1"/>
                  </w14:solidFill>
                </w14:textFill>
              </w:rPr>
              <w:t>=336</w:t>
            </w:r>
          </w:p>
        </w:tc>
      </w:tr>
    </w:tbl>
    <w:p>
      <w:pPr>
        <w:spacing w:after="120"/>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安全系数：用于吊索有弯曲：K=8。</w:t>
      </w:r>
    </w:p>
    <w:p>
      <w:pPr>
        <w:spacing w:after="120"/>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折减系数：对6×19钢丝绳：ψ=0.82。</w:t>
      </w:r>
    </w:p>
    <w:p>
      <w:pPr>
        <w:spacing w:after="120"/>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钢丝绳许用拉力：P=S</w:t>
      </w:r>
      <w:r>
        <w:rPr>
          <w:rFonts w:hint="eastAsia" w:ascii="宋体" w:hAnsi="宋体" w:eastAsia="宋体" w:cs="宋体"/>
          <w:bCs/>
          <w:color w:val="000000" w:themeColor="text1"/>
          <w:vertAlign w:val="subscript"/>
          <w14:textFill>
            <w14:solidFill>
              <w14:schemeClr w14:val="tx1"/>
            </w14:solidFill>
          </w14:textFill>
        </w:rPr>
        <w:t>p</w:t>
      </w:r>
      <w:r>
        <w:rPr>
          <w:rFonts w:hint="eastAsia" w:ascii="宋体" w:hAnsi="宋体" w:eastAsia="宋体" w:cs="宋体"/>
          <w:bCs/>
          <w:color w:val="000000" w:themeColor="text1"/>
          <w14:textFill>
            <w14:solidFill>
              <w14:schemeClr w14:val="tx1"/>
            </w14:solidFill>
          </w14:textFill>
        </w:rPr>
        <w:t>/K</w:t>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表11-3</w:t>
      </w:r>
    </w:p>
    <w:tbl>
      <w:tblPr>
        <w:tblStyle w:val="2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直径（mm）</w:t>
            </w:r>
          </w:p>
        </w:tc>
        <w:tc>
          <w:tcPr>
            <w:tcW w:w="30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直径φ=16mm</w:t>
            </w:r>
          </w:p>
        </w:tc>
        <w:tc>
          <w:tcPr>
            <w:tcW w:w="3080"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破断拉力（kN）</w:t>
            </w:r>
          </w:p>
        </w:tc>
        <w:tc>
          <w:tcPr>
            <w:tcW w:w="30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S</w:t>
            </w:r>
            <w:r>
              <w:rPr>
                <w:rFonts w:hint="eastAsia" w:ascii="宋体" w:hAnsi="宋体" w:eastAsia="宋体" w:cs="宋体"/>
                <w:bCs/>
                <w:color w:val="000000" w:themeColor="text1"/>
                <w:vertAlign w:val="subscript"/>
                <w14:textFill>
                  <w14:solidFill>
                    <w14:schemeClr w14:val="tx1"/>
                  </w14:solidFill>
                </w14:textFill>
              </w:rPr>
              <w:t>p</w:t>
            </w:r>
            <w:r>
              <w:rPr>
                <w:rFonts w:hint="eastAsia" w:ascii="宋体" w:hAnsi="宋体" w:eastAsia="宋体" w:cs="宋体"/>
                <w:bCs/>
                <w:color w:val="000000" w:themeColor="text1"/>
                <w14:textFill>
                  <w14:solidFill>
                    <w14:schemeClr w14:val="tx1"/>
                  </w14:solidFill>
                </w14:textFill>
              </w:rPr>
              <w:t>=25</w:t>
            </w:r>
          </w:p>
        </w:tc>
        <w:tc>
          <w:tcPr>
            <w:tcW w:w="3080"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S</w:t>
            </w:r>
            <w:r>
              <w:rPr>
                <w:rFonts w:hint="eastAsia" w:ascii="宋体" w:hAnsi="宋体" w:eastAsia="宋体" w:cs="宋体"/>
                <w:bCs/>
                <w:color w:val="000000" w:themeColor="text1"/>
                <w:vertAlign w:val="subscript"/>
                <w14:textFill>
                  <w14:solidFill>
                    <w14:schemeClr w14:val="tx1"/>
                  </w14:solidFill>
                </w14:textFill>
              </w:rPr>
              <w:t>p</w:t>
            </w:r>
            <w:r>
              <w:rPr>
                <w:rFonts w:hint="eastAsia" w:ascii="宋体" w:hAnsi="宋体" w:eastAsia="宋体" w:cs="宋体"/>
                <w:bCs/>
                <w:color w:val="000000" w:themeColor="text1"/>
                <w14:textFill>
                  <w14:solidFill>
                    <w14:schemeClr w14:val="tx1"/>
                  </w14:solidFill>
                </w14:textFill>
              </w:rPr>
              <w:t>=56</w:t>
            </w:r>
          </w:p>
        </w:tc>
      </w:tr>
    </w:tbl>
    <w:p>
      <w:pPr>
        <w:spacing w:after="120"/>
        <w:ind w:firstLine="0" w:firstLineChars="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钢丝绳需用吊重：</w:t>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drawing>
          <wp:anchor distT="0" distB="0" distL="114935" distR="114935" simplePos="0" relativeHeight="251660288" behindDoc="0" locked="0" layoutInCell="1" allowOverlap="1">
            <wp:simplePos x="0" y="0"/>
            <wp:positionH relativeFrom="column">
              <wp:posOffset>1417320</wp:posOffset>
            </wp:positionH>
            <wp:positionV relativeFrom="paragraph">
              <wp:posOffset>1128395</wp:posOffset>
            </wp:positionV>
            <wp:extent cx="2715260" cy="3253740"/>
            <wp:effectExtent l="0" t="0" r="12700" b="7620"/>
            <wp:wrapTopAndBottom/>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88"/>
                    <a:stretch>
                      <a:fillRect/>
                    </a:stretch>
                  </pic:blipFill>
                  <pic:spPr>
                    <a:xfrm>
                      <a:off x="0" y="0"/>
                      <a:ext cx="2715260" cy="3253740"/>
                    </a:xfrm>
                    <a:prstGeom prst="rect">
                      <a:avLst/>
                    </a:prstGeom>
                    <a:noFill/>
                    <a:ln w="9525">
                      <a:noFill/>
                    </a:ln>
                  </pic:spPr>
                </pic:pic>
              </a:graphicData>
            </a:graphic>
          </wp:anchor>
        </w:drawing>
      </w:r>
      <w:r>
        <w:rPr>
          <w:rFonts w:hint="eastAsia" w:ascii="宋体" w:hAnsi="宋体" w:eastAsia="宋体" w:cs="宋体"/>
          <w:bCs/>
          <w:color w:val="000000" w:themeColor="text1"/>
          <w14:textFill>
            <w14:solidFill>
              <w14:schemeClr w14:val="tx1"/>
            </w14:solidFill>
          </w14:textFill>
        </w:rPr>
        <w:t>表11-4</w:t>
      </w:r>
    </w:p>
    <w:tbl>
      <w:tblPr>
        <w:tblStyle w:val="2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直径（mm）</w:t>
            </w:r>
          </w:p>
        </w:tc>
        <w:tc>
          <w:tcPr>
            <w:tcW w:w="30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直径φ=16mm</w:t>
            </w:r>
          </w:p>
        </w:tc>
        <w:tc>
          <w:tcPr>
            <w:tcW w:w="3080"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许用吊重（t）</w:t>
            </w:r>
          </w:p>
        </w:tc>
        <w:tc>
          <w:tcPr>
            <w:tcW w:w="3081"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m=2.5</w:t>
            </w:r>
          </w:p>
        </w:tc>
        <w:tc>
          <w:tcPr>
            <w:tcW w:w="3080"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m=5.6</w:t>
            </w:r>
          </w:p>
        </w:tc>
      </w:tr>
    </w:tbl>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图11-1</w:t>
      </w:r>
    </w:p>
    <w:p>
      <w:pPr>
        <w:spacing w:after="120"/>
        <w:ind w:firstLine="0" w:firstLineChars="0"/>
        <w:jc w:val="both"/>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不同直径、吊装水平夹角下的吊索许用吊重表</w:t>
      </w:r>
    </w:p>
    <w:p>
      <w:pPr>
        <w:spacing w:after="0" w:afterLines="0"/>
        <w:ind w:firstLine="48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表11-5</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78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直径（mm）</w:t>
            </w:r>
          </w:p>
        </w:tc>
        <w:tc>
          <w:tcPr>
            <w:tcW w:w="37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φ=16mm</w:t>
            </w:r>
          </w:p>
        </w:tc>
        <w:tc>
          <w:tcPr>
            <w:tcW w:w="309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吊装角度</w:t>
            </w:r>
          </w:p>
        </w:tc>
        <w:tc>
          <w:tcPr>
            <w:tcW w:w="6882" w:type="dxa"/>
            <w:gridSpan w:val="2"/>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许用吊重（t）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w:t>
            </w:r>
          </w:p>
        </w:tc>
        <w:tc>
          <w:tcPr>
            <w:tcW w:w="37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1.25</w:t>
            </w:r>
          </w:p>
        </w:tc>
        <w:tc>
          <w:tcPr>
            <w:tcW w:w="309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45°</w:t>
            </w:r>
          </w:p>
        </w:tc>
        <w:tc>
          <w:tcPr>
            <w:tcW w:w="37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1.768</w:t>
            </w:r>
          </w:p>
        </w:tc>
        <w:tc>
          <w:tcPr>
            <w:tcW w:w="309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60°</w:t>
            </w:r>
          </w:p>
        </w:tc>
        <w:tc>
          <w:tcPr>
            <w:tcW w:w="37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2.165</w:t>
            </w:r>
          </w:p>
        </w:tc>
        <w:tc>
          <w:tcPr>
            <w:tcW w:w="309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75°</w:t>
            </w:r>
          </w:p>
        </w:tc>
        <w:tc>
          <w:tcPr>
            <w:tcW w:w="37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2.415</w:t>
            </w:r>
          </w:p>
        </w:tc>
        <w:tc>
          <w:tcPr>
            <w:tcW w:w="309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90°</w:t>
            </w:r>
          </w:p>
        </w:tc>
        <w:tc>
          <w:tcPr>
            <w:tcW w:w="378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w:t>
            </w:r>
          </w:p>
        </w:tc>
        <w:tc>
          <w:tcPr>
            <w:tcW w:w="3096" w:type="dxa"/>
          </w:tcPr>
          <w:p>
            <w:pPr>
              <w:spacing w:after="0" w:afterLines="0" w:line="240" w:lineRule="auto"/>
              <w:ind w:firstLine="0" w:firstLineChars="0"/>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5.6</w:t>
            </w:r>
          </w:p>
        </w:tc>
      </w:tr>
      <w:bookmarkEnd w:id="495"/>
    </w:tbl>
    <w:p>
      <w:pPr>
        <w:keepNext/>
        <w:keepLines/>
        <w:spacing w:before="260" w:after="120" w:line="360" w:lineRule="auto"/>
        <w:ind w:firstLine="482"/>
        <w:jc w:val="both"/>
        <w:outlineLvl w:val="1"/>
        <w:rPr>
          <w:rFonts w:ascii="宋体" w:hAnsi="宋体" w:eastAsia="宋体" w:cs="宋体"/>
          <w:b/>
        </w:rPr>
      </w:pPr>
      <w:bookmarkStart w:id="496" w:name="_Toc4685"/>
      <w:bookmarkStart w:id="497" w:name="_Toc19094"/>
      <w:bookmarkStart w:id="498" w:name="_Toc21344"/>
      <w:bookmarkStart w:id="499" w:name="_Toc10409856"/>
      <w:r>
        <w:rPr>
          <w:rFonts w:hint="eastAsia" w:ascii="宋体" w:hAnsi="宋体" w:eastAsia="宋体" w:cs="宋体"/>
          <w:b/>
        </w:rPr>
        <w:t>附1安装单位资质及人员证件</w:t>
      </w:r>
      <w:bookmarkEnd w:id="496"/>
      <w:bookmarkEnd w:id="497"/>
      <w:bookmarkEnd w:id="498"/>
      <w:bookmarkEnd w:id="499"/>
    </w:p>
    <w:p>
      <w:pPr>
        <w:tabs>
          <w:tab w:val="right" w:leader="dot" w:pos="8890"/>
        </w:tabs>
        <w:spacing w:before="120" w:beforeLines="50" w:after="0" w:afterLines="0" w:line="360" w:lineRule="auto"/>
        <w:ind w:firstLine="0" w:firstLineChars="0"/>
        <w:jc w:val="center"/>
        <w:rPr>
          <w:rFonts w:ascii="宋体" w:hAnsi="宋体" w:eastAsia="宋体" w:cs="宋体"/>
        </w:rPr>
      </w:pPr>
      <w:r>
        <w:drawing>
          <wp:inline distT="0" distB="0" distL="114300" distR="114300">
            <wp:extent cx="5754370" cy="8138160"/>
            <wp:effectExtent l="0" t="0" r="17780" b="1524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89"/>
                    <a:stretch>
                      <a:fillRect/>
                    </a:stretch>
                  </pic:blipFill>
                  <pic:spPr>
                    <a:xfrm>
                      <a:off x="0" y="0"/>
                      <a:ext cx="5754370" cy="8138160"/>
                    </a:xfrm>
                    <a:prstGeom prst="rect">
                      <a:avLst/>
                    </a:prstGeom>
                    <a:noFill/>
                    <a:ln>
                      <a:noFill/>
                    </a:ln>
                  </pic:spPr>
                </pic:pic>
              </a:graphicData>
            </a:graphic>
          </wp:inline>
        </w:drawing>
      </w:r>
    </w:p>
    <w:p>
      <w:pPr>
        <w:tabs>
          <w:tab w:val="right" w:leader="dot" w:pos="8890"/>
        </w:tabs>
        <w:spacing w:before="120" w:beforeLines="50" w:after="0" w:afterLines="0" w:line="360" w:lineRule="auto"/>
        <w:ind w:firstLine="0" w:firstLineChars="0"/>
        <w:jc w:val="center"/>
        <w:rPr>
          <w:rFonts w:ascii="宋体" w:hAnsi="宋体" w:eastAsia="宋体" w:cs="宋体"/>
          <w:b/>
        </w:rPr>
      </w:pPr>
      <w:r>
        <w:rPr>
          <w:rFonts w:hint="eastAsia" w:ascii="宋体" w:hAnsi="宋体" w:eastAsia="宋体" w:cs="宋体"/>
        </w:rPr>
        <w:drawing>
          <wp:inline distT="0" distB="0" distL="114300" distR="114300">
            <wp:extent cx="8232140" cy="5824220"/>
            <wp:effectExtent l="0" t="0" r="12700" b="12700"/>
            <wp:docPr id="156" name="图片 156" descr="397f2c1aa1839595027178f79fdd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397f2c1aa1839595027178f79fdd3e6"/>
                    <pic:cNvPicPr>
                      <a:picLocks noChangeAspect="1"/>
                    </pic:cNvPicPr>
                  </pic:nvPicPr>
                  <pic:blipFill>
                    <a:blip r:embed="rId90"/>
                    <a:stretch>
                      <a:fillRect/>
                    </a:stretch>
                  </pic:blipFill>
                  <pic:spPr>
                    <a:xfrm rot="5400000">
                      <a:off x="0" y="0"/>
                      <a:ext cx="8232140" cy="5824220"/>
                    </a:xfrm>
                    <a:prstGeom prst="rect">
                      <a:avLst/>
                    </a:prstGeom>
                  </pic:spPr>
                </pic:pic>
              </a:graphicData>
            </a:graphic>
          </wp:inline>
        </w:drawing>
      </w:r>
    </w:p>
    <w:p>
      <w:pPr>
        <w:autoSpaceDE w:val="0"/>
        <w:autoSpaceDN w:val="0"/>
        <w:adjustRightInd w:val="0"/>
        <w:spacing w:after="120" w:line="360" w:lineRule="auto"/>
        <w:ind w:firstLine="482"/>
        <w:rPr>
          <w:rFonts w:ascii="宋体" w:hAnsi="宋体" w:eastAsia="宋体" w:cs="宋体"/>
          <w:b/>
          <w:kern w:val="0"/>
        </w:rPr>
      </w:pPr>
    </w:p>
    <w:p>
      <w:pPr>
        <w:spacing w:after="0" w:afterLines="0" w:line="360" w:lineRule="auto"/>
        <w:ind w:firstLine="0" w:firstLineChars="0"/>
        <w:jc w:val="center"/>
        <w:rPr>
          <w:rFonts w:ascii="宋体" w:hAnsi="宋体" w:eastAsia="宋体" w:cs="宋体"/>
        </w:rPr>
      </w:pPr>
    </w:p>
    <w:p>
      <w:pPr>
        <w:spacing w:after="0" w:afterLines="0" w:line="360" w:lineRule="auto"/>
        <w:ind w:firstLine="0" w:firstLineChars="0"/>
        <w:jc w:val="center"/>
        <w:rPr>
          <w:rFonts w:ascii="宋体" w:hAnsi="宋体" w:eastAsia="宋体" w:cs="宋体"/>
          <w:b/>
        </w:rPr>
      </w:pPr>
      <w:r>
        <w:rPr>
          <w:rFonts w:hint="eastAsia" w:ascii="宋体" w:hAnsi="宋体" w:eastAsia="宋体" w:cs="宋体"/>
        </w:rPr>
        <w:drawing>
          <wp:inline distT="0" distB="0" distL="114300" distR="114300">
            <wp:extent cx="4744085" cy="6809105"/>
            <wp:effectExtent l="0" t="0" r="10795" b="3175"/>
            <wp:docPr id="157" name="图片 7" descr="李玉成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 descr="李玉成Q1"/>
                    <pic:cNvPicPr>
                      <a:picLocks noChangeAspect="1"/>
                    </pic:cNvPicPr>
                  </pic:nvPicPr>
                  <pic:blipFill>
                    <a:blip r:embed="rId91"/>
                    <a:stretch>
                      <a:fillRect/>
                    </a:stretch>
                  </pic:blipFill>
                  <pic:spPr>
                    <a:xfrm>
                      <a:off x="0" y="0"/>
                      <a:ext cx="4744085" cy="6809105"/>
                    </a:xfrm>
                    <a:prstGeom prst="rect">
                      <a:avLst/>
                    </a:prstGeom>
                    <a:noFill/>
                    <a:ln w="9525">
                      <a:noFill/>
                    </a:ln>
                  </pic:spPr>
                </pic:pic>
              </a:graphicData>
            </a:graphic>
          </wp:inline>
        </w:drawing>
      </w:r>
    </w:p>
    <w:p>
      <w:pPr>
        <w:spacing w:after="0" w:afterLines="0" w:line="360" w:lineRule="auto"/>
        <w:ind w:firstLine="0" w:firstLineChars="0"/>
        <w:jc w:val="both"/>
        <w:rPr>
          <w:rFonts w:ascii="宋体" w:hAnsi="宋体" w:eastAsia="宋体" w:cs="宋体"/>
          <w:kern w:val="0"/>
          <w:lang w:bidi="ar"/>
        </w:rPr>
      </w:pPr>
    </w:p>
    <w:p>
      <w:pPr>
        <w:spacing w:after="0" w:afterLines="0" w:line="360" w:lineRule="auto"/>
        <w:ind w:firstLine="0" w:firstLineChars="0"/>
        <w:jc w:val="both"/>
        <w:rPr>
          <w:rFonts w:ascii="宋体" w:hAnsi="宋体" w:eastAsia="宋体" w:cs="宋体"/>
          <w:kern w:val="0"/>
          <w:lang w:bidi="ar"/>
        </w:rPr>
      </w:pPr>
    </w:p>
    <w:p>
      <w:pPr>
        <w:spacing w:after="0" w:afterLines="0" w:line="360" w:lineRule="auto"/>
        <w:ind w:firstLine="0" w:firstLineChars="0"/>
        <w:jc w:val="both"/>
        <w:rPr>
          <w:rFonts w:ascii="宋体" w:hAnsi="宋体" w:eastAsia="宋体" w:cs="宋体"/>
          <w:b/>
        </w:rPr>
      </w:pPr>
    </w:p>
    <w:p>
      <w:pPr>
        <w:spacing w:after="0" w:afterLines="0" w:line="360" w:lineRule="auto"/>
        <w:ind w:firstLine="0" w:firstLineChars="0"/>
        <w:jc w:val="both"/>
        <w:rPr>
          <w:rFonts w:ascii="宋体" w:hAnsi="宋体" w:eastAsia="宋体" w:cs="宋体"/>
          <w:b/>
        </w:rPr>
      </w:pPr>
    </w:p>
    <w:p>
      <w:pPr>
        <w:spacing w:after="0" w:afterLines="0" w:line="360" w:lineRule="auto"/>
        <w:ind w:firstLine="0" w:firstLineChars="0"/>
        <w:jc w:val="both"/>
        <w:rPr>
          <w:rFonts w:ascii="宋体" w:hAnsi="宋体" w:eastAsia="宋体" w:cs="宋体"/>
          <w:b/>
        </w:rPr>
      </w:pPr>
    </w:p>
    <w:p>
      <w:pPr>
        <w:widowControl/>
        <w:spacing w:after="0" w:afterLines="0" w:line="360" w:lineRule="auto"/>
        <w:ind w:firstLine="480" w:firstLineChars="0"/>
        <w:rPr>
          <w:rFonts w:ascii="宋体" w:hAnsi="宋体" w:eastAsia="宋体" w:cs="宋体"/>
        </w:rPr>
      </w:pPr>
    </w:p>
    <w:p>
      <w:pPr>
        <w:spacing w:after="0" w:afterLines="0" w:line="360" w:lineRule="auto"/>
        <w:ind w:firstLine="0" w:firstLineChars="0"/>
        <w:jc w:val="both"/>
        <w:rPr>
          <w:rFonts w:ascii="宋体" w:hAnsi="宋体" w:eastAsia="宋体" w:cs="宋体"/>
          <w:b/>
        </w:rPr>
      </w:pPr>
      <w:r>
        <w:rPr>
          <w:rFonts w:hint="eastAsia" w:ascii="宋体" w:hAnsi="宋体" w:eastAsia="宋体" w:cs="宋体"/>
          <w:b/>
        </w:rPr>
        <w:drawing>
          <wp:inline distT="0" distB="0" distL="114300" distR="114300">
            <wp:extent cx="5757545" cy="8127365"/>
            <wp:effectExtent l="0" t="0" r="3175" b="10795"/>
            <wp:docPr id="68" name="图片 68" descr="e9b03b47a3e7b99ad75b36f1209d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9b03b47a3e7b99ad75b36f1209d998"/>
                    <pic:cNvPicPr>
                      <a:picLocks noChangeAspect="1"/>
                    </pic:cNvPicPr>
                  </pic:nvPicPr>
                  <pic:blipFill>
                    <a:blip r:embed="rId92"/>
                    <a:stretch>
                      <a:fillRect/>
                    </a:stretch>
                  </pic:blipFill>
                  <pic:spPr>
                    <a:xfrm>
                      <a:off x="0" y="0"/>
                      <a:ext cx="5757545" cy="8127365"/>
                    </a:xfrm>
                    <a:prstGeom prst="rect">
                      <a:avLst/>
                    </a:prstGeom>
                  </pic:spPr>
                </pic:pic>
              </a:graphicData>
            </a:graphic>
          </wp:inline>
        </w:drawing>
      </w:r>
    </w:p>
    <w:p>
      <w:pPr>
        <w:spacing w:after="0" w:afterLines="0" w:line="360" w:lineRule="auto"/>
        <w:ind w:firstLine="0" w:firstLineChars="0"/>
        <w:jc w:val="both"/>
        <w:rPr>
          <w:rFonts w:ascii="宋体" w:hAnsi="宋体" w:eastAsia="宋体" w:cs="宋体"/>
          <w:b/>
        </w:rPr>
      </w:pPr>
    </w:p>
    <w:p>
      <w:pPr>
        <w:pStyle w:val="2"/>
      </w:pPr>
    </w:p>
    <w:p>
      <w:pPr>
        <w:spacing w:after="0" w:afterLines="0" w:line="360" w:lineRule="auto"/>
        <w:ind w:firstLine="0" w:firstLineChars="0"/>
        <w:jc w:val="both"/>
        <w:rPr>
          <w:rFonts w:ascii="宋体" w:hAnsi="宋体" w:eastAsia="宋体" w:cs="宋体"/>
          <w:b/>
        </w:rPr>
      </w:pPr>
      <w:r>
        <w:rPr>
          <w:rFonts w:hint="eastAsia" w:ascii="宋体" w:hAnsi="宋体" w:eastAsia="宋体" w:cs="宋体"/>
          <w:b/>
        </w:rPr>
        <w:drawing>
          <wp:inline distT="0" distB="0" distL="114300" distR="114300">
            <wp:extent cx="5757545" cy="8127365"/>
            <wp:effectExtent l="0" t="0" r="3175" b="10795"/>
            <wp:docPr id="69" name="图片 69" descr="52e0eb29b12230f93c89849f2e47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2e0eb29b12230f93c89849f2e4773b"/>
                    <pic:cNvPicPr>
                      <a:picLocks noChangeAspect="1"/>
                    </pic:cNvPicPr>
                  </pic:nvPicPr>
                  <pic:blipFill>
                    <a:blip r:embed="rId93"/>
                    <a:stretch>
                      <a:fillRect/>
                    </a:stretch>
                  </pic:blipFill>
                  <pic:spPr>
                    <a:xfrm>
                      <a:off x="0" y="0"/>
                      <a:ext cx="5757545" cy="8127365"/>
                    </a:xfrm>
                    <a:prstGeom prst="rect">
                      <a:avLst/>
                    </a:prstGeom>
                  </pic:spPr>
                </pic:pic>
              </a:graphicData>
            </a:graphic>
          </wp:inline>
        </w:drawing>
      </w:r>
      <w:r>
        <w:rPr>
          <w:rFonts w:hint="eastAsia" w:ascii="宋体" w:hAnsi="宋体" w:eastAsia="宋体" w:cs="宋体"/>
          <w:b/>
        </w:rPr>
        <w:drawing>
          <wp:inline distT="0" distB="0" distL="114300" distR="114300">
            <wp:extent cx="5757545" cy="8127365"/>
            <wp:effectExtent l="0" t="0" r="3175" b="10795"/>
            <wp:docPr id="70" name="图片 70" descr="b7defcf516f0bfd13e7a68bf4a5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b7defcf516f0bfd13e7a68bf4a59279"/>
                    <pic:cNvPicPr>
                      <a:picLocks noChangeAspect="1"/>
                    </pic:cNvPicPr>
                  </pic:nvPicPr>
                  <pic:blipFill>
                    <a:blip r:embed="rId94"/>
                    <a:stretch>
                      <a:fillRect/>
                    </a:stretch>
                  </pic:blipFill>
                  <pic:spPr>
                    <a:xfrm>
                      <a:off x="0" y="0"/>
                      <a:ext cx="5757545" cy="8127365"/>
                    </a:xfrm>
                    <a:prstGeom prst="rect">
                      <a:avLst/>
                    </a:prstGeom>
                  </pic:spPr>
                </pic:pic>
              </a:graphicData>
            </a:graphic>
          </wp:inline>
        </w:drawing>
      </w:r>
      <w:r>
        <w:rPr>
          <w:rFonts w:hint="eastAsia" w:ascii="宋体" w:hAnsi="宋体" w:eastAsia="宋体" w:cs="宋体"/>
          <w:b/>
        </w:rPr>
        <w:drawing>
          <wp:inline distT="0" distB="0" distL="114300" distR="114300">
            <wp:extent cx="5757545" cy="8127365"/>
            <wp:effectExtent l="0" t="0" r="3175" b="10795"/>
            <wp:docPr id="71" name="图片 71" descr="fd480a70461f85a6e8cf92f40eca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d480a70461f85a6e8cf92f40eca8b9"/>
                    <pic:cNvPicPr>
                      <a:picLocks noChangeAspect="1"/>
                    </pic:cNvPicPr>
                  </pic:nvPicPr>
                  <pic:blipFill>
                    <a:blip r:embed="rId95"/>
                    <a:stretch>
                      <a:fillRect/>
                    </a:stretch>
                  </pic:blipFill>
                  <pic:spPr>
                    <a:xfrm>
                      <a:off x="0" y="0"/>
                      <a:ext cx="5757545" cy="8127365"/>
                    </a:xfrm>
                    <a:prstGeom prst="rect">
                      <a:avLst/>
                    </a:prstGeom>
                  </pic:spPr>
                </pic:pic>
              </a:graphicData>
            </a:graphic>
          </wp:inline>
        </w:drawing>
      </w:r>
    </w:p>
    <w:p>
      <w:pPr>
        <w:widowControl/>
        <w:spacing w:after="0" w:afterLines="0" w:line="360" w:lineRule="auto"/>
        <w:ind w:firstLine="0" w:firstLineChars="0"/>
        <w:jc w:val="center"/>
        <w:rPr>
          <w:rFonts w:ascii="宋体" w:hAnsi="宋体" w:eastAsia="宋体" w:cs="宋体"/>
          <w:bCs/>
        </w:rPr>
      </w:pPr>
    </w:p>
    <w:p>
      <w:pPr>
        <w:widowControl/>
        <w:spacing w:after="0" w:afterLines="0" w:line="360" w:lineRule="auto"/>
        <w:ind w:firstLine="0" w:firstLineChars="0"/>
        <w:jc w:val="center"/>
        <w:rPr>
          <w:rFonts w:ascii="宋体" w:hAnsi="宋体" w:eastAsia="宋体" w:cs="宋体"/>
          <w:bCs/>
          <w:kern w:val="0"/>
          <w:lang w:bidi="ar"/>
        </w:rPr>
      </w:pPr>
      <w:r>
        <w:rPr>
          <w:rFonts w:hint="eastAsia" w:ascii="宋体" w:hAnsi="宋体" w:eastAsia="宋体" w:cs="宋体"/>
          <w:bCs/>
          <w:kern w:val="0"/>
        </w:rPr>
        <w:drawing>
          <wp:inline distT="0" distB="0" distL="114300" distR="114300">
            <wp:extent cx="5695950" cy="8086725"/>
            <wp:effectExtent l="0" t="0" r="3810" b="5715"/>
            <wp:docPr id="65" name="图片 65" descr="JYHUM]N4GA98J$1L9L8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JYHUM]N4GA98J$1L9L8V]UK"/>
                    <pic:cNvPicPr>
                      <a:picLocks noChangeAspect="1"/>
                    </pic:cNvPicPr>
                  </pic:nvPicPr>
                  <pic:blipFill>
                    <a:blip r:embed="rId96"/>
                    <a:stretch>
                      <a:fillRect/>
                    </a:stretch>
                  </pic:blipFill>
                  <pic:spPr>
                    <a:xfrm>
                      <a:off x="0" y="0"/>
                      <a:ext cx="5695950" cy="8086725"/>
                    </a:xfrm>
                    <a:prstGeom prst="rect">
                      <a:avLst/>
                    </a:prstGeom>
                  </pic:spPr>
                </pic:pic>
              </a:graphicData>
            </a:graphic>
          </wp:inline>
        </w:drawing>
      </w:r>
    </w:p>
    <w:p>
      <w:pPr>
        <w:autoSpaceDE w:val="0"/>
        <w:autoSpaceDN w:val="0"/>
        <w:adjustRightInd w:val="0"/>
        <w:spacing w:after="120" w:line="360" w:lineRule="auto"/>
        <w:ind w:firstLine="480"/>
        <w:rPr>
          <w:rFonts w:ascii="宋体" w:hAnsi="宋体" w:eastAsia="宋体" w:cs="宋体"/>
          <w:kern w:val="0"/>
        </w:rPr>
      </w:pPr>
    </w:p>
    <w:p>
      <w:pPr>
        <w:autoSpaceDE w:val="0"/>
        <w:autoSpaceDN w:val="0"/>
        <w:adjustRightInd w:val="0"/>
        <w:spacing w:after="120" w:line="360" w:lineRule="auto"/>
        <w:ind w:firstLine="480"/>
        <w:rPr>
          <w:rFonts w:ascii="宋体" w:hAnsi="宋体" w:eastAsia="宋体" w:cs="宋体"/>
          <w:kern w:val="0"/>
        </w:rPr>
      </w:pPr>
    </w:p>
    <w:p>
      <w:pPr>
        <w:spacing w:after="0" w:afterLines="0" w:line="360" w:lineRule="auto"/>
        <w:ind w:firstLine="480"/>
        <w:jc w:val="center"/>
        <w:rPr>
          <w:rFonts w:ascii="宋体" w:hAnsi="宋体" w:eastAsia="宋体" w:cs="宋体"/>
        </w:rPr>
      </w:pPr>
    </w:p>
    <w:p>
      <w:pPr>
        <w:keepNext/>
        <w:keepLines/>
        <w:spacing w:before="260" w:after="120" w:line="360" w:lineRule="auto"/>
        <w:ind w:firstLine="482"/>
        <w:jc w:val="both"/>
        <w:outlineLvl w:val="1"/>
        <w:rPr>
          <w:rFonts w:ascii="宋体" w:hAnsi="宋体" w:eastAsia="宋体" w:cs="宋体"/>
          <w:b/>
        </w:rPr>
      </w:pPr>
      <w:bookmarkStart w:id="500" w:name="_Toc12411"/>
      <w:bookmarkStart w:id="501" w:name="_Toc25359"/>
      <w:bookmarkStart w:id="502" w:name="_Toc7629"/>
      <w:r>
        <w:rPr>
          <w:rFonts w:hint="eastAsia" w:ascii="宋体" w:hAnsi="宋体" w:eastAsia="宋体" w:cs="宋体"/>
          <w:b/>
        </w:rPr>
        <w:t>附2 制造单位资质</w:t>
      </w:r>
      <w:bookmarkEnd w:id="500"/>
      <w:bookmarkEnd w:id="501"/>
      <w:bookmarkEnd w:id="502"/>
    </w:p>
    <w:p>
      <w:pPr>
        <w:tabs>
          <w:tab w:val="right" w:leader="dot" w:pos="8890"/>
        </w:tabs>
        <w:spacing w:before="120" w:beforeLines="50" w:after="0" w:afterLines="0" w:line="360" w:lineRule="auto"/>
        <w:ind w:firstLine="0" w:firstLineChars="0"/>
        <w:jc w:val="center"/>
        <w:rPr>
          <w:rFonts w:ascii="宋体" w:hAnsi="宋体" w:eastAsia="宋体" w:cs="宋体"/>
        </w:rPr>
      </w:pPr>
      <w:r>
        <w:rPr>
          <w:rFonts w:hint="eastAsia" w:ascii="宋体" w:hAnsi="宋体" w:eastAsia="宋体" w:cs="宋体"/>
        </w:rPr>
        <w:drawing>
          <wp:inline distT="0" distB="0" distL="114300" distR="114300">
            <wp:extent cx="5269865" cy="7248525"/>
            <wp:effectExtent l="0" t="0" r="3175" b="5715"/>
            <wp:docPr id="82" name="图片 82" descr="dd23fc21efd144e04c3e8bcd01d2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d23fc21efd144e04c3e8bcd01d22cf"/>
                    <pic:cNvPicPr>
                      <a:picLocks noChangeAspect="1"/>
                    </pic:cNvPicPr>
                  </pic:nvPicPr>
                  <pic:blipFill>
                    <a:blip r:embed="rId97"/>
                    <a:stretch>
                      <a:fillRect/>
                    </a:stretch>
                  </pic:blipFill>
                  <pic:spPr>
                    <a:xfrm>
                      <a:off x="0" y="0"/>
                      <a:ext cx="5269865" cy="7248525"/>
                    </a:xfrm>
                    <a:prstGeom prst="rect">
                      <a:avLst/>
                    </a:prstGeom>
                  </pic:spPr>
                </pic:pic>
              </a:graphicData>
            </a:graphic>
          </wp:inline>
        </w:drawing>
      </w:r>
    </w:p>
    <w:p>
      <w:pPr>
        <w:spacing w:after="0" w:afterLines="0" w:line="360" w:lineRule="auto"/>
        <w:ind w:firstLine="480"/>
        <w:jc w:val="center"/>
        <w:rPr>
          <w:rFonts w:ascii="宋体" w:hAnsi="宋体" w:eastAsia="宋体" w:cs="宋体"/>
        </w:rPr>
      </w:pPr>
    </w:p>
    <w:p>
      <w:pPr>
        <w:spacing w:after="120"/>
        <w:ind w:firstLine="480"/>
        <w:rPr>
          <w:rFonts w:ascii="宋体" w:hAnsi="宋体" w:eastAsia="宋体" w:cs="宋体"/>
          <w:bCs/>
          <w:color w:val="000000" w:themeColor="text1"/>
          <w14:textFill>
            <w14:solidFill>
              <w14:schemeClr w14:val="tx1"/>
            </w14:solidFill>
          </w14:textFill>
        </w:rPr>
      </w:pPr>
    </w:p>
    <w:sectPr>
      <w:headerReference r:id="rId13" w:type="default"/>
      <w:footerReference r:id="rId14" w:type="default"/>
      <w:pgSz w:w="11906" w:h="16838"/>
      <w:pgMar w:top="1417" w:right="1134" w:bottom="1417" w:left="1701" w:header="851" w:footer="850"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文鼎书宋简">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T Kaiti">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firstLine="0" w:firstLineChars="0"/>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spacing w:after="120"/>
                            <w:jc w:val="center"/>
                            <w:rPr>
                              <w:rFonts w:ascii="Times New Roman" w:hAnsi="Times New Roman" w:cs="Times New Roman" w:eastAsiaTheme="minorEastAsia"/>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4"/>
                      <w:spacing w:after="120"/>
                      <w:jc w:val="center"/>
                      <w:rPr>
                        <w:rFonts w:ascii="Times New Roman" w:hAnsi="Times New Roman" w:cs="Times New Roman" w:eastAsiaTheme="minorEastAsia"/>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afterLines="0" w:line="193" w:lineRule="auto"/>
      <w:ind w:firstLine="340"/>
      <w:jc w:val="both"/>
      <w:rPr>
        <w:rFonts w:ascii="Times New Roman" w:hAnsi="Times New Roman" w:eastAsia="Times New Roman" w:cs="Times New Roman"/>
        <w:sz w:val="17"/>
        <w:szCs w:val="17"/>
      </w:rPr>
    </w:pPr>
    <w:r>
      <w:rPr>
        <w:rFonts w:ascii="宋体" w:hAnsi="宋体" w:eastAsia="宋体" w:cs="Times New Roman"/>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after="120" w:line="360" w:lineRule="auto"/>
                            <w:ind w:firstLine="360"/>
                            <w:rPr>
                              <w:rFonts w:ascii="宋体" w:hAnsi="宋体" w:eastAsia="宋体" w:cs="Times New Roman"/>
                              <w:sz w:val="18"/>
                              <w:szCs w:val="18"/>
                            </w:rPr>
                          </w:pPr>
                          <w:r>
                            <w:rPr>
                              <w:rFonts w:ascii="宋体" w:hAnsi="宋体" w:eastAsia="宋体" w:cs="Times New Roman"/>
                              <w:sz w:val="18"/>
                              <w:szCs w:val="18"/>
                            </w:rPr>
                            <w:fldChar w:fldCharType="begin"/>
                          </w:r>
                          <w:r>
                            <w:rPr>
                              <w:rFonts w:ascii="宋体" w:hAnsi="宋体" w:eastAsia="宋体" w:cs="Times New Roman"/>
                              <w:sz w:val="18"/>
                              <w:szCs w:val="18"/>
                            </w:rPr>
                            <w:instrText xml:space="preserve"> PAGE  \* MERGEFORMAT </w:instrText>
                          </w:r>
                          <w:r>
                            <w:rPr>
                              <w:rFonts w:ascii="宋体" w:hAnsi="宋体" w:eastAsia="宋体" w:cs="Times New Roman"/>
                              <w:sz w:val="18"/>
                              <w:szCs w:val="18"/>
                            </w:rPr>
                            <w:fldChar w:fldCharType="separate"/>
                          </w:r>
                          <w:r>
                            <w:rPr>
                              <w:rFonts w:ascii="宋体" w:hAnsi="宋体" w:eastAsia="宋体" w:cs="Times New Roman"/>
                              <w:sz w:val="18"/>
                              <w:szCs w:val="18"/>
                            </w:rPr>
                            <w:t>47</w:t>
                          </w:r>
                          <w:r>
                            <w:rPr>
                              <w:rFonts w:ascii="宋体" w:hAnsi="宋体"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Q46UzAgAAZw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pQ46UzAgAAZwQAAA4AAAAAAAAAAQAgAAAAHwEAAGRycy9lMm9Eb2MueG1sUEsF&#10;BgAAAAAGAAYAWQEAAMQFAAAAAA==&#10;">
              <v:fill on="f" focussize="0,0"/>
              <v:stroke on="f" weight="0.5pt"/>
              <v:imagedata o:title=""/>
              <o:lock v:ext="edit" aspectratio="f"/>
              <v:textbox inset="0mm,0mm,0mm,0mm" style="mso-fit-shape-to-text:t;">
                <w:txbxContent>
                  <w:p>
                    <w:pPr>
                      <w:snapToGrid w:val="0"/>
                      <w:spacing w:after="120" w:line="360" w:lineRule="auto"/>
                      <w:ind w:firstLine="360"/>
                      <w:rPr>
                        <w:rFonts w:ascii="宋体" w:hAnsi="宋体" w:eastAsia="宋体" w:cs="Times New Roman"/>
                        <w:sz w:val="18"/>
                        <w:szCs w:val="18"/>
                      </w:rPr>
                    </w:pPr>
                    <w:r>
                      <w:rPr>
                        <w:rFonts w:ascii="宋体" w:hAnsi="宋体" w:eastAsia="宋体" w:cs="Times New Roman"/>
                        <w:sz w:val="18"/>
                        <w:szCs w:val="18"/>
                      </w:rPr>
                      <w:fldChar w:fldCharType="begin"/>
                    </w:r>
                    <w:r>
                      <w:rPr>
                        <w:rFonts w:ascii="宋体" w:hAnsi="宋体" w:eastAsia="宋体" w:cs="Times New Roman"/>
                        <w:sz w:val="18"/>
                        <w:szCs w:val="18"/>
                      </w:rPr>
                      <w:instrText xml:space="preserve"> PAGE  \* MERGEFORMAT </w:instrText>
                    </w:r>
                    <w:r>
                      <w:rPr>
                        <w:rFonts w:ascii="宋体" w:hAnsi="宋体" w:eastAsia="宋体" w:cs="Times New Roman"/>
                        <w:sz w:val="18"/>
                        <w:szCs w:val="18"/>
                      </w:rPr>
                      <w:fldChar w:fldCharType="separate"/>
                    </w:r>
                    <w:r>
                      <w:rPr>
                        <w:rFonts w:ascii="宋体" w:hAnsi="宋体" w:eastAsia="宋体" w:cs="Times New Roman"/>
                        <w:sz w:val="18"/>
                        <w:szCs w:val="18"/>
                      </w:rPr>
                      <w:t>47</w:t>
                    </w:r>
                    <w:r>
                      <w:rPr>
                        <w:rFonts w:ascii="宋体" w:hAnsi="宋体" w:eastAsia="宋体" w:cs="Times New Roman"/>
                        <w:sz w:val="18"/>
                        <w:szCs w:val="18"/>
                      </w:rPr>
                      <w:fldChar w:fldCharType="end"/>
                    </w:r>
                  </w:p>
                </w:txbxContent>
              </v:textbox>
            </v:shape>
          </w:pict>
        </mc:Fallback>
      </mc:AlternateContent>
    </w:r>
    <w:r>
      <w:rPr>
        <w:rFonts w:ascii="Times New Roman" w:hAnsi="Times New Roman" w:eastAsia="Times New Roman" w:cs="Times New Roman"/>
        <w:spacing w:val="3"/>
        <w:sz w:val="17"/>
        <w:szCs w:val="17"/>
      </w:rPr>
      <w:t xml:space="preserve">- 55 </w:t>
    </w:r>
    <w:r>
      <w:rPr>
        <w:rFonts w:ascii="Times New Roman" w:hAnsi="Times New Roman" w:eastAsia="Times New Roman" w:cs="Times New Roman"/>
        <w:spacing w:val="2"/>
        <w:sz w:val="17"/>
        <w:szCs w:val="17"/>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afterLines="0" w:line="196" w:lineRule="auto"/>
      <w:ind w:firstLine="340"/>
      <w:jc w:val="both"/>
      <w:rPr>
        <w:rFonts w:ascii="Times New Roman" w:hAnsi="Times New Roman" w:eastAsia="Times New Roman" w:cs="Times New Roman"/>
        <w:sz w:val="17"/>
        <w:szCs w:val="17"/>
      </w:rPr>
    </w:pPr>
    <w:r>
      <w:rPr>
        <w:rFonts w:ascii="宋体" w:hAnsi="宋体" w:eastAsia="宋体" w:cs="Times New Roman"/>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after="120" w:line="360" w:lineRule="auto"/>
                            <w:ind w:firstLine="360"/>
                            <w:rPr>
                              <w:rFonts w:ascii="宋体" w:hAnsi="宋体" w:eastAsia="宋体" w:cs="Times New Roman"/>
                              <w:sz w:val="18"/>
                              <w:szCs w:val="18"/>
                            </w:rPr>
                          </w:pPr>
                          <w:r>
                            <w:rPr>
                              <w:rFonts w:ascii="宋体" w:hAnsi="宋体" w:eastAsia="宋体" w:cs="Times New Roman"/>
                              <w:sz w:val="18"/>
                              <w:szCs w:val="18"/>
                            </w:rPr>
                            <w:fldChar w:fldCharType="begin"/>
                          </w:r>
                          <w:r>
                            <w:rPr>
                              <w:rFonts w:ascii="宋体" w:hAnsi="宋体" w:eastAsia="宋体" w:cs="Times New Roman"/>
                              <w:sz w:val="18"/>
                              <w:szCs w:val="18"/>
                            </w:rPr>
                            <w:instrText xml:space="preserve"> PAGE  \* MERGEFORMAT </w:instrText>
                          </w:r>
                          <w:r>
                            <w:rPr>
                              <w:rFonts w:ascii="宋体" w:hAnsi="宋体" w:eastAsia="宋体" w:cs="Times New Roman"/>
                              <w:sz w:val="18"/>
                              <w:szCs w:val="18"/>
                            </w:rPr>
                            <w:fldChar w:fldCharType="separate"/>
                          </w:r>
                          <w:r>
                            <w:rPr>
                              <w:rFonts w:ascii="宋体" w:hAnsi="宋体" w:eastAsia="宋体" w:cs="Times New Roman"/>
                              <w:sz w:val="18"/>
                              <w:szCs w:val="18"/>
                            </w:rPr>
                            <w:t>62</w:t>
                          </w:r>
                          <w:r>
                            <w:rPr>
                              <w:rFonts w:ascii="宋体" w:hAnsi="宋体"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bz7szAgAAZ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OoYK9I89DCRUld6tEK7&#10;a3ueO1OcQNOZbla85ZsapWyZD/fMYThQPp5PuMNSSoOUprcoqYz7+q/zGI+ewUtJg2HLqcbbokR+&#10;0OglAMNguMHYDYY+qFuD6UV3UEsyccEFOZilM+oL3tQq5oCLaY5MOQ2DeRu6gceb5GK1SkGYPsvC&#10;Vj9YHqGjPN6uDgFyJpWjKJ0S6E7cYP5Sn/q3Egf8z32Kevo/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obz7szAgAAZwQAAA4AAAAAAAAAAQAgAAAAHwEAAGRycy9lMm9Eb2MueG1sUEsF&#10;BgAAAAAGAAYAWQEAAMQFAAAAAA==&#10;">
              <v:fill on="f" focussize="0,0"/>
              <v:stroke on="f" weight="0.5pt"/>
              <v:imagedata o:title=""/>
              <o:lock v:ext="edit" aspectratio="f"/>
              <v:textbox inset="0mm,0mm,0mm,0mm" style="mso-fit-shape-to-text:t;">
                <w:txbxContent>
                  <w:p>
                    <w:pPr>
                      <w:snapToGrid w:val="0"/>
                      <w:spacing w:after="120" w:line="360" w:lineRule="auto"/>
                      <w:ind w:firstLine="360"/>
                      <w:rPr>
                        <w:rFonts w:ascii="宋体" w:hAnsi="宋体" w:eastAsia="宋体" w:cs="Times New Roman"/>
                        <w:sz w:val="18"/>
                        <w:szCs w:val="18"/>
                      </w:rPr>
                    </w:pPr>
                    <w:r>
                      <w:rPr>
                        <w:rFonts w:ascii="宋体" w:hAnsi="宋体" w:eastAsia="宋体" w:cs="Times New Roman"/>
                        <w:sz w:val="18"/>
                        <w:szCs w:val="18"/>
                      </w:rPr>
                      <w:fldChar w:fldCharType="begin"/>
                    </w:r>
                    <w:r>
                      <w:rPr>
                        <w:rFonts w:ascii="宋体" w:hAnsi="宋体" w:eastAsia="宋体" w:cs="Times New Roman"/>
                        <w:sz w:val="18"/>
                        <w:szCs w:val="18"/>
                      </w:rPr>
                      <w:instrText xml:space="preserve"> PAGE  \* MERGEFORMAT </w:instrText>
                    </w:r>
                    <w:r>
                      <w:rPr>
                        <w:rFonts w:ascii="宋体" w:hAnsi="宋体" w:eastAsia="宋体" w:cs="Times New Roman"/>
                        <w:sz w:val="18"/>
                        <w:szCs w:val="18"/>
                      </w:rPr>
                      <w:fldChar w:fldCharType="separate"/>
                    </w:r>
                    <w:r>
                      <w:rPr>
                        <w:rFonts w:ascii="宋体" w:hAnsi="宋体" w:eastAsia="宋体" w:cs="Times New Roman"/>
                        <w:sz w:val="18"/>
                        <w:szCs w:val="18"/>
                      </w:rPr>
                      <w:t>62</w:t>
                    </w:r>
                    <w:r>
                      <w:rPr>
                        <w:rFonts w:ascii="宋体" w:hAnsi="宋体" w:eastAsia="宋体" w:cs="Times New Roman"/>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afterLines="0" w:line="196" w:lineRule="auto"/>
      <w:ind w:firstLine="340"/>
      <w:jc w:val="both"/>
      <w:rPr>
        <w:rFonts w:ascii="Times New Roman" w:hAnsi="Times New Roman" w:eastAsia="Times New Roman" w:cs="Times New Roman"/>
        <w:sz w:val="17"/>
        <w:szCs w:val="17"/>
      </w:rPr>
    </w:pPr>
    <w:r>
      <w:rPr>
        <w:rFonts w:ascii="宋体" w:hAnsi="宋体" w:eastAsia="宋体" w:cs="Times New Roman"/>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after="120" w:line="360" w:lineRule="auto"/>
                            <w:ind w:firstLine="360"/>
                            <w:rPr>
                              <w:rFonts w:ascii="宋体" w:hAnsi="宋体" w:eastAsia="宋体" w:cs="Times New Roman"/>
                              <w:sz w:val="18"/>
                              <w:szCs w:val="18"/>
                            </w:rPr>
                          </w:pPr>
                          <w:r>
                            <w:rPr>
                              <w:rFonts w:ascii="宋体" w:hAnsi="宋体" w:eastAsia="宋体" w:cs="Times New Roman"/>
                              <w:sz w:val="18"/>
                              <w:szCs w:val="18"/>
                            </w:rPr>
                            <w:fldChar w:fldCharType="begin"/>
                          </w:r>
                          <w:r>
                            <w:rPr>
                              <w:rFonts w:ascii="宋体" w:hAnsi="宋体" w:eastAsia="宋体" w:cs="Times New Roman"/>
                              <w:sz w:val="18"/>
                              <w:szCs w:val="18"/>
                            </w:rPr>
                            <w:instrText xml:space="preserve"> PAGE  \* MERGEFORMAT </w:instrText>
                          </w:r>
                          <w:r>
                            <w:rPr>
                              <w:rFonts w:ascii="宋体" w:hAnsi="宋体" w:eastAsia="宋体" w:cs="Times New Roman"/>
                              <w:sz w:val="18"/>
                              <w:szCs w:val="18"/>
                            </w:rPr>
                            <w:fldChar w:fldCharType="separate"/>
                          </w:r>
                          <w:r>
                            <w:rPr>
                              <w:rFonts w:ascii="宋体" w:hAnsi="宋体" w:eastAsia="宋体" w:cs="Times New Roman"/>
                              <w:sz w:val="18"/>
                              <w:szCs w:val="18"/>
                            </w:rPr>
                            <w:t>82</w:t>
                          </w:r>
                          <w:r>
                            <w:rPr>
                              <w:rFonts w:ascii="宋体" w:hAnsi="宋体"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OrUyAgAAZ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9w6tTICAABlBAAADgAAAAAAAAABACAAAAAfAQAAZHJzL2Uyb0RvYy54bWxQSwUG&#10;AAAAAAYABgBZAQAAwwUAAAAA&#10;">
              <v:fill on="f" focussize="0,0"/>
              <v:stroke on="f" weight="0.5pt"/>
              <v:imagedata o:title=""/>
              <o:lock v:ext="edit" aspectratio="f"/>
              <v:textbox inset="0mm,0mm,0mm,0mm" style="mso-fit-shape-to-text:t;">
                <w:txbxContent>
                  <w:p>
                    <w:pPr>
                      <w:snapToGrid w:val="0"/>
                      <w:spacing w:after="120" w:line="360" w:lineRule="auto"/>
                      <w:ind w:firstLine="360"/>
                      <w:rPr>
                        <w:rFonts w:ascii="宋体" w:hAnsi="宋体" w:eastAsia="宋体" w:cs="Times New Roman"/>
                        <w:sz w:val="18"/>
                        <w:szCs w:val="18"/>
                      </w:rPr>
                    </w:pPr>
                    <w:r>
                      <w:rPr>
                        <w:rFonts w:ascii="宋体" w:hAnsi="宋体" w:eastAsia="宋体" w:cs="Times New Roman"/>
                        <w:sz w:val="18"/>
                        <w:szCs w:val="18"/>
                      </w:rPr>
                      <w:fldChar w:fldCharType="begin"/>
                    </w:r>
                    <w:r>
                      <w:rPr>
                        <w:rFonts w:ascii="宋体" w:hAnsi="宋体" w:eastAsia="宋体" w:cs="Times New Roman"/>
                        <w:sz w:val="18"/>
                        <w:szCs w:val="18"/>
                      </w:rPr>
                      <w:instrText xml:space="preserve"> PAGE  \* MERGEFORMAT </w:instrText>
                    </w:r>
                    <w:r>
                      <w:rPr>
                        <w:rFonts w:ascii="宋体" w:hAnsi="宋体" w:eastAsia="宋体" w:cs="Times New Roman"/>
                        <w:sz w:val="18"/>
                        <w:szCs w:val="18"/>
                      </w:rPr>
                      <w:fldChar w:fldCharType="separate"/>
                    </w:r>
                    <w:r>
                      <w:rPr>
                        <w:rFonts w:ascii="宋体" w:hAnsi="宋体" w:eastAsia="宋体" w:cs="Times New Roman"/>
                        <w:sz w:val="18"/>
                        <w:szCs w:val="18"/>
                      </w:rPr>
                      <w:t>82</w:t>
                    </w:r>
                    <w:r>
                      <w:rPr>
                        <w:rFonts w:ascii="宋体" w:hAnsi="宋体" w:eastAsia="宋体" w:cs="Times New Roman"/>
                        <w:sz w:val="18"/>
                        <w:szCs w:val="18"/>
                      </w:rPr>
                      <w:fldChar w:fldCharType="end"/>
                    </w:r>
                  </w:p>
                </w:txbxContent>
              </v:textbox>
            </v:shape>
          </w:pict>
        </mc:Fallback>
      </mc:AlternateContent>
    </w:r>
    <w:r>
      <w:rPr>
        <w:rFonts w:ascii="Times New Roman" w:hAnsi="Times New Roman" w:eastAsia="Times New Roman" w:cs="Times New Roman"/>
        <w:spacing w:val="3"/>
        <w:sz w:val="17"/>
        <w:szCs w:val="17"/>
      </w:rPr>
      <w:t xml:space="preserve">- 68 </w:t>
    </w:r>
    <w:r>
      <w:rPr>
        <w:rFonts w:ascii="Times New Roman" w:hAnsi="Times New Roman" w:eastAsia="Times New Roman" w:cs="Times New Roman"/>
        <w:spacing w:val="2"/>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ind w:firstLine="360"/>
    </w:pPr>
    <w:r>
      <mc:AlternateContent>
        <mc:Choice Requires="wps">
          <w:drawing>
            <wp:anchor distT="0" distB="0" distL="114300" distR="114300" simplePos="0" relativeHeight="251661312" behindDoc="0" locked="0" layoutInCell="1" allowOverlap="1">
              <wp:simplePos x="0" y="0"/>
              <wp:positionH relativeFrom="margin">
                <wp:posOffset>2707640</wp:posOffset>
              </wp:positionH>
              <wp:positionV relativeFrom="paragraph">
                <wp:posOffset>1270</wp:posOffset>
              </wp:positionV>
              <wp:extent cx="588010" cy="1828800"/>
              <wp:effectExtent l="0" t="0" r="3175" b="11430"/>
              <wp:wrapNone/>
              <wp:docPr id="43" name="文本框 43"/>
              <wp:cNvGraphicFramePr/>
              <a:graphic xmlns:a="http://schemas.openxmlformats.org/drawingml/2006/main">
                <a:graphicData uri="http://schemas.microsoft.com/office/word/2010/wordprocessingShape">
                  <wps:wsp>
                    <wps:cNvSpPr txBox="1"/>
                    <wps:spPr>
                      <a:xfrm>
                        <a:off x="0" y="0"/>
                        <a:ext cx="58782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spacing w:after="120"/>
                            <w:ind w:firstLine="0" w:firstLineChars="0"/>
                            <w:rPr>
                              <w:rFonts w:ascii="Times New Roman" w:hAnsi="Times New Roman" w:cs="Times New Roman" w:eastAsiaTheme="minorEastAsia"/>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100</w:t>
                          </w:r>
                          <w:r>
                            <w:rPr>
                              <w:rFonts w:ascii="Times New Roman" w:hAnsi="Times New Roman" w:cs="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3.2pt;margin-top:0.1pt;height:144pt;width:46.3pt;mso-position-horizontal-relative:margin;z-index:251661312;mso-width-relative:page;mso-height-relative:page;" filled="f" stroked="f" coordsize="21600,21600" o:gfxdata="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FSBzXAAAACAEAAA8AAAAAAAAAAQAgAAAAIgAAAGRycy9kb3ducmV2Lnht&#10;bFBLAQIUABQAAAAIAIdO4kBpAeqhMwIAAFgEAAAOAAAAAAAAAAEAIAAAACYBAABkcnMvZTJvRG9j&#10;LnhtbFBLBQYAAAAABgAGAFkBAADLBQAAAAA=&#10;">
              <v:fill on="f" focussize="0,0"/>
              <v:stroke on="f" weight="0.5pt"/>
              <v:imagedata o:title=""/>
              <o:lock v:ext="edit" aspectratio="f"/>
              <v:textbox inset="0mm,0mm,0mm,0mm" style="mso-fit-shape-to-text:t;">
                <w:txbxContent>
                  <w:p>
                    <w:pPr>
                      <w:pStyle w:val="14"/>
                      <w:spacing w:after="120"/>
                      <w:ind w:firstLine="0" w:firstLineChars="0"/>
                      <w:rPr>
                        <w:rFonts w:ascii="Times New Roman" w:hAnsi="Times New Roman" w:cs="Times New Roman" w:eastAsiaTheme="minorEastAsia"/>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100</w:t>
                    </w:r>
                    <w:r>
                      <w:rPr>
                        <w:rFonts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ind w:left="480" w:firstLine="0" w:firstLineChars="0"/>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0"/>
      </w:pBdr>
      <w:snapToGrid w:val="0"/>
      <w:spacing w:after="120" w:line="360" w:lineRule="auto"/>
      <w:ind w:firstLine="270" w:firstLineChars="150"/>
      <w:rPr>
        <w:rFonts w:ascii="宋体" w:hAnsi="宋体" w:eastAsia="宋体" w:cs="Times New Roman"/>
        <w:sz w:val="18"/>
        <w:szCs w:val="18"/>
      </w:rPr>
    </w:pPr>
    <w:r>
      <w:rPr>
        <w:rFonts w:ascii="宋体" w:hAnsi="宋体" w:eastAsia="宋体" w:cs="Times New Roman"/>
        <w:bCs/>
        <w:sz w:val="18"/>
        <w:szCs w:val="18"/>
      </w:rPr>
      <w:t xml:space="preserve">    </w:t>
    </w:r>
    <w:r>
      <w:rPr>
        <w:rFonts w:hint="eastAsia" w:ascii="宋体" w:hAnsi="宋体" w:eastAsia="宋体" w:cs="Times New Roman"/>
        <w:bCs/>
        <w:sz w:val="18"/>
        <w:szCs w:val="18"/>
      </w:rPr>
      <w:t xml:space="preserve"> </w:t>
    </w:r>
    <w:r>
      <w:rPr>
        <w:rFonts w:ascii="宋体" w:hAnsi="宋体" w:eastAsia="宋体" w:cs="Times New Roman"/>
        <w:bCs/>
        <w:sz w:val="18"/>
        <w:szCs w:val="18"/>
      </w:rPr>
      <w:t xml:space="preserve">                                                                                                </w:t>
    </w:r>
    <w:r>
      <w:rPr>
        <w:rFonts w:hint="eastAsia" w:ascii="宋体" w:hAnsi="宋体" w:eastAsia="宋体" w:cs="Times New Roman"/>
        <w:bCs/>
        <w:sz w:val="18"/>
        <w:szCs w:val="18"/>
      </w:rPr>
      <w:t xml:space="preserve">                   </w:t>
    </w:r>
    <w:r>
      <w:rPr>
        <w:rFonts w:ascii="宋体" w:hAnsi="宋体" w:eastAsia="宋体" w:cs="Times New Roman"/>
        <w:bCs/>
        <w:sz w:val="18"/>
        <w:szCs w:val="18"/>
      </w:rPr>
      <w:t xml:space="preserve"> </w:t>
    </w:r>
    <w:r>
      <w:rPr>
        <w:rFonts w:hint="eastAsia" w:ascii="宋体" w:hAnsi="宋体" w:eastAsia="宋体" w:cs="Times New Roman"/>
        <w:bCs/>
      </w:rPr>
      <w:t>塔吊安装安全专项施工方案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72" w:after="0" w:afterLines="0" w:line="228" w:lineRule="auto"/>
      <w:ind w:firstLine="480"/>
      <w:jc w:val="both"/>
      <w:rPr>
        <w:rFonts w:ascii="宋体" w:hAnsi="宋体" w:eastAsia="宋体" w:cs="宋体"/>
        <w:sz w:val="20"/>
        <w:szCs w:val="20"/>
      </w:rPr>
    </w:pPr>
    <w:r>
      <w:rPr>
        <w:rFonts w:ascii="宋体" w:hAnsi="宋体" w:eastAsia="宋体" w:cs="Times New Roman"/>
        <w:bCs/>
      </w:rPr>
      <w:t xml:space="preserve"> </w:t>
    </w:r>
    <w:r>
      <w:rPr>
        <w:rFonts w:hint="eastAsia" w:ascii="宋体" w:hAnsi="宋体" w:eastAsia="宋体" w:cs="Times New Roman"/>
        <w:bCs/>
      </w:rPr>
      <w:t xml:space="preserve">                                               塔吊安装安全专项施工方案</w:t>
    </w:r>
    <w:r>
      <w:rPr>
        <w:rFonts w:ascii="宋体" w:hAnsi="宋体" w:eastAsia="宋体" w:cs="Times New Roman"/>
      </w:rPr>
      <mc:AlternateContent>
        <mc:Choice Requires="wps">
          <w:drawing>
            <wp:anchor distT="0" distB="0" distL="114300" distR="114300" simplePos="0" relativeHeight="251663360" behindDoc="0" locked="0" layoutInCell="0" allowOverlap="1">
              <wp:simplePos x="0" y="0"/>
              <wp:positionH relativeFrom="page">
                <wp:posOffset>899795</wp:posOffset>
              </wp:positionH>
              <wp:positionV relativeFrom="page">
                <wp:posOffset>778510</wp:posOffset>
              </wp:positionV>
              <wp:extent cx="5761355" cy="6350"/>
              <wp:effectExtent l="0" t="0" r="0" b="0"/>
              <wp:wrapNone/>
              <wp:docPr id="150" name="任意多边形 150"/>
              <wp:cNvGraphicFramePr/>
              <a:graphic xmlns:a="http://schemas.openxmlformats.org/drawingml/2006/main">
                <a:graphicData uri="http://schemas.microsoft.com/office/word/2010/wordprocessingShape">
                  <wps:wsp>
                    <wps:cNvSpPr/>
                    <wps:spPr>
                      <a:xfrm>
                        <a:off x="0" y="0"/>
                        <a:ext cx="5761355" cy="6350"/>
                      </a:xfrm>
                      <a:custGeom>
                        <a:avLst/>
                        <a:gdLst/>
                        <a:ahLst/>
                        <a:cxnLst/>
                        <a:rect l="0" t="0" r="0" b="0"/>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61.3pt;height:0.5pt;width:453.65pt;mso-position-horizontal-relative:page;mso-position-vertical-relative:page;z-index:251663360;mso-width-relative:page;mso-height-relative:page;" fillcolor="#000000" filled="t" stroked="f" coordsize="9072,10" o:allowincell="f" o:gfxdata="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gNoV2QAAAAwBAAAPAAAA&#10;AAAAAAEAIAAAACIAAABkcnMvZG93bnJldi54bWxQSwECFAAUAAAACACHTuJAw7TffBQCAACeBAAA&#10;DgAAAAAAAAABACAAAAAoAQAAZHJzL2Uyb0RvYy54bWxQSwUGAAAAAAYABgBZAQAArgUAAAAA&#10;" path="m0,0l9072,0,9072,9,0,9,0,0xe">
              <v:fill on="t" focussize="0,0"/>
              <v:stroke on="f"/>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72" w:after="0" w:afterLines="0" w:line="228" w:lineRule="auto"/>
      <w:ind w:firstLine="480"/>
      <w:jc w:val="both"/>
      <w:rPr>
        <w:rFonts w:ascii="宋体" w:hAnsi="宋体" w:eastAsia="宋体" w:cs="宋体"/>
        <w:sz w:val="20"/>
        <w:szCs w:val="20"/>
      </w:rPr>
    </w:pPr>
    <w:r>
      <w:rPr>
        <w:rFonts w:ascii="宋体" w:hAnsi="宋体" w:eastAsia="宋体" w:cs="Times New Roman"/>
      </w:rPr>
      <mc:AlternateContent>
        <mc:Choice Requires="wps">
          <w:drawing>
            <wp:anchor distT="0" distB="0" distL="114300" distR="114300" simplePos="0" relativeHeight="251666432" behindDoc="0" locked="0" layoutInCell="0" allowOverlap="1">
              <wp:simplePos x="0" y="0"/>
              <wp:positionH relativeFrom="page">
                <wp:posOffset>899795</wp:posOffset>
              </wp:positionH>
              <wp:positionV relativeFrom="page">
                <wp:posOffset>778510</wp:posOffset>
              </wp:positionV>
              <wp:extent cx="5761355" cy="6350"/>
              <wp:effectExtent l="0" t="0" r="0" b="0"/>
              <wp:wrapNone/>
              <wp:docPr id="154" name="任意多边形 154"/>
              <wp:cNvGraphicFramePr/>
              <a:graphic xmlns:a="http://schemas.openxmlformats.org/drawingml/2006/main">
                <a:graphicData uri="http://schemas.microsoft.com/office/word/2010/wordprocessingShape">
                  <wps:wsp>
                    <wps:cNvSpPr/>
                    <wps:spPr>
                      <a:xfrm>
                        <a:off x="0" y="0"/>
                        <a:ext cx="5761355" cy="6350"/>
                      </a:xfrm>
                      <a:custGeom>
                        <a:avLst/>
                        <a:gdLst/>
                        <a:ahLst/>
                        <a:cxnLst/>
                        <a:rect l="0" t="0" r="0" b="0"/>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61.3pt;height:0.5pt;width:453.65pt;mso-position-horizontal-relative:page;mso-position-vertical-relative:page;z-index:251666432;mso-width-relative:page;mso-height-relative:page;" fillcolor="#000000" filled="t" stroked="f" coordsize="9072,10" o:allowincell="f" o:gfxdata="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A2hXZAAAADAEAAA8A&#10;AAAAAAAAAQAgAAAAIgAAAGRycy9kb3ducmV2LnhtbFBLAQIUABQAAAAIAIdO4kCeRWZyFgIAAJ4E&#10;AAAOAAAAAAAAAAEAIAAAACgBAABkcnMvZTJvRG9jLnhtbFBLBQYAAAAABgAGAFkBAACwBQAAAAA=&#10;" path="m0,0l9072,0,9072,9,0,9,0,0xe">
              <v:fill on="t" focussize="0,0"/>
              <v:stroke on="f"/>
              <v:imagedata o:title=""/>
              <o:lock v:ext="edit" aspectratio="f"/>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6276"/>
      </w:tabs>
      <w:spacing w:before="172" w:after="0" w:afterLines="0" w:line="228" w:lineRule="auto"/>
      <w:ind w:firstLine="480"/>
      <w:jc w:val="both"/>
      <w:rPr>
        <w:rFonts w:ascii="宋体" w:hAnsi="宋体" w:eastAsia="宋体" w:cs="宋体"/>
        <w:sz w:val="20"/>
        <w:szCs w:val="20"/>
      </w:rPr>
    </w:pPr>
    <w:r>
      <w:rPr>
        <w:rFonts w:hint="eastAsia" w:ascii="宋体" w:hAnsi="宋体" w:eastAsia="宋体" w:cs="Times New Roman"/>
      </w:rPr>
      <w:t xml:space="preserve">                                               </w:t>
    </w:r>
    <w:r>
      <w:rPr>
        <w:rFonts w:hint="eastAsia" w:ascii="宋体" w:hAnsi="宋体" w:eastAsia="宋体" w:cs="宋体"/>
      </w:rPr>
      <w:t>塔吊安装专项安全施工方案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B1C73"/>
    <w:multiLevelType w:val="singleLevel"/>
    <w:tmpl w:val="8AEB1C73"/>
    <w:lvl w:ilvl="0" w:tentative="0">
      <w:start w:val="1"/>
      <w:numFmt w:val="decimal"/>
      <w:lvlText w:val="%1."/>
      <w:lvlJc w:val="left"/>
      <w:pPr>
        <w:tabs>
          <w:tab w:val="left" w:pos="312"/>
        </w:tabs>
      </w:pPr>
    </w:lvl>
  </w:abstractNum>
  <w:abstractNum w:abstractNumId="1">
    <w:nsid w:val="A7F66CBE"/>
    <w:multiLevelType w:val="singleLevel"/>
    <w:tmpl w:val="A7F66CBE"/>
    <w:lvl w:ilvl="0" w:tentative="0">
      <w:start w:val="1"/>
      <w:numFmt w:val="decimal"/>
      <w:lvlText w:val="5.2.%1"/>
      <w:lvlJc w:val="left"/>
      <w:pPr>
        <w:tabs>
          <w:tab w:val="left" w:pos="420"/>
        </w:tabs>
        <w:ind w:left="425" w:hanging="425"/>
      </w:pPr>
      <w:rPr>
        <w:rFonts w:hint="default" w:eastAsia="仿宋"/>
        <w:sz w:val="24"/>
      </w:rPr>
    </w:lvl>
  </w:abstractNum>
  <w:abstractNum w:abstractNumId="2">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53"/>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EC8C5676"/>
    <w:multiLevelType w:val="singleLevel"/>
    <w:tmpl w:val="EC8C5676"/>
    <w:lvl w:ilvl="0" w:tentative="0">
      <w:start w:val="1"/>
      <w:numFmt w:val="chineseCounting"/>
      <w:suff w:val="nothing"/>
      <w:lvlText w:val="%1、"/>
      <w:lvlJc w:val="left"/>
      <w:rPr>
        <w:rFonts w:hint="eastAsia"/>
      </w:rPr>
    </w:lvl>
  </w:abstractNum>
  <w:abstractNum w:abstractNumId="4">
    <w:nsid w:val="0580B7F1"/>
    <w:multiLevelType w:val="singleLevel"/>
    <w:tmpl w:val="0580B7F1"/>
    <w:lvl w:ilvl="0" w:tentative="0">
      <w:start w:val="1"/>
      <w:numFmt w:val="decimalFullWidth"/>
      <w:suff w:val="nothing"/>
      <w:lvlText w:val="%1）"/>
      <w:lvlJc w:val="left"/>
      <w:rPr>
        <w:rFonts w:hint="eastAsia"/>
      </w:rPr>
    </w:lvl>
  </w:abstractNum>
  <w:abstractNum w:abstractNumId="5">
    <w:nsid w:val="08AF42AE"/>
    <w:multiLevelType w:val="multilevel"/>
    <w:tmpl w:val="08AF42AE"/>
    <w:lvl w:ilvl="0" w:tentative="0">
      <w:start w:val="1"/>
      <w:numFmt w:val="decimalEnclosedParen"/>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F0606AD"/>
    <w:multiLevelType w:val="multilevel"/>
    <w:tmpl w:val="0F0606AD"/>
    <w:lvl w:ilvl="0" w:tentative="0">
      <w:start w:val="1"/>
      <w:numFmt w:val="decimal"/>
      <w:suff w:val="space"/>
      <w:lvlText w:val="%1 "/>
      <w:lvlJc w:val="left"/>
      <w:pPr>
        <w:ind w:left="3120" w:firstLine="0"/>
      </w:pPr>
      <w:rPr>
        <w:rFonts w:hint="eastAsia"/>
      </w:rPr>
    </w:lvl>
    <w:lvl w:ilvl="1" w:tentative="0">
      <w:start w:val="1"/>
      <w:numFmt w:val="decimal"/>
      <w:suff w:val="space"/>
      <w:lvlText w:val="%1.%2"/>
      <w:lvlJc w:val="left"/>
      <w:pPr>
        <w:ind w:left="567"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4）"/>
      <w:lvlJc w:val="left"/>
      <w:pPr>
        <w:ind w:left="9353" w:firstLine="0"/>
      </w:pPr>
      <w:rPr>
        <w:rFonts w:hint="eastAsia"/>
      </w:rPr>
    </w:lvl>
    <w:lvl w:ilvl="4" w:tentative="0">
      <w:start w:val="1"/>
      <w:numFmt w:val="decimal"/>
      <w:suff w:val="space"/>
      <w:lvlText w:val="%5）"/>
      <w:lvlJc w:val="left"/>
      <w:pPr>
        <w:ind w:left="0" w:firstLine="0"/>
      </w:pPr>
      <w:rPr>
        <w:rFonts w:hint="eastAsia"/>
      </w:rPr>
    </w:lvl>
    <w:lvl w:ilvl="5" w:tentative="0">
      <w:start w:val="1"/>
      <w:numFmt w:val="bullet"/>
      <w:suff w:val="space"/>
      <w:lvlText w:val="①"/>
      <w:lvlJc w:val="left"/>
      <w:pPr>
        <w:ind w:left="0" w:firstLine="0"/>
      </w:pPr>
      <w:rPr>
        <w:rFonts w:hint="eastAsia" w:ascii="等线" w:hAnsi="等线" w:eastAsia="等线"/>
        <w:color w:val="auto"/>
      </w:rPr>
    </w:lvl>
    <w:lvl w:ilvl="6" w:tentative="0">
      <w:start w:val="1"/>
      <w:numFmt w:val="upperLetter"/>
      <w:suff w:val="space"/>
      <w:lvlText w:val="%7、"/>
      <w:lvlJc w:val="left"/>
      <w:pPr>
        <w:ind w:left="0" w:firstLine="0"/>
      </w:pPr>
      <w:rPr>
        <w:rFonts w:hint="eastAsia"/>
      </w:rPr>
    </w:lvl>
    <w:lvl w:ilvl="7" w:tentative="0">
      <w:start w:val="1"/>
      <w:numFmt w:val="lowerLetter"/>
      <w:suff w:val="space"/>
      <w:lvlText w:val="%8、"/>
      <w:lvlJc w:val="left"/>
      <w:pPr>
        <w:ind w:left="0" w:firstLine="0"/>
      </w:pPr>
      <w:rPr>
        <w:rFonts w:hint="default"/>
      </w:rPr>
    </w:lvl>
    <w:lvl w:ilvl="8" w:tentative="0">
      <w:start w:val="1"/>
      <w:numFmt w:val="lowerRoman"/>
      <w:lvlText w:val="%9"/>
      <w:lvlJc w:val="left"/>
      <w:pPr>
        <w:ind w:left="0" w:firstLine="0"/>
      </w:pPr>
      <w:rPr>
        <w:rFonts w:hint="eastAsia"/>
      </w:rPr>
    </w:lvl>
  </w:abstractNum>
  <w:abstractNum w:abstractNumId="7">
    <w:nsid w:val="43FF553D"/>
    <w:multiLevelType w:val="multilevel"/>
    <w:tmpl w:val="43FF553D"/>
    <w:lvl w:ilvl="0" w:tentative="0">
      <w:start w:val="1"/>
      <w:numFmt w:val="decimalEnclosedParen"/>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9341B2B"/>
    <w:multiLevelType w:val="singleLevel"/>
    <w:tmpl w:val="49341B2B"/>
    <w:lvl w:ilvl="0" w:tentative="0">
      <w:start w:val="2"/>
      <w:numFmt w:val="decimal"/>
      <w:suff w:val="nothing"/>
      <w:lvlText w:val="（%1）"/>
      <w:lvlJc w:val="left"/>
    </w:lvl>
  </w:abstractNum>
  <w:abstractNum w:abstractNumId="9">
    <w:nsid w:val="4B6C4A29"/>
    <w:multiLevelType w:val="singleLevel"/>
    <w:tmpl w:val="4B6C4A29"/>
    <w:lvl w:ilvl="0" w:tentative="0">
      <w:start w:val="1"/>
      <w:numFmt w:val="decimal"/>
      <w:suff w:val="nothing"/>
      <w:lvlText w:val="（%1）"/>
      <w:lvlJc w:val="left"/>
    </w:lvl>
  </w:abstractNum>
  <w:abstractNum w:abstractNumId="10">
    <w:nsid w:val="500165C9"/>
    <w:multiLevelType w:val="singleLevel"/>
    <w:tmpl w:val="500165C9"/>
    <w:lvl w:ilvl="0" w:tentative="0">
      <w:start w:val="8"/>
      <w:numFmt w:val="decimal"/>
      <w:lvlText w:val="%1."/>
      <w:lvlJc w:val="left"/>
      <w:pPr>
        <w:tabs>
          <w:tab w:val="left" w:pos="312"/>
        </w:tabs>
      </w:pPr>
    </w:lvl>
  </w:abstractNum>
  <w:abstractNum w:abstractNumId="11">
    <w:nsid w:val="78C7FCDE"/>
    <w:multiLevelType w:val="singleLevel"/>
    <w:tmpl w:val="78C7FCDE"/>
    <w:lvl w:ilvl="0" w:tentative="0">
      <w:start w:val="1"/>
      <w:numFmt w:val="decimal"/>
      <w:suff w:val="nothing"/>
      <w:lvlText w:val="（%1）"/>
      <w:lvlJc w:val="left"/>
    </w:lvl>
  </w:abstractNum>
  <w:abstractNum w:abstractNumId="12">
    <w:nsid w:val="79318AD1"/>
    <w:multiLevelType w:val="singleLevel"/>
    <w:tmpl w:val="79318AD1"/>
    <w:lvl w:ilvl="0" w:tentative="0">
      <w:start w:val="1"/>
      <w:numFmt w:val="decimal"/>
      <w:lvlText w:val="5.1.%1"/>
      <w:lvlJc w:val="left"/>
      <w:pPr>
        <w:tabs>
          <w:tab w:val="left" w:pos="420"/>
        </w:tabs>
        <w:ind w:left="425" w:hanging="425"/>
      </w:pPr>
      <w:rPr>
        <w:rFonts w:hint="default" w:eastAsia="仿宋"/>
        <w:sz w:val="24"/>
      </w:rPr>
    </w:lvl>
  </w:abstractNum>
  <w:num w:numId="1">
    <w:abstractNumId w:val="2"/>
  </w:num>
  <w:num w:numId="2">
    <w:abstractNumId w:val="0"/>
  </w:num>
  <w:num w:numId="3">
    <w:abstractNumId w:val="6"/>
  </w:num>
  <w:num w:numId="4">
    <w:abstractNumId w:val="12"/>
  </w:num>
  <w:num w:numId="5">
    <w:abstractNumId w:val="1"/>
  </w:num>
  <w:num w:numId="6">
    <w:abstractNumId w:val="8"/>
  </w:num>
  <w:num w:numId="7">
    <w:abstractNumId w:val="9"/>
  </w:num>
  <w:num w:numId="8">
    <w:abstractNumId w:val="7"/>
  </w:num>
  <w:num w:numId="9">
    <w:abstractNumId w:val="5"/>
  </w:num>
  <w:num w:numId="10">
    <w:abstractNumId w:val="11"/>
  </w:num>
  <w:num w:numId="11">
    <w:abstractNumId w:val="1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cumentProtection w:enforcement="0"/>
  <w:defaultTabStop w:val="420"/>
  <w:drawingGridHorizontalSpacing w:val="2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NjUxODU0MjY3ODY3YTZjZjA2MjM4NzZiMTU5ZWEifQ=="/>
  </w:docVars>
  <w:rsids>
    <w:rsidRoot w:val="00172A27"/>
    <w:rsid w:val="000256F7"/>
    <w:rsid w:val="00025E72"/>
    <w:rsid w:val="00040A57"/>
    <w:rsid w:val="000720BE"/>
    <w:rsid w:val="0007651B"/>
    <w:rsid w:val="000937AB"/>
    <w:rsid w:val="000F2B65"/>
    <w:rsid w:val="00106C77"/>
    <w:rsid w:val="0012472B"/>
    <w:rsid w:val="00140E3F"/>
    <w:rsid w:val="001517C7"/>
    <w:rsid w:val="00163DCB"/>
    <w:rsid w:val="0016612F"/>
    <w:rsid w:val="00172A27"/>
    <w:rsid w:val="001921F3"/>
    <w:rsid w:val="00195F2E"/>
    <w:rsid w:val="001B13BE"/>
    <w:rsid w:val="001D159D"/>
    <w:rsid w:val="001D3C06"/>
    <w:rsid w:val="00202254"/>
    <w:rsid w:val="00215CC1"/>
    <w:rsid w:val="002464E3"/>
    <w:rsid w:val="0025384D"/>
    <w:rsid w:val="002629DC"/>
    <w:rsid w:val="00266041"/>
    <w:rsid w:val="002858E1"/>
    <w:rsid w:val="00294ED9"/>
    <w:rsid w:val="00296BCB"/>
    <w:rsid w:val="002A00B3"/>
    <w:rsid w:val="002A4629"/>
    <w:rsid w:val="002D0917"/>
    <w:rsid w:val="002D165D"/>
    <w:rsid w:val="002E661A"/>
    <w:rsid w:val="003564D1"/>
    <w:rsid w:val="0036566F"/>
    <w:rsid w:val="0036681A"/>
    <w:rsid w:val="00371403"/>
    <w:rsid w:val="00375B20"/>
    <w:rsid w:val="004236B8"/>
    <w:rsid w:val="00424751"/>
    <w:rsid w:val="004343DD"/>
    <w:rsid w:val="004353B4"/>
    <w:rsid w:val="00436748"/>
    <w:rsid w:val="00436A88"/>
    <w:rsid w:val="00466660"/>
    <w:rsid w:val="00473BBE"/>
    <w:rsid w:val="00484A47"/>
    <w:rsid w:val="004A6897"/>
    <w:rsid w:val="004A7C9A"/>
    <w:rsid w:val="004B2696"/>
    <w:rsid w:val="004F0C08"/>
    <w:rsid w:val="004F2648"/>
    <w:rsid w:val="0050090B"/>
    <w:rsid w:val="00506F8D"/>
    <w:rsid w:val="00514A41"/>
    <w:rsid w:val="00525B05"/>
    <w:rsid w:val="0052753C"/>
    <w:rsid w:val="00583143"/>
    <w:rsid w:val="005B1E5E"/>
    <w:rsid w:val="005B398F"/>
    <w:rsid w:val="005C7288"/>
    <w:rsid w:val="005E4660"/>
    <w:rsid w:val="005F7F5E"/>
    <w:rsid w:val="006529C3"/>
    <w:rsid w:val="00663E4D"/>
    <w:rsid w:val="006678C8"/>
    <w:rsid w:val="006929E2"/>
    <w:rsid w:val="00695AF2"/>
    <w:rsid w:val="00697C65"/>
    <w:rsid w:val="006A6EDD"/>
    <w:rsid w:val="006B204F"/>
    <w:rsid w:val="006E1CBD"/>
    <w:rsid w:val="00703866"/>
    <w:rsid w:val="00706CF7"/>
    <w:rsid w:val="00740CB8"/>
    <w:rsid w:val="00752062"/>
    <w:rsid w:val="00762633"/>
    <w:rsid w:val="007C6B21"/>
    <w:rsid w:val="007C706C"/>
    <w:rsid w:val="007D158E"/>
    <w:rsid w:val="007E5B1A"/>
    <w:rsid w:val="007F4BFD"/>
    <w:rsid w:val="00861644"/>
    <w:rsid w:val="00892844"/>
    <w:rsid w:val="00897198"/>
    <w:rsid w:val="008A4589"/>
    <w:rsid w:val="008B1AA6"/>
    <w:rsid w:val="008C592F"/>
    <w:rsid w:val="008C75FE"/>
    <w:rsid w:val="009112C8"/>
    <w:rsid w:val="00921E72"/>
    <w:rsid w:val="00946F94"/>
    <w:rsid w:val="00952697"/>
    <w:rsid w:val="00953075"/>
    <w:rsid w:val="0096159D"/>
    <w:rsid w:val="00977C3B"/>
    <w:rsid w:val="009853D0"/>
    <w:rsid w:val="009A540C"/>
    <w:rsid w:val="009C6695"/>
    <w:rsid w:val="009C7DBA"/>
    <w:rsid w:val="009E707B"/>
    <w:rsid w:val="009F74E6"/>
    <w:rsid w:val="00A00FA8"/>
    <w:rsid w:val="00A11612"/>
    <w:rsid w:val="00A2287B"/>
    <w:rsid w:val="00A25F4A"/>
    <w:rsid w:val="00A3336D"/>
    <w:rsid w:val="00A57609"/>
    <w:rsid w:val="00A8005D"/>
    <w:rsid w:val="00A8768D"/>
    <w:rsid w:val="00AA32F7"/>
    <w:rsid w:val="00AB020A"/>
    <w:rsid w:val="00AB12AB"/>
    <w:rsid w:val="00AE285F"/>
    <w:rsid w:val="00B11924"/>
    <w:rsid w:val="00B443D8"/>
    <w:rsid w:val="00B5479A"/>
    <w:rsid w:val="00BA4098"/>
    <w:rsid w:val="00BD07D7"/>
    <w:rsid w:val="00C32B53"/>
    <w:rsid w:val="00C36557"/>
    <w:rsid w:val="00C6142E"/>
    <w:rsid w:val="00C70C80"/>
    <w:rsid w:val="00C973BE"/>
    <w:rsid w:val="00D26583"/>
    <w:rsid w:val="00D442F1"/>
    <w:rsid w:val="00D4513F"/>
    <w:rsid w:val="00D637AA"/>
    <w:rsid w:val="00DB4426"/>
    <w:rsid w:val="00DC6D38"/>
    <w:rsid w:val="00DE3D82"/>
    <w:rsid w:val="00E04D15"/>
    <w:rsid w:val="00E265BC"/>
    <w:rsid w:val="00E57A6E"/>
    <w:rsid w:val="00E71833"/>
    <w:rsid w:val="00E75819"/>
    <w:rsid w:val="00EF3984"/>
    <w:rsid w:val="00F03849"/>
    <w:rsid w:val="00F10450"/>
    <w:rsid w:val="00F91457"/>
    <w:rsid w:val="00F91CC0"/>
    <w:rsid w:val="00F93BC5"/>
    <w:rsid w:val="00FA1379"/>
    <w:rsid w:val="00FB2ACF"/>
    <w:rsid w:val="00FC67A0"/>
    <w:rsid w:val="00FD5623"/>
    <w:rsid w:val="00FF6724"/>
    <w:rsid w:val="01072D16"/>
    <w:rsid w:val="025204B1"/>
    <w:rsid w:val="02B12546"/>
    <w:rsid w:val="02E651A7"/>
    <w:rsid w:val="03936DB7"/>
    <w:rsid w:val="03F828FE"/>
    <w:rsid w:val="040B4260"/>
    <w:rsid w:val="040D531E"/>
    <w:rsid w:val="041322C8"/>
    <w:rsid w:val="044079F6"/>
    <w:rsid w:val="044A5026"/>
    <w:rsid w:val="04517489"/>
    <w:rsid w:val="04536CB9"/>
    <w:rsid w:val="04662A96"/>
    <w:rsid w:val="04A21CE1"/>
    <w:rsid w:val="04BB69F7"/>
    <w:rsid w:val="053E29D4"/>
    <w:rsid w:val="0545150E"/>
    <w:rsid w:val="0556403E"/>
    <w:rsid w:val="05726E8E"/>
    <w:rsid w:val="05790C75"/>
    <w:rsid w:val="05FD524F"/>
    <w:rsid w:val="062C0CB9"/>
    <w:rsid w:val="06415503"/>
    <w:rsid w:val="065B11F4"/>
    <w:rsid w:val="06794304"/>
    <w:rsid w:val="069E4405"/>
    <w:rsid w:val="0712326D"/>
    <w:rsid w:val="07B144CD"/>
    <w:rsid w:val="08027F2B"/>
    <w:rsid w:val="08471DF1"/>
    <w:rsid w:val="089966D8"/>
    <w:rsid w:val="08A67433"/>
    <w:rsid w:val="08E3744D"/>
    <w:rsid w:val="08F40C99"/>
    <w:rsid w:val="091D3E95"/>
    <w:rsid w:val="09512E6F"/>
    <w:rsid w:val="096F78B2"/>
    <w:rsid w:val="0971521E"/>
    <w:rsid w:val="09850219"/>
    <w:rsid w:val="0985269B"/>
    <w:rsid w:val="09901075"/>
    <w:rsid w:val="09BF1FEC"/>
    <w:rsid w:val="09D5431E"/>
    <w:rsid w:val="09DB1442"/>
    <w:rsid w:val="0A18591B"/>
    <w:rsid w:val="0A8F212A"/>
    <w:rsid w:val="0AA508F8"/>
    <w:rsid w:val="0ADC2637"/>
    <w:rsid w:val="0B0569B9"/>
    <w:rsid w:val="0B301859"/>
    <w:rsid w:val="0B677B39"/>
    <w:rsid w:val="0C736572"/>
    <w:rsid w:val="0D1E54D6"/>
    <w:rsid w:val="0D250129"/>
    <w:rsid w:val="0D821591"/>
    <w:rsid w:val="0D865056"/>
    <w:rsid w:val="0DCC46D6"/>
    <w:rsid w:val="0DE156CC"/>
    <w:rsid w:val="0E373120"/>
    <w:rsid w:val="0E3D0A22"/>
    <w:rsid w:val="0EFA7C1B"/>
    <w:rsid w:val="0EFF04A0"/>
    <w:rsid w:val="0F260D7E"/>
    <w:rsid w:val="0F2731F8"/>
    <w:rsid w:val="0F9372FD"/>
    <w:rsid w:val="0FAA4CE5"/>
    <w:rsid w:val="0FC65E43"/>
    <w:rsid w:val="0FD06B9F"/>
    <w:rsid w:val="0FF26B15"/>
    <w:rsid w:val="10137F6B"/>
    <w:rsid w:val="102C5AF7"/>
    <w:rsid w:val="105F7543"/>
    <w:rsid w:val="107F2C6C"/>
    <w:rsid w:val="1092275E"/>
    <w:rsid w:val="10C80358"/>
    <w:rsid w:val="10D61860"/>
    <w:rsid w:val="10F3484B"/>
    <w:rsid w:val="11052E0C"/>
    <w:rsid w:val="118B63A3"/>
    <w:rsid w:val="11CA7B9A"/>
    <w:rsid w:val="11E86AA1"/>
    <w:rsid w:val="12322403"/>
    <w:rsid w:val="12365310"/>
    <w:rsid w:val="13013C3A"/>
    <w:rsid w:val="13B66651"/>
    <w:rsid w:val="13BD522B"/>
    <w:rsid w:val="13E1763C"/>
    <w:rsid w:val="13EB0CF7"/>
    <w:rsid w:val="13ED7BF2"/>
    <w:rsid w:val="142014E8"/>
    <w:rsid w:val="14AD6898"/>
    <w:rsid w:val="15070D03"/>
    <w:rsid w:val="151552DC"/>
    <w:rsid w:val="155932CB"/>
    <w:rsid w:val="15B95B4B"/>
    <w:rsid w:val="15FC4DE0"/>
    <w:rsid w:val="16175F45"/>
    <w:rsid w:val="16587554"/>
    <w:rsid w:val="16803490"/>
    <w:rsid w:val="16890584"/>
    <w:rsid w:val="16A92E75"/>
    <w:rsid w:val="1823119E"/>
    <w:rsid w:val="18412D58"/>
    <w:rsid w:val="18590B34"/>
    <w:rsid w:val="187712C0"/>
    <w:rsid w:val="18AA72E4"/>
    <w:rsid w:val="18CD1F79"/>
    <w:rsid w:val="18D02352"/>
    <w:rsid w:val="18D52A55"/>
    <w:rsid w:val="193E5D82"/>
    <w:rsid w:val="19410F4F"/>
    <w:rsid w:val="198A474E"/>
    <w:rsid w:val="198E2E15"/>
    <w:rsid w:val="19BD77BA"/>
    <w:rsid w:val="19F52497"/>
    <w:rsid w:val="1A373060"/>
    <w:rsid w:val="1A3753C4"/>
    <w:rsid w:val="1A5412D0"/>
    <w:rsid w:val="1A8912AC"/>
    <w:rsid w:val="1AFB2BF5"/>
    <w:rsid w:val="1B432E6A"/>
    <w:rsid w:val="1B8976CD"/>
    <w:rsid w:val="1BAF4A6A"/>
    <w:rsid w:val="1BB03906"/>
    <w:rsid w:val="1BE32EB7"/>
    <w:rsid w:val="1BE81A46"/>
    <w:rsid w:val="1BEB41FC"/>
    <w:rsid w:val="1C314E90"/>
    <w:rsid w:val="1C3B68EA"/>
    <w:rsid w:val="1C4146C4"/>
    <w:rsid w:val="1C6F6999"/>
    <w:rsid w:val="1C7D7ABA"/>
    <w:rsid w:val="1C84143D"/>
    <w:rsid w:val="1C9E7B23"/>
    <w:rsid w:val="1CA6517B"/>
    <w:rsid w:val="1CC57934"/>
    <w:rsid w:val="1D0B1216"/>
    <w:rsid w:val="1D345168"/>
    <w:rsid w:val="1D363E63"/>
    <w:rsid w:val="1D4F6B4C"/>
    <w:rsid w:val="1D7F7DE9"/>
    <w:rsid w:val="1D920D8E"/>
    <w:rsid w:val="1E802B7F"/>
    <w:rsid w:val="1EA53575"/>
    <w:rsid w:val="1EFB272A"/>
    <w:rsid w:val="1F0B25D2"/>
    <w:rsid w:val="1F351ECC"/>
    <w:rsid w:val="1F3A64F6"/>
    <w:rsid w:val="1F4D1E22"/>
    <w:rsid w:val="1FA40E10"/>
    <w:rsid w:val="1FBB0B1A"/>
    <w:rsid w:val="2009286E"/>
    <w:rsid w:val="203A5AB4"/>
    <w:rsid w:val="208D5F71"/>
    <w:rsid w:val="20EE15C2"/>
    <w:rsid w:val="21462B48"/>
    <w:rsid w:val="21BC1149"/>
    <w:rsid w:val="225942E7"/>
    <w:rsid w:val="226507B2"/>
    <w:rsid w:val="228C020F"/>
    <w:rsid w:val="22C34F9D"/>
    <w:rsid w:val="233E6C99"/>
    <w:rsid w:val="2362598E"/>
    <w:rsid w:val="238F59B9"/>
    <w:rsid w:val="23970B4E"/>
    <w:rsid w:val="23BF6EDA"/>
    <w:rsid w:val="23E73B5D"/>
    <w:rsid w:val="246956F4"/>
    <w:rsid w:val="246B2393"/>
    <w:rsid w:val="24751173"/>
    <w:rsid w:val="248879CA"/>
    <w:rsid w:val="249A76D1"/>
    <w:rsid w:val="24B861D2"/>
    <w:rsid w:val="24CF577E"/>
    <w:rsid w:val="25074D52"/>
    <w:rsid w:val="251C637B"/>
    <w:rsid w:val="253644F4"/>
    <w:rsid w:val="25423C43"/>
    <w:rsid w:val="25A55F80"/>
    <w:rsid w:val="25AC304C"/>
    <w:rsid w:val="25B409D0"/>
    <w:rsid w:val="260D3539"/>
    <w:rsid w:val="26276007"/>
    <w:rsid w:val="262A0564"/>
    <w:rsid w:val="263011DF"/>
    <w:rsid w:val="265C38A4"/>
    <w:rsid w:val="26847CB3"/>
    <w:rsid w:val="275332AD"/>
    <w:rsid w:val="276F41EC"/>
    <w:rsid w:val="28064BAB"/>
    <w:rsid w:val="286948BF"/>
    <w:rsid w:val="287F3BA9"/>
    <w:rsid w:val="288A7467"/>
    <w:rsid w:val="288C7E18"/>
    <w:rsid w:val="28A10A62"/>
    <w:rsid w:val="28FC65B4"/>
    <w:rsid w:val="29094989"/>
    <w:rsid w:val="294F5AB7"/>
    <w:rsid w:val="29515F14"/>
    <w:rsid w:val="298368AC"/>
    <w:rsid w:val="29C44350"/>
    <w:rsid w:val="29EE7763"/>
    <w:rsid w:val="2A020E30"/>
    <w:rsid w:val="2A3C2E27"/>
    <w:rsid w:val="2A856534"/>
    <w:rsid w:val="2A9B1106"/>
    <w:rsid w:val="2AB61404"/>
    <w:rsid w:val="2ABA01AB"/>
    <w:rsid w:val="2ADE472A"/>
    <w:rsid w:val="2AEB08D9"/>
    <w:rsid w:val="2AFB5665"/>
    <w:rsid w:val="2B843C14"/>
    <w:rsid w:val="2B8F2D6B"/>
    <w:rsid w:val="2BE57D76"/>
    <w:rsid w:val="2C1856FE"/>
    <w:rsid w:val="2C284DFF"/>
    <w:rsid w:val="2C304054"/>
    <w:rsid w:val="2C387018"/>
    <w:rsid w:val="2C5C49D4"/>
    <w:rsid w:val="2C6F72CA"/>
    <w:rsid w:val="2C876115"/>
    <w:rsid w:val="2D283AEB"/>
    <w:rsid w:val="2D2E420C"/>
    <w:rsid w:val="2D3D6D5C"/>
    <w:rsid w:val="2DB41B98"/>
    <w:rsid w:val="2E707FD2"/>
    <w:rsid w:val="2ED93075"/>
    <w:rsid w:val="2F4D2D02"/>
    <w:rsid w:val="2F5811C7"/>
    <w:rsid w:val="2F6914AB"/>
    <w:rsid w:val="2F6E1082"/>
    <w:rsid w:val="2F7565E0"/>
    <w:rsid w:val="2F8D3322"/>
    <w:rsid w:val="2F956BCE"/>
    <w:rsid w:val="2FA943AE"/>
    <w:rsid w:val="2FB81E18"/>
    <w:rsid w:val="2FE341C7"/>
    <w:rsid w:val="30796F97"/>
    <w:rsid w:val="307A2FE3"/>
    <w:rsid w:val="30CF545E"/>
    <w:rsid w:val="30EE1BC4"/>
    <w:rsid w:val="3216116F"/>
    <w:rsid w:val="32B70BB6"/>
    <w:rsid w:val="32CE79D0"/>
    <w:rsid w:val="32E62982"/>
    <w:rsid w:val="330F2DE4"/>
    <w:rsid w:val="33BB1197"/>
    <w:rsid w:val="33C87205"/>
    <w:rsid w:val="33D02178"/>
    <w:rsid w:val="33E94B22"/>
    <w:rsid w:val="341F1701"/>
    <w:rsid w:val="345B6AD0"/>
    <w:rsid w:val="348C21C6"/>
    <w:rsid w:val="34B70DA5"/>
    <w:rsid w:val="34C72E2C"/>
    <w:rsid w:val="34D9213D"/>
    <w:rsid w:val="34E77870"/>
    <w:rsid w:val="34F45B13"/>
    <w:rsid w:val="354F1E7E"/>
    <w:rsid w:val="35712D3C"/>
    <w:rsid w:val="357953BB"/>
    <w:rsid w:val="36057B72"/>
    <w:rsid w:val="362F76E0"/>
    <w:rsid w:val="363037E9"/>
    <w:rsid w:val="366F3C64"/>
    <w:rsid w:val="368D6CD5"/>
    <w:rsid w:val="36BD3C5F"/>
    <w:rsid w:val="37557793"/>
    <w:rsid w:val="37730434"/>
    <w:rsid w:val="37806055"/>
    <w:rsid w:val="37A31295"/>
    <w:rsid w:val="38A81F28"/>
    <w:rsid w:val="38AD5420"/>
    <w:rsid w:val="39AA538A"/>
    <w:rsid w:val="3A24027E"/>
    <w:rsid w:val="3A366406"/>
    <w:rsid w:val="3AC81582"/>
    <w:rsid w:val="3B34652F"/>
    <w:rsid w:val="3B3B0810"/>
    <w:rsid w:val="3B63245B"/>
    <w:rsid w:val="3B9F68DB"/>
    <w:rsid w:val="3BDF249E"/>
    <w:rsid w:val="3BEF239E"/>
    <w:rsid w:val="3C28564E"/>
    <w:rsid w:val="3C602E17"/>
    <w:rsid w:val="3C9A38DF"/>
    <w:rsid w:val="3CA14E6A"/>
    <w:rsid w:val="3CC26639"/>
    <w:rsid w:val="3CDC5B18"/>
    <w:rsid w:val="3D023F8C"/>
    <w:rsid w:val="3D1706C3"/>
    <w:rsid w:val="3D274FD7"/>
    <w:rsid w:val="3D4E112E"/>
    <w:rsid w:val="3D52399A"/>
    <w:rsid w:val="3D977083"/>
    <w:rsid w:val="3DD73C67"/>
    <w:rsid w:val="3DE64387"/>
    <w:rsid w:val="3E260836"/>
    <w:rsid w:val="3EAC29A7"/>
    <w:rsid w:val="3ECA5746"/>
    <w:rsid w:val="3F8A2017"/>
    <w:rsid w:val="3FB74413"/>
    <w:rsid w:val="3FC84E79"/>
    <w:rsid w:val="3FFD682C"/>
    <w:rsid w:val="402E1517"/>
    <w:rsid w:val="402E64C6"/>
    <w:rsid w:val="403B2A0C"/>
    <w:rsid w:val="406300BA"/>
    <w:rsid w:val="408D6263"/>
    <w:rsid w:val="40C37BB7"/>
    <w:rsid w:val="40C50B3C"/>
    <w:rsid w:val="410C74B7"/>
    <w:rsid w:val="411F2132"/>
    <w:rsid w:val="416B7053"/>
    <w:rsid w:val="41B40A3C"/>
    <w:rsid w:val="41D5006A"/>
    <w:rsid w:val="41D57573"/>
    <w:rsid w:val="41FB4247"/>
    <w:rsid w:val="422A5CE9"/>
    <w:rsid w:val="423E4241"/>
    <w:rsid w:val="42CB4E20"/>
    <w:rsid w:val="43471FD5"/>
    <w:rsid w:val="4396596F"/>
    <w:rsid w:val="43B557EA"/>
    <w:rsid w:val="441D0665"/>
    <w:rsid w:val="442E4A20"/>
    <w:rsid w:val="44B92674"/>
    <w:rsid w:val="45120E5C"/>
    <w:rsid w:val="454C0BF5"/>
    <w:rsid w:val="458072B2"/>
    <w:rsid w:val="45827808"/>
    <w:rsid w:val="45926A47"/>
    <w:rsid w:val="45C23883"/>
    <w:rsid w:val="46324630"/>
    <w:rsid w:val="468A4E4A"/>
    <w:rsid w:val="4694077D"/>
    <w:rsid w:val="46D501BB"/>
    <w:rsid w:val="46E06B42"/>
    <w:rsid w:val="46E217C6"/>
    <w:rsid w:val="472A4D95"/>
    <w:rsid w:val="47ED32E5"/>
    <w:rsid w:val="480D702F"/>
    <w:rsid w:val="4823168B"/>
    <w:rsid w:val="48926CF3"/>
    <w:rsid w:val="48ED5F6D"/>
    <w:rsid w:val="48F26A87"/>
    <w:rsid w:val="4A1177FC"/>
    <w:rsid w:val="4A297457"/>
    <w:rsid w:val="4A7C3ABE"/>
    <w:rsid w:val="4A8C14E2"/>
    <w:rsid w:val="4AFC61BB"/>
    <w:rsid w:val="4B594C15"/>
    <w:rsid w:val="4B5C0E42"/>
    <w:rsid w:val="4BD40107"/>
    <w:rsid w:val="4BF03B45"/>
    <w:rsid w:val="4C9668A4"/>
    <w:rsid w:val="4CAF0EB6"/>
    <w:rsid w:val="4CDA29FB"/>
    <w:rsid w:val="4D2C45B4"/>
    <w:rsid w:val="4DB419C0"/>
    <w:rsid w:val="4DC941DA"/>
    <w:rsid w:val="4E6A0517"/>
    <w:rsid w:val="4EC268BF"/>
    <w:rsid w:val="4F051D0F"/>
    <w:rsid w:val="4F1E1F2D"/>
    <w:rsid w:val="4F526998"/>
    <w:rsid w:val="4F761061"/>
    <w:rsid w:val="4F9C7A64"/>
    <w:rsid w:val="4FBC0BE1"/>
    <w:rsid w:val="4FCE5833"/>
    <w:rsid w:val="50C66DEA"/>
    <w:rsid w:val="51ED338B"/>
    <w:rsid w:val="52100545"/>
    <w:rsid w:val="522E0CAD"/>
    <w:rsid w:val="526E1A25"/>
    <w:rsid w:val="52AC3DC5"/>
    <w:rsid w:val="52BB63E1"/>
    <w:rsid w:val="530B7354"/>
    <w:rsid w:val="53200B21"/>
    <w:rsid w:val="53A72636"/>
    <w:rsid w:val="53B20651"/>
    <w:rsid w:val="53BC6DCE"/>
    <w:rsid w:val="5420178E"/>
    <w:rsid w:val="546463D8"/>
    <w:rsid w:val="546A0B4F"/>
    <w:rsid w:val="546B0211"/>
    <w:rsid w:val="54D858AB"/>
    <w:rsid w:val="54F851C8"/>
    <w:rsid w:val="55173218"/>
    <w:rsid w:val="554143B3"/>
    <w:rsid w:val="554A7758"/>
    <w:rsid w:val="554C0BBC"/>
    <w:rsid w:val="55831EB6"/>
    <w:rsid w:val="55C36E43"/>
    <w:rsid w:val="55D20AC1"/>
    <w:rsid w:val="563E5473"/>
    <w:rsid w:val="566B21F1"/>
    <w:rsid w:val="57156E3E"/>
    <w:rsid w:val="571D48AF"/>
    <w:rsid w:val="5748615E"/>
    <w:rsid w:val="575E4A81"/>
    <w:rsid w:val="576B0C96"/>
    <w:rsid w:val="57931F26"/>
    <w:rsid w:val="57B77C19"/>
    <w:rsid w:val="57BD583E"/>
    <w:rsid w:val="58315F63"/>
    <w:rsid w:val="587A11EB"/>
    <w:rsid w:val="587B0885"/>
    <w:rsid w:val="588F4693"/>
    <w:rsid w:val="58953AAF"/>
    <w:rsid w:val="58BF1CF0"/>
    <w:rsid w:val="5901634D"/>
    <w:rsid w:val="59A510C1"/>
    <w:rsid w:val="59AE34E4"/>
    <w:rsid w:val="59C23F20"/>
    <w:rsid w:val="59CA62D9"/>
    <w:rsid w:val="5A0940B0"/>
    <w:rsid w:val="5A256750"/>
    <w:rsid w:val="5A2849CF"/>
    <w:rsid w:val="5A3D1B93"/>
    <w:rsid w:val="5A3E6328"/>
    <w:rsid w:val="5A687A42"/>
    <w:rsid w:val="5A756480"/>
    <w:rsid w:val="5AAC3A8E"/>
    <w:rsid w:val="5AF15F1D"/>
    <w:rsid w:val="5BBA59C2"/>
    <w:rsid w:val="5C357339"/>
    <w:rsid w:val="5C930992"/>
    <w:rsid w:val="5CEC7C2B"/>
    <w:rsid w:val="5D09028C"/>
    <w:rsid w:val="5D137697"/>
    <w:rsid w:val="5D820EA5"/>
    <w:rsid w:val="5DA4778E"/>
    <w:rsid w:val="5DEB15CF"/>
    <w:rsid w:val="5E2F27C4"/>
    <w:rsid w:val="5E58314B"/>
    <w:rsid w:val="5E7423B8"/>
    <w:rsid w:val="5E884CAE"/>
    <w:rsid w:val="5E9254BE"/>
    <w:rsid w:val="5EAC0661"/>
    <w:rsid w:val="5ECC6A71"/>
    <w:rsid w:val="5F0229D5"/>
    <w:rsid w:val="5F7228F3"/>
    <w:rsid w:val="602558B6"/>
    <w:rsid w:val="60530B5A"/>
    <w:rsid w:val="606D57BE"/>
    <w:rsid w:val="607C32B9"/>
    <w:rsid w:val="60A34DA4"/>
    <w:rsid w:val="60CF3ADA"/>
    <w:rsid w:val="60D507BE"/>
    <w:rsid w:val="60D95374"/>
    <w:rsid w:val="61141D04"/>
    <w:rsid w:val="614E7402"/>
    <w:rsid w:val="61573193"/>
    <w:rsid w:val="615943EC"/>
    <w:rsid w:val="61612977"/>
    <w:rsid w:val="61A209AB"/>
    <w:rsid w:val="61E07902"/>
    <w:rsid w:val="62214605"/>
    <w:rsid w:val="62724B05"/>
    <w:rsid w:val="62775FD3"/>
    <w:rsid w:val="629E7BD7"/>
    <w:rsid w:val="63476A4B"/>
    <w:rsid w:val="635D1ED6"/>
    <w:rsid w:val="63B514A9"/>
    <w:rsid w:val="63BA0A51"/>
    <w:rsid w:val="63E36F1A"/>
    <w:rsid w:val="641D7A6F"/>
    <w:rsid w:val="64A67390"/>
    <w:rsid w:val="65105350"/>
    <w:rsid w:val="65610CAE"/>
    <w:rsid w:val="656A5627"/>
    <w:rsid w:val="65953DAB"/>
    <w:rsid w:val="65FA7647"/>
    <w:rsid w:val="66080961"/>
    <w:rsid w:val="660D21C5"/>
    <w:rsid w:val="663B48C0"/>
    <w:rsid w:val="6646527E"/>
    <w:rsid w:val="665C57AA"/>
    <w:rsid w:val="66EE7955"/>
    <w:rsid w:val="672327F4"/>
    <w:rsid w:val="67C219D2"/>
    <w:rsid w:val="67DD328C"/>
    <w:rsid w:val="6803397A"/>
    <w:rsid w:val="68387ED8"/>
    <w:rsid w:val="685F5701"/>
    <w:rsid w:val="68E41AE1"/>
    <w:rsid w:val="690C003F"/>
    <w:rsid w:val="69234013"/>
    <w:rsid w:val="69650420"/>
    <w:rsid w:val="6A103383"/>
    <w:rsid w:val="6A362D48"/>
    <w:rsid w:val="6A681023"/>
    <w:rsid w:val="6A884B85"/>
    <w:rsid w:val="6AAB2D0E"/>
    <w:rsid w:val="6AC774C3"/>
    <w:rsid w:val="6B3844C9"/>
    <w:rsid w:val="6BD24299"/>
    <w:rsid w:val="6BE5555D"/>
    <w:rsid w:val="6CAF04D4"/>
    <w:rsid w:val="6CB52DC2"/>
    <w:rsid w:val="6D45564C"/>
    <w:rsid w:val="6D4F0744"/>
    <w:rsid w:val="6DF01700"/>
    <w:rsid w:val="6E1458DF"/>
    <w:rsid w:val="6E6E48BA"/>
    <w:rsid w:val="6EB809E4"/>
    <w:rsid w:val="6ECA1F58"/>
    <w:rsid w:val="6ED31708"/>
    <w:rsid w:val="6F1B3519"/>
    <w:rsid w:val="6F2430A7"/>
    <w:rsid w:val="6F603C0C"/>
    <w:rsid w:val="6FB50A17"/>
    <w:rsid w:val="6FD777A6"/>
    <w:rsid w:val="6FEB6D38"/>
    <w:rsid w:val="6FF0530B"/>
    <w:rsid w:val="7038437E"/>
    <w:rsid w:val="70542A67"/>
    <w:rsid w:val="70762ABF"/>
    <w:rsid w:val="70786B4E"/>
    <w:rsid w:val="708F441F"/>
    <w:rsid w:val="70AB5A2B"/>
    <w:rsid w:val="70C218E4"/>
    <w:rsid w:val="70D34F84"/>
    <w:rsid w:val="70D951F8"/>
    <w:rsid w:val="710270A0"/>
    <w:rsid w:val="711941AF"/>
    <w:rsid w:val="714E0D53"/>
    <w:rsid w:val="71B2150C"/>
    <w:rsid w:val="71CC6370"/>
    <w:rsid w:val="71F72A35"/>
    <w:rsid w:val="7200434D"/>
    <w:rsid w:val="7222617A"/>
    <w:rsid w:val="72421543"/>
    <w:rsid w:val="72856C52"/>
    <w:rsid w:val="730464B0"/>
    <w:rsid w:val="733A4193"/>
    <w:rsid w:val="736839EE"/>
    <w:rsid w:val="737A2E2A"/>
    <w:rsid w:val="73C80796"/>
    <w:rsid w:val="741C721A"/>
    <w:rsid w:val="74B0139B"/>
    <w:rsid w:val="74D22B50"/>
    <w:rsid w:val="74DA6544"/>
    <w:rsid w:val="75973D58"/>
    <w:rsid w:val="75A35D97"/>
    <w:rsid w:val="75B1742F"/>
    <w:rsid w:val="75BB0E76"/>
    <w:rsid w:val="75ED3686"/>
    <w:rsid w:val="76521843"/>
    <w:rsid w:val="76BB6C79"/>
    <w:rsid w:val="76C71439"/>
    <w:rsid w:val="76D27098"/>
    <w:rsid w:val="76E36A87"/>
    <w:rsid w:val="76F71F72"/>
    <w:rsid w:val="770831FB"/>
    <w:rsid w:val="77474D2A"/>
    <w:rsid w:val="775F4E15"/>
    <w:rsid w:val="776131A0"/>
    <w:rsid w:val="77DD6905"/>
    <w:rsid w:val="77F75583"/>
    <w:rsid w:val="78431EB9"/>
    <w:rsid w:val="78BB4A14"/>
    <w:rsid w:val="794D0A2D"/>
    <w:rsid w:val="799A0C43"/>
    <w:rsid w:val="79D54859"/>
    <w:rsid w:val="79E628A8"/>
    <w:rsid w:val="7A3E58FC"/>
    <w:rsid w:val="7A4F098E"/>
    <w:rsid w:val="7A5E63FB"/>
    <w:rsid w:val="7A6C3F22"/>
    <w:rsid w:val="7AA50EE9"/>
    <w:rsid w:val="7AA65434"/>
    <w:rsid w:val="7AC35DF5"/>
    <w:rsid w:val="7AC81081"/>
    <w:rsid w:val="7ACB698B"/>
    <w:rsid w:val="7AE244DA"/>
    <w:rsid w:val="7AF94EAC"/>
    <w:rsid w:val="7BC814C8"/>
    <w:rsid w:val="7BD34697"/>
    <w:rsid w:val="7C037805"/>
    <w:rsid w:val="7C044017"/>
    <w:rsid w:val="7C6C7A09"/>
    <w:rsid w:val="7CDC7163"/>
    <w:rsid w:val="7CDD632B"/>
    <w:rsid w:val="7D4E21B7"/>
    <w:rsid w:val="7D51005D"/>
    <w:rsid w:val="7D8D669D"/>
    <w:rsid w:val="7D9236D0"/>
    <w:rsid w:val="7DA069F7"/>
    <w:rsid w:val="7DD30A52"/>
    <w:rsid w:val="7DDA3D9C"/>
    <w:rsid w:val="7E531332"/>
    <w:rsid w:val="7F2328F0"/>
    <w:rsid w:val="7FE44AE6"/>
    <w:rsid w:val="7FE616B2"/>
    <w:rsid w:val="7FF02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50" w:afterLines="50" w:line="300" w:lineRule="auto"/>
      <w:ind w:firstLine="420" w:firstLineChars="200"/>
    </w:pPr>
    <w:rPr>
      <w:rFonts w:ascii="仿宋" w:hAnsi="仿宋" w:eastAsia="仿宋" w:cstheme="minorBidi"/>
      <w:kern w:val="2"/>
      <w:sz w:val="24"/>
      <w:szCs w:val="24"/>
      <w:lang w:val="en-US" w:eastAsia="zh-CN" w:bidi="ar-SA"/>
    </w:rPr>
  </w:style>
  <w:style w:type="paragraph" w:styleId="3">
    <w:name w:val="heading 1"/>
    <w:next w:val="1"/>
    <w:qFormat/>
    <w:uiPriority w:val="0"/>
    <w:pPr>
      <w:keepNext/>
      <w:keepLines/>
      <w:spacing w:before="50" w:beforeLines="50" w:after="50" w:afterLines="50" w:line="360" w:lineRule="auto"/>
      <w:outlineLvl w:val="0"/>
    </w:pPr>
    <w:rPr>
      <w:rFonts w:ascii="仿宋" w:hAnsi="仿宋" w:eastAsia="仿宋" w:cs="仿宋"/>
      <w:b/>
      <w:sz w:val="30"/>
      <w:lang w:val="en-US" w:eastAsia="zh-CN" w:bidi="ar-SA"/>
    </w:rPr>
  </w:style>
  <w:style w:type="paragraph" w:styleId="4">
    <w:name w:val="heading 2"/>
    <w:basedOn w:val="1"/>
    <w:next w:val="1"/>
    <w:unhideWhenUsed/>
    <w:qFormat/>
    <w:uiPriority w:val="0"/>
    <w:pPr>
      <w:keepNext/>
      <w:keepLines/>
      <w:spacing w:before="50" w:beforeLines="50" w:line="360" w:lineRule="auto"/>
      <w:ind w:firstLine="0" w:firstLineChars="0"/>
      <w:outlineLvl w:val="1"/>
    </w:pPr>
    <w:rPr>
      <w:sz w:val="28"/>
    </w:rPr>
  </w:style>
  <w:style w:type="paragraph" w:styleId="5">
    <w:name w:val="heading 3"/>
    <w:basedOn w:val="1"/>
    <w:next w:val="1"/>
    <w:unhideWhenUsed/>
    <w:qFormat/>
    <w:uiPriority w:val="0"/>
    <w:pPr>
      <w:keepNext/>
      <w:keepLines/>
      <w:spacing w:before="50" w:beforeLines="50" w:line="360" w:lineRule="auto"/>
      <w:ind w:firstLine="0" w:firstLineChars="0"/>
      <w:outlineLvl w:val="2"/>
    </w:pPr>
  </w:style>
  <w:style w:type="paragraph" w:styleId="6">
    <w:name w:val="heading 4"/>
    <w:next w:val="1"/>
    <w:unhideWhenUsed/>
    <w:qFormat/>
    <w:uiPriority w:val="9"/>
    <w:pPr>
      <w:keepNext/>
      <w:keepLines/>
      <w:widowControl w:val="0"/>
      <w:spacing w:line="360" w:lineRule="auto"/>
      <w:ind w:firstLine="200" w:firstLineChars="200"/>
      <w:jc w:val="both"/>
      <w:outlineLvl w:val="3"/>
    </w:pPr>
    <w:rPr>
      <w:rFonts w:ascii="宋体" w:hAnsi="宋体" w:eastAsia="宋体" w:cs="Times New Roman"/>
      <w:b/>
      <w:bCs/>
      <w:kern w:val="2"/>
      <w:sz w:val="24"/>
      <w:szCs w:val="28"/>
      <w:lang w:val="en-US" w:eastAsia="zh-CN" w:bidi="ar-SA"/>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2">
    <w:name w:val="Body Text"/>
    <w:next w:val="1"/>
    <w:qFormat/>
    <w:uiPriority w:val="0"/>
    <w:pPr>
      <w:widowControl w:val="0"/>
    </w:pPr>
    <w:rPr>
      <w:rFonts w:ascii="Calibri" w:hAnsi="Calibri" w:eastAsia="仿宋" w:cs="仿宋"/>
      <w:kern w:val="3"/>
      <w:sz w:val="28"/>
      <w:szCs w:val="24"/>
      <w:lang w:val="en-US" w:eastAsia="zh-CN" w:bidi="ar-SA"/>
    </w:rPr>
  </w:style>
  <w:style w:type="paragraph" w:styleId="7">
    <w:name w:val="caption"/>
    <w:next w:val="8"/>
    <w:qFormat/>
    <w:uiPriority w:val="0"/>
    <w:pPr>
      <w:widowControl w:val="0"/>
      <w:spacing w:line="300" w:lineRule="auto"/>
      <w:jc w:val="center"/>
    </w:pPr>
    <w:rPr>
      <w:rFonts w:ascii="仿宋" w:hAnsi="仿宋" w:eastAsia="仿宋" w:cs="仿宋"/>
      <w:b/>
      <w:kern w:val="3"/>
      <w:sz w:val="24"/>
      <w:szCs w:val="21"/>
      <w:lang w:val="en-US" w:eastAsia="zh-CN" w:bidi="ar-SA"/>
    </w:rPr>
  </w:style>
  <w:style w:type="paragraph" w:customStyle="1" w:styleId="8">
    <w:name w:val="K正文"/>
    <w:qFormat/>
    <w:uiPriority w:val="0"/>
    <w:pPr>
      <w:widowControl w:val="0"/>
      <w:spacing w:line="360" w:lineRule="auto"/>
      <w:ind w:firstLine="200" w:firstLineChars="200"/>
    </w:pPr>
    <w:rPr>
      <w:rFonts w:ascii="仿宋" w:hAnsi="仿宋" w:eastAsia="仿宋" w:cs="仿宋"/>
      <w:kern w:val="3"/>
      <w:sz w:val="28"/>
      <w:szCs w:val="28"/>
      <w:lang w:val="en-US" w:eastAsia="zh-CN" w:bidi="ar-SA"/>
    </w:rPr>
  </w:style>
  <w:style w:type="paragraph" w:styleId="9">
    <w:name w:val="annotation text"/>
    <w:basedOn w:val="1"/>
    <w:link w:val="34"/>
    <w:qFormat/>
    <w:uiPriority w:val="0"/>
  </w:style>
  <w:style w:type="paragraph" w:styleId="10">
    <w:name w:val="Body Text Indent"/>
    <w:qFormat/>
    <w:uiPriority w:val="0"/>
    <w:pPr>
      <w:widowControl w:val="0"/>
      <w:spacing w:line="360" w:lineRule="auto"/>
      <w:ind w:firstLine="570" w:firstLineChars="200"/>
    </w:pPr>
    <w:rPr>
      <w:rFonts w:ascii="宋体" w:hAnsi="宋体" w:eastAsia="仿宋" w:cs="宋体"/>
      <w:color w:val="000000"/>
      <w:sz w:val="28"/>
      <w:szCs w:val="28"/>
      <w:lang w:val="en-US" w:eastAsia="zh-CN" w:bidi="ar-SA"/>
    </w:rPr>
  </w:style>
  <w:style w:type="paragraph" w:styleId="11">
    <w:name w:val="Plain Text"/>
    <w:basedOn w:val="1"/>
    <w:link w:val="36"/>
    <w:qFormat/>
    <w:uiPriority w:val="0"/>
    <w:pPr>
      <w:spacing w:line="240" w:lineRule="auto"/>
      <w:ind w:firstLine="0" w:firstLineChars="0"/>
    </w:pPr>
    <w:rPr>
      <w:rFonts w:ascii="宋体" w:hAnsi="宋体"/>
    </w:rPr>
  </w:style>
  <w:style w:type="paragraph" w:styleId="12">
    <w:name w:val="Date"/>
    <w:basedOn w:val="1"/>
    <w:next w:val="1"/>
    <w:link w:val="39"/>
    <w:qFormat/>
    <w:uiPriority w:val="0"/>
    <w:pPr>
      <w:ind w:left="100" w:leftChars="2500"/>
    </w:pPr>
  </w:style>
  <w:style w:type="paragraph" w:styleId="13">
    <w:name w:val="Body Text Indent 2"/>
    <w:basedOn w:val="1"/>
    <w:qFormat/>
    <w:uiPriority w:val="0"/>
    <w:pPr>
      <w:ind w:firstLine="927" w:firstLineChars="331"/>
    </w:pPr>
    <w:rPr>
      <w:rFonts w:ascii="仿宋_GB2312" w:hAnsi="宋体" w:eastAsia="仿宋_GB2312"/>
      <w:sz w:val="2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unhideWhenUsed/>
    <w:qFormat/>
    <w:uiPriority w:val="99"/>
    <w:pPr>
      <w:spacing w:before="100" w:beforeAutospacing="1" w:after="100" w:afterAutospacing="1" w:line="360" w:lineRule="auto"/>
      <w:ind w:firstLine="200" w:firstLineChars="200"/>
    </w:pPr>
    <w:rPr>
      <w:rFonts w:cs="Times New Roman" w:asciiTheme="minorHAnsi" w:hAnsiTheme="minorHAnsi" w:eastAsiaTheme="minorEastAsia"/>
      <w:sz w:val="24"/>
      <w:szCs w:val="24"/>
      <w:lang w:val="en-US" w:eastAsia="zh-CN" w:bidi="ar-SA"/>
    </w:rPr>
  </w:style>
  <w:style w:type="paragraph" w:styleId="19">
    <w:name w:val="annotation subject"/>
    <w:basedOn w:val="9"/>
    <w:next w:val="9"/>
    <w:link w:val="35"/>
    <w:qFormat/>
    <w:uiPriority w:val="0"/>
    <w:rPr>
      <w:b/>
      <w:bCs/>
    </w:rPr>
  </w:style>
  <w:style w:type="paragraph" w:styleId="20">
    <w:name w:val="Body Text First Indent"/>
    <w:qFormat/>
    <w:uiPriority w:val="0"/>
    <w:pPr>
      <w:widowControl w:val="0"/>
      <w:spacing w:line="312" w:lineRule="auto"/>
      <w:ind w:firstLine="420"/>
      <w:jc w:val="both"/>
    </w:pPr>
    <w:rPr>
      <w:rFonts w:ascii="Times New Roman" w:hAnsi="Times New Roman" w:eastAsia="宋体" w:cs="Times New Roman"/>
      <w:kern w:val="2"/>
      <w:sz w:val="28"/>
      <w:szCs w:val="24"/>
      <w:lang w:val="en-US" w:eastAsia="zh-CN" w:bidi="ar-SA"/>
    </w:rPr>
  </w:style>
  <w:style w:type="paragraph" w:styleId="21">
    <w:name w:val="Body Text First Indent 2"/>
    <w:next w:val="2"/>
    <w:qFormat/>
    <w:uiPriority w:val="0"/>
    <w:pPr>
      <w:widowControl w:val="0"/>
      <w:spacing w:line="360" w:lineRule="auto"/>
      <w:ind w:firstLine="420" w:firstLineChars="200"/>
    </w:pPr>
    <w:rPr>
      <w:rFonts w:ascii="文鼎书宋简" w:hAnsi="宋体" w:eastAsia="文鼎书宋简" w:cs="宋体"/>
      <w:color w:val="000000"/>
      <w:spacing w:val="12"/>
      <w:sz w:val="24"/>
      <w:szCs w:val="28"/>
      <w:lang w:val="en-US" w:eastAsia="zh-CN" w:bidi="ar-SA"/>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563C1" w:themeColor="hyperlink"/>
      <w:u w:val="single"/>
      <w14:textFill>
        <w14:solidFill>
          <w14:schemeClr w14:val="hlink"/>
        </w14:solidFill>
      </w14:textFill>
    </w:rPr>
  </w:style>
  <w:style w:type="character" w:styleId="26">
    <w:name w:val="annotation reference"/>
    <w:basedOn w:val="24"/>
    <w:qFormat/>
    <w:uiPriority w:val="0"/>
    <w:rPr>
      <w:sz w:val="21"/>
      <w:szCs w:val="21"/>
    </w:rPr>
  </w:style>
  <w:style w:type="paragraph" w:customStyle="1" w:styleId="27">
    <w:name w:val="表格内容"/>
    <w:qFormat/>
    <w:uiPriority w:val="0"/>
    <w:pPr>
      <w:jc w:val="center"/>
    </w:pPr>
    <w:rPr>
      <w:rFonts w:ascii="楷体_GB2312" w:hAnsi="Times New Roman" w:eastAsia="楷体_GB2312" w:cs="Times New Roman"/>
      <w:sz w:val="24"/>
      <w:lang w:val="en-US" w:eastAsia="zh-CN" w:bidi="ar-SA"/>
    </w:rPr>
  </w:style>
  <w:style w:type="character" w:customStyle="1" w:styleId="28">
    <w:name w:val="font01"/>
    <w:basedOn w:val="24"/>
    <w:qFormat/>
    <w:uiPriority w:val="0"/>
    <w:rPr>
      <w:rFonts w:hint="eastAsia" w:ascii="宋体" w:hAnsi="宋体" w:eastAsia="宋体" w:cs="宋体"/>
      <w:b/>
      <w:color w:val="000000"/>
      <w:sz w:val="20"/>
      <w:szCs w:val="20"/>
      <w:u w:val="none"/>
    </w:rPr>
  </w:style>
  <w:style w:type="character" w:customStyle="1" w:styleId="29">
    <w:name w:val="font51"/>
    <w:basedOn w:val="24"/>
    <w:qFormat/>
    <w:uiPriority w:val="0"/>
    <w:rPr>
      <w:rFonts w:hint="eastAsia" w:ascii="宋体" w:hAnsi="宋体" w:eastAsia="宋体" w:cs="宋体"/>
      <w:color w:val="000000"/>
      <w:sz w:val="20"/>
      <w:szCs w:val="20"/>
      <w:u w:val="none"/>
    </w:rPr>
  </w:style>
  <w:style w:type="paragraph" w:styleId="30">
    <w:name w:val="List Paragraph"/>
    <w:basedOn w:val="1"/>
    <w:qFormat/>
    <w:uiPriority w:val="99"/>
  </w:style>
  <w:style w:type="paragraph" w:customStyle="1" w:styleId="31">
    <w:name w:val="方案正文"/>
    <w:basedOn w:val="1"/>
    <w:qFormat/>
    <w:uiPriority w:val="0"/>
    <w:rPr>
      <w:rFonts w:ascii="宋体" w:hAnsi="宋体" w:cs="Times New Roman"/>
      <w:sz w:val="28"/>
      <w:szCs w:val="20"/>
    </w:rPr>
  </w:style>
  <w:style w:type="table" w:customStyle="1" w:styleId="32">
    <w:name w:val="网格型1"/>
    <w:basedOn w:val="22"/>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2"/>
    <w:basedOn w:val="22"/>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
    <w:name w:val="批注文字 字符"/>
    <w:basedOn w:val="24"/>
    <w:link w:val="9"/>
    <w:qFormat/>
    <w:uiPriority w:val="0"/>
    <w:rPr>
      <w:rFonts w:ascii="仿宋" w:hAnsi="仿宋" w:eastAsia="仿宋" w:cstheme="minorBidi"/>
      <w:kern w:val="2"/>
      <w:sz w:val="24"/>
      <w:szCs w:val="24"/>
    </w:rPr>
  </w:style>
  <w:style w:type="character" w:customStyle="1" w:styleId="35">
    <w:name w:val="批注主题 字符"/>
    <w:basedOn w:val="34"/>
    <w:link w:val="19"/>
    <w:qFormat/>
    <w:uiPriority w:val="0"/>
    <w:rPr>
      <w:rFonts w:ascii="仿宋" w:hAnsi="仿宋" w:eastAsia="仿宋" w:cstheme="minorBidi"/>
      <w:b/>
      <w:bCs/>
      <w:kern w:val="2"/>
      <w:sz w:val="24"/>
      <w:szCs w:val="24"/>
    </w:rPr>
  </w:style>
  <w:style w:type="character" w:customStyle="1" w:styleId="36">
    <w:name w:val="纯文本 字符"/>
    <w:basedOn w:val="24"/>
    <w:link w:val="11"/>
    <w:qFormat/>
    <w:uiPriority w:val="0"/>
    <w:rPr>
      <w:rFonts w:ascii="宋体" w:hAnsi="宋体" w:eastAsia="仿宋" w:cstheme="minorBidi"/>
      <w:kern w:val="2"/>
      <w:sz w:val="24"/>
      <w:szCs w:val="24"/>
    </w:rPr>
  </w:style>
  <w:style w:type="paragraph" w:styleId="37">
    <w:name w:val="No Spacing"/>
    <w:link w:val="38"/>
    <w:qFormat/>
    <w:uiPriority w:val="1"/>
    <w:rPr>
      <w:rFonts w:ascii="Calibri" w:hAnsi="Calibri" w:eastAsia="宋体" w:cs="Times New Roman"/>
      <w:sz w:val="22"/>
      <w:szCs w:val="22"/>
      <w:lang w:val="en-US" w:eastAsia="zh-CN" w:bidi="ar-SA"/>
    </w:rPr>
  </w:style>
  <w:style w:type="character" w:customStyle="1" w:styleId="38">
    <w:name w:val="无间隔 字符"/>
    <w:link w:val="37"/>
    <w:qFormat/>
    <w:uiPriority w:val="1"/>
    <w:rPr>
      <w:rFonts w:ascii="Calibri" w:hAnsi="Calibri"/>
      <w:sz w:val="22"/>
      <w:szCs w:val="22"/>
    </w:rPr>
  </w:style>
  <w:style w:type="character" w:customStyle="1" w:styleId="39">
    <w:name w:val="日期 字符"/>
    <w:basedOn w:val="24"/>
    <w:link w:val="12"/>
    <w:qFormat/>
    <w:uiPriority w:val="0"/>
    <w:rPr>
      <w:rFonts w:ascii="仿宋" w:hAnsi="仿宋" w:eastAsia="仿宋" w:cstheme="minorBidi"/>
      <w:kern w:val="2"/>
      <w:sz w:val="24"/>
      <w:szCs w:val="24"/>
    </w:rPr>
  </w:style>
  <w:style w:type="character" w:customStyle="1" w:styleId="40">
    <w:name w:val="fontstyle01"/>
    <w:qFormat/>
    <w:uiPriority w:val="0"/>
    <w:rPr>
      <w:rFonts w:hint="eastAsia" w:ascii="仿宋_GB2312" w:eastAsia="仿宋_GB2312"/>
      <w:color w:val="000000"/>
      <w:sz w:val="24"/>
      <w:szCs w:val="24"/>
    </w:rPr>
  </w:style>
  <w:style w:type="paragraph" w:customStyle="1" w:styleId="41">
    <w:name w:val="图表标题"/>
    <w:qFormat/>
    <w:uiPriority w:val="0"/>
    <w:pPr>
      <w:widowControl w:val="0"/>
      <w:snapToGrid w:val="0"/>
      <w:spacing w:line="360" w:lineRule="auto"/>
      <w:ind w:firstLine="723" w:firstLineChars="200"/>
      <w:jc w:val="center"/>
    </w:pPr>
    <w:rPr>
      <w:rFonts w:hint="eastAsia" w:ascii="仿宋" w:hAnsi="仿宋" w:eastAsia="仿宋" w:cs="仿宋"/>
      <w:b/>
      <w:kern w:val="3"/>
      <w:sz w:val="24"/>
      <w:szCs w:val="24"/>
      <w:lang w:val="en-US" w:eastAsia="zh-CN" w:bidi="ar-SA"/>
    </w:rPr>
  </w:style>
  <w:style w:type="paragraph" w:customStyle="1" w:styleId="42">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Default"/>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paragraph" w:customStyle="1" w:styleId="44">
    <w:name w:val="表格居中"/>
    <w:next w:val="1"/>
    <w:qFormat/>
    <w:uiPriority w:val="0"/>
    <w:pPr>
      <w:adjustRightInd w:val="0"/>
      <w:snapToGrid w:val="0"/>
      <w:spacing w:beforeLines="25"/>
      <w:jc w:val="center"/>
    </w:pPr>
    <w:rPr>
      <w:rFonts w:ascii="宋体" w:hAnsi="宋体" w:eastAsia="等线" w:cs="Times New Roman"/>
      <w:kern w:val="2"/>
      <w:sz w:val="21"/>
      <w:szCs w:val="21"/>
      <w:lang w:val="en-US" w:eastAsia="zh-CN" w:bidi="ar-SA"/>
    </w:rPr>
  </w:style>
  <w:style w:type="character" w:customStyle="1" w:styleId="45">
    <w:name w:val="表格内文字"/>
    <w:qFormat/>
    <w:uiPriority w:val="0"/>
    <w:rPr>
      <w:rFonts w:ascii="Times New Roman" w:hAnsi="Times New Roman" w:eastAsia="宋体"/>
      <w:color w:val="auto"/>
      <w:sz w:val="21"/>
    </w:rPr>
  </w:style>
  <w:style w:type="paragraph" w:customStyle="1" w:styleId="46">
    <w:name w:val="列出段落1"/>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47">
    <w:name w:val="标准正文"/>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48">
    <w:name w:val="自建11"/>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49">
    <w:name w:val="k 正文"/>
    <w:qFormat/>
    <w:uiPriority w:val="0"/>
    <w:pPr>
      <w:widowControl w:val="0"/>
      <w:spacing w:line="360" w:lineRule="auto"/>
      <w:ind w:firstLine="200" w:firstLineChars="200"/>
      <w:jc w:val="both"/>
    </w:pPr>
    <w:rPr>
      <w:rFonts w:ascii="宋体" w:hAnsi="宋体" w:eastAsia="宋体" w:cs="Times New Roman"/>
      <w:sz w:val="24"/>
      <w:lang w:val="en-US" w:eastAsia="zh-CN" w:bidi="ar-SA"/>
    </w:rPr>
  </w:style>
  <w:style w:type="paragraph" w:customStyle="1" w:styleId="50">
    <w:name w:val="图表文字"/>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51">
    <w:name w:val="方案编制常用表格样式1"/>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52">
    <w:name w:val="普通文字"/>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53">
    <w:name w:val="图名"/>
    <w:next w:val="1"/>
    <w:qFormat/>
    <w:uiPriority w:val="0"/>
    <w:pPr>
      <w:widowControl w:val="0"/>
      <w:numPr>
        <w:ilvl w:val="5"/>
        <w:numId w:val="1"/>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54">
    <w:name w:val="正文X"/>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55">
    <w:name w:val="表格字体"/>
    <w:next w:val="47"/>
    <w:qFormat/>
    <w:uiPriority w:val="0"/>
    <w:pPr>
      <w:jc w:val="center"/>
    </w:pPr>
    <w:rPr>
      <w:rFonts w:ascii="Times New Roman" w:hAnsi="Times New Roman" w:eastAsia="宋体" w:cs="Times New Roman"/>
      <w:sz w:val="21"/>
      <w:szCs w:val="21"/>
      <w:lang w:val="en-US" w:eastAsia="zh-CN" w:bidi="ar-SA"/>
    </w:rPr>
  </w:style>
  <w:style w:type="paragraph" w:customStyle="1" w:styleId="56">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表内文字"/>
    <w:next w:val="1"/>
    <w:semiHidden/>
    <w:qFormat/>
    <w:uiPriority w:val="0"/>
    <w:pPr>
      <w:spacing w:line="360" w:lineRule="auto"/>
      <w:jc w:val="center"/>
    </w:pPr>
    <w:rPr>
      <w:rFonts w:ascii="仿宋" w:hAnsi="仿宋" w:eastAsia="仿宋" w:cs="仿宋"/>
      <w:sz w:val="21"/>
      <w:szCs w:val="21"/>
      <w:lang w:val="en-US" w:eastAsia="zh-CN" w:bidi="ar-SA"/>
    </w:rPr>
  </w:style>
  <w:style w:type="paragraph" w:customStyle="1" w:styleId="59">
    <w:name w:val="K图表字-居中"/>
    <w:qFormat/>
    <w:uiPriority w:val="0"/>
    <w:pPr>
      <w:widowControl w:val="0"/>
      <w:spacing w:line="360" w:lineRule="auto"/>
      <w:jc w:val="center"/>
    </w:pPr>
    <w:rPr>
      <w:rFonts w:ascii="仿宋" w:hAnsi="仿宋" w:eastAsia="仿宋" w:cs="仿宋"/>
      <w:kern w:val="3"/>
      <w:sz w:val="21"/>
      <w:szCs w:val="21"/>
      <w:lang w:val="en-US" w:eastAsia="zh-CN" w:bidi="ar-SA"/>
    </w:rPr>
  </w:style>
  <w:style w:type="paragraph" w:customStyle="1" w:styleId="60">
    <w:name w:val="Body text|4"/>
    <w:basedOn w:val="1"/>
    <w:qFormat/>
    <w:uiPriority w:val="0"/>
    <w:pPr>
      <w:spacing w:after="230"/>
      <w:jc w:val="center"/>
    </w:pPr>
    <w:rPr>
      <w:rFonts w:ascii="宋体" w:hAnsi="宋体" w:eastAsia="宋体" w:cs="宋体"/>
      <w:b/>
      <w:bCs/>
      <w:sz w:val="72"/>
      <w:szCs w:val="72"/>
      <w:lang w:val="zh-TW" w:eastAsia="zh-TW" w:bidi="zh-TW"/>
    </w:rPr>
  </w:style>
  <w:style w:type="paragraph" w:customStyle="1" w:styleId="61">
    <w:name w:val="Body text|1"/>
    <w:basedOn w:val="1"/>
    <w:qFormat/>
    <w:uiPriority w:val="0"/>
    <w:pPr>
      <w:spacing w:after="160" w:line="384" w:lineRule="auto"/>
      <w:ind w:firstLine="400"/>
    </w:pPr>
    <w:rPr>
      <w:rFonts w:ascii="宋体" w:hAnsi="宋体" w:eastAsia="宋体" w:cs="宋体"/>
      <w:sz w:val="28"/>
      <w:szCs w:val="28"/>
      <w:lang w:val="zh-TW" w:eastAsia="zh-TW" w:bidi="zh-TW"/>
    </w:rPr>
  </w:style>
  <w:style w:type="paragraph" w:customStyle="1" w:styleId="62">
    <w:name w:val="Body text|2"/>
    <w:basedOn w:val="1"/>
    <w:qFormat/>
    <w:uiPriority w:val="0"/>
    <w:pPr>
      <w:spacing w:after="180" w:line="545" w:lineRule="exact"/>
      <w:ind w:firstLine="520"/>
    </w:pPr>
    <w:rPr>
      <w:sz w:val="28"/>
      <w:szCs w:val="28"/>
    </w:rPr>
  </w:style>
  <w:style w:type="paragraph" w:customStyle="1" w:styleId="63">
    <w:name w:val="Heading #3|1"/>
    <w:basedOn w:val="1"/>
    <w:qFormat/>
    <w:uiPriority w:val="0"/>
    <w:pPr>
      <w:spacing w:line="360" w:lineRule="auto"/>
      <w:outlineLvl w:val="2"/>
    </w:pPr>
    <w:rPr>
      <w:rFonts w:ascii="宋体" w:hAnsi="宋体" w:eastAsia="宋体" w:cs="宋体"/>
      <w:b/>
      <w:bCs/>
      <w:sz w:val="30"/>
      <w:szCs w:val="30"/>
      <w:lang w:val="zh-TW" w:eastAsia="zh-TW" w:bidi="zh-TW"/>
    </w:rPr>
  </w:style>
  <w:style w:type="paragraph" w:customStyle="1" w:styleId="64">
    <w:name w:val="Header or footer|2"/>
    <w:basedOn w:val="1"/>
    <w:qFormat/>
    <w:uiPriority w:val="0"/>
    <w:rPr>
      <w:sz w:val="20"/>
      <w:szCs w:val="20"/>
      <w:lang w:val="zh-TW" w:eastAsia="zh-TW" w:bidi="zh-TW"/>
    </w:rPr>
  </w:style>
  <w:style w:type="paragraph" w:customStyle="1" w:styleId="65">
    <w:name w:val="Heading #4|1"/>
    <w:basedOn w:val="1"/>
    <w:qFormat/>
    <w:uiPriority w:val="0"/>
    <w:pPr>
      <w:spacing w:line="408" w:lineRule="auto"/>
      <w:outlineLvl w:val="3"/>
    </w:pPr>
    <w:rPr>
      <w:b/>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78.jpeg"/><Relationship Id="rId96" Type="http://schemas.openxmlformats.org/officeDocument/2006/relationships/image" Target="media/image77.pn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jpeg"/><Relationship Id="rId92" Type="http://schemas.openxmlformats.org/officeDocument/2006/relationships/image" Target="media/image73.jpeg"/><Relationship Id="rId91" Type="http://schemas.openxmlformats.org/officeDocument/2006/relationships/image" Target="media/image72.jpeg"/><Relationship Id="rId90" Type="http://schemas.openxmlformats.org/officeDocument/2006/relationships/image" Target="media/image71.jpeg"/><Relationship Id="rId9" Type="http://schemas.openxmlformats.org/officeDocument/2006/relationships/header" Target="header3.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wmf"/><Relationship Id="rId83" Type="http://schemas.openxmlformats.org/officeDocument/2006/relationships/oleObject" Target="embeddings/oleObject4.bin"/><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wmf"/><Relationship Id="rId8" Type="http://schemas.openxmlformats.org/officeDocument/2006/relationships/header" Target="header2.xml"/><Relationship Id="rId79" Type="http://schemas.openxmlformats.org/officeDocument/2006/relationships/oleObject" Target="embeddings/oleObject3.bin"/><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wmf"/><Relationship Id="rId7" Type="http://schemas.openxmlformats.org/officeDocument/2006/relationships/footer" Target="footer2.xml"/><Relationship Id="rId69" Type="http://schemas.openxmlformats.org/officeDocument/2006/relationships/oleObject" Target="embeddings/oleObject2.bin"/><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1.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emf"/><Relationship Id="rId54" Type="http://schemas.openxmlformats.org/officeDocument/2006/relationships/oleObject" Target="embeddings/oleObject1.bin"/><Relationship Id="rId53" Type="http://schemas.openxmlformats.org/officeDocument/2006/relationships/image" Target="media/image38.emf"/><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jpe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1" Type="http://schemas.openxmlformats.org/officeDocument/2006/relationships/fontTable" Target="fontTable.xml"/><Relationship Id="rId100" Type="http://schemas.openxmlformats.org/officeDocument/2006/relationships/customXml" Target="../customXml/item2.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8CAE40-63C6-4957-95FE-AA3B6425B240}">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41658</Words>
  <Characters>45367</Characters>
  <Lines>374</Lines>
  <Paragraphs>105</Paragraphs>
  <TotalTime>9</TotalTime>
  <ScaleCrop>false</ScaleCrop>
  <LinksUpToDate>false</LinksUpToDate>
  <CharactersWithSpaces>46403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2022-01-10T08:27:00Z</dcterms:created>
  <dc:creator>恒</dc:creator>
  <cp:lastModifiedBy>orgor</cp:lastModifiedBy>
  <dcterms:modified xsi:type="dcterms:W3CDTF">2022-09-08T06:22:04Z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2DA297421D0C4D59812C07EA3D9E58A6</vt:lpwstr>
  </property>
</Properties>
</file>