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472E0">
      <w:pPr>
        <w:ind w:firstLine="0" w:firstLineChars="0"/>
        <w:jc w:val="center"/>
        <w:rPr>
          <w:rFonts w:ascii="黑体" w:hAnsi="黑体" w:eastAsia="黑体" w:cs="黑体"/>
          <w:bCs/>
          <w:sz w:val="40"/>
          <w:szCs w:val="40"/>
        </w:rPr>
      </w:pPr>
    </w:p>
    <w:p w14:paraId="47EA01AB">
      <w:pPr>
        <w:pStyle w:val="16"/>
      </w:pPr>
      <w:r>
        <w:rPr>
          <w:rFonts w:hint="eastAsia"/>
        </w:rPr>
        <w:t>新建合肥至武汉高速铁路湖北段</w:t>
      </w:r>
    </w:p>
    <w:p w14:paraId="6562ED4B">
      <w:pPr>
        <w:pStyle w:val="16"/>
        <w:rPr>
          <w:lang w:val="zh-CN"/>
        </w:rPr>
      </w:pPr>
    </w:p>
    <w:p w14:paraId="7006E194">
      <w:pPr>
        <w:pStyle w:val="16"/>
        <w:rPr>
          <w:lang w:val="zh-CN"/>
        </w:rPr>
      </w:pPr>
    </w:p>
    <w:p w14:paraId="24E1A0D4">
      <w:pPr>
        <w:pStyle w:val="16"/>
        <w:rPr>
          <w:rFonts w:ascii="黑体" w:hAnsi="黑体" w:eastAsia="黑体" w:cs="黑体"/>
          <w:bCs/>
          <w:sz w:val="72"/>
          <w:szCs w:val="72"/>
          <w:lang w:val="zh-CN"/>
        </w:rPr>
      </w:pPr>
      <w:r>
        <w:rPr>
          <w:rFonts w:hint="eastAsia"/>
          <w:sz w:val="72"/>
          <w:szCs w:val="72"/>
        </w:rPr>
        <w:t>XGT6015A-8S塔式起重机安拆专项施工方案</w:t>
      </w:r>
    </w:p>
    <w:p w14:paraId="7EE3A8D2">
      <w:pPr>
        <w:pStyle w:val="16"/>
        <w:rPr>
          <w:lang w:val="zh-CN"/>
        </w:rPr>
      </w:pPr>
    </w:p>
    <w:p w14:paraId="7ED08F40">
      <w:pPr>
        <w:spacing w:line="240" w:lineRule="auto"/>
        <w:ind w:firstLine="0" w:firstLineChars="0"/>
        <w:jc w:val="center"/>
        <w:rPr>
          <w:rFonts w:ascii="仿宋_GB2312"/>
        </w:rPr>
      </w:pPr>
      <w:r>
        <w:rPr>
          <w:rFonts w:ascii="黑体" w:hAnsi="黑体" w:eastAsia="黑体" w:cs="楷体_GB2312"/>
          <w:sz w:val="32"/>
          <w:szCs w:val="32"/>
        </w:rPr>
        <w:drawing>
          <wp:inline distT="0" distB="0" distL="0" distR="0">
            <wp:extent cx="3273425" cy="2910840"/>
            <wp:effectExtent l="0" t="0" r="3175" b="3810"/>
            <wp:docPr id="168252363" name="图片 1" descr="18-19VI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363" name="图片 1" descr="18-19VI基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73425" cy="2910840"/>
                    </a:xfrm>
                    <a:prstGeom prst="rect">
                      <a:avLst/>
                    </a:prstGeom>
                    <a:noFill/>
                    <a:ln>
                      <a:noFill/>
                    </a:ln>
                    <a:effectLst/>
                  </pic:spPr>
                </pic:pic>
              </a:graphicData>
            </a:graphic>
          </wp:inline>
        </w:drawing>
      </w:r>
    </w:p>
    <w:p w14:paraId="299C52AC">
      <w:pPr>
        <w:ind w:firstLine="560"/>
        <w:rPr>
          <w:rFonts w:ascii="仿宋_GB2312" w:hAnsi="宋体"/>
        </w:rPr>
      </w:pPr>
    </w:p>
    <w:p w14:paraId="6D1C4CB9">
      <w:pPr>
        <w:pStyle w:val="11"/>
        <w:ind w:firstLine="560"/>
        <w:rPr>
          <w:rFonts w:hint="default" w:ascii="仿宋_GB2312" w:hAnsi="宋体"/>
        </w:rPr>
      </w:pPr>
    </w:p>
    <w:p w14:paraId="71B856E8">
      <w:pPr>
        <w:ind w:firstLine="560"/>
        <w:rPr>
          <w:rFonts w:ascii="仿宋_GB2312" w:hAnsi="宋体"/>
        </w:rPr>
      </w:pPr>
    </w:p>
    <w:p w14:paraId="1AD131F7">
      <w:pPr>
        <w:ind w:firstLine="0" w:firstLineChars="0"/>
        <w:jc w:val="center"/>
        <w:rPr>
          <w:rFonts w:ascii="宋体" w:hAnsi="宋体"/>
          <w:sz w:val="32"/>
          <w:szCs w:val="32"/>
        </w:rPr>
      </w:pPr>
      <w:r>
        <w:rPr>
          <w:rFonts w:hint="eastAsia" w:ascii="宋体" w:hAnsi="宋体"/>
          <w:sz w:val="32"/>
          <w:szCs w:val="32"/>
        </w:rPr>
        <w:t>中铁大桥局集团有限公司</w:t>
      </w:r>
    </w:p>
    <w:p w14:paraId="66769A9C">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6F163041">
      <w:pPr>
        <w:ind w:firstLine="0" w:firstLineChars="0"/>
        <w:jc w:val="center"/>
        <w:rPr>
          <w:rFonts w:ascii="宋体" w:hAnsi="宋体"/>
          <w:color w:val="000000"/>
          <w:sz w:val="32"/>
          <w:szCs w:val="32"/>
        </w:rPr>
      </w:pPr>
      <w:r>
        <w:rPr>
          <w:rFonts w:hint="eastAsia" w:ascii="宋体" w:hAnsi="宋体"/>
          <w:color w:val="000000"/>
          <w:sz w:val="32"/>
          <w:szCs w:val="32"/>
        </w:rPr>
        <w:t>二〇二</w:t>
      </w:r>
      <w:r>
        <w:rPr>
          <w:rFonts w:hint="eastAsia" w:ascii="宋体" w:hAnsi="宋体"/>
          <w:color w:val="000000"/>
          <w:sz w:val="32"/>
          <w:szCs w:val="32"/>
          <w:lang w:val="en-US" w:eastAsia="zh-CN"/>
        </w:rPr>
        <w:t>五</w:t>
      </w:r>
      <w:r>
        <w:rPr>
          <w:rFonts w:hint="eastAsia" w:ascii="宋体" w:hAnsi="宋体"/>
          <w:color w:val="000000"/>
          <w:sz w:val="32"/>
          <w:szCs w:val="32"/>
        </w:rPr>
        <w:t>年</w:t>
      </w:r>
      <w:r>
        <w:rPr>
          <w:rFonts w:hint="eastAsia" w:ascii="宋体" w:hAnsi="宋体"/>
          <w:color w:val="000000"/>
          <w:sz w:val="32"/>
          <w:szCs w:val="32"/>
          <w:lang w:val="en-US" w:eastAsia="zh-CN"/>
        </w:rPr>
        <w:t>三</w:t>
      </w:r>
      <w:r>
        <w:rPr>
          <w:rFonts w:hint="eastAsia" w:ascii="宋体" w:hAnsi="宋体"/>
          <w:color w:val="000000"/>
          <w:sz w:val="32"/>
          <w:szCs w:val="32"/>
        </w:rPr>
        <w:t>月</w:t>
      </w:r>
    </w:p>
    <w:p w14:paraId="369F1B9E">
      <w:pPr>
        <w:ind w:firstLine="0" w:firstLineChars="0"/>
        <w:contextualSpacing/>
        <w:jc w:val="center"/>
      </w:pPr>
      <w:r>
        <w:rPr>
          <w:rFonts w:hint="eastAsia"/>
        </w:rPr>
        <w:br w:type="page"/>
      </w:r>
    </w:p>
    <w:p w14:paraId="0BC5A10D">
      <w:pPr>
        <w:pStyle w:val="16"/>
        <w:spacing w:line="480" w:lineRule="auto"/>
      </w:pPr>
      <w:r>
        <w:br w:type="page"/>
      </w:r>
    </w:p>
    <w:p w14:paraId="626C1DAE">
      <w:pPr>
        <w:pStyle w:val="16"/>
        <w:spacing w:line="480" w:lineRule="auto"/>
        <w:rPr>
          <w:sz w:val="32"/>
          <w:szCs w:val="32"/>
        </w:rPr>
      </w:pPr>
    </w:p>
    <w:p w14:paraId="04F4319F">
      <w:pPr>
        <w:pStyle w:val="16"/>
        <w:spacing w:line="480" w:lineRule="auto"/>
        <w:rPr>
          <w:b w:val="0"/>
          <w:sz w:val="48"/>
          <w:szCs w:val="48"/>
        </w:rPr>
      </w:pPr>
      <w:r>
        <w:rPr>
          <w:rFonts w:hint="eastAsia"/>
          <w:sz w:val="48"/>
          <w:szCs w:val="48"/>
        </w:rPr>
        <w:t>新建合肥至武汉高速铁路湖北段</w:t>
      </w:r>
    </w:p>
    <w:p w14:paraId="272052F7">
      <w:pPr>
        <w:pStyle w:val="16"/>
        <w:rPr>
          <w:b w:val="0"/>
          <w:sz w:val="48"/>
          <w:szCs w:val="48"/>
        </w:rPr>
      </w:pPr>
    </w:p>
    <w:p w14:paraId="6DD43558">
      <w:pPr>
        <w:pStyle w:val="16"/>
        <w:rPr>
          <w:sz w:val="72"/>
          <w:szCs w:val="72"/>
        </w:rPr>
      </w:pPr>
      <w:r>
        <w:rPr>
          <w:rFonts w:hint="eastAsia"/>
          <w:sz w:val="72"/>
          <w:szCs w:val="72"/>
        </w:rPr>
        <w:t>XGT6015A-8S塔式起重机安拆专项施工方案</w:t>
      </w:r>
    </w:p>
    <w:p w14:paraId="010F523B">
      <w:pPr>
        <w:pStyle w:val="16"/>
        <w:rPr>
          <w:sz w:val="32"/>
          <w:szCs w:val="32"/>
        </w:rPr>
      </w:pPr>
    </w:p>
    <w:p w14:paraId="43D24C38">
      <w:pPr>
        <w:pStyle w:val="16"/>
        <w:rPr>
          <w:sz w:val="32"/>
          <w:szCs w:val="32"/>
        </w:rPr>
      </w:pPr>
    </w:p>
    <w:p w14:paraId="75C2CF51">
      <w:pPr>
        <w:pStyle w:val="16"/>
        <w:rPr>
          <w:sz w:val="32"/>
          <w:szCs w:val="32"/>
        </w:rPr>
      </w:pPr>
    </w:p>
    <w:p w14:paraId="4D984CF6">
      <w:pPr>
        <w:pStyle w:val="16"/>
        <w:spacing w:line="480" w:lineRule="auto"/>
        <w:ind w:firstLine="2409" w:firstLineChars="750"/>
        <w:jc w:val="left"/>
        <w:rPr>
          <w:sz w:val="32"/>
          <w:szCs w:val="32"/>
        </w:rPr>
      </w:pPr>
      <w:r>
        <w:rPr>
          <w:rFonts w:hint="eastAsia"/>
          <w:sz w:val="32"/>
          <w:szCs w:val="32"/>
        </w:rPr>
        <w:t xml:space="preserve">编    制：  </w:t>
      </w:r>
    </w:p>
    <w:p w14:paraId="03A01E60">
      <w:pPr>
        <w:pStyle w:val="16"/>
        <w:spacing w:line="480" w:lineRule="auto"/>
        <w:ind w:firstLine="2409" w:firstLineChars="750"/>
        <w:jc w:val="left"/>
        <w:rPr>
          <w:sz w:val="32"/>
          <w:szCs w:val="32"/>
        </w:rPr>
      </w:pPr>
      <w:r>
        <w:rPr>
          <w:rFonts w:hint="eastAsia"/>
          <w:sz w:val="32"/>
          <w:szCs w:val="32"/>
        </w:rPr>
        <w:t>审    核：</w:t>
      </w:r>
    </w:p>
    <w:p w14:paraId="30B9E905">
      <w:pPr>
        <w:pStyle w:val="16"/>
        <w:spacing w:line="480" w:lineRule="auto"/>
        <w:ind w:firstLine="2409" w:firstLineChars="750"/>
        <w:jc w:val="left"/>
        <w:rPr>
          <w:sz w:val="32"/>
          <w:szCs w:val="32"/>
        </w:rPr>
      </w:pPr>
      <w:r>
        <w:rPr>
          <w:rFonts w:hint="eastAsia"/>
          <w:sz w:val="32"/>
          <w:szCs w:val="32"/>
        </w:rPr>
        <w:t>审    批：</w:t>
      </w:r>
    </w:p>
    <w:p w14:paraId="7A3AA50A">
      <w:pPr>
        <w:pStyle w:val="16"/>
        <w:spacing w:line="480" w:lineRule="auto"/>
        <w:rPr>
          <w:sz w:val="32"/>
          <w:szCs w:val="32"/>
        </w:rPr>
      </w:pPr>
    </w:p>
    <w:p w14:paraId="2133E92D">
      <w:pPr>
        <w:pStyle w:val="16"/>
        <w:spacing w:line="480" w:lineRule="auto"/>
        <w:rPr>
          <w:sz w:val="32"/>
          <w:szCs w:val="32"/>
        </w:rPr>
      </w:pPr>
    </w:p>
    <w:p w14:paraId="36DA7CF9">
      <w:pPr>
        <w:spacing w:line="240" w:lineRule="auto"/>
        <w:ind w:firstLine="0" w:firstLineChars="0"/>
        <w:jc w:val="center"/>
        <w:rPr>
          <w:rFonts w:ascii="宋体" w:hAnsi="宋体"/>
          <w:sz w:val="32"/>
          <w:szCs w:val="32"/>
        </w:rPr>
      </w:pPr>
      <w:r>
        <w:rPr>
          <w:rFonts w:hint="eastAsia" w:ascii="宋体" w:hAnsi="宋体"/>
          <w:sz w:val="32"/>
          <w:szCs w:val="32"/>
        </w:rPr>
        <w:t>中铁大桥局集团有限公司</w:t>
      </w:r>
    </w:p>
    <w:p w14:paraId="76F93E89">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52E1050E">
      <w:pPr>
        <w:ind w:firstLine="0" w:firstLineChars="0"/>
        <w:jc w:val="center"/>
        <w:rPr>
          <w:rFonts w:ascii="宋体" w:hAnsi="宋体"/>
          <w:sz w:val="32"/>
          <w:szCs w:val="32"/>
        </w:rPr>
      </w:pPr>
      <w:r>
        <w:rPr>
          <w:rFonts w:hint="eastAsia" w:ascii="宋体" w:hAnsi="宋体"/>
          <w:sz w:val="32"/>
          <w:szCs w:val="32"/>
        </w:rPr>
        <w:t>二〇二</w:t>
      </w:r>
      <w:r>
        <w:rPr>
          <w:rFonts w:hint="eastAsia" w:ascii="宋体" w:hAnsi="宋体"/>
          <w:sz w:val="32"/>
          <w:szCs w:val="32"/>
          <w:lang w:val="en-US" w:eastAsia="zh-CN"/>
        </w:rPr>
        <w:t>五</w:t>
      </w:r>
      <w:r>
        <w:rPr>
          <w:rFonts w:hint="eastAsia" w:ascii="宋体" w:hAnsi="宋体"/>
          <w:sz w:val="32"/>
          <w:szCs w:val="32"/>
        </w:rPr>
        <w:t>年</w:t>
      </w:r>
      <w:r>
        <w:rPr>
          <w:rFonts w:hint="eastAsia" w:ascii="宋体" w:hAnsi="宋体"/>
          <w:color w:val="000000"/>
          <w:sz w:val="32"/>
          <w:szCs w:val="32"/>
          <w:lang w:val="en-US" w:eastAsia="zh-CN"/>
        </w:rPr>
        <w:t>三</w:t>
      </w:r>
      <w:r>
        <w:rPr>
          <w:rFonts w:hint="eastAsia" w:ascii="宋体" w:hAnsi="宋体"/>
          <w:sz w:val="32"/>
          <w:szCs w:val="32"/>
        </w:rPr>
        <w:t>月</w:t>
      </w:r>
    </w:p>
    <w:p w14:paraId="1D8BCA85">
      <w:pPr>
        <w:ind w:firstLine="0" w:firstLineChars="0"/>
        <w:jc w:val="center"/>
        <w:rPr>
          <w:rFonts w:ascii="宋体" w:hAnsi="宋体"/>
          <w:sz w:val="32"/>
          <w:szCs w:val="32"/>
        </w:rPr>
      </w:pPr>
    </w:p>
    <w:p w14:paraId="16E52164">
      <w:pPr>
        <w:widowControl/>
        <w:spacing w:line="240" w:lineRule="auto"/>
        <w:ind w:firstLine="0" w:firstLineChars="0"/>
        <w:jc w:val="left"/>
        <w:rPr>
          <w:rFonts w:ascii="宋体" w:hAnsi="宋体"/>
          <w:sz w:val="32"/>
          <w:szCs w:val="32"/>
        </w:rPr>
      </w:pPr>
      <w:r>
        <w:rPr>
          <w:rFonts w:ascii="宋体" w:hAnsi="宋体"/>
          <w:sz w:val="32"/>
          <w:szCs w:val="32"/>
        </w:rPr>
        <w:br w:type="page"/>
      </w:r>
    </w:p>
    <w:p w14:paraId="0A917CB1">
      <w:pPr>
        <w:widowControl/>
        <w:spacing w:line="240" w:lineRule="auto"/>
        <w:ind w:firstLine="0" w:firstLineChars="0"/>
        <w:jc w:val="left"/>
      </w:pPr>
    </w:p>
    <w:p w14:paraId="2A451976">
      <w:pPr>
        <w:ind w:firstLine="0" w:firstLineChars="0"/>
        <w:contextualSpacing/>
        <w:jc w:val="center"/>
        <w:rPr>
          <w:rFonts w:ascii="黑体" w:hAnsi="宋体" w:eastAsia="黑体"/>
          <w:sz w:val="32"/>
          <w:szCs w:val="32"/>
        </w:rPr>
        <w:sectPr>
          <w:headerReference r:id="rId7" w:type="first"/>
          <w:headerReference r:id="rId5" w:type="default"/>
          <w:headerReference r:id="rId6" w:type="even"/>
          <w:footerReference r:id="rId8" w:type="even"/>
          <w:pgSz w:w="11906" w:h="16838"/>
          <w:pgMar w:top="1440" w:right="1588" w:bottom="1440" w:left="1588" w:header="851" w:footer="992" w:gutter="0"/>
          <w:cols w:space="720" w:num="1"/>
          <w:docGrid w:linePitch="312" w:charSpace="0"/>
        </w:sectPr>
      </w:pPr>
    </w:p>
    <w:p w14:paraId="10F3545E">
      <w:pPr>
        <w:spacing w:line="240" w:lineRule="auto"/>
        <w:ind w:firstLine="0" w:firstLineChars="0"/>
        <w:jc w:val="center"/>
        <w:rPr>
          <w:color w:val="000000"/>
          <w:sz w:val="32"/>
          <w:szCs w:val="32"/>
        </w:rPr>
      </w:pPr>
      <w:bookmarkStart w:id="0" w:name="_Toc2628"/>
      <w:bookmarkStart w:id="1" w:name="_Toc21598"/>
      <w:bookmarkStart w:id="2" w:name="_Toc14401"/>
      <w:bookmarkStart w:id="3" w:name="_Toc20191"/>
      <w:bookmarkStart w:id="4" w:name="_Toc21301"/>
      <w:bookmarkStart w:id="5" w:name="_Toc21072"/>
      <w:bookmarkStart w:id="6" w:name="_Toc1815"/>
      <w:bookmarkStart w:id="7" w:name="_Toc28390"/>
      <w:bookmarkStart w:id="8" w:name="_Toc18989"/>
      <w:bookmarkStart w:id="9" w:name="_Toc29686"/>
      <w:bookmarkStart w:id="10" w:name="_Toc19165"/>
      <w:bookmarkStart w:id="11" w:name="_Toc4691"/>
      <w:bookmarkStart w:id="12" w:name="_Toc16713"/>
      <w:bookmarkStart w:id="13" w:name="_Toc23028"/>
      <w:bookmarkStart w:id="14" w:name="_Toc13551"/>
      <w:r>
        <w:rPr>
          <w:rFonts w:hint="eastAsia"/>
          <w:color w:val="000000"/>
          <w:sz w:val="32"/>
          <w:szCs w:val="32"/>
        </w:rPr>
        <w:t>目录</w:t>
      </w:r>
    </w:p>
    <w:p w14:paraId="1374057E">
      <w:pPr>
        <w:pStyle w:val="27"/>
        <w:tabs>
          <w:tab w:val="right" w:leader="dot" w:pos="9015"/>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_Toc17256 </w:instrText>
      </w:r>
      <w:r>
        <w:rPr>
          <w:rFonts w:hint="eastAsia"/>
        </w:rPr>
        <w:fldChar w:fldCharType="separate"/>
      </w:r>
      <w:r>
        <w:rPr>
          <w:rFonts w:hint="eastAsia"/>
        </w:rPr>
        <w:t>第一章 编制说明</w:t>
      </w:r>
      <w:r>
        <w:tab/>
      </w:r>
      <w:r>
        <w:fldChar w:fldCharType="begin"/>
      </w:r>
      <w:r>
        <w:instrText xml:space="preserve"> PAGEREF _Toc17256 \h </w:instrText>
      </w:r>
      <w:r>
        <w:fldChar w:fldCharType="separate"/>
      </w:r>
      <w:r>
        <w:t>4</w:t>
      </w:r>
      <w:r>
        <w:fldChar w:fldCharType="end"/>
      </w:r>
      <w:r>
        <w:rPr>
          <w:rFonts w:hint="eastAsia"/>
          <w:color w:val="000000"/>
        </w:rPr>
        <w:fldChar w:fldCharType="end"/>
      </w:r>
    </w:p>
    <w:p w14:paraId="205B7951">
      <w:pPr>
        <w:pStyle w:val="32"/>
        <w:tabs>
          <w:tab w:val="right" w:leader="dot" w:pos="9015"/>
        </w:tabs>
      </w:pPr>
      <w:r>
        <w:rPr>
          <w:rFonts w:hint="eastAsia"/>
          <w:color w:val="000000"/>
        </w:rPr>
        <w:fldChar w:fldCharType="begin"/>
      </w:r>
      <w:r>
        <w:rPr>
          <w:rFonts w:hint="eastAsia"/>
        </w:rPr>
        <w:instrText xml:space="preserve"> HYPERLINK \l _Toc22109 </w:instrText>
      </w:r>
      <w:r>
        <w:rPr>
          <w:rFonts w:hint="eastAsia"/>
        </w:rPr>
        <w:fldChar w:fldCharType="separate"/>
      </w:r>
      <w:r>
        <w:rPr>
          <w:rFonts w:hint="eastAsia"/>
        </w:rPr>
        <w:t>1</w:t>
      </w:r>
      <w:r>
        <w:t>.1编制依据</w:t>
      </w:r>
      <w:r>
        <w:tab/>
      </w:r>
      <w:r>
        <w:fldChar w:fldCharType="begin"/>
      </w:r>
      <w:r>
        <w:instrText xml:space="preserve"> PAGEREF _Toc22109 \h </w:instrText>
      </w:r>
      <w:r>
        <w:fldChar w:fldCharType="separate"/>
      </w:r>
      <w:r>
        <w:t>4</w:t>
      </w:r>
      <w:r>
        <w:fldChar w:fldCharType="end"/>
      </w:r>
      <w:r>
        <w:rPr>
          <w:rFonts w:hint="eastAsia"/>
          <w:color w:val="000000"/>
        </w:rPr>
        <w:fldChar w:fldCharType="end"/>
      </w:r>
    </w:p>
    <w:p w14:paraId="24E62F93">
      <w:pPr>
        <w:pStyle w:val="32"/>
        <w:tabs>
          <w:tab w:val="right" w:leader="dot" w:pos="9015"/>
        </w:tabs>
      </w:pPr>
      <w:r>
        <w:rPr>
          <w:rFonts w:hint="eastAsia"/>
          <w:color w:val="000000"/>
        </w:rPr>
        <w:fldChar w:fldCharType="begin"/>
      </w:r>
      <w:r>
        <w:rPr>
          <w:rFonts w:hint="eastAsia"/>
        </w:rPr>
        <w:instrText xml:space="preserve"> HYPERLINK \l _Toc3888 </w:instrText>
      </w:r>
      <w:r>
        <w:rPr>
          <w:rFonts w:hint="eastAsia"/>
        </w:rPr>
        <w:fldChar w:fldCharType="separate"/>
      </w:r>
      <w:r>
        <w:rPr>
          <w:rFonts w:hint="eastAsia"/>
        </w:rPr>
        <w:t>1.2 编制原则</w:t>
      </w:r>
      <w:r>
        <w:tab/>
      </w:r>
      <w:r>
        <w:fldChar w:fldCharType="begin"/>
      </w:r>
      <w:r>
        <w:instrText xml:space="preserve"> PAGEREF _Toc3888 \h </w:instrText>
      </w:r>
      <w:r>
        <w:fldChar w:fldCharType="separate"/>
      </w:r>
      <w:r>
        <w:t>4</w:t>
      </w:r>
      <w:r>
        <w:fldChar w:fldCharType="end"/>
      </w:r>
      <w:r>
        <w:rPr>
          <w:rFonts w:hint="eastAsia"/>
          <w:color w:val="000000"/>
        </w:rPr>
        <w:fldChar w:fldCharType="end"/>
      </w:r>
    </w:p>
    <w:p w14:paraId="4E4A3040">
      <w:pPr>
        <w:pStyle w:val="32"/>
        <w:tabs>
          <w:tab w:val="right" w:leader="dot" w:pos="9015"/>
        </w:tabs>
      </w:pPr>
      <w:r>
        <w:rPr>
          <w:rFonts w:hint="eastAsia"/>
          <w:color w:val="000000"/>
        </w:rPr>
        <w:fldChar w:fldCharType="begin"/>
      </w:r>
      <w:r>
        <w:rPr>
          <w:rFonts w:hint="eastAsia"/>
        </w:rPr>
        <w:instrText xml:space="preserve"> HYPERLINK \l _Toc9687 </w:instrText>
      </w:r>
      <w:r>
        <w:rPr>
          <w:rFonts w:hint="eastAsia"/>
        </w:rPr>
        <w:fldChar w:fldCharType="separate"/>
      </w:r>
      <w:r>
        <w:rPr>
          <w:rFonts w:hint="eastAsia"/>
        </w:rPr>
        <w:t>1.3 编制范围</w:t>
      </w:r>
      <w:r>
        <w:tab/>
      </w:r>
      <w:r>
        <w:fldChar w:fldCharType="begin"/>
      </w:r>
      <w:r>
        <w:instrText xml:space="preserve"> PAGEREF _Toc9687 \h </w:instrText>
      </w:r>
      <w:r>
        <w:fldChar w:fldCharType="separate"/>
      </w:r>
      <w:r>
        <w:t>5</w:t>
      </w:r>
      <w:r>
        <w:fldChar w:fldCharType="end"/>
      </w:r>
      <w:r>
        <w:rPr>
          <w:rFonts w:hint="eastAsia"/>
          <w:color w:val="000000"/>
        </w:rPr>
        <w:fldChar w:fldCharType="end"/>
      </w:r>
    </w:p>
    <w:p w14:paraId="161B2C61">
      <w:pPr>
        <w:pStyle w:val="27"/>
        <w:tabs>
          <w:tab w:val="right" w:leader="dot" w:pos="9015"/>
        </w:tabs>
      </w:pPr>
      <w:r>
        <w:rPr>
          <w:rFonts w:hint="eastAsia"/>
          <w:color w:val="000000"/>
        </w:rPr>
        <w:fldChar w:fldCharType="begin"/>
      </w:r>
      <w:r>
        <w:rPr>
          <w:rFonts w:hint="eastAsia"/>
        </w:rPr>
        <w:instrText xml:space="preserve"> HYPERLINK \l _Toc7152 </w:instrText>
      </w:r>
      <w:r>
        <w:rPr>
          <w:rFonts w:hint="eastAsia"/>
        </w:rPr>
        <w:fldChar w:fldCharType="separate"/>
      </w:r>
      <w:r>
        <w:rPr>
          <w:rFonts w:hint="eastAsia"/>
        </w:rPr>
        <w:t xml:space="preserve">第二章 </w:t>
      </w:r>
      <w:r>
        <w:rPr>
          <w:rFonts w:hint="eastAsia"/>
          <w:highlight w:val="none"/>
        </w:rPr>
        <w:t>工程概况</w:t>
      </w:r>
      <w:r>
        <w:tab/>
      </w:r>
      <w:r>
        <w:fldChar w:fldCharType="begin"/>
      </w:r>
      <w:r>
        <w:instrText xml:space="preserve"> PAGEREF _Toc7152 \h </w:instrText>
      </w:r>
      <w:r>
        <w:fldChar w:fldCharType="separate"/>
      </w:r>
      <w:r>
        <w:t>6</w:t>
      </w:r>
      <w:r>
        <w:fldChar w:fldCharType="end"/>
      </w:r>
      <w:r>
        <w:rPr>
          <w:rFonts w:hint="eastAsia"/>
          <w:color w:val="000000"/>
        </w:rPr>
        <w:fldChar w:fldCharType="end"/>
      </w:r>
    </w:p>
    <w:p w14:paraId="0C78EADD">
      <w:pPr>
        <w:pStyle w:val="32"/>
        <w:tabs>
          <w:tab w:val="right" w:leader="dot" w:pos="9015"/>
        </w:tabs>
      </w:pPr>
      <w:r>
        <w:rPr>
          <w:rFonts w:hint="eastAsia"/>
          <w:color w:val="000000"/>
        </w:rPr>
        <w:fldChar w:fldCharType="begin"/>
      </w:r>
      <w:r>
        <w:rPr>
          <w:rFonts w:hint="eastAsia"/>
        </w:rPr>
        <w:instrText xml:space="preserve"> HYPERLINK \l _Toc21290 </w:instrText>
      </w:r>
      <w:r>
        <w:rPr>
          <w:rFonts w:hint="eastAsia"/>
        </w:rPr>
        <w:fldChar w:fldCharType="separate"/>
      </w:r>
      <w:r>
        <w:rPr>
          <w:rFonts w:hint="eastAsia"/>
        </w:rPr>
        <w:t>2.1 工程概况</w:t>
      </w:r>
      <w:r>
        <w:tab/>
      </w:r>
      <w:r>
        <w:fldChar w:fldCharType="begin"/>
      </w:r>
      <w:r>
        <w:instrText xml:space="preserve"> PAGEREF _Toc21290 \h </w:instrText>
      </w:r>
      <w:r>
        <w:fldChar w:fldCharType="separate"/>
      </w:r>
      <w:r>
        <w:t>6</w:t>
      </w:r>
      <w:r>
        <w:fldChar w:fldCharType="end"/>
      </w:r>
      <w:r>
        <w:rPr>
          <w:rFonts w:hint="eastAsia"/>
          <w:color w:val="000000"/>
        </w:rPr>
        <w:fldChar w:fldCharType="end"/>
      </w:r>
    </w:p>
    <w:p w14:paraId="77F920C4">
      <w:pPr>
        <w:pStyle w:val="32"/>
        <w:tabs>
          <w:tab w:val="right" w:leader="dot" w:pos="9015"/>
        </w:tabs>
      </w:pPr>
      <w:r>
        <w:rPr>
          <w:rFonts w:hint="eastAsia"/>
          <w:color w:val="000000"/>
        </w:rPr>
        <w:fldChar w:fldCharType="begin"/>
      </w:r>
      <w:r>
        <w:rPr>
          <w:rFonts w:hint="eastAsia"/>
        </w:rPr>
        <w:instrText xml:space="preserve"> HYPERLINK \l _Toc18908 </w:instrText>
      </w:r>
      <w:r>
        <w:rPr>
          <w:rFonts w:hint="eastAsia"/>
        </w:rPr>
        <w:fldChar w:fldCharType="separate"/>
      </w:r>
      <w:r>
        <w:rPr>
          <w:rFonts w:hint="eastAsia"/>
        </w:rPr>
        <w:t>2.2 塔机布置</w:t>
      </w:r>
      <w:r>
        <w:tab/>
      </w:r>
      <w:r>
        <w:fldChar w:fldCharType="begin"/>
      </w:r>
      <w:r>
        <w:instrText xml:space="preserve"> PAGEREF _Toc18908 \h </w:instrText>
      </w:r>
      <w:r>
        <w:fldChar w:fldCharType="separate"/>
      </w:r>
      <w:r>
        <w:t>8</w:t>
      </w:r>
      <w:r>
        <w:fldChar w:fldCharType="end"/>
      </w:r>
      <w:r>
        <w:rPr>
          <w:rFonts w:hint="eastAsia"/>
          <w:color w:val="000000"/>
        </w:rPr>
        <w:fldChar w:fldCharType="end"/>
      </w:r>
    </w:p>
    <w:p w14:paraId="22F9A201">
      <w:pPr>
        <w:pStyle w:val="27"/>
        <w:tabs>
          <w:tab w:val="right" w:leader="dot" w:pos="9015"/>
        </w:tabs>
      </w:pPr>
      <w:r>
        <w:rPr>
          <w:rFonts w:hint="eastAsia"/>
          <w:color w:val="000000"/>
        </w:rPr>
        <w:fldChar w:fldCharType="begin"/>
      </w:r>
      <w:r>
        <w:rPr>
          <w:rFonts w:hint="eastAsia"/>
        </w:rPr>
        <w:instrText xml:space="preserve"> HYPERLINK \l _Toc5590 </w:instrText>
      </w:r>
      <w:r>
        <w:rPr>
          <w:rFonts w:hint="eastAsia"/>
        </w:rPr>
        <w:fldChar w:fldCharType="separate"/>
      </w:r>
      <w:r>
        <w:rPr>
          <w:rFonts w:hint="eastAsia"/>
        </w:rPr>
        <w:t>第三章 所选用塔式起重机型号与性能</w:t>
      </w:r>
      <w:r>
        <w:tab/>
      </w:r>
      <w:r>
        <w:fldChar w:fldCharType="begin"/>
      </w:r>
      <w:r>
        <w:instrText xml:space="preserve"> PAGEREF _Toc5590 \h </w:instrText>
      </w:r>
      <w:r>
        <w:fldChar w:fldCharType="separate"/>
      </w:r>
      <w:r>
        <w:t>10</w:t>
      </w:r>
      <w:r>
        <w:fldChar w:fldCharType="end"/>
      </w:r>
      <w:r>
        <w:rPr>
          <w:rFonts w:hint="eastAsia"/>
          <w:color w:val="000000"/>
        </w:rPr>
        <w:fldChar w:fldCharType="end"/>
      </w:r>
    </w:p>
    <w:p w14:paraId="082D50C2">
      <w:pPr>
        <w:pStyle w:val="32"/>
        <w:tabs>
          <w:tab w:val="right" w:leader="dot" w:pos="9015"/>
        </w:tabs>
      </w:pPr>
      <w:r>
        <w:rPr>
          <w:rFonts w:hint="eastAsia"/>
          <w:color w:val="000000"/>
        </w:rPr>
        <w:fldChar w:fldCharType="begin"/>
      </w:r>
      <w:r>
        <w:rPr>
          <w:rFonts w:hint="eastAsia"/>
        </w:rPr>
        <w:instrText xml:space="preserve"> HYPERLINK \l _Toc21030 </w:instrText>
      </w:r>
      <w:r>
        <w:rPr>
          <w:rFonts w:hint="eastAsia"/>
        </w:rPr>
        <w:fldChar w:fldCharType="separate"/>
      </w:r>
      <w:r>
        <w:rPr>
          <w:rFonts w:hint="eastAsia" w:ascii="Times New Roman" w:hAnsi="Times New Roman"/>
          <w:szCs w:val="28"/>
        </w:rPr>
        <w:t>3.1塔机型号</w:t>
      </w:r>
      <w:r>
        <w:tab/>
      </w:r>
      <w:r>
        <w:fldChar w:fldCharType="begin"/>
      </w:r>
      <w:r>
        <w:instrText xml:space="preserve"> PAGEREF _Toc21030 \h </w:instrText>
      </w:r>
      <w:r>
        <w:fldChar w:fldCharType="separate"/>
      </w:r>
      <w:r>
        <w:t>10</w:t>
      </w:r>
      <w:r>
        <w:fldChar w:fldCharType="end"/>
      </w:r>
      <w:r>
        <w:rPr>
          <w:rFonts w:hint="eastAsia"/>
          <w:color w:val="000000"/>
        </w:rPr>
        <w:fldChar w:fldCharType="end"/>
      </w:r>
    </w:p>
    <w:p w14:paraId="18733A45">
      <w:pPr>
        <w:pStyle w:val="32"/>
        <w:tabs>
          <w:tab w:val="right" w:leader="dot" w:pos="9015"/>
        </w:tabs>
      </w:pPr>
      <w:r>
        <w:rPr>
          <w:rFonts w:hint="eastAsia"/>
          <w:color w:val="000000"/>
        </w:rPr>
        <w:fldChar w:fldCharType="begin"/>
      </w:r>
      <w:r>
        <w:rPr>
          <w:rFonts w:hint="eastAsia"/>
        </w:rPr>
        <w:instrText xml:space="preserve"> HYPERLINK \l _Toc27441 </w:instrText>
      </w:r>
      <w:r>
        <w:rPr>
          <w:rFonts w:hint="eastAsia"/>
        </w:rPr>
        <w:fldChar w:fldCharType="separate"/>
      </w:r>
      <w:r>
        <w:rPr>
          <w:rFonts w:hint="eastAsia" w:ascii="Times New Roman" w:hAnsi="Times New Roman"/>
          <w:szCs w:val="28"/>
        </w:rPr>
        <w:t>3.2塔机性能与参数</w:t>
      </w:r>
      <w:r>
        <w:tab/>
      </w:r>
      <w:r>
        <w:fldChar w:fldCharType="begin"/>
      </w:r>
      <w:r>
        <w:instrText xml:space="preserve"> PAGEREF _Toc27441 \h </w:instrText>
      </w:r>
      <w:r>
        <w:fldChar w:fldCharType="separate"/>
      </w:r>
      <w:r>
        <w:t>10</w:t>
      </w:r>
      <w:r>
        <w:fldChar w:fldCharType="end"/>
      </w:r>
      <w:r>
        <w:rPr>
          <w:rFonts w:hint="eastAsia"/>
          <w:color w:val="000000"/>
        </w:rPr>
        <w:fldChar w:fldCharType="end"/>
      </w:r>
    </w:p>
    <w:p w14:paraId="0BFFC378">
      <w:pPr>
        <w:pStyle w:val="32"/>
        <w:tabs>
          <w:tab w:val="right" w:leader="dot" w:pos="9015"/>
        </w:tabs>
      </w:pPr>
      <w:r>
        <w:rPr>
          <w:rFonts w:hint="eastAsia"/>
          <w:color w:val="000000"/>
        </w:rPr>
        <w:fldChar w:fldCharType="begin"/>
      </w:r>
      <w:r>
        <w:rPr>
          <w:rFonts w:hint="eastAsia"/>
        </w:rPr>
        <w:instrText xml:space="preserve"> HYPERLINK \l _Toc27148 </w:instrText>
      </w:r>
      <w:r>
        <w:rPr>
          <w:rFonts w:hint="eastAsia"/>
        </w:rPr>
        <w:fldChar w:fldCharType="separate"/>
      </w:r>
      <w:r>
        <w:rPr>
          <w:rFonts w:hint="eastAsia" w:ascii="Times New Roman" w:hAnsi="Times New Roman"/>
          <w:szCs w:val="28"/>
        </w:rPr>
        <w:t>3.3防雷接地</w:t>
      </w:r>
      <w:r>
        <w:tab/>
      </w:r>
      <w:r>
        <w:fldChar w:fldCharType="begin"/>
      </w:r>
      <w:r>
        <w:instrText xml:space="preserve"> PAGEREF _Toc27148 \h </w:instrText>
      </w:r>
      <w:r>
        <w:fldChar w:fldCharType="separate"/>
      </w:r>
      <w:r>
        <w:t>12</w:t>
      </w:r>
      <w:r>
        <w:fldChar w:fldCharType="end"/>
      </w:r>
      <w:r>
        <w:rPr>
          <w:rFonts w:hint="eastAsia"/>
          <w:color w:val="000000"/>
        </w:rPr>
        <w:fldChar w:fldCharType="end"/>
      </w:r>
    </w:p>
    <w:p w14:paraId="078A3158">
      <w:pPr>
        <w:pStyle w:val="32"/>
        <w:tabs>
          <w:tab w:val="right" w:leader="dot" w:pos="9015"/>
        </w:tabs>
      </w:pPr>
      <w:r>
        <w:rPr>
          <w:rFonts w:hint="eastAsia"/>
          <w:color w:val="000000"/>
        </w:rPr>
        <w:fldChar w:fldCharType="begin"/>
      </w:r>
      <w:r>
        <w:rPr>
          <w:rFonts w:hint="eastAsia"/>
        </w:rPr>
        <w:instrText xml:space="preserve"> HYPERLINK \l _Toc13241 </w:instrText>
      </w:r>
      <w:r>
        <w:rPr>
          <w:rFonts w:hint="eastAsia"/>
        </w:rPr>
        <w:fldChar w:fldCharType="separate"/>
      </w:r>
      <w:r>
        <w:rPr>
          <w:rFonts w:hint="eastAsia" w:ascii="Times New Roman" w:hAnsi="Times New Roman"/>
          <w:szCs w:val="28"/>
        </w:rPr>
        <w:t>3.4塔机基础</w:t>
      </w:r>
      <w:r>
        <w:tab/>
      </w:r>
      <w:r>
        <w:fldChar w:fldCharType="begin"/>
      </w:r>
      <w:r>
        <w:instrText xml:space="preserve"> PAGEREF _Toc13241 \h </w:instrText>
      </w:r>
      <w:r>
        <w:fldChar w:fldCharType="separate"/>
      </w:r>
      <w:r>
        <w:t>12</w:t>
      </w:r>
      <w:r>
        <w:fldChar w:fldCharType="end"/>
      </w:r>
      <w:r>
        <w:rPr>
          <w:rFonts w:hint="eastAsia"/>
          <w:color w:val="000000"/>
        </w:rPr>
        <w:fldChar w:fldCharType="end"/>
      </w:r>
    </w:p>
    <w:p w14:paraId="1F1898B8">
      <w:pPr>
        <w:pStyle w:val="27"/>
        <w:tabs>
          <w:tab w:val="right" w:leader="dot" w:pos="9015"/>
        </w:tabs>
      </w:pPr>
      <w:r>
        <w:rPr>
          <w:rFonts w:hint="eastAsia"/>
          <w:color w:val="000000"/>
        </w:rPr>
        <w:fldChar w:fldCharType="begin"/>
      </w:r>
      <w:r>
        <w:rPr>
          <w:rFonts w:hint="eastAsia"/>
        </w:rPr>
        <w:instrText xml:space="preserve"> HYPERLINK \l _Toc22374 </w:instrText>
      </w:r>
      <w:r>
        <w:rPr>
          <w:rFonts w:hint="eastAsia"/>
        </w:rPr>
        <w:fldChar w:fldCharType="separate"/>
      </w:r>
      <w:r>
        <w:rPr>
          <w:rFonts w:hint="eastAsia"/>
        </w:rPr>
        <w:t>第四章 施工技术方案</w:t>
      </w:r>
      <w:r>
        <w:tab/>
      </w:r>
      <w:r>
        <w:fldChar w:fldCharType="begin"/>
      </w:r>
      <w:r>
        <w:instrText xml:space="preserve"> PAGEREF _Toc22374 \h </w:instrText>
      </w:r>
      <w:r>
        <w:fldChar w:fldCharType="separate"/>
      </w:r>
      <w:r>
        <w:t>15</w:t>
      </w:r>
      <w:r>
        <w:fldChar w:fldCharType="end"/>
      </w:r>
      <w:r>
        <w:rPr>
          <w:rFonts w:hint="eastAsia"/>
          <w:color w:val="000000"/>
        </w:rPr>
        <w:fldChar w:fldCharType="end"/>
      </w:r>
    </w:p>
    <w:p w14:paraId="5FF90F37">
      <w:pPr>
        <w:pStyle w:val="32"/>
        <w:tabs>
          <w:tab w:val="right" w:leader="dot" w:pos="9015"/>
        </w:tabs>
      </w:pPr>
      <w:r>
        <w:rPr>
          <w:rFonts w:hint="eastAsia"/>
          <w:color w:val="000000"/>
        </w:rPr>
        <w:fldChar w:fldCharType="begin"/>
      </w:r>
      <w:r>
        <w:rPr>
          <w:rFonts w:hint="eastAsia"/>
        </w:rPr>
        <w:instrText xml:space="preserve"> HYPERLINK \l _Toc12270 </w:instrText>
      </w:r>
      <w:r>
        <w:rPr>
          <w:rFonts w:hint="eastAsia"/>
        </w:rPr>
        <w:fldChar w:fldCharType="separate"/>
      </w:r>
      <w:r>
        <w:rPr>
          <w:rFonts w:hint="eastAsia"/>
        </w:rPr>
        <w:t>4.1 组织机构</w:t>
      </w:r>
      <w:r>
        <w:tab/>
      </w:r>
      <w:r>
        <w:fldChar w:fldCharType="begin"/>
      </w:r>
      <w:r>
        <w:instrText xml:space="preserve"> PAGEREF _Toc12270 \h </w:instrText>
      </w:r>
      <w:r>
        <w:fldChar w:fldCharType="separate"/>
      </w:r>
      <w:r>
        <w:t>15</w:t>
      </w:r>
      <w:r>
        <w:fldChar w:fldCharType="end"/>
      </w:r>
      <w:r>
        <w:rPr>
          <w:rFonts w:hint="eastAsia"/>
          <w:color w:val="000000"/>
        </w:rPr>
        <w:fldChar w:fldCharType="end"/>
      </w:r>
    </w:p>
    <w:p w14:paraId="4668A2B0">
      <w:pPr>
        <w:pStyle w:val="32"/>
        <w:tabs>
          <w:tab w:val="right" w:leader="dot" w:pos="9015"/>
        </w:tabs>
      </w:pPr>
      <w:r>
        <w:rPr>
          <w:rFonts w:hint="eastAsia"/>
          <w:color w:val="000000"/>
        </w:rPr>
        <w:fldChar w:fldCharType="begin"/>
      </w:r>
      <w:r>
        <w:rPr>
          <w:rFonts w:hint="eastAsia"/>
        </w:rPr>
        <w:instrText xml:space="preserve"> HYPERLINK \l _Toc19099 </w:instrText>
      </w:r>
      <w:r>
        <w:rPr>
          <w:rFonts w:hint="eastAsia"/>
        </w:rPr>
        <w:fldChar w:fldCharType="separate"/>
      </w:r>
      <w:r>
        <w:rPr>
          <w:rFonts w:hint="eastAsia"/>
        </w:rPr>
        <w:t>4.2 工期计划</w:t>
      </w:r>
      <w:r>
        <w:tab/>
      </w:r>
      <w:r>
        <w:fldChar w:fldCharType="begin"/>
      </w:r>
      <w:r>
        <w:instrText xml:space="preserve"> PAGEREF _Toc19099 \h </w:instrText>
      </w:r>
      <w:r>
        <w:fldChar w:fldCharType="separate"/>
      </w:r>
      <w:r>
        <w:t>16</w:t>
      </w:r>
      <w:r>
        <w:fldChar w:fldCharType="end"/>
      </w:r>
      <w:r>
        <w:rPr>
          <w:rFonts w:hint="eastAsia"/>
          <w:color w:val="000000"/>
        </w:rPr>
        <w:fldChar w:fldCharType="end"/>
      </w:r>
    </w:p>
    <w:p w14:paraId="2061468F">
      <w:pPr>
        <w:pStyle w:val="32"/>
        <w:tabs>
          <w:tab w:val="right" w:leader="dot" w:pos="9015"/>
        </w:tabs>
      </w:pPr>
      <w:r>
        <w:rPr>
          <w:rFonts w:hint="eastAsia"/>
          <w:color w:val="000000"/>
        </w:rPr>
        <w:fldChar w:fldCharType="begin"/>
      </w:r>
      <w:r>
        <w:rPr>
          <w:rFonts w:hint="eastAsia"/>
        </w:rPr>
        <w:instrText xml:space="preserve"> HYPERLINK \l _Toc250 </w:instrText>
      </w:r>
      <w:r>
        <w:rPr>
          <w:rFonts w:hint="eastAsia"/>
        </w:rPr>
        <w:fldChar w:fldCharType="separate"/>
      </w:r>
      <w:r>
        <w:rPr>
          <w:rFonts w:hint="eastAsia"/>
        </w:rPr>
        <w:t>4.3资源配置</w:t>
      </w:r>
      <w:r>
        <w:tab/>
      </w:r>
      <w:r>
        <w:fldChar w:fldCharType="begin"/>
      </w:r>
      <w:r>
        <w:instrText xml:space="preserve"> PAGEREF _Toc250 \h </w:instrText>
      </w:r>
      <w:r>
        <w:fldChar w:fldCharType="separate"/>
      </w:r>
      <w:r>
        <w:t>16</w:t>
      </w:r>
      <w:r>
        <w:fldChar w:fldCharType="end"/>
      </w:r>
      <w:r>
        <w:rPr>
          <w:rFonts w:hint="eastAsia"/>
          <w:color w:val="000000"/>
        </w:rPr>
        <w:fldChar w:fldCharType="end"/>
      </w:r>
    </w:p>
    <w:p w14:paraId="47D9BEBE">
      <w:pPr>
        <w:pStyle w:val="32"/>
        <w:tabs>
          <w:tab w:val="right" w:leader="dot" w:pos="9015"/>
        </w:tabs>
      </w:pPr>
      <w:r>
        <w:rPr>
          <w:rFonts w:hint="eastAsia"/>
          <w:color w:val="000000"/>
        </w:rPr>
        <w:fldChar w:fldCharType="begin"/>
      </w:r>
      <w:r>
        <w:rPr>
          <w:rFonts w:hint="eastAsia"/>
        </w:rPr>
        <w:instrText xml:space="preserve"> HYPERLINK \l _Toc12569 </w:instrText>
      </w:r>
      <w:r>
        <w:rPr>
          <w:rFonts w:hint="eastAsia"/>
        </w:rPr>
        <w:fldChar w:fldCharType="separate"/>
      </w:r>
      <w:r>
        <w:rPr>
          <w:rFonts w:hint="eastAsia"/>
        </w:rPr>
        <w:t xml:space="preserve">4.4 </w:t>
      </w:r>
      <w:r>
        <w:t>安装</w:t>
      </w:r>
      <w:r>
        <w:rPr>
          <w:rFonts w:hint="eastAsia"/>
        </w:rPr>
        <w:t>起重机械</w:t>
      </w:r>
      <w:r>
        <w:t>设备的型号、性能及</w:t>
      </w:r>
      <w:r>
        <w:rPr>
          <w:rFonts w:hint="eastAsia"/>
        </w:rPr>
        <w:t>起吊能力验算</w:t>
      </w:r>
      <w:r>
        <w:tab/>
      </w:r>
      <w:r>
        <w:fldChar w:fldCharType="begin"/>
      </w:r>
      <w:r>
        <w:instrText xml:space="preserve"> PAGEREF _Toc12569 \h </w:instrText>
      </w:r>
      <w:r>
        <w:fldChar w:fldCharType="separate"/>
      </w:r>
      <w:r>
        <w:t>18</w:t>
      </w:r>
      <w:r>
        <w:fldChar w:fldCharType="end"/>
      </w:r>
      <w:r>
        <w:rPr>
          <w:rFonts w:hint="eastAsia"/>
          <w:color w:val="000000"/>
        </w:rPr>
        <w:fldChar w:fldCharType="end"/>
      </w:r>
    </w:p>
    <w:p w14:paraId="2A309B6E">
      <w:pPr>
        <w:pStyle w:val="27"/>
        <w:tabs>
          <w:tab w:val="right" w:leader="dot" w:pos="9015"/>
        </w:tabs>
      </w:pPr>
      <w:r>
        <w:rPr>
          <w:rFonts w:hint="eastAsia"/>
          <w:color w:val="000000"/>
        </w:rPr>
        <w:fldChar w:fldCharType="begin"/>
      </w:r>
      <w:r>
        <w:rPr>
          <w:rFonts w:hint="eastAsia"/>
        </w:rPr>
        <w:instrText xml:space="preserve"> HYPERLINK \l _Toc13242 </w:instrText>
      </w:r>
      <w:r>
        <w:rPr>
          <w:rFonts w:hint="eastAsia"/>
        </w:rPr>
        <w:fldChar w:fldCharType="separate"/>
      </w:r>
      <w:r>
        <w:rPr>
          <w:rFonts w:hint="eastAsia"/>
        </w:rPr>
        <w:t>第五章 XGT6015A-8S安装施工方案</w:t>
      </w:r>
      <w:r>
        <w:tab/>
      </w:r>
      <w:r>
        <w:fldChar w:fldCharType="begin"/>
      </w:r>
      <w:r>
        <w:instrText xml:space="preserve"> PAGEREF _Toc13242 \h </w:instrText>
      </w:r>
      <w:r>
        <w:fldChar w:fldCharType="separate"/>
      </w:r>
      <w:r>
        <w:t>26</w:t>
      </w:r>
      <w:r>
        <w:fldChar w:fldCharType="end"/>
      </w:r>
      <w:r>
        <w:rPr>
          <w:rFonts w:hint="eastAsia"/>
          <w:color w:val="000000"/>
        </w:rPr>
        <w:fldChar w:fldCharType="end"/>
      </w:r>
    </w:p>
    <w:p w14:paraId="1BF5E4B3">
      <w:pPr>
        <w:pStyle w:val="32"/>
        <w:tabs>
          <w:tab w:val="right" w:leader="dot" w:pos="9015"/>
        </w:tabs>
      </w:pPr>
      <w:r>
        <w:rPr>
          <w:rFonts w:hint="eastAsia"/>
          <w:color w:val="000000"/>
        </w:rPr>
        <w:fldChar w:fldCharType="begin"/>
      </w:r>
      <w:r>
        <w:rPr>
          <w:rFonts w:hint="eastAsia"/>
        </w:rPr>
        <w:instrText xml:space="preserve"> HYPERLINK \l _Toc3277 </w:instrText>
      </w:r>
      <w:r>
        <w:rPr>
          <w:rFonts w:hint="eastAsia"/>
        </w:rPr>
        <w:fldChar w:fldCharType="separate"/>
      </w:r>
      <w:r>
        <w:rPr>
          <w:rFonts w:hint="eastAsia"/>
        </w:rPr>
        <w:t>5.1塔机安装流程</w:t>
      </w:r>
      <w:r>
        <w:tab/>
      </w:r>
      <w:r>
        <w:fldChar w:fldCharType="begin"/>
      </w:r>
      <w:r>
        <w:instrText xml:space="preserve"> PAGEREF _Toc3277 \h </w:instrText>
      </w:r>
      <w:r>
        <w:fldChar w:fldCharType="separate"/>
      </w:r>
      <w:r>
        <w:t>26</w:t>
      </w:r>
      <w:r>
        <w:fldChar w:fldCharType="end"/>
      </w:r>
      <w:r>
        <w:rPr>
          <w:rFonts w:hint="eastAsia"/>
          <w:color w:val="000000"/>
        </w:rPr>
        <w:fldChar w:fldCharType="end"/>
      </w:r>
    </w:p>
    <w:p w14:paraId="5B510A5C">
      <w:pPr>
        <w:pStyle w:val="32"/>
        <w:tabs>
          <w:tab w:val="right" w:leader="dot" w:pos="9015"/>
        </w:tabs>
      </w:pPr>
      <w:r>
        <w:rPr>
          <w:rFonts w:hint="eastAsia"/>
          <w:color w:val="000000"/>
        </w:rPr>
        <w:fldChar w:fldCharType="begin"/>
      </w:r>
      <w:r>
        <w:rPr>
          <w:rFonts w:hint="eastAsia"/>
        </w:rPr>
        <w:instrText xml:space="preserve"> HYPERLINK \l _Toc20704 </w:instrText>
      </w:r>
      <w:r>
        <w:rPr>
          <w:rFonts w:hint="eastAsia"/>
        </w:rPr>
        <w:fldChar w:fldCharType="separate"/>
      </w:r>
      <w:r>
        <w:rPr>
          <w:rFonts w:hint="eastAsia"/>
        </w:rPr>
        <w:t>5.2安装前准备工作</w:t>
      </w:r>
      <w:r>
        <w:tab/>
      </w:r>
      <w:r>
        <w:fldChar w:fldCharType="begin"/>
      </w:r>
      <w:r>
        <w:instrText xml:space="preserve"> PAGEREF _Toc20704 \h </w:instrText>
      </w:r>
      <w:r>
        <w:fldChar w:fldCharType="separate"/>
      </w:r>
      <w:r>
        <w:t>26</w:t>
      </w:r>
      <w:r>
        <w:fldChar w:fldCharType="end"/>
      </w:r>
      <w:r>
        <w:rPr>
          <w:rFonts w:hint="eastAsia"/>
          <w:color w:val="000000"/>
        </w:rPr>
        <w:fldChar w:fldCharType="end"/>
      </w:r>
    </w:p>
    <w:p w14:paraId="3C5E23E8">
      <w:pPr>
        <w:pStyle w:val="32"/>
        <w:tabs>
          <w:tab w:val="right" w:leader="dot" w:pos="9015"/>
        </w:tabs>
      </w:pPr>
      <w:r>
        <w:rPr>
          <w:rFonts w:hint="eastAsia"/>
          <w:color w:val="000000"/>
        </w:rPr>
        <w:fldChar w:fldCharType="begin"/>
      </w:r>
      <w:r>
        <w:rPr>
          <w:rFonts w:hint="eastAsia"/>
        </w:rPr>
        <w:instrText xml:space="preserve"> HYPERLINK \l _Toc51 </w:instrText>
      </w:r>
      <w:r>
        <w:rPr>
          <w:rFonts w:hint="eastAsia"/>
        </w:rPr>
        <w:fldChar w:fldCharType="separate"/>
      </w:r>
      <w:r>
        <w:rPr>
          <w:rFonts w:hint="eastAsia"/>
        </w:rPr>
        <w:t>5.3 XGT6015A-8S塔机主机安装过程</w:t>
      </w:r>
      <w:r>
        <w:tab/>
      </w:r>
      <w:r>
        <w:fldChar w:fldCharType="begin"/>
      </w:r>
      <w:r>
        <w:instrText xml:space="preserve"> PAGEREF _Toc51 \h </w:instrText>
      </w:r>
      <w:r>
        <w:fldChar w:fldCharType="separate"/>
      </w:r>
      <w:r>
        <w:t>27</w:t>
      </w:r>
      <w:r>
        <w:fldChar w:fldCharType="end"/>
      </w:r>
      <w:r>
        <w:rPr>
          <w:rFonts w:hint="eastAsia"/>
          <w:color w:val="000000"/>
        </w:rPr>
        <w:fldChar w:fldCharType="end"/>
      </w:r>
    </w:p>
    <w:p w14:paraId="4C8E96D8">
      <w:pPr>
        <w:pStyle w:val="32"/>
        <w:tabs>
          <w:tab w:val="right" w:leader="dot" w:pos="9015"/>
        </w:tabs>
      </w:pPr>
      <w:r>
        <w:rPr>
          <w:rFonts w:hint="eastAsia"/>
          <w:color w:val="000000"/>
        </w:rPr>
        <w:fldChar w:fldCharType="begin"/>
      </w:r>
      <w:r>
        <w:rPr>
          <w:rFonts w:hint="eastAsia"/>
        </w:rPr>
        <w:instrText xml:space="preserve"> HYPERLINK \l _Toc834 </w:instrText>
      </w:r>
      <w:r>
        <w:rPr>
          <w:rFonts w:hint="eastAsia"/>
        </w:rPr>
        <w:fldChar w:fldCharType="separate"/>
      </w:r>
      <w:r>
        <w:rPr>
          <w:rFonts w:hint="eastAsia"/>
        </w:rPr>
        <w:t>5.4 顶升加节</w:t>
      </w:r>
      <w:r>
        <w:tab/>
      </w:r>
      <w:r>
        <w:fldChar w:fldCharType="begin"/>
      </w:r>
      <w:r>
        <w:instrText xml:space="preserve"> PAGEREF _Toc834 \h </w:instrText>
      </w:r>
      <w:r>
        <w:fldChar w:fldCharType="separate"/>
      </w:r>
      <w:r>
        <w:t>44</w:t>
      </w:r>
      <w:r>
        <w:fldChar w:fldCharType="end"/>
      </w:r>
      <w:r>
        <w:rPr>
          <w:rFonts w:hint="eastAsia"/>
          <w:color w:val="000000"/>
        </w:rPr>
        <w:fldChar w:fldCharType="end"/>
      </w:r>
    </w:p>
    <w:p w14:paraId="5C0392F9">
      <w:pPr>
        <w:pStyle w:val="27"/>
        <w:tabs>
          <w:tab w:val="right" w:leader="dot" w:pos="9015"/>
        </w:tabs>
      </w:pPr>
      <w:r>
        <w:rPr>
          <w:rFonts w:hint="eastAsia"/>
          <w:color w:val="000000"/>
        </w:rPr>
        <w:fldChar w:fldCharType="begin"/>
      </w:r>
      <w:r>
        <w:rPr>
          <w:rFonts w:hint="eastAsia"/>
        </w:rPr>
        <w:instrText xml:space="preserve"> HYPERLINK \l _Toc31725 </w:instrText>
      </w:r>
      <w:r>
        <w:rPr>
          <w:rFonts w:hint="eastAsia"/>
        </w:rPr>
        <w:fldChar w:fldCharType="separate"/>
      </w:r>
      <w:r>
        <w:rPr>
          <w:rFonts w:hint="eastAsia"/>
        </w:rPr>
        <w:t>第六章 XGT6015A-8S塔机拆除施工方案</w:t>
      </w:r>
      <w:r>
        <w:tab/>
      </w:r>
      <w:r>
        <w:fldChar w:fldCharType="begin"/>
      </w:r>
      <w:r>
        <w:instrText xml:space="preserve"> PAGEREF _Toc31725 \h </w:instrText>
      </w:r>
      <w:r>
        <w:fldChar w:fldCharType="separate"/>
      </w:r>
      <w:r>
        <w:t>52</w:t>
      </w:r>
      <w:r>
        <w:fldChar w:fldCharType="end"/>
      </w:r>
      <w:r>
        <w:rPr>
          <w:rFonts w:hint="eastAsia"/>
          <w:color w:val="000000"/>
        </w:rPr>
        <w:fldChar w:fldCharType="end"/>
      </w:r>
    </w:p>
    <w:p w14:paraId="37397CB8">
      <w:pPr>
        <w:pStyle w:val="32"/>
        <w:tabs>
          <w:tab w:val="right" w:leader="dot" w:pos="9015"/>
        </w:tabs>
      </w:pPr>
      <w:r>
        <w:rPr>
          <w:rFonts w:hint="eastAsia"/>
          <w:color w:val="000000"/>
        </w:rPr>
        <w:fldChar w:fldCharType="begin"/>
      </w:r>
      <w:r>
        <w:rPr>
          <w:rFonts w:hint="eastAsia"/>
        </w:rPr>
        <w:instrText xml:space="preserve"> HYPERLINK \l _Toc11673 </w:instrText>
      </w:r>
      <w:r>
        <w:rPr>
          <w:rFonts w:hint="eastAsia"/>
        </w:rPr>
        <w:fldChar w:fldCharType="separate"/>
      </w:r>
      <w:r>
        <w:rPr>
          <w:rFonts w:hint="eastAsia"/>
        </w:rPr>
        <w:t>6.1拆塔前的准备工作</w:t>
      </w:r>
      <w:r>
        <w:tab/>
      </w:r>
      <w:r>
        <w:fldChar w:fldCharType="begin"/>
      </w:r>
      <w:r>
        <w:instrText xml:space="preserve"> PAGEREF _Toc11673 \h </w:instrText>
      </w:r>
      <w:r>
        <w:fldChar w:fldCharType="separate"/>
      </w:r>
      <w:r>
        <w:t>52</w:t>
      </w:r>
      <w:r>
        <w:fldChar w:fldCharType="end"/>
      </w:r>
      <w:r>
        <w:rPr>
          <w:rFonts w:hint="eastAsia"/>
          <w:color w:val="000000"/>
        </w:rPr>
        <w:fldChar w:fldCharType="end"/>
      </w:r>
    </w:p>
    <w:p w14:paraId="0E626FB8">
      <w:pPr>
        <w:pStyle w:val="32"/>
        <w:tabs>
          <w:tab w:val="right" w:leader="dot" w:pos="9015"/>
        </w:tabs>
      </w:pPr>
      <w:r>
        <w:rPr>
          <w:rFonts w:hint="eastAsia"/>
          <w:color w:val="000000"/>
        </w:rPr>
        <w:fldChar w:fldCharType="begin"/>
      </w:r>
      <w:r>
        <w:rPr>
          <w:rFonts w:hint="eastAsia"/>
        </w:rPr>
        <w:instrText xml:space="preserve"> HYPERLINK \l _Toc8704 </w:instrText>
      </w:r>
      <w:r>
        <w:rPr>
          <w:rFonts w:hint="eastAsia"/>
        </w:rPr>
        <w:fldChar w:fldCharType="separate"/>
      </w:r>
      <w:r>
        <w:rPr>
          <w:rFonts w:hint="eastAsia"/>
        </w:rPr>
        <w:t>6.2拆塔注意事项</w:t>
      </w:r>
      <w:r>
        <w:tab/>
      </w:r>
      <w:r>
        <w:fldChar w:fldCharType="begin"/>
      </w:r>
      <w:r>
        <w:instrText xml:space="preserve"> PAGEREF _Toc8704 \h </w:instrText>
      </w:r>
      <w:r>
        <w:fldChar w:fldCharType="separate"/>
      </w:r>
      <w:r>
        <w:t>52</w:t>
      </w:r>
      <w:r>
        <w:fldChar w:fldCharType="end"/>
      </w:r>
      <w:r>
        <w:rPr>
          <w:rFonts w:hint="eastAsia"/>
          <w:color w:val="000000"/>
        </w:rPr>
        <w:fldChar w:fldCharType="end"/>
      </w:r>
    </w:p>
    <w:p w14:paraId="6DFEAC86">
      <w:pPr>
        <w:pStyle w:val="32"/>
        <w:tabs>
          <w:tab w:val="right" w:leader="dot" w:pos="9015"/>
        </w:tabs>
      </w:pPr>
      <w:r>
        <w:rPr>
          <w:rFonts w:hint="eastAsia"/>
          <w:color w:val="000000"/>
        </w:rPr>
        <w:fldChar w:fldCharType="begin"/>
      </w:r>
      <w:r>
        <w:rPr>
          <w:rFonts w:hint="eastAsia"/>
        </w:rPr>
        <w:instrText xml:space="preserve"> HYPERLINK \l _Toc21304 </w:instrText>
      </w:r>
      <w:r>
        <w:rPr>
          <w:rFonts w:hint="eastAsia"/>
        </w:rPr>
        <w:fldChar w:fldCharType="separate"/>
      </w:r>
      <w:r>
        <w:rPr>
          <w:rFonts w:hint="eastAsia"/>
        </w:rPr>
        <w:t>6.3拆除总工序</w:t>
      </w:r>
      <w:r>
        <w:tab/>
      </w:r>
      <w:r>
        <w:fldChar w:fldCharType="begin"/>
      </w:r>
      <w:r>
        <w:instrText xml:space="preserve"> PAGEREF _Toc21304 \h </w:instrText>
      </w:r>
      <w:r>
        <w:fldChar w:fldCharType="separate"/>
      </w:r>
      <w:r>
        <w:t>53</w:t>
      </w:r>
      <w:r>
        <w:fldChar w:fldCharType="end"/>
      </w:r>
      <w:r>
        <w:rPr>
          <w:rFonts w:hint="eastAsia"/>
          <w:color w:val="000000"/>
        </w:rPr>
        <w:fldChar w:fldCharType="end"/>
      </w:r>
    </w:p>
    <w:p w14:paraId="35AB1304">
      <w:pPr>
        <w:pStyle w:val="32"/>
        <w:tabs>
          <w:tab w:val="right" w:leader="dot" w:pos="9015"/>
        </w:tabs>
      </w:pPr>
      <w:r>
        <w:rPr>
          <w:rFonts w:hint="eastAsia"/>
          <w:color w:val="000000"/>
        </w:rPr>
        <w:fldChar w:fldCharType="begin"/>
      </w:r>
      <w:r>
        <w:rPr>
          <w:rFonts w:hint="eastAsia"/>
        </w:rPr>
        <w:instrText xml:space="preserve"> HYPERLINK \l _Toc21556 </w:instrText>
      </w:r>
      <w:r>
        <w:rPr>
          <w:rFonts w:hint="eastAsia"/>
        </w:rPr>
        <w:fldChar w:fldCharType="separate"/>
      </w:r>
      <w:r>
        <w:rPr>
          <w:rFonts w:hint="eastAsia"/>
        </w:rPr>
        <w:t>6.4 拆塔</w:t>
      </w:r>
      <w:r>
        <w:tab/>
      </w:r>
      <w:r>
        <w:fldChar w:fldCharType="begin"/>
      </w:r>
      <w:r>
        <w:instrText xml:space="preserve"> PAGEREF _Toc21556 \h </w:instrText>
      </w:r>
      <w:r>
        <w:fldChar w:fldCharType="separate"/>
      </w:r>
      <w:r>
        <w:t>53</w:t>
      </w:r>
      <w:r>
        <w:fldChar w:fldCharType="end"/>
      </w:r>
      <w:r>
        <w:rPr>
          <w:rFonts w:hint="eastAsia"/>
          <w:color w:val="000000"/>
        </w:rPr>
        <w:fldChar w:fldCharType="end"/>
      </w:r>
    </w:p>
    <w:p w14:paraId="7BC62556">
      <w:pPr>
        <w:pStyle w:val="27"/>
        <w:tabs>
          <w:tab w:val="right" w:leader="dot" w:pos="9015"/>
        </w:tabs>
      </w:pPr>
      <w:r>
        <w:rPr>
          <w:rFonts w:hint="eastAsia"/>
          <w:color w:val="000000"/>
        </w:rPr>
        <w:fldChar w:fldCharType="begin"/>
      </w:r>
      <w:r>
        <w:rPr>
          <w:rFonts w:hint="eastAsia"/>
        </w:rPr>
        <w:instrText xml:space="preserve"> HYPERLINK \l _Toc5000 </w:instrText>
      </w:r>
      <w:r>
        <w:rPr>
          <w:rFonts w:hint="eastAsia"/>
        </w:rPr>
        <w:fldChar w:fldCharType="separate"/>
      </w:r>
      <w:r>
        <w:rPr>
          <w:rFonts w:hint="eastAsia"/>
        </w:rPr>
        <w:t>第七章 危险源辨识与分析</w:t>
      </w:r>
      <w:r>
        <w:tab/>
      </w:r>
      <w:r>
        <w:fldChar w:fldCharType="begin"/>
      </w:r>
      <w:r>
        <w:instrText xml:space="preserve"> PAGEREF _Toc5000 \h </w:instrText>
      </w:r>
      <w:r>
        <w:fldChar w:fldCharType="separate"/>
      </w:r>
      <w:r>
        <w:t>56</w:t>
      </w:r>
      <w:r>
        <w:fldChar w:fldCharType="end"/>
      </w:r>
      <w:r>
        <w:rPr>
          <w:rFonts w:hint="eastAsia"/>
          <w:color w:val="000000"/>
        </w:rPr>
        <w:fldChar w:fldCharType="end"/>
      </w:r>
    </w:p>
    <w:p w14:paraId="5B7BB059">
      <w:pPr>
        <w:pStyle w:val="32"/>
        <w:tabs>
          <w:tab w:val="right" w:leader="dot" w:pos="9015"/>
        </w:tabs>
      </w:pPr>
      <w:r>
        <w:rPr>
          <w:rFonts w:hint="eastAsia"/>
          <w:color w:val="000000"/>
        </w:rPr>
        <w:fldChar w:fldCharType="begin"/>
      </w:r>
      <w:r>
        <w:rPr>
          <w:rFonts w:hint="eastAsia"/>
        </w:rPr>
        <w:instrText xml:space="preserve"> HYPERLINK \l _Toc20001 </w:instrText>
      </w:r>
      <w:r>
        <w:rPr>
          <w:rFonts w:hint="eastAsia"/>
        </w:rPr>
        <w:fldChar w:fldCharType="separate"/>
      </w:r>
      <w:r>
        <w:rPr>
          <w:rFonts w:hint="eastAsia"/>
        </w:rPr>
        <w:t>7.</w:t>
      </w:r>
      <w:r>
        <w:t>1</w:t>
      </w:r>
      <w:r>
        <w:rPr>
          <w:rFonts w:hint="eastAsia"/>
        </w:rPr>
        <w:t>危险因素辨识</w:t>
      </w:r>
      <w:r>
        <w:tab/>
      </w:r>
      <w:r>
        <w:fldChar w:fldCharType="begin"/>
      </w:r>
      <w:r>
        <w:instrText xml:space="preserve"> PAGEREF _Toc20001 \h </w:instrText>
      </w:r>
      <w:r>
        <w:fldChar w:fldCharType="separate"/>
      </w:r>
      <w:r>
        <w:t>56</w:t>
      </w:r>
      <w:r>
        <w:fldChar w:fldCharType="end"/>
      </w:r>
      <w:r>
        <w:rPr>
          <w:rFonts w:hint="eastAsia"/>
          <w:color w:val="000000"/>
        </w:rPr>
        <w:fldChar w:fldCharType="end"/>
      </w:r>
    </w:p>
    <w:p w14:paraId="744BCE19">
      <w:pPr>
        <w:pStyle w:val="32"/>
        <w:tabs>
          <w:tab w:val="right" w:leader="dot" w:pos="9015"/>
        </w:tabs>
      </w:pPr>
      <w:r>
        <w:rPr>
          <w:rFonts w:hint="eastAsia"/>
          <w:color w:val="000000"/>
        </w:rPr>
        <w:fldChar w:fldCharType="begin"/>
      </w:r>
      <w:r>
        <w:rPr>
          <w:rFonts w:hint="eastAsia"/>
        </w:rPr>
        <w:instrText xml:space="preserve"> HYPERLINK \l _Toc13896 </w:instrText>
      </w:r>
      <w:r>
        <w:rPr>
          <w:rFonts w:hint="eastAsia"/>
        </w:rPr>
        <w:fldChar w:fldCharType="separate"/>
      </w:r>
      <w:r>
        <w:rPr>
          <w:rFonts w:hint="eastAsia"/>
        </w:rPr>
        <w:t>7.</w:t>
      </w:r>
      <w:r>
        <w:t>2</w:t>
      </w:r>
      <w:r>
        <w:rPr>
          <w:rFonts w:hint="eastAsia"/>
        </w:rPr>
        <w:t>危险因素分析</w:t>
      </w:r>
      <w:r>
        <w:tab/>
      </w:r>
      <w:r>
        <w:fldChar w:fldCharType="begin"/>
      </w:r>
      <w:r>
        <w:instrText xml:space="preserve"> PAGEREF _Toc13896 \h </w:instrText>
      </w:r>
      <w:r>
        <w:fldChar w:fldCharType="separate"/>
      </w:r>
      <w:r>
        <w:t>58</w:t>
      </w:r>
      <w:r>
        <w:fldChar w:fldCharType="end"/>
      </w:r>
      <w:r>
        <w:rPr>
          <w:rFonts w:hint="eastAsia"/>
          <w:color w:val="000000"/>
        </w:rPr>
        <w:fldChar w:fldCharType="end"/>
      </w:r>
    </w:p>
    <w:p w14:paraId="66D9F185">
      <w:pPr>
        <w:pStyle w:val="32"/>
        <w:tabs>
          <w:tab w:val="right" w:leader="dot" w:pos="9015"/>
        </w:tabs>
      </w:pPr>
      <w:r>
        <w:rPr>
          <w:rFonts w:hint="eastAsia"/>
          <w:color w:val="000000"/>
        </w:rPr>
        <w:fldChar w:fldCharType="begin"/>
      </w:r>
      <w:r>
        <w:rPr>
          <w:rFonts w:hint="eastAsia"/>
        </w:rPr>
        <w:instrText xml:space="preserve"> HYPERLINK \l _Toc28909 </w:instrText>
      </w:r>
      <w:r>
        <w:rPr>
          <w:rFonts w:hint="eastAsia"/>
        </w:rPr>
        <w:fldChar w:fldCharType="separate"/>
      </w:r>
      <w:r>
        <w:rPr>
          <w:rFonts w:hint="eastAsia"/>
        </w:rPr>
        <w:t>7.</w:t>
      </w:r>
      <w:r>
        <w:t>3</w:t>
      </w:r>
      <w:r>
        <w:rPr>
          <w:rFonts w:hint="eastAsia"/>
        </w:rPr>
        <w:t>风险因素评估</w:t>
      </w:r>
      <w:r>
        <w:tab/>
      </w:r>
      <w:r>
        <w:fldChar w:fldCharType="begin"/>
      </w:r>
      <w:r>
        <w:instrText xml:space="preserve"> PAGEREF _Toc28909 \h </w:instrText>
      </w:r>
      <w:r>
        <w:fldChar w:fldCharType="separate"/>
      </w:r>
      <w:r>
        <w:t>58</w:t>
      </w:r>
      <w:r>
        <w:fldChar w:fldCharType="end"/>
      </w:r>
      <w:r>
        <w:rPr>
          <w:rFonts w:hint="eastAsia"/>
          <w:color w:val="000000"/>
        </w:rPr>
        <w:fldChar w:fldCharType="end"/>
      </w:r>
    </w:p>
    <w:p w14:paraId="34980AF4">
      <w:pPr>
        <w:pStyle w:val="27"/>
        <w:tabs>
          <w:tab w:val="right" w:leader="dot" w:pos="9015"/>
        </w:tabs>
      </w:pPr>
      <w:r>
        <w:rPr>
          <w:rFonts w:hint="eastAsia"/>
          <w:color w:val="000000"/>
        </w:rPr>
        <w:fldChar w:fldCharType="begin"/>
      </w:r>
      <w:r>
        <w:rPr>
          <w:rFonts w:hint="eastAsia"/>
        </w:rPr>
        <w:instrText xml:space="preserve"> HYPERLINK \l _Toc30432 </w:instrText>
      </w:r>
      <w:r>
        <w:rPr>
          <w:rFonts w:hint="eastAsia"/>
        </w:rPr>
        <w:fldChar w:fldCharType="separate"/>
      </w:r>
      <w:r>
        <w:rPr>
          <w:rFonts w:hint="eastAsia"/>
        </w:rPr>
        <w:t>第八章 施工安全技术保障措施</w:t>
      </w:r>
      <w:r>
        <w:tab/>
      </w:r>
      <w:r>
        <w:fldChar w:fldCharType="begin"/>
      </w:r>
      <w:r>
        <w:instrText xml:space="preserve"> PAGEREF _Toc30432 \h </w:instrText>
      </w:r>
      <w:r>
        <w:fldChar w:fldCharType="separate"/>
      </w:r>
      <w:r>
        <w:t>61</w:t>
      </w:r>
      <w:r>
        <w:fldChar w:fldCharType="end"/>
      </w:r>
      <w:r>
        <w:rPr>
          <w:rFonts w:hint="eastAsia"/>
          <w:color w:val="000000"/>
        </w:rPr>
        <w:fldChar w:fldCharType="end"/>
      </w:r>
    </w:p>
    <w:p w14:paraId="41DB2DD8">
      <w:pPr>
        <w:pStyle w:val="32"/>
        <w:tabs>
          <w:tab w:val="right" w:leader="dot" w:pos="9015"/>
        </w:tabs>
      </w:pPr>
      <w:r>
        <w:rPr>
          <w:rFonts w:hint="eastAsia"/>
          <w:color w:val="000000"/>
        </w:rPr>
        <w:fldChar w:fldCharType="begin"/>
      </w:r>
      <w:r>
        <w:rPr>
          <w:rFonts w:hint="eastAsia"/>
        </w:rPr>
        <w:instrText xml:space="preserve"> HYPERLINK \l _Toc21970 </w:instrText>
      </w:r>
      <w:r>
        <w:rPr>
          <w:rFonts w:hint="eastAsia"/>
        </w:rPr>
        <w:fldChar w:fldCharType="separate"/>
      </w:r>
      <w:r>
        <w:rPr>
          <w:rFonts w:hint="eastAsia"/>
        </w:rPr>
        <w:t>8.1健康</w:t>
      </w:r>
      <w:r>
        <w:tab/>
      </w:r>
      <w:r>
        <w:fldChar w:fldCharType="begin"/>
      </w:r>
      <w:r>
        <w:instrText xml:space="preserve"> PAGEREF _Toc21970 \h </w:instrText>
      </w:r>
      <w:r>
        <w:fldChar w:fldCharType="separate"/>
      </w:r>
      <w:r>
        <w:t>61</w:t>
      </w:r>
      <w:r>
        <w:fldChar w:fldCharType="end"/>
      </w:r>
      <w:r>
        <w:rPr>
          <w:rFonts w:hint="eastAsia"/>
          <w:color w:val="000000"/>
        </w:rPr>
        <w:fldChar w:fldCharType="end"/>
      </w:r>
    </w:p>
    <w:p w14:paraId="6E2E6747">
      <w:pPr>
        <w:pStyle w:val="32"/>
        <w:tabs>
          <w:tab w:val="right" w:leader="dot" w:pos="9015"/>
        </w:tabs>
      </w:pPr>
      <w:r>
        <w:rPr>
          <w:rFonts w:hint="eastAsia"/>
          <w:color w:val="000000"/>
        </w:rPr>
        <w:fldChar w:fldCharType="begin"/>
      </w:r>
      <w:r>
        <w:rPr>
          <w:rFonts w:hint="eastAsia"/>
        </w:rPr>
        <w:instrText xml:space="preserve"> HYPERLINK \l _Toc28494 </w:instrText>
      </w:r>
      <w:r>
        <w:rPr>
          <w:rFonts w:hint="eastAsia"/>
        </w:rPr>
        <w:fldChar w:fldCharType="separate"/>
      </w:r>
      <w:r>
        <w:rPr>
          <w:rFonts w:hint="eastAsia"/>
        </w:rPr>
        <w:t>8.2环境</w:t>
      </w:r>
      <w:r>
        <w:tab/>
      </w:r>
      <w:r>
        <w:fldChar w:fldCharType="begin"/>
      </w:r>
      <w:r>
        <w:instrText xml:space="preserve"> PAGEREF _Toc28494 \h </w:instrText>
      </w:r>
      <w:r>
        <w:fldChar w:fldCharType="separate"/>
      </w:r>
      <w:r>
        <w:t>61</w:t>
      </w:r>
      <w:r>
        <w:fldChar w:fldCharType="end"/>
      </w:r>
      <w:r>
        <w:rPr>
          <w:rFonts w:hint="eastAsia"/>
          <w:color w:val="000000"/>
        </w:rPr>
        <w:fldChar w:fldCharType="end"/>
      </w:r>
    </w:p>
    <w:p w14:paraId="1E0C98FA">
      <w:pPr>
        <w:pStyle w:val="32"/>
        <w:tabs>
          <w:tab w:val="right" w:leader="dot" w:pos="9015"/>
        </w:tabs>
      </w:pPr>
      <w:r>
        <w:rPr>
          <w:rFonts w:hint="eastAsia"/>
          <w:color w:val="000000"/>
        </w:rPr>
        <w:fldChar w:fldCharType="begin"/>
      </w:r>
      <w:r>
        <w:rPr>
          <w:rFonts w:hint="eastAsia"/>
        </w:rPr>
        <w:instrText xml:space="preserve"> HYPERLINK \l _Toc18290 </w:instrText>
      </w:r>
      <w:r>
        <w:rPr>
          <w:rFonts w:hint="eastAsia"/>
        </w:rPr>
        <w:fldChar w:fldCharType="separate"/>
      </w:r>
      <w:r>
        <w:rPr>
          <w:rFonts w:hint="eastAsia"/>
        </w:rPr>
        <w:t>8.3 安全</w:t>
      </w:r>
      <w:r>
        <w:tab/>
      </w:r>
      <w:r>
        <w:fldChar w:fldCharType="begin"/>
      </w:r>
      <w:r>
        <w:instrText xml:space="preserve"> PAGEREF _Toc18290 \h </w:instrText>
      </w:r>
      <w:r>
        <w:fldChar w:fldCharType="separate"/>
      </w:r>
      <w:r>
        <w:t>62</w:t>
      </w:r>
      <w:r>
        <w:fldChar w:fldCharType="end"/>
      </w:r>
      <w:r>
        <w:rPr>
          <w:rFonts w:hint="eastAsia"/>
          <w:color w:val="000000"/>
        </w:rPr>
        <w:fldChar w:fldCharType="end"/>
      </w:r>
    </w:p>
    <w:p w14:paraId="177BC9A6">
      <w:pPr>
        <w:pStyle w:val="32"/>
        <w:tabs>
          <w:tab w:val="right" w:leader="dot" w:pos="9015"/>
        </w:tabs>
      </w:pPr>
      <w:r>
        <w:rPr>
          <w:rFonts w:hint="eastAsia"/>
          <w:color w:val="000000"/>
        </w:rPr>
        <w:fldChar w:fldCharType="begin"/>
      </w:r>
      <w:r>
        <w:rPr>
          <w:rFonts w:hint="eastAsia"/>
        </w:rPr>
        <w:instrText xml:space="preserve"> HYPERLINK \l _Toc26734 </w:instrText>
      </w:r>
      <w:r>
        <w:rPr>
          <w:rFonts w:hint="eastAsia"/>
        </w:rPr>
        <w:fldChar w:fldCharType="separate"/>
      </w:r>
      <w:r>
        <w:rPr>
          <w:rFonts w:hint="eastAsia"/>
        </w:rPr>
        <w:t>8.4质量监测与监控</w:t>
      </w:r>
      <w:r>
        <w:tab/>
      </w:r>
      <w:r>
        <w:fldChar w:fldCharType="begin"/>
      </w:r>
      <w:r>
        <w:instrText xml:space="preserve"> PAGEREF _Toc26734 \h </w:instrText>
      </w:r>
      <w:r>
        <w:fldChar w:fldCharType="separate"/>
      </w:r>
      <w:r>
        <w:t>64</w:t>
      </w:r>
      <w:r>
        <w:fldChar w:fldCharType="end"/>
      </w:r>
      <w:r>
        <w:rPr>
          <w:rFonts w:hint="eastAsia"/>
          <w:color w:val="000000"/>
        </w:rPr>
        <w:fldChar w:fldCharType="end"/>
      </w:r>
    </w:p>
    <w:p w14:paraId="14E05264">
      <w:pPr>
        <w:pStyle w:val="27"/>
        <w:tabs>
          <w:tab w:val="right" w:leader="dot" w:pos="9015"/>
        </w:tabs>
      </w:pPr>
      <w:r>
        <w:rPr>
          <w:rFonts w:hint="eastAsia"/>
          <w:color w:val="000000"/>
        </w:rPr>
        <w:fldChar w:fldCharType="begin"/>
      </w:r>
      <w:r>
        <w:rPr>
          <w:rFonts w:hint="eastAsia"/>
        </w:rPr>
        <w:instrText xml:space="preserve"> HYPERLINK \l _Toc13254 </w:instrText>
      </w:r>
      <w:r>
        <w:rPr>
          <w:rFonts w:hint="eastAsia"/>
        </w:rPr>
        <w:fldChar w:fldCharType="separate"/>
      </w:r>
      <w:r>
        <w:rPr>
          <w:rFonts w:hint="eastAsia"/>
        </w:rPr>
        <w:t>第九章 安全管理措施</w:t>
      </w:r>
      <w:r>
        <w:tab/>
      </w:r>
      <w:r>
        <w:fldChar w:fldCharType="begin"/>
      </w:r>
      <w:r>
        <w:instrText xml:space="preserve"> PAGEREF _Toc13254 \h </w:instrText>
      </w:r>
      <w:r>
        <w:fldChar w:fldCharType="separate"/>
      </w:r>
      <w:r>
        <w:t>66</w:t>
      </w:r>
      <w:r>
        <w:fldChar w:fldCharType="end"/>
      </w:r>
      <w:r>
        <w:rPr>
          <w:rFonts w:hint="eastAsia"/>
          <w:color w:val="000000"/>
        </w:rPr>
        <w:fldChar w:fldCharType="end"/>
      </w:r>
    </w:p>
    <w:p w14:paraId="5E32A9E9">
      <w:pPr>
        <w:pStyle w:val="32"/>
        <w:tabs>
          <w:tab w:val="right" w:leader="dot" w:pos="9015"/>
        </w:tabs>
      </w:pPr>
      <w:r>
        <w:rPr>
          <w:rFonts w:hint="eastAsia"/>
          <w:color w:val="000000"/>
        </w:rPr>
        <w:fldChar w:fldCharType="begin"/>
      </w:r>
      <w:r>
        <w:rPr>
          <w:rFonts w:hint="eastAsia"/>
        </w:rPr>
        <w:instrText xml:space="preserve"> HYPERLINK \l _Toc18379 </w:instrText>
      </w:r>
      <w:r>
        <w:rPr>
          <w:rFonts w:hint="eastAsia"/>
        </w:rPr>
        <w:fldChar w:fldCharType="separate"/>
      </w:r>
      <w:r>
        <w:rPr>
          <w:rFonts w:hint="eastAsia"/>
        </w:rPr>
        <w:t>9.</w:t>
      </w:r>
      <w:r>
        <w:t xml:space="preserve">1 </w:t>
      </w:r>
      <w:r>
        <w:rPr>
          <w:rFonts w:hint="eastAsia"/>
        </w:rPr>
        <w:t>安全保证措施</w:t>
      </w:r>
      <w:r>
        <w:tab/>
      </w:r>
      <w:r>
        <w:fldChar w:fldCharType="begin"/>
      </w:r>
      <w:r>
        <w:instrText xml:space="preserve"> PAGEREF _Toc18379 \h </w:instrText>
      </w:r>
      <w:r>
        <w:fldChar w:fldCharType="separate"/>
      </w:r>
      <w:r>
        <w:t>66</w:t>
      </w:r>
      <w:r>
        <w:fldChar w:fldCharType="end"/>
      </w:r>
      <w:r>
        <w:rPr>
          <w:rFonts w:hint="eastAsia"/>
          <w:color w:val="000000"/>
        </w:rPr>
        <w:fldChar w:fldCharType="end"/>
      </w:r>
    </w:p>
    <w:p w14:paraId="0FF39CFF">
      <w:pPr>
        <w:pStyle w:val="32"/>
        <w:tabs>
          <w:tab w:val="right" w:leader="dot" w:pos="9015"/>
        </w:tabs>
      </w:pPr>
      <w:r>
        <w:rPr>
          <w:rFonts w:hint="eastAsia"/>
          <w:color w:val="000000"/>
        </w:rPr>
        <w:fldChar w:fldCharType="begin"/>
      </w:r>
      <w:r>
        <w:rPr>
          <w:rFonts w:hint="eastAsia"/>
        </w:rPr>
        <w:instrText xml:space="preserve"> HYPERLINK \l _Toc26307 </w:instrText>
      </w:r>
      <w:r>
        <w:rPr>
          <w:rFonts w:hint="eastAsia"/>
        </w:rPr>
        <w:fldChar w:fldCharType="separate"/>
      </w:r>
      <w:r>
        <w:rPr>
          <w:rFonts w:hint="eastAsia" w:ascii="Times New Roman" w:hAnsi="Times New Roman"/>
        </w:rPr>
        <w:t>9.2危险源安全监控措施</w:t>
      </w:r>
      <w:r>
        <w:tab/>
      </w:r>
      <w:r>
        <w:fldChar w:fldCharType="begin"/>
      </w:r>
      <w:r>
        <w:instrText xml:space="preserve"> PAGEREF _Toc26307 \h </w:instrText>
      </w:r>
      <w:r>
        <w:fldChar w:fldCharType="separate"/>
      </w:r>
      <w:r>
        <w:t>67</w:t>
      </w:r>
      <w:r>
        <w:fldChar w:fldCharType="end"/>
      </w:r>
      <w:r>
        <w:rPr>
          <w:rFonts w:hint="eastAsia"/>
          <w:color w:val="000000"/>
        </w:rPr>
        <w:fldChar w:fldCharType="end"/>
      </w:r>
    </w:p>
    <w:p w14:paraId="689904E8">
      <w:pPr>
        <w:pStyle w:val="32"/>
        <w:tabs>
          <w:tab w:val="right" w:leader="dot" w:pos="9015"/>
        </w:tabs>
      </w:pPr>
      <w:r>
        <w:rPr>
          <w:rFonts w:hint="eastAsia"/>
          <w:color w:val="000000"/>
        </w:rPr>
        <w:fldChar w:fldCharType="begin"/>
      </w:r>
      <w:r>
        <w:rPr>
          <w:rFonts w:hint="eastAsia"/>
        </w:rPr>
        <w:instrText xml:space="preserve"> HYPERLINK \l _Toc308 </w:instrText>
      </w:r>
      <w:r>
        <w:rPr>
          <w:rFonts w:hint="eastAsia"/>
        </w:rPr>
        <w:fldChar w:fldCharType="separate"/>
      </w:r>
      <w:r>
        <w:rPr>
          <w:rFonts w:hint="eastAsia"/>
        </w:rPr>
        <w:t>9.3 施工安全保证措施</w:t>
      </w:r>
      <w:r>
        <w:tab/>
      </w:r>
      <w:r>
        <w:fldChar w:fldCharType="begin"/>
      </w:r>
      <w:r>
        <w:instrText xml:space="preserve"> PAGEREF _Toc308 \h </w:instrText>
      </w:r>
      <w:r>
        <w:fldChar w:fldCharType="separate"/>
      </w:r>
      <w:r>
        <w:t>73</w:t>
      </w:r>
      <w:r>
        <w:fldChar w:fldCharType="end"/>
      </w:r>
      <w:r>
        <w:rPr>
          <w:rFonts w:hint="eastAsia"/>
          <w:color w:val="000000"/>
        </w:rPr>
        <w:fldChar w:fldCharType="end"/>
      </w:r>
    </w:p>
    <w:p w14:paraId="3522935D">
      <w:pPr>
        <w:pStyle w:val="32"/>
        <w:tabs>
          <w:tab w:val="right" w:leader="dot" w:pos="9015"/>
        </w:tabs>
      </w:pPr>
      <w:r>
        <w:rPr>
          <w:rFonts w:hint="eastAsia"/>
          <w:color w:val="000000"/>
        </w:rPr>
        <w:fldChar w:fldCharType="begin"/>
      </w:r>
      <w:r>
        <w:rPr>
          <w:rFonts w:hint="eastAsia"/>
        </w:rPr>
        <w:instrText xml:space="preserve"> HYPERLINK \l _Toc29315 </w:instrText>
      </w:r>
      <w:r>
        <w:rPr>
          <w:rFonts w:hint="eastAsia"/>
        </w:rPr>
        <w:fldChar w:fldCharType="separate"/>
      </w:r>
      <w:r>
        <w:rPr>
          <w:rFonts w:hint="eastAsia"/>
        </w:rPr>
        <w:t>9.4</w:t>
      </w:r>
      <w:r>
        <w:t xml:space="preserve"> 高处作业及临边防护安全技术措施</w:t>
      </w:r>
      <w:r>
        <w:tab/>
      </w:r>
      <w:r>
        <w:fldChar w:fldCharType="begin"/>
      </w:r>
      <w:r>
        <w:instrText xml:space="preserve"> PAGEREF _Toc29315 \h </w:instrText>
      </w:r>
      <w:r>
        <w:fldChar w:fldCharType="separate"/>
      </w:r>
      <w:r>
        <w:t>79</w:t>
      </w:r>
      <w:r>
        <w:fldChar w:fldCharType="end"/>
      </w:r>
      <w:r>
        <w:rPr>
          <w:rFonts w:hint="eastAsia"/>
          <w:color w:val="000000"/>
        </w:rPr>
        <w:fldChar w:fldCharType="end"/>
      </w:r>
    </w:p>
    <w:p w14:paraId="7D088A69">
      <w:pPr>
        <w:pStyle w:val="32"/>
        <w:tabs>
          <w:tab w:val="right" w:leader="dot" w:pos="9015"/>
        </w:tabs>
      </w:pPr>
      <w:r>
        <w:rPr>
          <w:rFonts w:hint="eastAsia"/>
          <w:color w:val="000000"/>
        </w:rPr>
        <w:fldChar w:fldCharType="begin"/>
      </w:r>
      <w:r>
        <w:rPr>
          <w:rFonts w:hint="eastAsia"/>
        </w:rPr>
        <w:instrText xml:space="preserve"> HYPERLINK \l _Toc10398 </w:instrText>
      </w:r>
      <w:r>
        <w:rPr>
          <w:rFonts w:hint="eastAsia"/>
        </w:rPr>
        <w:fldChar w:fldCharType="separate"/>
      </w:r>
      <w:r>
        <w:rPr>
          <w:rFonts w:hint="eastAsia"/>
        </w:rPr>
        <w:t>9.5绿色施工保证措施</w:t>
      </w:r>
      <w:r>
        <w:tab/>
      </w:r>
      <w:r>
        <w:fldChar w:fldCharType="begin"/>
      </w:r>
      <w:r>
        <w:instrText xml:space="preserve"> PAGEREF _Toc10398 \h </w:instrText>
      </w:r>
      <w:r>
        <w:fldChar w:fldCharType="separate"/>
      </w:r>
      <w:r>
        <w:t>80</w:t>
      </w:r>
      <w:r>
        <w:fldChar w:fldCharType="end"/>
      </w:r>
      <w:r>
        <w:rPr>
          <w:rFonts w:hint="eastAsia"/>
          <w:color w:val="000000"/>
        </w:rPr>
        <w:fldChar w:fldCharType="end"/>
      </w:r>
    </w:p>
    <w:p w14:paraId="69ED6B6B">
      <w:pPr>
        <w:pStyle w:val="32"/>
        <w:tabs>
          <w:tab w:val="right" w:leader="dot" w:pos="9015"/>
        </w:tabs>
      </w:pPr>
      <w:r>
        <w:rPr>
          <w:rFonts w:hint="eastAsia"/>
          <w:color w:val="000000"/>
        </w:rPr>
        <w:fldChar w:fldCharType="begin"/>
      </w:r>
      <w:r>
        <w:rPr>
          <w:rFonts w:hint="eastAsia"/>
        </w:rPr>
        <w:instrText xml:space="preserve"> HYPERLINK \l _Toc17506 </w:instrText>
      </w:r>
      <w:r>
        <w:rPr>
          <w:rFonts w:hint="eastAsia"/>
        </w:rPr>
        <w:fldChar w:fldCharType="separate"/>
      </w:r>
      <w:r>
        <w:rPr>
          <w:rFonts w:hint="eastAsia"/>
        </w:rPr>
        <w:t>9.6验收及日常检查维保</w:t>
      </w:r>
      <w:r>
        <w:tab/>
      </w:r>
      <w:r>
        <w:fldChar w:fldCharType="begin"/>
      </w:r>
      <w:r>
        <w:instrText xml:space="preserve"> PAGEREF _Toc17506 \h </w:instrText>
      </w:r>
      <w:r>
        <w:fldChar w:fldCharType="separate"/>
      </w:r>
      <w:r>
        <w:t>80</w:t>
      </w:r>
      <w:r>
        <w:fldChar w:fldCharType="end"/>
      </w:r>
      <w:r>
        <w:rPr>
          <w:rFonts w:hint="eastAsia"/>
          <w:color w:val="000000"/>
        </w:rPr>
        <w:fldChar w:fldCharType="end"/>
      </w:r>
    </w:p>
    <w:p w14:paraId="0F36E623">
      <w:pPr>
        <w:pStyle w:val="32"/>
        <w:tabs>
          <w:tab w:val="right" w:leader="dot" w:pos="9015"/>
        </w:tabs>
      </w:pPr>
      <w:r>
        <w:rPr>
          <w:rFonts w:hint="eastAsia"/>
          <w:color w:val="000000"/>
        </w:rPr>
        <w:fldChar w:fldCharType="begin"/>
      </w:r>
      <w:r>
        <w:rPr>
          <w:rFonts w:hint="eastAsia"/>
        </w:rPr>
        <w:instrText xml:space="preserve"> HYPERLINK \l _Toc25163 </w:instrText>
      </w:r>
      <w:r>
        <w:rPr>
          <w:rFonts w:hint="eastAsia"/>
        </w:rPr>
        <w:fldChar w:fldCharType="separate"/>
      </w:r>
      <w:r>
        <w:rPr>
          <w:rFonts w:hint="eastAsia"/>
        </w:rPr>
        <w:t>9.7塔机垂直度监控</w:t>
      </w:r>
      <w:r>
        <w:tab/>
      </w:r>
      <w:r>
        <w:fldChar w:fldCharType="begin"/>
      </w:r>
      <w:r>
        <w:instrText xml:space="preserve"> PAGEREF _Toc25163 \h </w:instrText>
      </w:r>
      <w:r>
        <w:fldChar w:fldCharType="separate"/>
      </w:r>
      <w:r>
        <w:t>82</w:t>
      </w:r>
      <w:r>
        <w:fldChar w:fldCharType="end"/>
      </w:r>
      <w:r>
        <w:rPr>
          <w:rFonts w:hint="eastAsia"/>
          <w:color w:val="000000"/>
        </w:rPr>
        <w:fldChar w:fldCharType="end"/>
      </w:r>
    </w:p>
    <w:p w14:paraId="14125FBA">
      <w:pPr>
        <w:pStyle w:val="27"/>
        <w:tabs>
          <w:tab w:val="right" w:leader="dot" w:pos="9015"/>
        </w:tabs>
      </w:pPr>
      <w:r>
        <w:rPr>
          <w:rFonts w:hint="eastAsia"/>
          <w:color w:val="000000"/>
        </w:rPr>
        <w:fldChar w:fldCharType="begin"/>
      </w:r>
      <w:r>
        <w:rPr>
          <w:rFonts w:hint="eastAsia"/>
        </w:rPr>
        <w:instrText xml:space="preserve"> HYPERLINK \l _Toc29349 </w:instrText>
      </w:r>
      <w:r>
        <w:rPr>
          <w:rFonts w:hint="eastAsia"/>
        </w:rPr>
        <w:fldChar w:fldCharType="separate"/>
      </w:r>
      <w:r>
        <w:rPr>
          <w:rFonts w:hint="eastAsia"/>
        </w:rPr>
        <w:t>第十章应急预案</w:t>
      </w:r>
      <w:r>
        <w:tab/>
      </w:r>
      <w:r>
        <w:fldChar w:fldCharType="begin"/>
      </w:r>
      <w:r>
        <w:instrText xml:space="preserve"> PAGEREF _Toc29349 \h </w:instrText>
      </w:r>
      <w:r>
        <w:fldChar w:fldCharType="separate"/>
      </w:r>
      <w:r>
        <w:t>83</w:t>
      </w:r>
      <w:r>
        <w:fldChar w:fldCharType="end"/>
      </w:r>
      <w:r>
        <w:rPr>
          <w:rFonts w:hint="eastAsia"/>
          <w:color w:val="000000"/>
        </w:rPr>
        <w:fldChar w:fldCharType="end"/>
      </w:r>
    </w:p>
    <w:p w14:paraId="3EA9A5E8">
      <w:pPr>
        <w:pStyle w:val="32"/>
        <w:tabs>
          <w:tab w:val="right" w:leader="dot" w:pos="9015"/>
        </w:tabs>
      </w:pPr>
      <w:r>
        <w:rPr>
          <w:rFonts w:hint="eastAsia"/>
          <w:color w:val="000000"/>
        </w:rPr>
        <w:fldChar w:fldCharType="begin"/>
      </w:r>
      <w:r>
        <w:rPr>
          <w:rFonts w:hint="eastAsia"/>
        </w:rPr>
        <w:instrText xml:space="preserve"> HYPERLINK \l _Toc2633 </w:instrText>
      </w:r>
      <w:r>
        <w:rPr>
          <w:rFonts w:hint="eastAsia"/>
        </w:rPr>
        <w:fldChar w:fldCharType="separate"/>
      </w:r>
      <w:r>
        <w:rPr>
          <w:rFonts w:hint="eastAsia"/>
        </w:rPr>
        <w:t>10.</w:t>
      </w:r>
      <w:r>
        <w:t>1</w:t>
      </w:r>
      <w:r>
        <w:rPr>
          <w:rFonts w:hint="eastAsia"/>
        </w:rPr>
        <w:t>编制目的</w:t>
      </w:r>
      <w:r>
        <w:tab/>
      </w:r>
      <w:r>
        <w:fldChar w:fldCharType="begin"/>
      </w:r>
      <w:r>
        <w:instrText xml:space="preserve"> PAGEREF _Toc2633 \h </w:instrText>
      </w:r>
      <w:r>
        <w:fldChar w:fldCharType="separate"/>
      </w:r>
      <w:r>
        <w:t>83</w:t>
      </w:r>
      <w:r>
        <w:fldChar w:fldCharType="end"/>
      </w:r>
      <w:r>
        <w:rPr>
          <w:rFonts w:hint="eastAsia"/>
          <w:color w:val="000000"/>
        </w:rPr>
        <w:fldChar w:fldCharType="end"/>
      </w:r>
    </w:p>
    <w:p w14:paraId="591302DC">
      <w:pPr>
        <w:pStyle w:val="32"/>
        <w:tabs>
          <w:tab w:val="right" w:leader="dot" w:pos="9015"/>
        </w:tabs>
      </w:pPr>
      <w:r>
        <w:rPr>
          <w:rFonts w:hint="eastAsia"/>
          <w:color w:val="000000"/>
        </w:rPr>
        <w:fldChar w:fldCharType="begin"/>
      </w:r>
      <w:r>
        <w:rPr>
          <w:rFonts w:hint="eastAsia"/>
        </w:rPr>
        <w:instrText xml:space="preserve"> HYPERLINK \l _Toc5240 </w:instrText>
      </w:r>
      <w:r>
        <w:rPr>
          <w:rFonts w:hint="eastAsia"/>
        </w:rPr>
        <w:fldChar w:fldCharType="separate"/>
      </w:r>
      <w:r>
        <w:rPr>
          <w:rFonts w:hint="eastAsia"/>
        </w:rPr>
        <w:t>1</w:t>
      </w:r>
      <w:r>
        <w:t>0.2</w:t>
      </w:r>
      <w:r>
        <w:rPr>
          <w:rFonts w:hint="eastAsia"/>
        </w:rPr>
        <w:t>应急组织机构</w:t>
      </w:r>
      <w:r>
        <w:tab/>
      </w:r>
      <w:r>
        <w:fldChar w:fldCharType="begin"/>
      </w:r>
      <w:r>
        <w:instrText xml:space="preserve"> PAGEREF _Toc5240 \h </w:instrText>
      </w:r>
      <w:r>
        <w:fldChar w:fldCharType="separate"/>
      </w:r>
      <w:r>
        <w:t>83</w:t>
      </w:r>
      <w:r>
        <w:fldChar w:fldCharType="end"/>
      </w:r>
      <w:r>
        <w:rPr>
          <w:rFonts w:hint="eastAsia"/>
          <w:color w:val="000000"/>
        </w:rPr>
        <w:fldChar w:fldCharType="end"/>
      </w:r>
    </w:p>
    <w:p w14:paraId="02A263B1">
      <w:pPr>
        <w:pStyle w:val="32"/>
        <w:tabs>
          <w:tab w:val="right" w:leader="dot" w:pos="9015"/>
        </w:tabs>
      </w:pPr>
      <w:r>
        <w:rPr>
          <w:rFonts w:hint="eastAsia"/>
          <w:color w:val="000000"/>
        </w:rPr>
        <w:fldChar w:fldCharType="begin"/>
      </w:r>
      <w:r>
        <w:rPr>
          <w:rFonts w:hint="eastAsia"/>
        </w:rPr>
        <w:instrText xml:space="preserve"> HYPERLINK \l _Toc16644 </w:instrText>
      </w:r>
      <w:r>
        <w:rPr>
          <w:rFonts w:hint="eastAsia"/>
        </w:rPr>
        <w:fldChar w:fldCharType="separate"/>
      </w:r>
      <w:r>
        <w:rPr>
          <w:rFonts w:hint="eastAsia"/>
        </w:rPr>
        <w:t>10.</w:t>
      </w:r>
      <w:r>
        <w:t>2紧急事故救援小组成员分工</w:t>
      </w:r>
      <w:r>
        <w:tab/>
      </w:r>
      <w:r>
        <w:fldChar w:fldCharType="begin"/>
      </w:r>
      <w:r>
        <w:instrText xml:space="preserve"> PAGEREF _Toc16644 \h </w:instrText>
      </w:r>
      <w:r>
        <w:fldChar w:fldCharType="separate"/>
      </w:r>
      <w:r>
        <w:t>83</w:t>
      </w:r>
      <w:r>
        <w:fldChar w:fldCharType="end"/>
      </w:r>
      <w:r>
        <w:rPr>
          <w:rFonts w:hint="eastAsia"/>
          <w:color w:val="000000"/>
        </w:rPr>
        <w:fldChar w:fldCharType="end"/>
      </w:r>
    </w:p>
    <w:p w14:paraId="1A3F1DDB">
      <w:pPr>
        <w:pStyle w:val="32"/>
        <w:tabs>
          <w:tab w:val="right" w:leader="dot" w:pos="9015"/>
        </w:tabs>
      </w:pPr>
      <w:r>
        <w:rPr>
          <w:rFonts w:hint="eastAsia"/>
          <w:color w:val="000000"/>
        </w:rPr>
        <w:fldChar w:fldCharType="begin"/>
      </w:r>
      <w:r>
        <w:rPr>
          <w:rFonts w:hint="eastAsia"/>
        </w:rPr>
        <w:instrText xml:space="preserve"> HYPERLINK \l _Toc24261 </w:instrText>
      </w:r>
      <w:r>
        <w:rPr>
          <w:rFonts w:hint="eastAsia"/>
        </w:rPr>
        <w:fldChar w:fldCharType="separate"/>
      </w:r>
      <w:r>
        <w:rPr>
          <w:rFonts w:hint="eastAsia"/>
        </w:rPr>
        <w:t>10.</w:t>
      </w:r>
      <w:r>
        <w:t>3应急准备</w:t>
      </w:r>
      <w:r>
        <w:tab/>
      </w:r>
      <w:r>
        <w:fldChar w:fldCharType="begin"/>
      </w:r>
      <w:r>
        <w:instrText xml:space="preserve"> PAGEREF _Toc24261 \h </w:instrText>
      </w:r>
      <w:r>
        <w:fldChar w:fldCharType="separate"/>
      </w:r>
      <w:r>
        <w:t>84</w:t>
      </w:r>
      <w:r>
        <w:fldChar w:fldCharType="end"/>
      </w:r>
      <w:r>
        <w:rPr>
          <w:rFonts w:hint="eastAsia"/>
          <w:color w:val="000000"/>
        </w:rPr>
        <w:fldChar w:fldCharType="end"/>
      </w:r>
    </w:p>
    <w:p w14:paraId="0A6F2022">
      <w:pPr>
        <w:pStyle w:val="32"/>
        <w:tabs>
          <w:tab w:val="right" w:leader="dot" w:pos="9015"/>
        </w:tabs>
      </w:pPr>
      <w:r>
        <w:rPr>
          <w:rFonts w:hint="eastAsia"/>
          <w:color w:val="000000"/>
        </w:rPr>
        <w:fldChar w:fldCharType="begin"/>
      </w:r>
      <w:r>
        <w:rPr>
          <w:rFonts w:hint="eastAsia"/>
        </w:rPr>
        <w:instrText xml:space="preserve"> HYPERLINK \l _Toc19783 </w:instrText>
      </w:r>
      <w:r>
        <w:rPr>
          <w:rFonts w:hint="eastAsia"/>
        </w:rPr>
        <w:fldChar w:fldCharType="separate"/>
      </w:r>
      <w:r>
        <w:rPr>
          <w:rFonts w:hint="eastAsia"/>
        </w:rPr>
        <w:t>10.</w:t>
      </w:r>
      <w:r>
        <w:t>4施工现场的急救步骤</w:t>
      </w:r>
      <w:r>
        <w:tab/>
      </w:r>
      <w:r>
        <w:fldChar w:fldCharType="begin"/>
      </w:r>
      <w:r>
        <w:instrText xml:space="preserve"> PAGEREF _Toc19783 \h </w:instrText>
      </w:r>
      <w:r>
        <w:fldChar w:fldCharType="separate"/>
      </w:r>
      <w:r>
        <w:t>84</w:t>
      </w:r>
      <w:r>
        <w:fldChar w:fldCharType="end"/>
      </w:r>
      <w:r>
        <w:rPr>
          <w:rFonts w:hint="eastAsia"/>
          <w:color w:val="000000"/>
        </w:rPr>
        <w:fldChar w:fldCharType="end"/>
      </w:r>
    </w:p>
    <w:p w14:paraId="00DABC28">
      <w:pPr>
        <w:pStyle w:val="32"/>
        <w:tabs>
          <w:tab w:val="right" w:leader="dot" w:pos="9015"/>
        </w:tabs>
      </w:pPr>
      <w:r>
        <w:rPr>
          <w:rFonts w:hint="eastAsia"/>
          <w:color w:val="000000"/>
        </w:rPr>
        <w:fldChar w:fldCharType="begin"/>
      </w:r>
      <w:r>
        <w:rPr>
          <w:rFonts w:hint="eastAsia"/>
        </w:rPr>
        <w:instrText xml:space="preserve"> HYPERLINK \l _Toc21665 </w:instrText>
      </w:r>
      <w:r>
        <w:rPr>
          <w:rFonts w:hint="eastAsia"/>
        </w:rPr>
        <w:fldChar w:fldCharType="separate"/>
      </w:r>
      <w:r>
        <w:rPr>
          <w:rFonts w:hint="eastAsia"/>
        </w:rPr>
        <w:t>10.</w:t>
      </w:r>
      <w:r>
        <w:t>5现场预案及措施</w:t>
      </w:r>
      <w:r>
        <w:tab/>
      </w:r>
      <w:r>
        <w:fldChar w:fldCharType="begin"/>
      </w:r>
      <w:r>
        <w:instrText xml:space="preserve"> PAGEREF _Toc21665 \h </w:instrText>
      </w:r>
      <w:r>
        <w:fldChar w:fldCharType="separate"/>
      </w:r>
      <w:r>
        <w:t>84</w:t>
      </w:r>
      <w:r>
        <w:fldChar w:fldCharType="end"/>
      </w:r>
      <w:r>
        <w:rPr>
          <w:rFonts w:hint="eastAsia"/>
          <w:color w:val="000000"/>
        </w:rPr>
        <w:fldChar w:fldCharType="end"/>
      </w:r>
    </w:p>
    <w:p w14:paraId="378BF4EC">
      <w:pPr>
        <w:pStyle w:val="32"/>
        <w:tabs>
          <w:tab w:val="right" w:leader="dot" w:pos="9015"/>
        </w:tabs>
      </w:pPr>
      <w:r>
        <w:rPr>
          <w:rFonts w:hint="eastAsia"/>
          <w:color w:val="000000"/>
        </w:rPr>
        <w:fldChar w:fldCharType="begin"/>
      </w:r>
      <w:r>
        <w:rPr>
          <w:rFonts w:hint="eastAsia"/>
        </w:rPr>
        <w:instrText xml:space="preserve"> HYPERLINK \l _Toc1888 </w:instrText>
      </w:r>
      <w:r>
        <w:rPr>
          <w:rFonts w:hint="eastAsia"/>
        </w:rPr>
        <w:fldChar w:fldCharType="separate"/>
      </w:r>
      <w:r>
        <w:rPr>
          <w:rFonts w:hint="eastAsia"/>
        </w:rPr>
        <w:t>10.</w:t>
      </w:r>
      <w:r>
        <w:t>6</w:t>
      </w:r>
      <w:r>
        <w:rPr>
          <w:lang w:val="zh-CN"/>
        </w:rPr>
        <w:t>应急响应</w:t>
      </w:r>
      <w:r>
        <w:tab/>
      </w:r>
      <w:r>
        <w:fldChar w:fldCharType="begin"/>
      </w:r>
      <w:r>
        <w:instrText xml:space="preserve"> PAGEREF _Toc1888 \h </w:instrText>
      </w:r>
      <w:r>
        <w:fldChar w:fldCharType="separate"/>
      </w:r>
      <w:r>
        <w:t>89</w:t>
      </w:r>
      <w:r>
        <w:fldChar w:fldCharType="end"/>
      </w:r>
      <w:r>
        <w:rPr>
          <w:rFonts w:hint="eastAsia"/>
          <w:color w:val="000000"/>
        </w:rPr>
        <w:fldChar w:fldCharType="end"/>
      </w:r>
    </w:p>
    <w:p w14:paraId="55008302">
      <w:pPr>
        <w:pStyle w:val="32"/>
        <w:tabs>
          <w:tab w:val="right" w:leader="dot" w:pos="9015"/>
        </w:tabs>
      </w:pPr>
      <w:r>
        <w:rPr>
          <w:rFonts w:hint="eastAsia"/>
          <w:color w:val="000000"/>
        </w:rPr>
        <w:fldChar w:fldCharType="begin"/>
      </w:r>
      <w:r>
        <w:rPr>
          <w:rFonts w:hint="eastAsia"/>
        </w:rPr>
        <w:instrText xml:space="preserve"> HYPERLINK \l _Toc4210 </w:instrText>
      </w:r>
      <w:r>
        <w:rPr>
          <w:rFonts w:hint="eastAsia"/>
        </w:rPr>
        <w:fldChar w:fldCharType="separate"/>
      </w:r>
      <w:r>
        <w:rPr>
          <w:rFonts w:hint="eastAsia"/>
        </w:rPr>
        <w:t>10.7</w:t>
      </w:r>
      <w:r>
        <w:rPr>
          <w:lang w:val="zh-CN"/>
        </w:rPr>
        <w:t>应急电话</w:t>
      </w:r>
      <w:r>
        <w:tab/>
      </w:r>
      <w:r>
        <w:fldChar w:fldCharType="begin"/>
      </w:r>
      <w:r>
        <w:instrText xml:space="preserve"> PAGEREF _Toc4210 \h </w:instrText>
      </w:r>
      <w:r>
        <w:fldChar w:fldCharType="separate"/>
      </w:r>
      <w:r>
        <w:t>90</w:t>
      </w:r>
      <w:r>
        <w:fldChar w:fldCharType="end"/>
      </w:r>
      <w:r>
        <w:rPr>
          <w:rFonts w:hint="eastAsia"/>
          <w:color w:val="000000"/>
        </w:rPr>
        <w:fldChar w:fldCharType="end"/>
      </w:r>
    </w:p>
    <w:p w14:paraId="129B1F30">
      <w:pPr>
        <w:pStyle w:val="27"/>
        <w:tabs>
          <w:tab w:val="right" w:leader="dot" w:pos="9015"/>
        </w:tabs>
      </w:pPr>
      <w:r>
        <w:rPr>
          <w:rFonts w:hint="eastAsia"/>
          <w:color w:val="000000"/>
        </w:rPr>
        <w:fldChar w:fldCharType="begin"/>
      </w:r>
      <w:r>
        <w:rPr>
          <w:rFonts w:hint="eastAsia"/>
        </w:rPr>
        <w:instrText xml:space="preserve"> HYPERLINK \l _Toc24127 </w:instrText>
      </w:r>
      <w:r>
        <w:rPr>
          <w:rFonts w:hint="eastAsia"/>
        </w:rPr>
        <w:fldChar w:fldCharType="separate"/>
      </w:r>
      <w:r>
        <w:rPr>
          <w:rFonts w:hint="eastAsia"/>
        </w:rPr>
        <w:t>第十一章附件</w:t>
      </w:r>
      <w:r>
        <w:tab/>
      </w:r>
      <w:r>
        <w:fldChar w:fldCharType="begin"/>
      </w:r>
      <w:r>
        <w:instrText xml:space="preserve"> PAGEREF _Toc24127 \h </w:instrText>
      </w:r>
      <w:r>
        <w:fldChar w:fldCharType="separate"/>
      </w:r>
      <w:r>
        <w:t>91</w:t>
      </w:r>
      <w:r>
        <w:fldChar w:fldCharType="end"/>
      </w:r>
      <w:r>
        <w:rPr>
          <w:rFonts w:hint="eastAsia"/>
          <w:color w:val="000000"/>
        </w:rPr>
        <w:fldChar w:fldCharType="end"/>
      </w:r>
    </w:p>
    <w:p w14:paraId="331888AD">
      <w:pPr>
        <w:pStyle w:val="32"/>
        <w:tabs>
          <w:tab w:val="right" w:leader="dot" w:pos="9015"/>
        </w:tabs>
      </w:pPr>
      <w:r>
        <w:rPr>
          <w:rFonts w:hint="eastAsia"/>
          <w:color w:val="000000"/>
        </w:rPr>
        <w:fldChar w:fldCharType="begin"/>
      </w:r>
      <w:r>
        <w:rPr>
          <w:rFonts w:hint="eastAsia"/>
        </w:rPr>
        <w:instrText xml:space="preserve"> HYPERLINK \l _Toc4858 </w:instrText>
      </w:r>
      <w:r>
        <w:rPr>
          <w:rFonts w:hint="eastAsia"/>
        </w:rPr>
        <w:fldChar w:fldCharType="separate"/>
      </w:r>
      <w:r>
        <w:rPr>
          <w:rFonts w:hint="eastAsia"/>
        </w:rPr>
        <w:t>11.</w:t>
      </w:r>
      <w:r>
        <w:t>1</w:t>
      </w:r>
      <w:r>
        <w:rPr>
          <w:rFonts w:hint="eastAsia"/>
        </w:rPr>
        <w:t>安拆单位证件</w:t>
      </w:r>
      <w:r>
        <w:tab/>
      </w:r>
      <w:r>
        <w:fldChar w:fldCharType="begin"/>
      </w:r>
      <w:r>
        <w:instrText xml:space="preserve"> PAGEREF _Toc4858 \h </w:instrText>
      </w:r>
      <w:r>
        <w:fldChar w:fldCharType="separate"/>
      </w:r>
      <w:r>
        <w:t>91</w:t>
      </w:r>
      <w:r>
        <w:fldChar w:fldCharType="end"/>
      </w:r>
      <w:r>
        <w:rPr>
          <w:rFonts w:hint="eastAsia"/>
          <w:color w:val="000000"/>
        </w:rPr>
        <w:fldChar w:fldCharType="end"/>
      </w:r>
    </w:p>
    <w:p w14:paraId="0F483664">
      <w:pPr>
        <w:pStyle w:val="32"/>
        <w:tabs>
          <w:tab w:val="right" w:leader="dot" w:pos="9015"/>
        </w:tabs>
      </w:pPr>
      <w:r>
        <w:rPr>
          <w:rFonts w:hint="eastAsia"/>
          <w:color w:val="000000"/>
        </w:rPr>
        <w:fldChar w:fldCharType="begin"/>
      </w:r>
      <w:r>
        <w:rPr>
          <w:rFonts w:hint="eastAsia"/>
        </w:rPr>
        <w:instrText xml:space="preserve"> HYPERLINK \l _Toc20178 </w:instrText>
      </w:r>
      <w:r>
        <w:rPr>
          <w:rFonts w:hint="eastAsia"/>
        </w:rPr>
        <w:fldChar w:fldCharType="separate"/>
      </w:r>
      <w:r>
        <w:rPr>
          <w:rFonts w:hint="eastAsia"/>
        </w:rPr>
        <w:t>11.2安拆人员证件</w:t>
      </w:r>
      <w:r>
        <w:tab/>
      </w:r>
      <w:r>
        <w:fldChar w:fldCharType="begin"/>
      </w:r>
      <w:r>
        <w:instrText xml:space="preserve"> PAGEREF _Toc20178 \h </w:instrText>
      </w:r>
      <w:r>
        <w:fldChar w:fldCharType="separate"/>
      </w:r>
      <w:r>
        <w:rPr>
          <w:b/>
        </w:rPr>
        <w:t>错误！未定义书签。</w:t>
      </w:r>
      <w:r>
        <w:fldChar w:fldCharType="end"/>
      </w:r>
      <w:r>
        <w:rPr>
          <w:rFonts w:hint="eastAsia"/>
          <w:color w:val="000000"/>
        </w:rPr>
        <w:fldChar w:fldCharType="end"/>
      </w:r>
    </w:p>
    <w:p w14:paraId="0CC999DA">
      <w:pPr>
        <w:pStyle w:val="32"/>
        <w:tabs>
          <w:tab w:val="right" w:leader="dot" w:pos="9015"/>
        </w:tabs>
      </w:pPr>
      <w:r>
        <w:rPr>
          <w:rFonts w:hint="eastAsia"/>
          <w:color w:val="000000"/>
        </w:rPr>
        <w:fldChar w:fldCharType="begin"/>
      </w:r>
      <w:r>
        <w:rPr>
          <w:rFonts w:hint="eastAsia"/>
        </w:rPr>
        <w:instrText xml:space="preserve"> HYPERLINK \l _Toc12257 </w:instrText>
      </w:r>
      <w:r>
        <w:rPr>
          <w:rFonts w:hint="eastAsia"/>
        </w:rPr>
        <w:fldChar w:fldCharType="separate"/>
      </w:r>
      <w:r>
        <w:rPr>
          <w:rFonts w:hint="eastAsia"/>
        </w:rPr>
        <w:t>11.3安装竣工验收样表</w:t>
      </w:r>
      <w:r>
        <w:tab/>
      </w:r>
      <w:r>
        <w:fldChar w:fldCharType="begin"/>
      </w:r>
      <w:r>
        <w:instrText xml:space="preserve"> PAGEREF _Toc12257 \h </w:instrText>
      </w:r>
      <w:r>
        <w:fldChar w:fldCharType="separate"/>
      </w:r>
      <w:r>
        <w:t>91</w:t>
      </w:r>
      <w:r>
        <w:fldChar w:fldCharType="end"/>
      </w:r>
      <w:r>
        <w:rPr>
          <w:rFonts w:hint="eastAsia"/>
          <w:color w:val="000000"/>
        </w:rPr>
        <w:fldChar w:fldCharType="end"/>
      </w:r>
    </w:p>
    <w:p w14:paraId="27FDBBF6">
      <w:pPr>
        <w:pStyle w:val="2"/>
        <w:rPr>
          <w:color w:val="000000"/>
        </w:rPr>
      </w:pPr>
      <w:r>
        <w:rPr>
          <w:rFonts w:hint="eastAsia"/>
          <w:color w:val="000000"/>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17256"/>
      <w:bookmarkStart w:id="16" w:name="_Toc1088"/>
      <w:bookmarkStart w:id="17" w:name="_Toc27001"/>
      <w:bookmarkStart w:id="18" w:name="_Toc6644"/>
      <w:bookmarkStart w:id="19" w:name="_Toc174_WPSOffice_Level2"/>
      <w:bookmarkStart w:id="20" w:name="_Toc29568"/>
      <w:bookmarkStart w:id="21" w:name="_Toc23722"/>
      <w:bookmarkStart w:id="22" w:name="_Toc16667_WPSOffice_Level2"/>
      <w:bookmarkStart w:id="23" w:name="_Toc4066"/>
      <w:bookmarkStart w:id="24" w:name="_Toc28833_WPSOffice_Level2"/>
      <w:bookmarkStart w:id="25" w:name="_Toc27678"/>
      <w:bookmarkStart w:id="26" w:name="_Toc23905_WPSOffice_Level2"/>
      <w:bookmarkStart w:id="27" w:name="_Toc525111829"/>
      <w:bookmarkStart w:id="28" w:name="_Toc13952"/>
      <w:bookmarkStart w:id="29" w:name="_Toc5984"/>
      <w:bookmarkStart w:id="30" w:name="_Toc6685"/>
      <w:bookmarkStart w:id="31" w:name="_Toc26662"/>
      <w:bookmarkStart w:id="32" w:name="_Toc11518"/>
      <w:bookmarkStart w:id="33" w:name="_Toc4057"/>
      <w:bookmarkStart w:id="34" w:name="_Toc28574"/>
      <w:bookmarkStart w:id="35" w:name="_Toc27285_WPSOffice_Level2"/>
      <w:bookmarkStart w:id="36" w:name="_Toc4904"/>
      <w:bookmarkStart w:id="37" w:name="_Toc26927"/>
      <w:bookmarkStart w:id="38" w:name="_Toc21675"/>
      <w:bookmarkStart w:id="39" w:name="_Toc30524"/>
      <w:bookmarkStart w:id="40" w:name="_Toc27881_WPSOffice_Level2"/>
      <w:bookmarkStart w:id="41" w:name="_Toc11000"/>
      <w:bookmarkStart w:id="42" w:name="_Toc8641_WPSOffice_Level2"/>
      <w:r>
        <w:rPr>
          <w:rFonts w:hint="eastAsia"/>
          <w:color w:val="000000"/>
        </w:rPr>
        <w:t>第一章 编制说明</w:t>
      </w:r>
      <w:bookmarkEnd w:id="15"/>
    </w:p>
    <w:p w14:paraId="4C209AE4">
      <w:pPr>
        <w:pStyle w:val="3"/>
        <w:rPr>
          <w:color w:val="000000"/>
        </w:rPr>
      </w:pPr>
      <w:bookmarkStart w:id="43" w:name="_Toc78734648"/>
      <w:bookmarkStart w:id="44" w:name="_Toc15621"/>
      <w:bookmarkStart w:id="45" w:name="_Toc45466123"/>
      <w:bookmarkStart w:id="46" w:name="_Toc38284771"/>
      <w:bookmarkStart w:id="47" w:name="_Toc18198"/>
      <w:bookmarkStart w:id="48" w:name="_Toc31845"/>
      <w:bookmarkStart w:id="49" w:name="_Toc18899"/>
      <w:bookmarkStart w:id="50" w:name="_Toc29292"/>
      <w:bookmarkStart w:id="51" w:name="_Toc29906"/>
      <w:bookmarkStart w:id="52" w:name="_Toc16112"/>
      <w:bookmarkStart w:id="53" w:name="_Toc27194"/>
      <w:bookmarkStart w:id="54" w:name="_Toc19508"/>
      <w:bookmarkStart w:id="55" w:name="_Toc16472"/>
      <w:bookmarkStart w:id="56" w:name="_Toc2675"/>
      <w:bookmarkStart w:id="57" w:name="_Toc1885"/>
      <w:bookmarkStart w:id="58" w:name="_Toc38284943"/>
      <w:bookmarkStart w:id="59" w:name="_Toc30367"/>
      <w:bookmarkStart w:id="60" w:name="_Toc31524"/>
      <w:bookmarkStart w:id="61" w:name="_Toc22109"/>
      <w:r>
        <w:rPr>
          <w:rFonts w:hint="eastAsia"/>
          <w:color w:val="000000"/>
        </w:rPr>
        <w:t>1</w:t>
      </w:r>
      <w:r>
        <w:rPr>
          <w:color w:val="000000"/>
        </w:rPr>
        <w:t>.1编制依据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9E30475">
      <w:pPr>
        <w:ind w:left="560" w:leftChars="200" w:firstLine="0" w:firstLineChars="0"/>
        <w:rPr>
          <w:color w:val="000000"/>
        </w:rPr>
      </w:pPr>
      <w:r>
        <w:rPr>
          <w:rFonts w:hint="eastAsia"/>
          <w:color w:val="000000"/>
        </w:rPr>
        <w:t>现行法规、规范、标准及办法，主要有：</w:t>
      </w:r>
    </w:p>
    <w:p w14:paraId="352EB7FF">
      <w:pPr>
        <w:ind w:firstLine="560"/>
        <w:rPr>
          <w:color w:val="000000"/>
        </w:rPr>
      </w:pPr>
      <w:r>
        <w:rPr>
          <w:color w:val="000000"/>
        </w:rPr>
        <w:t xml:space="preserve">[1] </w:t>
      </w:r>
      <w:r>
        <w:rPr>
          <w:rFonts w:hint="eastAsia"/>
          <w:color w:val="000000"/>
        </w:rPr>
        <w:t>《中华人民共和国特种设备安全法》（</w:t>
      </w:r>
      <w:r>
        <w:rPr>
          <w:rFonts w:hint="eastAsia"/>
          <w:color w:val="000000"/>
          <w:sz w:val="24"/>
          <w:szCs w:val="20"/>
        </w:rPr>
        <w:t>中华人民共和国主席令第四号</w:t>
      </w:r>
      <w:r>
        <w:rPr>
          <w:rFonts w:hint="eastAsia"/>
          <w:color w:val="000000"/>
        </w:rPr>
        <w:t>）</w:t>
      </w:r>
    </w:p>
    <w:p w14:paraId="5C559404">
      <w:pPr>
        <w:ind w:firstLine="560"/>
      </w:pPr>
      <w:r>
        <w:rPr>
          <w:color w:val="000000"/>
        </w:rPr>
        <w:t>[</w:t>
      </w:r>
      <w:r>
        <w:rPr>
          <w:rFonts w:hint="eastAsia"/>
          <w:color w:val="000000"/>
        </w:rPr>
        <w:t>2</w:t>
      </w:r>
      <w:r>
        <w:rPr>
          <w:color w:val="000000"/>
        </w:rPr>
        <w:t xml:space="preserve">] </w:t>
      </w:r>
      <w:r>
        <w:rPr>
          <w:rFonts w:hint="eastAsia"/>
          <w:color w:val="000000"/>
        </w:rPr>
        <w:t>《中华人民共和国安全生产法 》（2021年修订版）</w:t>
      </w:r>
    </w:p>
    <w:p w14:paraId="5A1C4A3F">
      <w:pPr>
        <w:ind w:firstLine="560"/>
        <w:rPr>
          <w:color w:val="000000"/>
        </w:rPr>
      </w:pPr>
      <w:r>
        <w:rPr>
          <w:color w:val="000000"/>
        </w:rPr>
        <w:t>[</w:t>
      </w:r>
      <w:r>
        <w:rPr>
          <w:rFonts w:hint="eastAsia"/>
          <w:color w:val="000000"/>
        </w:rPr>
        <w:t>3</w:t>
      </w:r>
      <w:r>
        <w:rPr>
          <w:color w:val="000000"/>
        </w:rPr>
        <w:t>]</w:t>
      </w:r>
      <w:r>
        <w:rPr>
          <w:rFonts w:hint="eastAsia"/>
          <w:color w:val="000000"/>
        </w:rPr>
        <w:t>《建设工程安全生产管理条例》（</w:t>
      </w:r>
      <w:r>
        <w:rPr>
          <w:rFonts w:hint="eastAsia"/>
          <w:color w:val="000000"/>
          <w:sz w:val="24"/>
          <w:szCs w:val="20"/>
        </w:rPr>
        <w:t>中华人民共和国国务院令第</w:t>
      </w:r>
      <w:r>
        <w:rPr>
          <w:rFonts w:hint="eastAsia"/>
          <w:color w:val="000000"/>
          <w:sz w:val="24"/>
          <w:szCs w:val="20"/>
          <w:lang w:val="en-US" w:eastAsia="zh-CN"/>
        </w:rPr>
        <w:t>393</w:t>
      </w:r>
      <w:r>
        <w:rPr>
          <w:rFonts w:hint="eastAsia"/>
          <w:color w:val="000000"/>
          <w:sz w:val="24"/>
          <w:szCs w:val="20"/>
        </w:rPr>
        <w:t>号</w:t>
      </w:r>
      <w:r>
        <w:rPr>
          <w:rFonts w:hint="eastAsia"/>
          <w:color w:val="000000"/>
        </w:rPr>
        <w:t>）</w:t>
      </w:r>
    </w:p>
    <w:p w14:paraId="0A594934">
      <w:pPr>
        <w:ind w:firstLine="560"/>
        <w:rPr>
          <w:color w:val="000000"/>
        </w:rPr>
      </w:pPr>
      <w:r>
        <w:rPr>
          <w:color w:val="000000"/>
        </w:rPr>
        <w:t>[</w:t>
      </w:r>
      <w:r>
        <w:rPr>
          <w:rFonts w:hint="eastAsia"/>
          <w:color w:val="000000"/>
        </w:rPr>
        <w:t>4</w:t>
      </w:r>
      <w:r>
        <w:rPr>
          <w:color w:val="000000"/>
        </w:rPr>
        <w:t>]</w:t>
      </w:r>
      <w:r>
        <w:rPr>
          <w:rFonts w:hint="eastAsia"/>
          <w:color w:val="000000"/>
        </w:rPr>
        <w:t>《特种设备使用管理规则》（</w:t>
      </w:r>
      <w:r>
        <w:rPr>
          <w:color w:val="000000"/>
        </w:rPr>
        <w:t>TSG 08-2017</w:t>
      </w:r>
      <w:r>
        <w:rPr>
          <w:rFonts w:hint="eastAsia"/>
          <w:color w:val="000000"/>
        </w:rPr>
        <w:t>）</w:t>
      </w:r>
    </w:p>
    <w:p w14:paraId="1E59FC1A">
      <w:pPr>
        <w:ind w:firstLine="560"/>
        <w:rPr>
          <w:color w:val="000000"/>
        </w:rPr>
      </w:pPr>
      <w:r>
        <w:rPr>
          <w:color w:val="000000"/>
        </w:rPr>
        <w:t>[</w:t>
      </w:r>
      <w:r>
        <w:rPr>
          <w:rFonts w:hint="eastAsia"/>
          <w:color w:val="000000"/>
        </w:rPr>
        <w:t>5</w:t>
      </w:r>
      <w:r>
        <w:rPr>
          <w:color w:val="000000"/>
        </w:rPr>
        <w:t>]</w:t>
      </w:r>
      <w:r>
        <w:rPr>
          <w:rFonts w:hint="eastAsia"/>
          <w:color w:val="000000"/>
        </w:rPr>
        <w:t>《特种设备安全监察条例》（中华人民共和国国务院令第373号）</w:t>
      </w:r>
    </w:p>
    <w:p w14:paraId="7D292B5D">
      <w:pPr>
        <w:ind w:firstLine="560"/>
        <w:rPr>
          <w:color w:val="000000"/>
        </w:rPr>
      </w:pPr>
      <w:r>
        <w:rPr>
          <w:color w:val="000000"/>
        </w:rPr>
        <w:t>[</w:t>
      </w:r>
      <w:r>
        <w:rPr>
          <w:rFonts w:hint="eastAsia"/>
          <w:color w:val="000000"/>
        </w:rPr>
        <w:t>6</w:t>
      </w:r>
      <w:r>
        <w:rPr>
          <w:color w:val="000000"/>
        </w:rPr>
        <w:t>]</w:t>
      </w:r>
      <w:r>
        <w:rPr>
          <w:rFonts w:hint="eastAsia"/>
          <w:color w:val="000000"/>
        </w:rPr>
        <w:t>《建筑施工塔式起重机安装、使用、拆卸安全技术规程》（</w:t>
      </w:r>
      <w:r>
        <w:rPr>
          <w:color w:val="000000"/>
        </w:rPr>
        <w:t>JGJ196-2010</w:t>
      </w:r>
      <w:r>
        <w:rPr>
          <w:rFonts w:hint="eastAsia"/>
          <w:color w:val="000000"/>
        </w:rPr>
        <w:t>）</w:t>
      </w:r>
    </w:p>
    <w:p w14:paraId="2F717849">
      <w:pPr>
        <w:ind w:firstLine="560"/>
        <w:rPr>
          <w:color w:val="000000"/>
        </w:rPr>
      </w:pPr>
      <w:r>
        <w:rPr>
          <w:color w:val="000000"/>
        </w:rPr>
        <w:t>[</w:t>
      </w:r>
      <w:r>
        <w:rPr>
          <w:rFonts w:hint="eastAsia"/>
          <w:color w:val="000000"/>
        </w:rPr>
        <w:t>7</w:t>
      </w:r>
      <w:r>
        <w:rPr>
          <w:color w:val="000000"/>
        </w:rPr>
        <w:t>]</w:t>
      </w:r>
      <w:r>
        <w:rPr>
          <w:rFonts w:hint="eastAsia"/>
          <w:color w:val="000000"/>
        </w:rPr>
        <w:t>《塔式起重机安全规程》（</w:t>
      </w:r>
      <w:r>
        <w:rPr>
          <w:color w:val="000000"/>
        </w:rPr>
        <w:t>GB5144-2006</w:t>
      </w:r>
      <w:r>
        <w:rPr>
          <w:rFonts w:hint="eastAsia"/>
          <w:color w:val="000000"/>
        </w:rPr>
        <w:t>）</w:t>
      </w:r>
    </w:p>
    <w:p w14:paraId="2F2058C5">
      <w:pPr>
        <w:ind w:firstLine="560"/>
        <w:rPr>
          <w:color w:val="000000"/>
        </w:rPr>
      </w:pPr>
      <w:r>
        <w:rPr>
          <w:color w:val="000000"/>
        </w:rPr>
        <w:t>[</w:t>
      </w:r>
      <w:r>
        <w:rPr>
          <w:rFonts w:hint="eastAsia"/>
          <w:color w:val="000000"/>
        </w:rPr>
        <w:t>8</w:t>
      </w:r>
      <w:r>
        <w:rPr>
          <w:color w:val="000000"/>
        </w:rPr>
        <w:t>]</w:t>
      </w:r>
      <w:r>
        <w:rPr>
          <w:rFonts w:hint="eastAsia"/>
          <w:color w:val="000000"/>
        </w:rPr>
        <w:t>《建筑机械使用安全技术规程》（</w:t>
      </w:r>
      <w:r>
        <w:rPr>
          <w:color w:val="000000"/>
        </w:rPr>
        <w:t>JGJ33-2012</w:t>
      </w:r>
      <w:r>
        <w:rPr>
          <w:rFonts w:hint="eastAsia"/>
          <w:color w:val="000000"/>
        </w:rPr>
        <w:t>）</w:t>
      </w:r>
    </w:p>
    <w:p w14:paraId="06FA45A7">
      <w:pPr>
        <w:ind w:firstLine="560"/>
        <w:rPr>
          <w:color w:val="000000"/>
        </w:rPr>
      </w:pPr>
      <w:r>
        <w:rPr>
          <w:color w:val="000000"/>
        </w:rPr>
        <w:t>[</w:t>
      </w:r>
      <w:r>
        <w:rPr>
          <w:rFonts w:hint="eastAsia"/>
          <w:color w:val="000000"/>
        </w:rPr>
        <w:t>9</w:t>
      </w:r>
      <w:r>
        <w:rPr>
          <w:color w:val="000000"/>
        </w:rPr>
        <w:t>]</w:t>
      </w:r>
      <w:r>
        <w:rPr>
          <w:rFonts w:hint="eastAsia"/>
          <w:color w:val="000000"/>
        </w:rPr>
        <w:t>《建筑施工安全检查标准》（</w:t>
      </w:r>
      <w:r>
        <w:rPr>
          <w:color w:val="000000"/>
        </w:rPr>
        <w:t>JGJ59-2011</w:t>
      </w:r>
      <w:r>
        <w:rPr>
          <w:rFonts w:hint="eastAsia"/>
          <w:color w:val="000000"/>
        </w:rPr>
        <w:t>）</w:t>
      </w:r>
    </w:p>
    <w:p w14:paraId="4A4EC11A">
      <w:pPr>
        <w:ind w:firstLine="560"/>
        <w:rPr>
          <w:color w:val="000000"/>
        </w:rPr>
      </w:pPr>
      <w:r>
        <w:rPr>
          <w:color w:val="000000"/>
        </w:rPr>
        <w:t>[</w:t>
      </w:r>
      <w:r>
        <w:rPr>
          <w:rFonts w:hint="eastAsia"/>
          <w:color w:val="000000"/>
        </w:rPr>
        <w:t>11</w:t>
      </w:r>
      <w:r>
        <w:rPr>
          <w:color w:val="000000"/>
        </w:rPr>
        <w:t>]</w:t>
      </w:r>
      <w:r>
        <w:rPr>
          <w:rFonts w:hint="eastAsia"/>
          <w:color w:val="000000"/>
        </w:rPr>
        <w:t>《建筑施工高处作业安全技术规范》（</w:t>
      </w:r>
      <w:r>
        <w:rPr>
          <w:color w:val="000000"/>
        </w:rPr>
        <w:t>JGJ80-2016</w:t>
      </w:r>
      <w:r>
        <w:rPr>
          <w:rFonts w:hint="eastAsia"/>
          <w:color w:val="000000"/>
        </w:rPr>
        <w:t>）</w:t>
      </w:r>
    </w:p>
    <w:p w14:paraId="4A52ED71">
      <w:pPr>
        <w:ind w:firstLine="560"/>
        <w:rPr>
          <w:color w:val="000000"/>
        </w:rPr>
      </w:pPr>
      <w:r>
        <w:rPr>
          <w:color w:val="000000"/>
        </w:rPr>
        <w:t>[1</w:t>
      </w:r>
      <w:r>
        <w:rPr>
          <w:rFonts w:hint="eastAsia"/>
          <w:color w:val="000000"/>
        </w:rPr>
        <w:t>2</w:t>
      </w:r>
      <w:r>
        <w:rPr>
          <w:color w:val="000000"/>
        </w:rPr>
        <w:t>]</w:t>
      </w:r>
      <w:r>
        <w:rPr>
          <w:rFonts w:hint="eastAsia"/>
          <w:color w:val="000000"/>
        </w:rPr>
        <w:t>《建筑施工起重吊装工程安全技术规范》（</w:t>
      </w:r>
      <w:r>
        <w:rPr>
          <w:color w:val="000000"/>
        </w:rPr>
        <w:t>JGJ276-2012</w:t>
      </w:r>
      <w:r>
        <w:rPr>
          <w:rFonts w:hint="eastAsia"/>
          <w:color w:val="000000"/>
        </w:rPr>
        <w:t>）</w:t>
      </w:r>
    </w:p>
    <w:p w14:paraId="6A6BF093">
      <w:pPr>
        <w:ind w:firstLine="560"/>
        <w:rPr>
          <w:color w:val="000000"/>
        </w:rPr>
      </w:pPr>
      <w:r>
        <w:rPr>
          <w:color w:val="000000"/>
        </w:rPr>
        <w:t>[1</w:t>
      </w:r>
      <w:r>
        <w:rPr>
          <w:rFonts w:hint="eastAsia"/>
          <w:color w:val="000000"/>
        </w:rPr>
        <w:t>3</w:t>
      </w:r>
      <w:r>
        <w:rPr>
          <w:color w:val="000000"/>
        </w:rPr>
        <w:t>]</w:t>
      </w:r>
      <w:r>
        <w:rPr>
          <w:rFonts w:hint="eastAsia"/>
          <w:color w:val="000000"/>
        </w:rPr>
        <w:t>《建筑起重机械安全监督管理规定》（建设部第</w:t>
      </w:r>
      <w:r>
        <w:rPr>
          <w:color w:val="000000"/>
        </w:rPr>
        <w:t>166</w:t>
      </w:r>
      <w:r>
        <w:rPr>
          <w:rFonts w:hint="eastAsia"/>
          <w:color w:val="000000"/>
        </w:rPr>
        <w:t>号令）</w:t>
      </w:r>
    </w:p>
    <w:p w14:paraId="49F92027">
      <w:pPr>
        <w:ind w:firstLine="560"/>
        <w:rPr>
          <w:color w:val="000000"/>
        </w:rPr>
      </w:pPr>
      <w:r>
        <w:rPr>
          <w:color w:val="000000"/>
        </w:rPr>
        <w:t>[1</w:t>
      </w:r>
      <w:r>
        <w:rPr>
          <w:rFonts w:hint="eastAsia"/>
          <w:color w:val="000000"/>
        </w:rPr>
        <w:t>4</w:t>
      </w:r>
      <w:r>
        <w:rPr>
          <w:color w:val="000000"/>
        </w:rPr>
        <w:t>]</w:t>
      </w:r>
      <w:r>
        <w:rPr>
          <w:rFonts w:hint="eastAsia"/>
          <w:color w:val="000000"/>
        </w:rPr>
        <w:t>《起重机钢丝绳保养、维护、检验和报废》（</w:t>
      </w:r>
      <w:r>
        <w:rPr>
          <w:color w:val="000000"/>
        </w:rPr>
        <w:t>GB/T5972-20</w:t>
      </w:r>
      <w:r>
        <w:rPr>
          <w:rFonts w:hint="eastAsia"/>
          <w:color w:val="000000"/>
          <w:lang w:val="en-US" w:eastAsia="zh-CN"/>
        </w:rPr>
        <w:t>23</w:t>
      </w:r>
      <w:r>
        <w:rPr>
          <w:rFonts w:hint="eastAsia"/>
          <w:color w:val="000000"/>
        </w:rPr>
        <w:t>）</w:t>
      </w:r>
    </w:p>
    <w:p w14:paraId="75534F75">
      <w:pPr>
        <w:ind w:firstLine="560"/>
      </w:pPr>
      <w:r>
        <w:rPr>
          <w:color w:val="000000"/>
        </w:rPr>
        <w:t>[1</w:t>
      </w:r>
      <w:r>
        <w:rPr>
          <w:rFonts w:hint="eastAsia"/>
          <w:color w:val="000000"/>
        </w:rPr>
        <w:t>5</w:t>
      </w:r>
      <w:r>
        <w:rPr>
          <w:color w:val="000000"/>
        </w:rPr>
        <w:t>]</w:t>
      </w:r>
      <w:r>
        <w:rPr>
          <w:rFonts w:hint="eastAsia"/>
          <w:color w:val="000000"/>
        </w:rPr>
        <w:t>《</w:t>
      </w:r>
      <w:r>
        <w:rPr>
          <w:rFonts w:hint="eastAsia"/>
        </w:rPr>
        <w:t>一般用途钢丝绳吊索特性和技术条件</w:t>
      </w:r>
      <w:r>
        <w:t>》</w:t>
      </w:r>
      <w:r>
        <w:rPr>
          <w:rFonts w:hint="eastAsia"/>
        </w:rPr>
        <w:t>(GB/T 1</w:t>
      </w:r>
      <w:r>
        <w:t xml:space="preserve">6762-2020 </w:t>
      </w:r>
      <w:r>
        <w:rPr>
          <w:rFonts w:hint="eastAsia"/>
        </w:rPr>
        <w:t>)</w:t>
      </w:r>
    </w:p>
    <w:p w14:paraId="181C2CCC">
      <w:pPr>
        <w:ind w:firstLine="560"/>
      </w:pPr>
      <w:r>
        <w:rPr>
          <w:color w:val="000000"/>
        </w:rPr>
        <w:t>[1</w:t>
      </w:r>
      <w:r>
        <w:rPr>
          <w:rFonts w:hint="eastAsia"/>
          <w:color w:val="000000"/>
        </w:rPr>
        <w:t>6</w:t>
      </w:r>
      <w:r>
        <w:rPr>
          <w:color w:val="000000"/>
        </w:rPr>
        <w:t>]</w:t>
      </w:r>
      <w:r>
        <w:t>《</w:t>
      </w:r>
      <w:r>
        <w:rPr>
          <w:rFonts w:hint="eastAsia"/>
        </w:rPr>
        <w:t>钢丝绳通用技术条件</w:t>
      </w:r>
      <w:r>
        <w:t>》</w:t>
      </w:r>
      <w:r>
        <w:rPr>
          <w:rFonts w:hint="eastAsia"/>
        </w:rPr>
        <w:t>(GB/T 20118</w:t>
      </w:r>
      <w:r>
        <w:t>-20</w:t>
      </w:r>
      <w:r>
        <w:rPr>
          <w:rFonts w:hint="eastAsia"/>
        </w:rPr>
        <w:t>17 )</w:t>
      </w:r>
    </w:p>
    <w:p w14:paraId="0BEF5A2A">
      <w:pPr>
        <w:ind w:firstLine="560"/>
        <w:rPr>
          <w:color w:val="000000"/>
        </w:rPr>
      </w:pPr>
      <w:r>
        <w:rPr>
          <w:color w:val="000000"/>
        </w:rPr>
        <w:t>[1</w:t>
      </w:r>
      <w:r>
        <w:rPr>
          <w:rFonts w:hint="eastAsia"/>
          <w:color w:val="000000"/>
        </w:rPr>
        <w:t>7</w:t>
      </w:r>
      <w:r>
        <w:rPr>
          <w:color w:val="000000"/>
        </w:rPr>
        <w:t>]</w:t>
      </w:r>
      <w:r>
        <w:rPr>
          <w:rFonts w:hint="eastAsia"/>
          <w:color w:val="000000"/>
        </w:rPr>
        <w:t>《塔式起重机混凝土基础工程技术标准》（</w:t>
      </w:r>
      <w:r>
        <w:rPr>
          <w:color w:val="000000"/>
        </w:rPr>
        <w:t>JGJ/T187-2019</w:t>
      </w:r>
      <w:r>
        <w:rPr>
          <w:rFonts w:hint="eastAsia"/>
          <w:color w:val="000000"/>
        </w:rPr>
        <w:t>）</w:t>
      </w:r>
    </w:p>
    <w:p w14:paraId="7862BEBE">
      <w:pPr>
        <w:ind w:firstLine="560"/>
        <w:rPr>
          <w:color w:val="000000"/>
        </w:rPr>
      </w:pPr>
      <w:r>
        <w:rPr>
          <w:color w:val="000000"/>
        </w:rPr>
        <w:t>[1</w:t>
      </w:r>
      <w:r>
        <w:rPr>
          <w:rFonts w:hint="eastAsia"/>
          <w:color w:val="000000"/>
        </w:rPr>
        <w:t>8</w:t>
      </w:r>
      <w:r>
        <w:rPr>
          <w:color w:val="000000"/>
        </w:rPr>
        <w:t>]</w:t>
      </w:r>
      <w:r>
        <w:rPr>
          <w:rFonts w:hint="eastAsia"/>
          <w:color w:val="000000"/>
        </w:rPr>
        <w:t>《危险性较大的分部分项工程安全管理规定》</w:t>
      </w:r>
      <w:r>
        <w:rPr>
          <w:color w:val="000000"/>
        </w:rPr>
        <w:t>(</w:t>
      </w:r>
      <w:r>
        <w:rPr>
          <w:rFonts w:hint="eastAsia"/>
          <w:color w:val="000000"/>
        </w:rPr>
        <w:t>住建部令第37号</w:t>
      </w:r>
      <w:r>
        <w:rPr>
          <w:color w:val="000000"/>
        </w:rPr>
        <w:t>)</w:t>
      </w:r>
    </w:p>
    <w:p w14:paraId="7F3C75C8">
      <w:pPr>
        <w:ind w:firstLine="560"/>
        <w:rPr>
          <w:color w:val="000000"/>
        </w:rPr>
      </w:pPr>
      <w:r>
        <w:rPr>
          <w:color w:val="000000"/>
        </w:rPr>
        <w:t>[</w:t>
      </w:r>
      <w:r>
        <w:rPr>
          <w:rFonts w:hint="eastAsia"/>
          <w:color w:val="000000"/>
        </w:rPr>
        <w:t>19</w:t>
      </w:r>
      <w:r>
        <w:rPr>
          <w:color w:val="000000"/>
        </w:rPr>
        <w:t>]</w:t>
      </w:r>
      <w:r>
        <w:rPr>
          <w:rFonts w:hint="eastAsia"/>
          <w:color w:val="000000"/>
        </w:rPr>
        <w:t>《公路工程施工安全技术规范》（</w:t>
      </w:r>
      <w:r>
        <w:rPr>
          <w:color w:val="000000"/>
        </w:rPr>
        <w:t xml:space="preserve">JTG F90-2015 </w:t>
      </w:r>
      <w:r>
        <w:rPr>
          <w:rFonts w:hint="eastAsia"/>
          <w:color w:val="000000"/>
        </w:rPr>
        <w:t>）</w:t>
      </w:r>
    </w:p>
    <w:p w14:paraId="4E139ABB">
      <w:pPr>
        <w:ind w:firstLine="560"/>
        <w:rPr>
          <w:rFonts w:hint="eastAsia"/>
          <w:color w:val="000000"/>
        </w:rPr>
      </w:pPr>
      <w:r>
        <w:rPr>
          <w:color w:val="000000"/>
        </w:rPr>
        <w:t>[</w:t>
      </w:r>
      <w:r>
        <w:rPr>
          <w:rFonts w:hint="eastAsia"/>
          <w:color w:val="000000"/>
        </w:rPr>
        <w:t>20</w:t>
      </w:r>
      <w:r>
        <w:rPr>
          <w:color w:val="000000"/>
        </w:rPr>
        <w:t>]</w:t>
      </w:r>
      <w:r>
        <w:rPr>
          <w:rFonts w:hint="eastAsia"/>
          <w:color w:val="000000"/>
        </w:rPr>
        <w:t>《</w:t>
      </w:r>
      <w:r>
        <w:rPr>
          <w:rFonts w:hint="eastAsia"/>
          <w:color w:val="000000"/>
          <w:lang w:eastAsia="zh-CN"/>
        </w:rPr>
        <w:t>建筑与市政工程</w:t>
      </w:r>
      <w:r>
        <w:rPr>
          <w:rFonts w:hint="eastAsia"/>
          <w:color w:val="000000"/>
        </w:rPr>
        <w:t>施工现场临时用电安全技术</w:t>
      </w:r>
      <w:r>
        <w:rPr>
          <w:rFonts w:hint="eastAsia"/>
          <w:color w:val="000000"/>
          <w:lang w:eastAsia="zh-CN"/>
        </w:rPr>
        <w:t>标准</w:t>
      </w:r>
      <w:r>
        <w:rPr>
          <w:rFonts w:hint="eastAsia"/>
          <w:color w:val="000000"/>
        </w:rPr>
        <w:t>》（</w:t>
      </w:r>
      <w:r>
        <w:rPr>
          <w:color w:val="000000"/>
        </w:rPr>
        <w:t>JGJ</w:t>
      </w:r>
      <w:r>
        <w:rPr>
          <w:rFonts w:hint="eastAsia"/>
          <w:color w:val="000000"/>
          <w:lang w:val="en-US" w:eastAsia="zh-CN"/>
        </w:rPr>
        <w:t>/T</w:t>
      </w:r>
      <w:r>
        <w:rPr>
          <w:color w:val="000000"/>
        </w:rPr>
        <w:t>46-20</w:t>
      </w:r>
      <w:r>
        <w:rPr>
          <w:rFonts w:hint="eastAsia"/>
          <w:color w:val="000000"/>
          <w:lang w:val="en-US" w:eastAsia="zh-CN"/>
        </w:rPr>
        <w:t>24</w:t>
      </w:r>
      <w:r>
        <w:rPr>
          <w:rFonts w:hint="eastAsia"/>
          <w:color w:val="000000"/>
        </w:rPr>
        <w:t>）</w:t>
      </w:r>
    </w:p>
    <w:p w14:paraId="23C52228">
      <w:pPr>
        <w:ind w:firstLine="560"/>
        <w:rPr>
          <w:rFonts w:hint="eastAsia"/>
          <w:color w:val="000000"/>
        </w:rPr>
      </w:pPr>
      <w:r>
        <w:rPr>
          <w:rFonts w:hint="eastAsia"/>
          <w:color w:val="000000"/>
          <w:lang w:val="en-US" w:eastAsia="zh-CN"/>
        </w:rPr>
        <w:t>[21]</w:t>
      </w:r>
      <w:r>
        <w:rPr>
          <w:rFonts w:hint="eastAsia"/>
          <w:color w:val="000000"/>
        </w:rPr>
        <w:t>《起重机械安全技术规程》（TSG 51-2023）</w:t>
      </w:r>
    </w:p>
    <w:p w14:paraId="2DE30523">
      <w:pPr>
        <w:ind w:firstLine="560"/>
      </w:pPr>
      <w:r>
        <w:rPr>
          <w:color w:val="000000"/>
        </w:rPr>
        <w:t>[</w:t>
      </w:r>
      <w:r>
        <w:rPr>
          <w:rFonts w:hint="eastAsia"/>
          <w:color w:val="000000"/>
        </w:rPr>
        <w:t>2</w:t>
      </w:r>
      <w:r>
        <w:rPr>
          <w:rFonts w:hint="eastAsia"/>
          <w:color w:val="000000"/>
          <w:lang w:val="en-US" w:eastAsia="zh-CN"/>
        </w:rPr>
        <w:t>2</w:t>
      </w:r>
      <w:r>
        <w:rPr>
          <w:color w:val="000000"/>
        </w:rPr>
        <w:t xml:space="preserve">] </w:t>
      </w:r>
      <w:bookmarkStart w:id="62" w:name="_Toc16460"/>
      <w:bookmarkStart w:id="63" w:name="_Toc13106"/>
      <w:bookmarkStart w:id="64" w:name="_Toc3672"/>
      <w:bookmarkStart w:id="65" w:name="_Toc24559"/>
      <w:bookmarkStart w:id="66" w:name="_Toc25765"/>
      <w:bookmarkStart w:id="67" w:name="_Toc28189"/>
      <w:bookmarkStart w:id="68" w:name="_Toc4539"/>
      <w:bookmarkStart w:id="69" w:name="_Toc14821"/>
      <w:bookmarkStart w:id="70" w:name="_Toc11265"/>
      <w:bookmarkStart w:id="71" w:name="_Toc26335"/>
      <w:bookmarkStart w:id="72" w:name="_Toc19237"/>
      <w:bookmarkStart w:id="73" w:name="_Toc30101"/>
      <w:bookmarkStart w:id="74" w:name="_Toc1855"/>
      <w:bookmarkStart w:id="75" w:name="_Toc14535"/>
      <w:bookmarkStart w:id="76" w:name="_Toc19823"/>
      <w:r>
        <w:rPr>
          <w:rFonts w:hint="eastAsia"/>
        </w:rPr>
        <w:t>徐工《XGT6015A-8S塔式起重机使用说明书》</w:t>
      </w:r>
    </w:p>
    <w:p w14:paraId="7948D7F1">
      <w:pPr>
        <w:pStyle w:val="3"/>
        <w:rPr>
          <w:rFonts w:ascii="Times New Roman" w:hAnsi="Times New Roman"/>
          <w:color w:val="000000"/>
        </w:rPr>
      </w:pPr>
      <w:bookmarkStart w:id="77" w:name="_Toc3888"/>
      <w:r>
        <w:rPr>
          <w:rFonts w:hint="eastAsia"/>
          <w:color w:val="000000"/>
        </w:rPr>
        <w:t>1.2 编制原则</w:t>
      </w:r>
      <w:bookmarkEnd w:id="77"/>
    </w:p>
    <w:p w14:paraId="7A913CA5">
      <w:pPr>
        <w:widowControl/>
        <w:adjustRightInd w:val="0"/>
        <w:ind w:firstLine="560"/>
        <w:jc w:val="left"/>
        <w:rPr>
          <w:color w:val="000000"/>
        </w:rPr>
      </w:pPr>
      <w:r>
        <w:rPr>
          <w:rFonts w:hint="eastAsia"/>
          <w:color w:val="000000"/>
        </w:rPr>
        <w:t>（1）安全第一的原则，坚持“安全第一，预防为主，综合治理”的指导思想，遵守国家安全相关法律法规，结合工程特点，制定积极有效的安全管理、技术、组织措施，确保人身安全和工程安全。</w:t>
      </w:r>
    </w:p>
    <w:p w14:paraId="30D08F23">
      <w:pPr>
        <w:widowControl/>
        <w:adjustRightInd w:val="0"/>
        <w:ind w:firstLine="560"/>
        <w:jc w:val="left"/>
        <w:rPr>
          <w:color w:val="000000"/>
        </w:rPr>
      </w:pPr>
      <w:r>
        <w:rPr>
          <w:rFonts w:hint="eastAsia"/>
          <w:color w:val="000000"/>
        </w:rPr>
        <w:t>（2）确保工期的原则，根据工程施工组织安排，编制科学的、合理的、周密的施工方案，合理安排塔柱施工进度，实行网络控制，做好工序衔接，实施进度监控，确保实现工期目标，满足业主要求。</w:t>
      </w:r>
    </w:p>
    <w:p w14:paraId="4C0FFBAB">
      <w:pPr>
        <w:widowControl/>
        <w:adjustRightInd w:val="0"/>
        <w:ind w:firstLine="560"/>
        <w:jc w:val="left"/>
      </w:pPr>
      <w:r>
        <w:rPr>
          <w:rFonts w:hint="eastAsia"/>
          <w:color w:val="000000"/>
        </w:rPr>
        <w:t>（3）方案优化的原则，科学组织，合理安排，以采用成熟的施工技术、先进的机械、完善的施工工艺为原则。</w:t>
      </w:r>
    </w:p>
    <w:p w14:paraId="1C36B3AD">
      <w:pPr>
        <w:pStyle w:val="3"/>
        <w:rPr>
          <w:color w:val="000000"/>
        </w:rPr>
      </w:pPr>
      <w:bookmarkStart w:id="78" w:name="_Toc9687"/>
      <w:r>
        <w:rPr>
          <w:rFonts w:hint="eastAsia"/>
          <w:color w:val="000000"/>
        </w:rPr>
        <w:t>1.3 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7997C48B">
      <w:pPr>
        <w:widowControl/>
        <w:adjustRightInd w:val="0"/>
        <w:ind w:firstLine="560"/>
        <w:jc w:val="left"/>
        <w:rPr>
          <w:color w:val="000000"/>
        </w:rPr>
      </w:pPr>
      <w:r>
        <w:rPr>
          <w:rFonts w:hint="eastAsia"/>
          <w:color w:val="000000"/>
        </w:rPr>
        <w:t>本方案适用于新建合肥至武汉高速铁路（湖北段）站前工程HWZQ-4标段黄花涝府河特大桥</w:t>
      </w:r>
      <w:r>
        <w:rPr>
          <w:rFonts w:hint="eastAsia"/>
          <w:color w:val="000000"/>
          <w:lang w:val="en-US" w:eastAsia="zh-CN"/>
        </w:rPr>
        <w:t>284#、285#、286#</w:t>
      </w:r>
      <w:r>
        <w:rPr>
          <w:rFonts w:hint="eastAsia"/>
          <w:color w:val="000000"/>
        </w:rPr>
        <w:t>墩XGT6015A-8S塔式起重机安拆施工。</w:t>
      </w:r>
    </w:p>
    <w:p w14:paraId="4E5BFA63">
      <w:pPr>
        <w:ind w:firstLine="560"/>
        <w:rPr>
          <w:rFonts w:cs="仿宋"/>
          <w:bCs/>
          <w:color w:val="000000"/>
          <w:kern w:val="44"/>
          <w:szCs w:val="44"/>
        </w:rPr>
      </w:pPr>
      <w:bookmarkStart w:id="79" w:name="_Toc6722"/>
    </w:p>
    <w:p w14:paraId="39A18567">
      <w:pPr>
        <w:pStyle w:val="2"/>
        <w:ind w:left="1960" w:right="1960"/>
        <w:rPr>
          <w:color w:val="000000"/>
          <w:highlight w:val="yellow"/>
        </w:rPr>
      </w:pPr>
      <w:bookmarkStart w:id="80" w:name="_Toc9989"/>
      <w:bookmarkStart w:id="81" w:name="_Toc25032"/>
      <w:bookmarkStart w:id="82" w:name="_Toc23740"/>
      <w:bookmarkStart w:id="83" w:name="_Toc15747"/>
      <w:bookmarkStart w:id="84" w:name="_Toc2670"/>
      <w:bookmarkStart w:id="85" w:name="_Toc7598"/>
      <w:bookmarkStart w:id="86" w:name="_Toc24863"/>
      <w:bookmarkStart w:id="87" w:name="_Toc32171"/>
      <w:bookmarkStart w:id="88" w:name="_Toc20439"/>
      <w:bookmarkStart w:id="89" w:name="_Toc30497"/>
      <w:bookmarkStart w:id="90" w:name="_Toc26925"/>
      <w:bookmarkStart w:id="91" w:name="_Toc31276"/>
      <w:bookmarkStart w:id="92" w:name="_Toc1259"/>
      <w:bookmarkStart w:id="93" w:name="_Toc668"/>
      <w:bookmarkStart w:id="94" w:name="_Toc7152"/>
      <w:r>
        <w:rPr>
          <w:rFonts w:hint="eastAsia"/>
          <w:color w:val="000000"/>
        </w:rPr>
        <w:t xml:space="preserve">第二章 </w:t>
      </w:r>
      <w:r>
        <w:rPr>
          <w:rFonts w:hint="eastAsia"/>
          <w:color w:val="000000"/>
          <w:highlight w:val="none"/>
        </w:rPr>
        <w:t>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487874E">
      <w:pPr>
        <w:pStyle w:val="3"/>
        <w:rPr>
          <w:color w:val="000000"/>
        </w:rPr>
      </w:pPr>
      <w:bookmarkStart w:id="95" w:name="_Toc7670"/>
      <w:bookmarkStart w:id="96" w:name="_Toc14049"/>
      <w:bookmarkStart w:id="97" w:name="_Toc14286"/>
      <w:bookmarkStart w:id="98" w:name="_Toc31978"/>
      <w:bookmarkStart w:id="99" w:name="_Toc17559"/>
      <w:bookmarkStart w:id="100" w:name="_Toc20636"/>
      <w:bookmarkStart w:id="101" w:name="_Toc21290"/>
      <w:bookmarkStart w:id="102" w:name="_Toc21266"/>
      <w:bookmarkStart w:id="103" w:name="_Toc6653"/>
      <w:bookmarkStart w:id="104" w:name="_Toc24560"/>
      <w:bookmarkStart w:id="105" w:name="_Toc27851"/>
      <w:bookmarkStart w:id="106" w:name="_Toc32454"/>
      <w:bookmarkStart w:id="107" w:name="_Toc18349"/>
      <w:bookmarkStart w:id="108" w:name="_Toc25631"/>
      <w:bookmarkStart w:id="109" w:name="_Toc13963"/>
      <w:r>
        <w:rPr>
          <w:rFonts w:hint="eastAsia"/>
          <w:color w:val="000000"/>
        </w:rPr>
        <w:t>2.1 工程概况</w:t>
      </w:r>
      <w:bookmarkEnd w:id="95"/>
      <w:bookmarkEnd w:id="96"/>
      <w:bookmarkEnd w:id="97"/>
      <w:bookmarkEnd w:id="98"/>
      <w:bookmarkEnd w:id="99"/>
      <w:bookmarkEnd w:id="100"/>
      <w:bookmarkEnd w:id="101"/>
    </w:p>
    <w:p w14:paraId="5E5E685E">
      <w:pPr>
        <w:ind w:firstLine="560"/>
        <w:outlineLvl w:val="2"/>
        <w:rPr>
          <w:rFonts w:ascii="黑体" w:hAnsi="黑体" w:eastAsia="黑体" w:cs="黑体"/>
          <w:color w:val="000000"/>
        </w:rPr>
      </w:pPr>
      <w:r>
        <w:rPr>
          <w:rFonts w:hint="eastAsia" w:ascii="黑体" w:hAnsi="黑体" w:eastAsia="黑体" w:cs="黑体"/>
          <w:color w:val="000000"/>
        </w:rPr>
        <w:t>2.1.1 工程概况</w:t>
      </w:r>
    </w:p>
    <w:p w14:paraId="30B93231">
      <w:pPr>
        <w:ind w:firstLine="480"/>
        <w:rPr>
          <w:rFonts w:hint="default" w:ascii="Times New Roman" w:hAnsi="Times New Roman" w:cs="Times New Roman"/>
        </w:rPr>
      </w:pPr>
      <w:r>
        <w:rPr>
          <w:rFonts w:hint="default" w:ascii="Times New Roman" w:hAnsi="Times New Roman" w:cs="Times New Roman"/>
        </w:rPr>
        <w:t>黄花涝府河特大桥位于湖北省武汉市黄陂区和东西湖区境内，桥梁起点里程：DK305+332.165，桥梁终点里程：DK334+723.220，桥梁中心里程：DK320+027.693，桥全长：L= 29391.055m。（60+100+60）m连续梁均采用实体桥墩，基础均采用钻孔桩基础。主要技术标准为高速铁路，双线，直、曲线，线间距5.0m，最小曲线半径7000m，速度目标值为350km/h，采用</w:t>
      </w:r>
      <w:r>
        <w:rPr>
          <w:rFonts w:hint="eastAsia" w:ascii="Times New Roman" w:hAnsi="Times New Roman" w:cs="Times New Roman"/>
          <w:lang w:eastAsia="zh-CN"/>
        </w:rPr>
        <w:t>“</w:t>
      </w:r>
      <w:r>
        <w:rPr>
          <w:rFonts w:hint="default" w:ascii="Times New Roman" w:hAnsi="Times New Roman" w:cs="Times New Roman"/>
        </w:rPr>
        <w:t>ZK标准活载</w:t>
      </w:r>
      <w:r>
        <w:rPr>
          <w:rFonts w:hint="eastAsia" w:ascii="Times New Roman" w:hAnsi="Times New Roman" w:cs="Times New Roman"/>
          <w:lang w:eastAsia="zh-CN"/>
        </w:rPr>
        <w:t>”</w:t>
      </w:r>
      <w:r>
        <w:rPr>
          <w:rFonts w:hint="default" w:ascii="Times New Roman" w:hAnsi="Times New Roman" w:cs="Times New Roman"/>
        </w:rPr>
        <w:t>，轨道类型为CRTS型双块式无砟轨道。</w:t>
      </w:r>
      <w:r>
        <w:rPr>
          <w:rFonts w:hint="default" w:ascii="Times New Roman" w:hAnsi="Times New Roman" w:cs="Times New Roman"/>
          <w:lang w:val="en-US" w:eastAsia="zh-CN"/>
        </w:rPr>
        <w:t>其中，400#～403#墩（DK319+864.270～DK320+085.970）连续梁跨越吴新干线，公路与线路大里程夹角为61°，沥青路面标高21.90m，限高5.5m，路面净宽79.5m。主桥400#墩至403#墩位于-3.0‰的纵坡上。</w:t>
      </w:r>
    </w:p>
    <w:p w14:paraId="66113EBC">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drawing>
          <wp:inline distT="0" distB="0" distL="114300" distR="114300">
            <wp:extent cx="4367530" cy="2835910"/>
            <wp:effectExtent l="0" t="0" r="13970" b="2540"/>
            <wp:docPr id="167" name="图片 167"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图片15"/>
                    <pic:cNvPicPr>
                      <a:picLocks noChangeAspect="1"/>
                    </pic:cNvPicPr>
                  </pic:nvPicPr>
                  <pic:blipFill>
                    <a:blip r:embed="rId13"/>
                    <a:stretch>
                      <a:fillRect/>
                    </a:stretch>
                  </pic:blipFill>
                  <pic:spPr>
                    <a:xfrm>
                      <a:off x="0" y="0"/>
                      <a:ext cx="4367530" cy="2835910"/>
                    </a:xfrm>
                    <a:prstGeom prst="rect">
                      <a:avLst/>
                    </a:prstGeom>
                  </pic:spPr>
                </pic:pic>
              </a:graphicData>
            </a:graphic>
          </wp:inline>
        </w:drawing>
      </w:r>
    </w:p>
    <w:p w14:paraId="7CB61638">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rPr>
      </w:pPr>
      <w:r>
        <w:rPr>
          <w:rFonts w:hint="default" w:ascii="Times New Roman" w:hAnsi="Times New Roman" w:cs="Times New Roman"/>
          <w:b/>
          <w:bCs/>
        </w:rPr>
        <w:t>图2.1-</w:t>
      </w:r>
      <w:r>
        <w:rPr>
          <w:rFonts w:hint="default" w:ascii="Times New Roman" w:hAnsi="Times New Roman" w:cs="Times New Roman"/>
          <w:b/>
          <w:bCs/>
          <w:lang w:val="en-US" w:eastAsia="zh-CN"/>
        </w:rPr>
        <w:t xml:space="preserve">1 </w:t>
      </w:r>
      <w:r>
        <w:rPr>
          <w:rFonts w:hint="default" w:ascii="Times New Roman" w:hAnsi="Times New Roman" w:cs="Times New Roman"/>
          <w:b/>
          <w:bCs/>
        </w:rPr>
        <w:t>400#～403#墩</w:t>
      </w:r>
      <w:r>
        <w:rPr>
          <w:rFonts w:hint="default" w:ascii="Times New Roman" w:hAnsi="Times New Roman" w:cs="Times New Roman"/>
          <w:b/>
          <w:bCs/>
          <w:lang w:val="en-US" w:eastAsia="zh-CN"/>
        </w:rPr>
        <w:t>跨越吴新干线</w:t>
      </w:r>
      <w:r>
        <w:rPr>
          <w:rFonts w:hint="default" w:ascii="Times New Roman" w:hAnsi="Times New Roman" w:cs="Times New Roman"/>
          <w:b/>
          <w:bCs/>
        </w:rPr>
        <w:t>地理位置示意图</w:t>
      </w:r>
    </w:p>
    <w:p w14:paraId="67A54339">
      <w:pPr>
        <w:ind w:firstLine="560"/>
        <w:outlineLvl w:val="2"/>
        <w:rPr>
          <w:rFonts w:ascii="黑体" w:hAnsi="黑体" w:eastAsia="黑体" w:cs="黑体"/>
          <w:color w:val="000000"/>
        </w:rPr>
      </w:pPr>
      <w:r>
        <w:rPr>
          <w:rFonts w:hint="eastAsia" w:ascii="黑体" w:hAnsi="黑体" w:eastAsia="黑体" w:cs="黑体"/>
          <w:color w:val="000000"/>
        </w:rPr>
        <w:t>2.1.</w:t>
      </w:r>
      <w:r>
        <w:rPr>
          <w:rFonts w:ascii="黑体" w:hAnsi="黑体" w:eastAsia="黑体" w:cs="黑体"/>
          <w:color w:val="000000"/>
        </w:rPr>
        <w:t>2</w:t>
      </w:r>
      <w:r>
        <w:rPr>
          <w:rFonts w:hint="eastAsia" w:ascii="黑体" w:hAnsi="黑体" w:eastAsia="黑体" w:cs="黑体"/>
          <w:color w:val="000000"/>
        </w:rPr>
        <w:t xml:space="preserve"> 结构形式</w:t>
      </w:r>
    </w:p>
    <w:p w14:paraId="7A7C0248">
      <w:pPr>
        <w:ind w:firstLine="480"/>
        <w:rPr>
          <w:rFonts w:hint="default" w:ascii="Times New Roman" w:hAnsi="Times New Roman" w:cs="Times New Roman"/>
        </w:rPr>
      </w:pPr>
      <w:r>
        <w:rPr>
          <w:rFonts w:hint="default" w:ascii="Times New Roman" w:hAnsi="Times New Roman" w:cs="Times New Roman"/>
          <w:lang w:val="en-US" w:eastAsia="zh-CN"/>
        </w:rPr>
        <w:t>400#～403#墩</w:t>
      </w:r>
      <w:r>
        <w:rPr>
          <w:rFonts w:hint="default" w:ascii="Times New Roman" w:hAnsi="Times New Roman" w:cs="Times New Roman"/>
          <w:lang w:eastAsia="zh-CN"/>
        </w:rPr>
        <w:t>（</w:t>
      </w:r>
      <w:r>
        <w:rPr>
          <w:rFonts w:hint="default" w:ascii="Times New Roman" w:hAnsi="Times New Roman" w:cs="Times New Roman"/>
        </w:rPr>
        <w:t>60+100+60</w:t>
      </w:r>
      <w:r>
        <w:rPr>
          <w:rFonts w:hint="default" w:ascii="Times New Roman" w:hAnsi="Times New Roman" w:cs="Times New Roman"/>
          <w:lang w:eastAsia="zh-CN"/>
        </w:rPr>
        <w:t>）</w:t>
      </w:r>
      <w:r>
        <w:rPr>
          <w:rFonts w:hint="default" w:ascii="Times New Roman" w:hAnsi="Times New Roman" w:cs="Times New Roman"/>
        </w:rPr>
        <w:t>m</w:t>
      </w:r>
      <w:r>
        <w:rPr>
          <w:rFonts w:hint="default" w:ascii="Times New Roman" w:hAnsi="Times New Roman" w:cs="Times New Roman"/>
          <w:lang w:val="en-US" w:eastAsia="zh-CN"/>
        </w:rPr>
        <w:t>预应力混凝土</w:t>
      </w:r>
      <w:r>
        <w:rPr>
          <w:rFonts w:hint="default" w:ascii="Times New Roman" w:hAnsi="Times New Roman" w:cs="Times New Roman"/>
        </w:rPr>
        <w:t>连续梁</w:t>
      </w:r>
      <w:r>
        <w:rPr>
          <w:rFonts w:hint="default" w:ascii="Times New Roman" w:hAnsi="Times New Roman" w:cs="Times New Roman"/>
          <w:lang w:val="en-US" w:eastAsia="zh-CN"/>
        </w:rPr>
        <w:t>截面采用</w:t>
      </w:r>
      <w:r>
        <w:rPr>
          <w:rFonts w:hint="default" w:ascii="Times New Roman" w:hAnsi="Times New Roman" w:cs="Times New Roman"/>
        </w:rPr>
        <w:t>单箱单室、变高度、变截面</w:t>
      </w:r>
      <w:r>
        <w:rPr>
          <w:rFonts w:hint="default" w:ascii="Times New Roman" w:hAnsi="Times New Roman" w:cs="Times New Roman"/>
          <w:lang w:val="en-US" w:eastAsia="zh-CN"/>
        </w:rPr>
        <w:t>形式</w:t>
      </w:r>
      <w:r>
        <w:rPr>
          <w:rFonts w:hint="default" w:ascii="Times New Roman" w:hAnsi="Times New Roman" w:cs="Times New Roman"/>
        </w:rPr>
        <w:t>，底板、腹板、顶板局部向内侧加厚，均按直线线性变化。全联在端支点、中支点处设横隔板，横隔板设有孔洞，供检查人员通过。桥面防护墙内侧净宽度9.0m，桥梁宽12.6m。梁全长221.5m，计算跨度为</w:t>
      </w:r>
      <w:r>
        <w:rPr>
          <w:rFonts w:hint="eastAsia" w:ascii="Times New Roman" w:hAnsi="Times New Roman" w:cs="Times New Roman"/>
          <w:lang w:eastAsia="zh-CN"/>
        </w:rPr>
        <w:t>（60+100+60）m</w:t>
      </w:r>
      <w:r>
        <w:rPr>
          <w:rFonts w:hint="default" w:ascii="Times New Roman" w:hAnsi="Times New Roman" w:cs="Times New Roman"/>
        </w:rPr>
        <w:t>，中支点截面中心线处梁高7.835m，跨中10m直线段及边跨15.75m直线段截面中心线处梁高4.835m，梁底下缘按二次抛物线变化，边支座中心线至梁端0.75m，梁缝分界线至梁段0.10m。边支座横桥向中心距5.10m，中支座横桥向中心距5.70m。</w:t>
      </w:r>
    </w:p>
    <w:p w14:paraId="53E73EF8">
      <w:pPr>
        <w:spacing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3968750" cy="2272665"/>
            <wp:effectExtent l="0" t="0" r="1270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3991581" cy="2272665"/>
                    </a:xfrm>
                    <a:prstGeom prst="rect">
                      <a:avLst/>
                    </a:prstGeom>
                  </pic:spPr>
                </pic:pic>
              </a:graphicData>
            </a:graphic>
          </wp:inline>
        </w:drawing>
      </w:r>
    </w:p>
    <w:p w14:paraId="715D56E0">
      <w:pPr>
        <w:pStyle w:val="12"/>
        <w:jc w:val="center"/>
        <w:rPr>
          <w:rFonts w:hint="default" w:ascii="Times New Roman" w:hAnsi="Times New Roman" w:cs="Times New Roman"/>
          <w:b/>
          <w:bCs/>
        </w:rPr>
      </w:pPr>
      <w:r>
        <w:rPr>
          <w:rFonts w:hint="default" w:ascii="Times New Roman" w:hAnsi="Times New Roman" w:cs="Times New Roman"/>
          <w:b/>
          <w:bCs/>
        </w:rPr>
        <w:t>图</w:t>
      </w:r>
      <w:r>
        <w:rPr>
          <w:rFonts w:hint="default" w:ascii="Times New Roman" w:hAnsi="Times New Roman" w:cs="Times New Roman"/>
          <w:b/>
          <w:bCs/>
          <w:lang w:val="en-US" w:eastAsia="zh-CN"/>
        </w:rPr>
        <w:t>2.1-2</w:t>
      </w:r>
      <w:r>
        <w:rPr>
          <w:rFonts w:hint="default" w:ascii="Times New Roman" w:hAnsi="Times New Roman" w:cs="Times New Roman"/>
          <w:b/>
          <w:bCs/>
        </w:rPr>
        <w:t>箱梁断面示意图</w:t>
      </w:r>
    </w:p>
    <w:p w14:paraId="7FBEED2D">
      <w:pPr>
        <w:ind w:firstLine="480"/>
        <w:rPr>
          <w:rFonts w:hint="default" w:ascii="Times New Roman" w:hAnsi="Times New Roman" w:cs="Times New Roman"/>
        </w:rPr>
      </w:pPr>
      <w:r>
        <w:rPr>
          <w:rFonts w:hint="default" w:ascii="Times New Roman" w:hAnsi="Times New Roman" w:cs="Times New Roman"/>
        </w:rPr>
        <w:t>主梁顶板宽12.6m，底板宽6.7m，翼缘悬臂长度2.95m，顶板厚0.385～0.635m</w:t>
      </w:r>
      <w:r>
        <w:rPr>
          <w:rFonts w:hint="eastAsia" w:ascii="Times New Roman" w:hAnsi="Times New Roman" w:cs="Times New Roman"/>
          <w:lang w:eastAsia="zh-CN"/>
        </w:rPr>
        <w:t>，</w:t>
      </w:r>
      <w:r>
        <w:rPr>
          <w:rFonts w:hint="default" w:ascii="Times New Roman" w:hAnsi="Times New Roman" w:cs="Times New Roman"/>
        </w:rPr>
        <w:t>底板厚0.4～1.2m</w:t>
      </w:r>
      <w:r>
        <w:rPr>
          <w:rFonts w:hint="eastAsia" w:ascii="Times New Roman" w:hAnsi="Times New Roman" w:cs="Times New Roman"/>
          <w:lang w:eastAsia="zh-CN"/>
        </w:rPr>
        <w:t>，</w:t>
      </w:r>
      <w:r>
        <w:rPr>
          <w:rFonts w:hint="default" w:ascii="Times New Roman" w:hAnsi="Times New Roman" w:cs="Times New Roman"/>
        </w:rPr>
        <w:t>腹板厚0.6～1.0m。主梁0号块块段长14m，</w:t>
      </w:r>
      <w:r>
        <w:rPr>
          <w:rFonts w:hint="eastAsia" w:ascii="Times New Roman" w:hAnsi="Times New Roman" w:cs="Times New Roman"/>
          <w:lang w:eastAsia="zh-CN"/>
        </w:rPr>
        <w:t>合龙</w:t>
      </w:r>
      <w:r>
        <w:rPr>
          <w:rFonts w:hint="default" w:ascii="Times New Roman" w:hAnsi="Times New Roman" w:cs="Times New Roman"/>
        </w:rPr>
        <w:t>段长2m，边跨现浇支架直线段梁长9.75m。除0号块，边跨直线段在支架上施工外，中跨主墩挂篮悬臂浇筑施工梁段为1</w:t>
      </w:r>
      <w:r>
        <w:rPr>
          <w:rFonts w:hint="default" w:ascii="Times New Roman" w:hAnsi="Times New Roman" w:cs="Times New Roman"/>
          <w:lang w:val="en-US" w:eastAsia="zh-CN"/>
        </w:rPr>
        <w:t>4</w:t>
      </w:r>
      <w:r>
        <w:rPr>
          <w:rFonts w:hint="default" w:ascii="Times New Roman" w:hAnsi="Times New Roman" w:cs="Times New Roman"/>
        </w:rPr>
        <w:t>个。</w:t>
      </w:r>
    </w:p>
    <w:p w14:paraId="160F9B30">
      <w:pPr>
        <w:ind w:firstLine="560"/>
        <w:outlineLvl w:val="2"/>
        <w:rPr>
          <w:rFonts w:hint="default" w:ascii="黑体" w:hAnsi="黑体" w:eastAsia="黑体" w:cs="黑体"/>
          <w:color w:val="000000"/>
        </w:rPr>
      </w:pPr>
      <w:r>
        <w:rPr>
          <w:rFonts w:hint="eastAsia" w:ascii="黑体" w:hAnsi="黑体" w:eastAsia="黑体" w:cs="黑体"/>
          <w:color w:val="000000"/>
          <w:lang w:val="en-US" w:eastAsia="zh-CN"/>
        </w:rPr>
        <w:t>2.1.3</w:t>
      </w:r>
      <w:r>
        <w:rPr>
          <w:rFonts w:hint="default" w:ascii="黑体" w:hAnsi="黑体" w:eastAsia="黑体" w:cs="黑体"/>
          <w:color w:val="000000"/>
        </w:rPr>
        <w:t>预应力体系</w:t>
      </w:r>
    </w:p>
    <w:p w14:paraId="3E04F0CB">
      <w:pPr>
        <w:rPr>
          <w:rFonts w:hint="default" w:ascii="Times New Roman" w:hAnsi="Times New Roman" w:cs="Times New Roman"/>
        </w:rPr>
      </w:pPr>
      <w:r>
        <w:rPr>
          <w:rFonts w:hint="default" w:ascii="Times New Roman" w:hAnsi="Times New Roman" w:cs="Times New Roman"/>
        </w:rPr>
        <w:t>纵向预应力筋采用1×7-15.2-1860-GB/T5224-2014应力钢绞线，抗拉强度标准值为 fpk=1860MPa，弹性模量Ep-195GP，锚具应符合《铁路工程预应力筋用夹片式锚具、夹具和连接器》</w:t>
      </w:r>
      <w:r>
        <w:rPr>
          <w:rFonts w:hint="default" w:ascii="Times New Roman" w:hAnsi="Times New Roman" w:cs="Times New Roman"/>
          <w:lang w:eastAsia="zh-CN"/>
        </w:rPr>
        <w:t>（</w:t>
      </w:r>
      <w:r>
        <w:rPr>
          <w:rFonts w:hint="default" w:ascii="Times New Roman" w:hAnsi="Times New Roman" w:cs="Times New Roman"/>
        </w:rPr>
        <w:t>TB/T3193-2016</w:t>
      </w:r>
      <w:r>
        <w:rPr>
          <w:rFonts w:hint="default" w:ascii="Times New Roman" w:hAnsi="Times New Roman" w:cs="Times New Roman"/>
          <w:lang w:eastAsia="zh-CN"/>
        </w:rPr>
        <w:t>）</w:t>
      </w:r>
      <w:r>
        <w:rPr>
          <w:rFonts w:hint="default" w:ascii="Times New Roman" w:hAnsi="Times New Roman" w:cs="Times New Roman"/>
        </w:rPr>
        <w:t>的规定，金属波纹管应符合《预应力混凝土用金属波纹管》</w:t>
      </w:r>
      <w:r>
        <w:rPr>
          <w:rFonts w:hint="default" w:ascii="Times New Roman" w:hAnsi="Times New Roman" w:cs="Times New Roman"/>
          <w:lang w:eastAsia="zh-CN"/>
        </w:rPr>
        <w:t>（</w:t>
      </w:r>
      <w:r>
        <w:rPr>
          <w:rFonts w:hint="default" w:ascii="Times New Roman" w:hAnsi="Times New Roman" w:cs="Times New Roman"/>
        </w:rPr>
        <w:t>JG 225-2020</w:t>
      </w:r>
      <w:r>
        <w:rPr>
          <w:rFonts w:hint="default" w:ascii="Times New Roman" w:hAnsi="Times New Roman" w:cs="Times New Roman"/>
          <w:lang w:eastAsia="zh-CN"/>
        </w:rPr>
        <w:t>）</w:t>
      </w:r>
      <w:r>
        <w:rPr>
          <w:rFonts w:hint="default" w:ascii="Times New Roman" w:hAnsi="Times New Roman" w:cs="Times New Roman"/>
        </w:rPr>
        <w:t>的要求、纵向预应力管道形成采用圆形镀锌金属波纹管成孔，锚固体系采用自锚式拉丝体系，张拉采用与之配套的机具设备。合龙段处金属波纹管采用增强型镀锌金属波纹管，其它可采用标准型。</w:t>
      </w:r>
    </w:p>
    <w:p w14:paraId="72E6C7DE">
      <w:pPr>
        <w:ind w:firstLine="480"/>
        <w:rPr>
          <w:rFonts w:hint="default" w:ascii="Times New Roman" w:hAnsi="Times New Roman" w:cs="Times New Roman"/>
        </w:rPr>
      </w:pPr>
      <w:r>
        <w:rPr>
          <w:rFonts w:hint="default" w:ascii="Times New Roman" w:hAnsi="Times New Roman" w:cs="Times New Roman"/>
        </w:rPr>
        <w:t>竖向预应力筋采用φ25mm高强精轧螺纹钢筋，型号为PSB830。锚固体系采用JLM-25型锚具，张拉体系采用YC60A型千斤顶，管道形成采用内径φ40mm铁皮管成孔。纵向钢束除边跨</w:t>
      </w:r>
      <w:r>
        <w:rPr>
          <w:rFonts w:hint="eastAsia" w:ascii="Times New Roman" w:hAnsi="Times New Roman" w:cs="Times New Roman"/>
          <w:lang w:eastAsia="zh-CN"/>
        </w:rPr>
        <w:t>合龙</w:t>
      </w:r>
      <w:r>
        <w:rPr>
          <w:rFonts w:hint="default" w:ascii="Times New Roman" w:hAnsi="Times New Roman" w:cs="Times New Roman"/>
        </w:rPr>
        <w:t>钢束外均采用两端张拉，以张拉力为主，张拉力与伸长量双控。张拉应在梁体混凝土强度达到设计强度的95%、混凝土的弹性模量达到设计值的100%，且必须保证张拉时梁体混凝土龄期大于5天。</w:t>
      </w:r>
    </w:p>
    <w:p w14:paraId="319E15EA">
      <w:pPr>
        <w:pStyle w:val="3"/>
        <w:rPr>
          <w:color w:val="000000"/>
        </w:rPr>
      </w:pPr>
      <w:bookmarkStart w:id="110" w:name="_Toc18908"/>
      <w:r>
        <w:rPr>
          <w:rFonts w:hint="eastAsia"/>
          <w:color w:val="000000"/>
        </w:rPr>
        <w:t>2.2 塔机布置</w:t>
      </w:r>
      <w:bookmarkEnd w:id="110"/>
    </w:p>
    <w:p w14:paraId="18BB8E2C">
      <w:pPr>
        <w:spacing w:line="240" w:lineRule="auto"/>
        <w:ind w:firstLine="560"/>
        <w:jc w:val="left"/>
      </w:pPr>
      <w:r>
        <w:rPr>
          <w:rFonts w:hint="eastAsia"/>
        </w:rPr>
        <w:t>本工程计划在</w:t>
      </w:r>
      <w:r>
        <w:rPr>
          <w:rFonts w:hint="eastAsia"/>
          <w:lang w:val="en-US" w:eastAsia="zh-CN"/>
        </w:rPr>
        <w:t>284#、285#、286#</w:t>
      </w:r>
      <w:r>
        <w:rPr>
          <w:rFonts w:hint="eastAsia"/>
        </w:rPr>
        <w:t>墩各安装一台徐州建机工程机械有限公司生产的XGT6015A-8S塔式起重机，</w:t>
      </w:r>
      <w:r>
        <w:rPr>
          <w:rFonts w:hint="eastAsia"/>
          <w:lang w:val="en-US" w:eastAsia="zh-CN"/>
        </w:rPr>
        <w:t>284#、285#、286#</w:t>
      </w:r>
      <w:r>
        <w:rPr>
          <w:rFonts w:hint="eastAsia"/>
        </w:rPr>
        <w:t>塔机基础位于主墩顺桥向</w:t>
      </w:r>
      <w:r>
        <w:rPr>
          <w:rFonts w:hint="eastAsia"/>
          <w:lang w:eastAsia="zh-CN"/>
        </w:rPr>
        <w:t>右</w:t>
      </w:r>
      <w:r>
        <w:rPr>
          <w:rFonts w:hint="eastAsia"/>
        </w:rPr>
        <w:t>侧，基础预埋于桥墩承台内。</w:t>
      </w:r>
    </w:p>
    <w:p w14:paraId="2D313520">
      <w:pPr>
        <w:spacing w:line="240" w:lineRule="auto"/>
        <w:ind w:firstLine="0" w:firstLineChars="0"/>
        <w:jc w:val="center"/>
      </w:pPr>
      <w:r>
        <w:drawing>
          <wp:inline distT="0" distB="0" distL="114300" distR="114300">
            <wp:extent cx="5723255" cy="1568450"/>
            <wp:effectExtent l="0" t="0" r="10795" b="1270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5"/>
                    <a:stretch>
                      <a:fillRect/>
                    </a:stretch>
                  </pic:blipFill>
                  <pic:spPr>
                    <a:xfrm>
                      <a:off x="0" y="0"/>
                      <a:ext cx="5723255" cy="1568450"/>
                    </a:xfrm>
                    <a:prstGeom prst="rect">
                      <a:avLst/>
                    </a:prstGeom>
                    <a:noFill/>
                    <a:ln>
                      <a:noFill/>
                    </a:ln>
                  </pic:spPr>
                </pic:pic>
              </a:graphicData>
            </a:graphic>
          </wp:inline>
        </w:drawing>
      </w:r>
    </w:p>
    <w:p w14:paraId="53CFDE4C">
      <w:pPr>
        <w:pStyle w:val="122"/>
        <w:rPr>
          <w:rFonts w:hint="eastAsia"/>
        </w:rPr>
      </w:pPr>
      <w:r>
        <w:rPr>
          <w:rFonts w:hint="eastAsia"/>
        </w:rPr>
        <w:t>图</w:t>
      </w:r>
      <w:r>
        <w:t>2</w:t>
      </w:r>
      <w:r>
        <w:rPr>
          <w:rFonts w:hint="eastAsia"/>
          <w:lang w:val="en-US" w:eastAsia="zh-CN"/>
        </w:rPr>
        <w:t>.2</w:t>
      </w:r>
      <w:r>
        <w:t>-</w:t>
      </w:r>
      <w:r>
        <w:rPr>
          <w:rFonts w:hint="eastAsia"/>
          <w:lang w:val="en-US" w:eastAsia="zh-CN"/>
        </w:rPr>
        <w:t>1</w:t>
      </w:r>
      <w:r>
        <w:rPr>
          <w:rFonts w:hint="eastAsia"/>
        </w:rPr>
        <w:t xml:space="preserve"> 塔式起重机立面布置图</w:t>
      </w:r>
    </w:p>
    <w:p w14:paraId="4BB4F5DA">
      <w:pPr>
        <w:rPr>
          <w:rFonts w:hint="eastAsia"/>
          <w:lang w:eastAsia="zh-CN"/>
        </w:rPr>
      </w:pPr>
      <w:r>
        <w:rPr>
          <w:rFonts w:hint="eastAsia"/>
          <w:lang w:val="en-US" w:eastAsia="zh-CN"/>
        </w:rPr>
        <w:t>本项目</w:t>
      </w:r>
      <w:r>
        <w:rPr>
          <w:rFonts w:hint="eastAsia"/>
          <w:color w:val="000000"/>
          <w:lang w:val="en-US" w:eastAsia="zh-CN"/>
        </w:rPr>
        <w:t>284#、285#、286#</w:t>
      </w:r>
      <w:r>
        <w:rPr>
          <w:rFonts w:hint="eastAsia"/>
          <w:color w:val="000000"/>
        </w:rPr>
        <w:t>墩</w:t>
      </w:r>
      <w:r>
        <w:rPr>
          <w:rFonts w:hint="eastAsia"/>
          <w:lang w:eastAsia="zh-CN"/>
        </w:rPr>
        <w:t>塔机起重臂覆盖于既有</w:t>
      </w:r>
      <w:r>
        <w:rPr>
          <w:rFonts w:hint="eastAsia"/>
          <w:lang w:val="en-US" w:eastAsia="zh-CN"/>
        </w:rPr>
        <w:t>G347</w:t>
      </w:r>
      <w:r>
        <w:rPr>
          <w:rFonts w:hint="eastAsia"/>
          <w:lang w:eastAsia="zh-CN"/>
        </w:rPr>
        <w:t>国道道路上。未避免吊装作业对既有G347国道道路上的车辆及人员造成威胁，需采取以下措施；</w:t>
      </w:r>
    </w:p>
    <w:p w14:paraId="2EB414E3">
      <w:pPr>
        <w:rPr>
          <w:rFonts w:hint="eastAsia"/>
          <w:lang w:eastAsia="zh-CN"/>
        </w:rPr>
      </w:pPr>
      <w:r>
        <w:rPr>
          <w:rFonts w:hint="eastAsia"/>
          <w:lang w:val="en-US" w:eastAsia="zh-CN"/>
        </w:rPr>
        <w:t>1、</w:t>
      </w:r>
      <w:r>
        <w:rPr>
          <w:rFonts w:hint="eastAsia"/>
          <w:lang w:eastAsia="zh-CN"/>
        </w:rPr>
        <w:t>‌吊装区域的安全管理‌：吊装区域必须设置明显的警示标志，并设专人警戒。起重机工作时，起重臂杆旋转半径范围内严禁站人或通过‌。</w:t>
      </w:r>
    </w:p>
    <w:p w14:paraId="5DD6D979">
      <w:pPr>
        <w:rPr>
          <w:rFonts w:hint="eastAsia"/>
          <w:lang w:eastAsia="zh-CN"/>
        </w:rPr>
      </w:pPr>
      <w:r>
        <w:rPr>
          <w:rFonts w:hint="eastAsia"/>
          <w:lang w:val="en-US" w:eastAsia="zh-CN"/>
        </w:rPr>
        <w:t>2、</w:t>
      </w:r>
      <w:r>
        <w:rPr>
          <w:rFonts w:hint="eastAsia"/>
          <w:lang w:eastAsia="zh-CN"/>
        </w:rPr>
        <w:t>‌吊装作业前的检查‌：在开始吊装前应进行安全技术交底，并对起重所用索具、卡环、夹具等进行细致检查，发现有损坏或松动现象应马上调换或修好‌。</w:t>
      </w:r>
    </w:p>
    <w:p w14:paraId="016A6E38">
      <w:pPr>
        <w:rPr>
          <w:rFonts w:hint="eastAsia"/>
          <w:lang w:eastAsia="zh-CN"/>
        </w:rPr>
      </w:pPr>
      <w:r>
        <w:rPr>
          <w:rFonts w:hint="eastAsia"/>
          <w:lang w:val="en-US" w:eastAsia="zh-CN"/>
        </w:rPr>
        <w:t>3、</w:t>
      </w:r>
      <w:r>
        <w:rPr>
          <w:rFonts w:hint="eastAsia"/>
          <w:lang w:eastAsia="zh-CN"/>
        </w:rPr>
        <w:t>‌吊装过程中的安全操作‌：起吊时，吊臂下和吊件及吊臂的回转范围内严禁无关人员停留或通过。多吊点吊装时，必须防止吊件受力不均匀遭受破坏‌。禁止吊物在既有高速道路上无防护区域内经过。吊物起吊后，起重臂摆到对应位置再行走小车吊装到位。</w:t>
      </w:r>
    </w:p>
    <w:p w14:paraId="561AAF05">
      <w:pPr>
        <w:rPr>
          <w:rFonts w:hint="eastAsia"/>
          <w:lang w:eastAsia="zh-CN"/>
        </w:rPr>
      </w:pPr>
      <w:r>
        <w:rPr>
          <w:rFonts w:hint="eastAsia"/>
          <w:lang w:val="en-US" w:eastAsia="zh-CN"/>
        </w:rPr>
        <w:t>4、</w:t>
      </w:r>
      <w:r>
        <w:rPr>
          <w:rFonts w:hint="eastAsia"/>
          <w:lang w:eastAsia="zh-CN"/>
        </w:rPr>
        <w:t>‌特殊天气条件下的操作‌：在大风、大雨等恶劣天气下禁止进行吊装工作，夜间施工时必须有足够的照明‌。</w:t>
      </w:r>
    </w:p>
    <w:p w14:paraId="1A64FCD2">
      <w:pPr>
        <w:rPr>
          <w:rFonts w:hint="eastAsia"/>
          <w:lang w:eastAsia="zh-CN"/>
        </w:rPr>
      </w:pPr>
      <w:r>
        <w:rPr>
          <w:rFonts w:hint="eastAsia"/>
          <w:lang w:val="en-US" w:eastAsia="zh-CN"/>
        </w:rPr>
        <w:t>5、</w:t>
      </w:r>
      <w:r>
        <w:rPr>
          <w:rFonts w:hint="eastAsia"/>
          <w:lang w:eastAsia="zh-CN"/>
        </w:rPr>
        <w:t>‌人员培训和安全教育‌：加强对现场吊装人员，特别是塔吊司机的安全教育，做好班前安全技术交底，明确作业内容和安全区域‌。</w:t>
      </w:r>
    </w:p>
    <w:p w14:paraId="4282DD36">
      <w:pPr>
        <w:rPr>
          <w:rFonts w:hint="eastAsia"/>
          <w:lang w:eastAsia="zh-CN"/>
        </w:rPr>
      </w:pPr>
      <w:r>
        <w:rPr>
          <w:rFonts w:hint="eastAsia"/>
          <w:lang w:val="en-US" w:eastAsia="zh-CN"/>
        </w:rPr>
        <w:t>6、</w:t>
      </w:r>
      <w:r>
        <w:rPr>
          <w:rFonts w:hint="eastAsia"/>
          <w:lang w:eastAsia="zh-CN"/>
        </w:rPr>
        <w:t>‌设备检查和维护‌：起重设备必须定期检查维护，确保设备处于良好状态，严禁带病作业。起重机的操作必须严格按照设备性能和技术要求进行‌。</w:t>
      </w:r>
    </w:p>
    <w:bookmarkEnd w:id="102"/>
    <w:bookmarkEnd w:id="103"/>
    <w:bookmarkEnd w:id="104"/>
    <w:bookmarkEnd w:id="105"/>
    <w:bookmarkEnd w:id="106"/>
    <w:bookmarkEnd w:id="107"/>
    <w:p w14:paraId="688FE2FF">
      <w:pPr>
        <w:pStyle w:val="2"/>
        <w:ind w:right="1960" w:firstLine="1600" w:firstLineChars="500"/>
        <w:jc w:val="left"/>
        <w:rPr>
          <w:color w:val="000000"/>
        </w:rPr>
      </w:pPr>
      <w:bookmarkStart w:id="111" w:name="_Toc5590"/>
      <w:bookmarkStart w:id="112" w:name="_Toc23197"/>
      <w:bookmarkStart w:id="113" w:name="_Toc12715"/>
      <w:bookmarkStart w:id="114" w:name="_Toc5190"/>
      <w:bookmarkStart w:id="115" w:name="_Toc8727"/>
      <w:bookmarkStart w:id="116" w:name="_Toc1640"/>
      <w:bookmarkStart w:id="117" w:name="_Toc21514"/>
      <w:r>
        <w:rPr>
          <w:rFonts w:hint="eastAsia"/>
          <w:color w:val="000000"/>
        </w:rPr>
        <w:t>第三章 所选用塔式起重机型号与性能</w:t>
      </w:r>
      <w:bookmarkEnd w:id="111"/>
    </w:p>
    <w:bookmarkEnd w:id="112"/>
    <w:bookmarkEnd w:id="113"/>
    <w:bookmarkEnd w:id="114"/>
    <w:bookmarkEnd w:id="115"/>
    <w:bookmarkEnd w:id="116"/>
    <w:bookmarkEnd w:id="117"/>
    <w:p w14:paraId="73044539">
      <w:pPr>
        <w:pStyle w:val="3"/>
        <w:ind w:firstLine="280" w:firstLineChars="100"/>
        <w:rPr>
          <w:rFonts w:ascii="Times New Roman" w:hAnsi="Times New Roman"/>
          <w:sz w:val="28"/>
          <w:szCs w:val="28"/>
        </w:rPr>
      </w:pPr>
      <w:bookmarkStart w:id="118" w:name="_Toc21030"/>
      <w:r>
        <w:rPr>
          <w:rFonts w:hint="eastAsia" w:ascii="Times New Roman" w:hAnsi="Times New Roman"/>
          <w:sz w:val="28"/>
          <w:szCs w:val="28"/>
        </w:rPr>
        <w:t>3.1塔机型号</w:t>
      </w:r>
      <w:bookmarkEnd w:id="118"/>
    </w:p>
    <w:p w14:paraId="3BB1675F">
      <w:pPr>
        <w:ind w:firstLine="560"/>
        <w:rPr>
          <w:rFonts w:hint="eastAsia"/>
        </w:rPr>
      </w:pPr>
      <w:r>
        <w:rPr>
          <w:rFonts w:hint="eastAsia"/>
        </w:rPr>
        <w:t>本工程</w:t>
      </w:r>
      <w:r>
        <w:rPr>
          <w:rFonts w:hint="eastAsia"/>
          <w:color w:val="000000"/>
          <w:lang w:val="en-US" w:eastAsia="zh-CN"/>
        </w:rPr>
        <w:t>2</w:t>
      </w:r>
      <w:r>
        <w:rPr>
          <w:rFonts w:hint="eastAsia" w:ascii="Times New Roman" w:hAnsi="Times New Roman" w:cs="Times New Roman"/>
          <w:lang w:val="en-US" w:eastAsia="zh-CN"/>
        </w:rPr>
        <w:t>84#、285#、286#</w:t>
      </w:r>
      <w:r>
        <w:rPr>
          <w:rFonts w:hint="eastAsia"/>
        </w:rPr>
        <w:t>墩塔机型号都为徐州建机XGT6015A-8S。</w:t>
      </w:r>
    </w:p>
    <w:p w14:paraId="05E08DD4">
      <w:pPr>
        <w:ind w:firstLine="560"/>
      </w:pPr>
      <w:r>
        <w:rPr>
          <w:rFonts w:hint="eastAsia"/>
        </w:rPr>
        <w:t>XGT6015A-8S塔机由徐州建机工程机械有限公司设计制造。该塔机为水平臂架、小车变幅、上回转、自升式多用途塔机。最大工作幅度60米，预埋螺栓式独立起升高度40米，最大额定起重量为8t。主要的参数见表3-1。</w:t>
      </w:r>
    </w:p>
    <w:p w14:paraId="714E2734">
      <w:pPr>
        <w:ind w:firstLine="560"/>
        <w:rPr>
          <w:highlight w:val="none"/>
        </w:rPr>
      </w:pPr>
      <w:r>
        <w:t>本工程根据实际施工需要，</w:t>
      </w:r>
      <w:r>
        <w:rPr>
          <w:rFonts w:hint="eastAsia"/>
        </w:rPr>
        <w:t>XGT6015A-8S</w:t>
      </w:r>
      <w:r>
        <w:t>塔机</w:t>
      </w:r>
      <w:r>
        <w:rPr>
          <w:rFonts w:hint="eastAsia"/>
        </w:rPr>
        <w:t>采用</w:t>
      </w:r>
      <w:r>
        <w:rPr>
          <w:rFonts w:hint="eastAsia"/>
          <w:lang w:val="en-US" w:eastAsia="zh-CN"/>
        </w:rPr>
        <w:t>45</w:t>
      </w:r>
      <w:r>
        <w:rPr>
          <w:rFonts w:hint="eastAsia"/>
        </w:rPr>
        <w:t>m起重臂长，</w:t>
      </w:r>
      <w:r>
        <w:rPr>
          <w:rFonts w:hint="eastAsia"/>
          <w:highlight w:val="none"/>
          <w:lang w:val="en-US" w:eastAsia="zh-CN"/>
        </w:rPr>
        <w:t>284</w:t>
      </w:r>
      <w:r>
        <w:rPr>
          <w:highlight w:val="none"/>
        </w:rPr>
        <w:t>#墩</w:t>
      </w:r>
      <w:r>
        <w:rPr>
          <w:rFonts w:hint="eastAsia"/>
          <w:highlight w:val="none"/>
        </w:rPr>
        <w:t>XGT6015A-8S塔机最终安装</w:t>
      </w:r>
      <w:r>
        <w:rPr>
          <w:highlight w:val="none"/>
        </w:rPr>
        <w:t>高度为</w:t>
      </w:r>
      <w:r>
        <w:rPr>
          <w:rFonts w:hint="eastAsia"/>
          <w:highlight w:val="none"/>
          <w:lang w:val="en-US" w:eastAsia="zh-CN"/>
        </w:rPr>
        <w:t>26</w:t>
      </w:r>
      <w:r>
        <w:rPr>
          <w:highlight w:val="none"/>
        </w:rPr>
        <w:t>m，无附墙设置。</w:t>
      </w:r>
      <w:r>
        <w:rPr>
          <w:rFonts w:hint="eastAsia"/>
          <w:highlight w:val="none"/>
          <w:lang w:val="en-US" w:eastAsia="zh-CN"/>
        </w:rPr>
        <w:t>285</w:t>
      </w:r>
      <w:r>
        <w:rPr>
          <w:highlight w:val="none"/>
        </w:rPr>
        <w:t>#墩</w:t>
      </w:r>
      <w:r>
        <w:rPr>
          <w:rFonts w:hint="eastAsia"/>
          <w:highlight w:val="none"/>
        </w:rPr>
        <w:t>XGT6015A-8S塔机最终安装</w:t>
      </w:r>
      <w:r>
        <w:rPr>
          <w:highlight w:val="none"/>
        </w:rPr>
        <w:t>高度为</w:t>
      </w:r>
      <w:r>
        <w:rPr>
          <w:rFonts w:hint="eastAsia"/>
          <w:highlight w:val="none"/>
          <w:lang w:val="en-US" w:eastAsia="zh-CN"/>
        </w:rPr>
        <w:t>34.4</w:t>
      </w:r>
      <w:r>
        <w:rPr>
          <w:highlight w:val="none"/>
        </w:rPr>
        <w:t>m，无附墙设置。</w:t>
      </w:r>
      <w:r>
        <w:rPr>
          <w:rFonts w:hint="eastAsia"/>
          <w:highlight w:val="none"/>
          <w:lang w:val="en-US" w:eastAsia="zh-CN"/>
        </w:rPr>
        <w:t>286</w:t>
      </w:r>
      <w:r>
        <w:rPr>
          <w:highlight w:val="none"/>
        </w:rPr>
        <w:t>#墩</w:t>
      </w:r>
      <w:r>
        <w:rPr>
          <w:rFonts w:hint="eastAsia"/>
          <w:highlight w:val="none"/>
        </w:rPr>
        <w:t>XGT6015A-8S塔机最终安装</w:t>
      </w:r>
      <w:r>
        <w:rPr>
          <w:highlight w:val="none"/>
        </w:rPr>
        <w:t>高度为</w:t>
      </w:r>
      <w:r>
        <w:rPr>
          <w:rFonts w:hint="eastAsia"/>
          <w:highlight w:val="none"/>
          <w:lang w:val="en-US" w:eastAsia="zh-CN"/>
        </w:rPr>
        <w:t>26</w:t>
      </w:r>
      <w:r>
        <w:rPr>
          <w:highlight w:val="none"/>
        </w:rPr>
        <w:t>m，无附墙设置。</w:t>
      </w:r>
    </w:p>
    <w:p w14:paraId="2A6E183E">
      <w:pPr>
        <w:pStyle w:val="3"/>
        <w:ind w:firstLine="280" w:firstLineChars="100"/>
        <w:rPr>
          <w:rFonts w:ascii="Times New Roman" w:hAnsi="Times New Roman"/>
          <w:sz w:val="28"/>
          <w:szCs w:val="28"/>
        </w:rPr>
      </w:pPr>
      <w:bookmarkStart w:id="119" w:name="_Toc27441"/>
      <w:r>
        <w:rPr>
          <w:rFonts w:hint="eastAsia" w:ascii="Times New Roman" w:hAnsi="Times New Roman"/>
          <w:sz w:val="28"/>
          <w:szCs w:val="28"/>
        </w:rPr>
        <w:t>3.2塔机性能与参数</w:t>
      </w:r>
      <w:bookmarkEnd w:id="119"/>
    </w:p>
    <w:p w14:paraId="5CA4D2EC">
      <w:pPr>
        <w:pStyle w:val="122"/>
      </w:pPr>
      <w:r>
        <w:rPr>
          <w:rFonts w:hint="eastAsia"/>
        </w:rPr>
        <w:t>表3-1 XGT6015A-8S塔机主要技术参数</w:t>
      </w:r>
    </w:p>
    <w:p w14:paraId="3A3C7DC1">
      <w:pPr>
        <w:pStyle w:val="106"/>
      </w:pPr>
      <w:r>
        <w:drawing>
          <wp:inline distT="0" distB="0" distL="114300" distR="114300">
            <wp:extent cx="5655945" cy="4732655"/>
            <wp:effectExtent l="0" t="0" r="190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rcRect b="34430"/>
                    <a:stretch>
                      <a:fillRect/>
                    </a:stretch>
                  </pic:blipFill>
                  <pic:spPr>
                    <a:xfrm>
                      <a:off x="0" y="0"/>
                      <a:ext cx="5655945" cy="4732655"/>
                    </a:xfrm>
                    <a:prstGeom prst="rect">
                      <a:avLst/>
                    </a:prstGeom>
                    <a:noFill/>
                    <a:ln>
                      <a:noFill/>
                    </a:ln>
                  </pic:spPr>
                </pic:pic>
              </a:graphicData>
            </a:graphic>
          </wp:inline>
        </w:drawing>
      </w:r>
      <w:r>
        <w:drawing>
          <wp:inline distT="0" distB="0" distL="114300" distR="114300">
            <wp:extent cx="5655945" cy="2505075"/>
            <wp:effectExtent l="0" t="0" r="190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rcRect t="64701" b="480"/>
                    <a:stretch>
                      <a:fillRect/>
                    </a:stretch>
                  </pic:blipFill>
                  <pic:spPr>
                    <a:xfrm>
                      <a:off x="0" y="0"/>
                      <a:ext cx="5655945" cy="2505075"/>
                    </a:xfrm>
                    <a:prstGeom prst="rect">
                      <a:avLst/>
                    </a:prstGeom>
                    <a:noFill/>
                    <a:ln>
                      <a:noFill/>
                    </a:ln>
                  </pic:spPr>
                </pic:pic>
              </a:graphicData>
            </a:graphic>
          </wp:inline>
        </w:drawing>
      </w:r>
      <w:r>
        <w:drawing>
          <wp:inline distT="0" distB="0" distL="114300" distR="114300">
            <wp:extent cx="5721985" cy="3531235"/>
            <wp:effectExtent l="0" t="0" r="12065" b="1206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5721985" cy="3531235"/>
                    </a:xfrm>
                    <a:prstGeom prst="rect">
                      <a:avLst/>
                    </a:prstGeom>
                    <a:noFill/>
                    <a:ln>
                      <a:noFill/>
                    </a:ln>
                  </pic:spPr>
                </pic:pic>
              </a:graphicData>
            </a:graphic>
          </wp:inline>
        </w:drawing>
      </w:r>
    </w:p>
    <w:p w14:paraId="4EA5B7DE">
      <w:pPr>
        <w:pStyle w:val="122"/>
      </w:pPr>
      <w:bookmarkStart w:id="120" w:name="_Toc522109637"/>
      <w:bookmarkStart w:id="121" w:name="_Toc522109871"/>
      <w:bookmarkStart w:id="122" w:name="_Toc525111760"/>
      <w:bookmarkStart w:id="123" w:name="_Toc525053747"/>
      <w:bookmarkStart w:id="124" w:name="_Toc520882276"/>
      <w:bookmarkStart w:id="125" w:name="_Toc521920693"/>
      <w:r>
        <w:rPr>
          <w:rFonts w:hint="eastAsia"/>
        </w:rPr>
        <w:t>表3-</w:t>
      </w:r>
      <w:r>
        <w:t>2</w:t>
      </w:r>
      <w:r>
        <w:rPr>
          <w:rFonts w:hint="eastAsia"/>
        </w:rPr>
        <w:t xml:space="preserve"> XGT6015A-8S塔机起重特性一览表</w:t>
      </w:r>
      <w:bookmarkEnd w:id="120"/>
      <w:bookmarkEnd w:id="121"/>
      <w:bookmarkEnd w:id="122"/>
      <w:bookmarkEnd w:id="123"/>
      <w:bookmarkEnd w:id="124"/>
      <w:bookmarkEnd w:id="125"/>
    </w:p>
    <w:p w14:paraId="468BA121">
      <w:pPr>
        <w:pStyle w:val="106"/>
      </w:pPr>
      <w:bookmarkStart w:id="126" w:name="_Toc129361802"/>
      <w:bookmarkStart w:id="127" w:name="_Toc25420"/>
      <w:bookmarkStart w:id="128" w:name="_Toc11503"/>
      <w:bookmarkStart w:id="129" w:name="_Toc20157"/>
      <w:bookmarkStart w:id="130" w:name="_Toc19646"/>
      <w:bookmarkStart w:id="131" w:name="_Toc29369"/>
      <w: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1887220</wp:posOffset>
                </wp:positionV>
                <wp:extent cx="5534025" cy="446405"/>
                <wp:effectExtent l="19050" t="19050" r="28575" b="29845"/>
                <wp:wrapNone/>
                <wp:docPr id="14" name="矩形 14"/>
                <wp:cNvGraphicFramePr/>
                <a:graphic xmlns:a="http://schemas.openxmlformats.org/drawingml/2006/main">
                  <a:graphicData uri="http://schemas.microsoft.com/office/word/2010/wordprocessingShape">
                    <wps:wsp>
                      <wps:cNvSpPr/>
                      <wps:spPr>
                        <a:xfrm>
                          <a:off x="932180" y="8416290"/>
                          <a:ext cx="5534025" cy="44640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48.6pt;height:35.15pt;width:435.75pt;z-index:251660288;v-text-anchor:middle;mso-width-relative:page;mso-height-relative:page;" filled="f" stroked="t" coordsize="21600,21600" o:gfxdata="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5ff3INkAAAAKAQAADwAAAAAAAAABACAAAAAiAAAAZHJzL2Rvd25yZXYu&#10;eG1sUEsBAhQAFAAAAAgAh07iQEWeCqBsAgAAwQQAAA4AAAAAAAAAAQAgAAAAKAEAAGRycy9lMm9E&#10;b2MueG1sUEsFBgAAAAAGAAYAWQEAAAYGAAAAAA==&#10;">
                <v:fill on="f" focussize="0,0"/>
                <v:stroke weight="3pt" color="#FF0000 [2404]" joinstyle="round"/>
                <v:imagedata o:title=""/>
                <o:lock v:ext="edit" aspectratio="f"/>
              </v:rect>
            </w:pict>
          </mc:Fallback>
        </mc:AlternateContent>
      </w:r>
      <w:r>
        <w:drawing>
          <wp:inline distT="0" distB="0" distL="114300" distR="114300">
            <wp:extent cx="5721350" cy="2302510"/>
            <wp:effectExtent l="0" t="0" r="12700" b="25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rcRect b="37839"/>
                    <a:stretch>
                      <a:fillRect/>
                    </a:stretch>
                  </pic:blipFill>
                  <pic:spPr>
                    <a:xfrm>
                      <a:off x="0" y="0"/>
                      <a:ext cx="5721350" cy="2302510"/>
                    </a:xfrm>
                    <a:prstGeom prst="rect">
                      <a:avLst/>
                    </a:prstGeom>
                    <a:noFill/>
                    <a:ln>
                      <a:noFill/>
                    </a:ln>
                  </pic:spPr>
                </pic:pic>
              </a:graphicData>
            </a:graphic>
          </wp:inline>
        </w:drawing>
      </w:r>
    </w:p>
    <w:p w14:paraId="75B154E3">
      <w:pPr>
        <w:pStyle w:val="3"/>
        <w:ind w:firstLine="280" w:firstLineChars="100"/>
        <w:rPr>
          <w:rFonts w:eastAsia="仿宋"/>
          <w:b/>
          <w:color w:val="000000"/>
          <w:sz w:val="28"/>
          <w:szCs w:val="28"/>
        </w:rPr>
      </w:pPr>
      <w:bookmarkStart w:id="132" w:name="_Toc27148"/>
      <w:r>
        <w:rPr>
          <w:rFonts w:hint="eastAsia" w:ascii="Times New Roman" w:hAnsi="Times New Roman"/>
          <w:sz w:val="28"/>
          <w:szCs w:val="28"/>
        </w:rPr>
        <w:t>3.3防雷接地</w:t>
      </w:r>
      <w:bookmarkEnd w:id="126"/>
      <w:bookmarkEnd w:id="132"/>
    </w:p>
    <w:p w14:paraId="2F1289DE">
      <w:pPr>
        <w:ind w:firstLine="560"/>
        <w:rPr>
          <w:color w:val="000000"/>
          <w:szCs w:val="28"/>
        </w:rPr>
      </w:pPr>
      <w:r>
        <w:rPr>
          <w:color w:val="000000"/>
          <w:szCs w:val="28"/>
        </w:rPr>
        <w:t>依照现行国家标准《塔式起重机安全规程》 GB5144-2006的要求，塔机主体机构、电动机基座和所有电气设备金属外壳均应可靠接地。</w:t>
      </w:r>
    </w:p>
    <w:p w14:paraId="753FD7CC">
      <w:pPr>
        <w:ind w:firstLine="560"/>
        <w:rPr>
          <w:color w:val="000000"/>
          <w:szCs w:val="28"/>
        </w:rPr>
      </w:pPr>
      <w:r>
        <w:rPr>
          <w:color w:val="000000"/>
          <w:szCs w:val="28"/>
        </w:rPr>
        <w:t>依据《施工现场临时用电安全技术规范》JGJ46-20</w:t>
      </w:r>
      <w:r>
        <w:rPr>
          <w:rFonts w:hint="eastAsia"/>
          <w:color w:val="000000"/>
          <w:szCs w:val="28"/>
          <w:lang w:val="en-US" w:eastAsia="zh-CN"/>
        </w:rPr>
        <w:t>24</w:t>
      </w:r>
      <w:r>
        <w:rPr>
          <w:color w:val="000000"/>
          <w:szCs w:val="28"/>
        </w:rPr>
        <w:t>中防雷要求，塔机可不另设避雷针（接闪器），防雷引下线可利用设备金属结构体，并保证电气连接。</w:t>
      </w:r>
    </w:p>
    <w:p w14:paraId="2D469842">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为了更好地形成雷电通路，塔机电气重复节点应单独接多股铜线，防雷的多股铜线的截面积必须大于25mm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。塔机主体结构、电机机座和所有电气设备的金属外壳、导线的金属保护管均应可靠接地，其接地电阻应不大于4Ω。采用多处重复接地时，其接地电阻应不大于10Ω。</w:t>
      </w:r>
    </w:p>
    <w:p w14:paraId="084BEC3A">
      <w:pPr>
        <w:pStyle w:val="3"/>
        <w:ind w:firstLine="280" w:firstLineChars="100"/>
        <w:rPr>
          <w:b/>
          <w:color w:val="000000"/>
          <w:sz w:val="28"/>
          <w:szCs w:val="28"/>
        </w:rPr>
      </w:pPr>
      <w:bookmarkStart w:id="133" w:name="_Toc13241"/>
      <w:r>
        <w:rPr>
          <w:rFonts w:hint="eastAsia" w:ascii="Times New Roman" w:hAnsi="Times New Roman"/>
          <w:sz w:val="28"/>
          <w:szCs w:val="28"/>
        </w:rPr>
        <w:t>3.4塔机基础</w:t>
      </w:r>
      <w:bookmarkEnd w:id="133"/>
    </w:p>
    <w:p w14:paraId="445CE2D9">
      <w:pPr>
        <w:pStyle w:val="171"/>
        <w:spacing w:line="240" w:lineRule="auto"/>
        <w:ind w:firstLine="560" w:firstLineChars="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根据现场实际情况，塔机基础设置于</w:t>
      </w:r>
      <w:r>
        <w:rPr>
          <w:rFonts w:hint="eastAsia" w:ascii="仿宋" w:hAnsi="仿宋" w:eastAsia="仿宋" w:cs="仿宋"/>
          <w:color w:val="000000"/>
          <w:sz w:val="28"/>
          <w:szCs w:val="28"/>
          <w:lang w:eastAsia="zh-CN"/>
        </w:rPr>
        <w:t>桥墩承台内。</w:t>
      </w:r>
    </w:p>
    <w:p w14:paraId="46ADE8F7">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塔机基础：</w:t>
      </w:r>
      <w:r>
        <w:rPr>
          <w:rFonts w:hint="eastAsia" w:ascii="仿宋" w:hAnsi="仿宋" w:eastAsia="仿宋" w:cs="仿宋"/>
          <w:color w:val="000000"/>
          <w:sz w:val="28"/>
          <w:szCs w:val="28"/>
          <w:lang w:eastAsia="zh-CN"/>
        </w:rPr>
        <w:t>在桥墩基础钢筋安装时，</w:t>
      </w:r>
      <w:r>
        <w:rPr>
          <w:rFonts w:hint="eastAsia" w:ascii="仿宋" w:hAnsi="仿宋" w:eastAsia="仿宋" w:cs="仿宋"/>
          <w:color w:val="000000"/>
          <w:sz w:val="28"/>
          <w:szCs w:val="28"/>
        </w:rPr>
        <w:t>根据</w:t>
      </w:r>
      <w:r>
        <w:rPr>
          <w:rFonts w:hint="eastAsia" w:ascii="仿宋" w:hAnsi="仿宋" w:eastAsia="仿宋" w:cs="仿宋"/>
          <w:color w:val="000000"/>
          <w:sz w:val="28"/>
          <w:szCs w:val="28"/>
          <w:lang w:eastAsia="zh-CN"/>
        </w:rPr>
        <w:t>塔机说明书对塔机</w:t>
      </w:r>
      <w:r>
        <w:rPr>
          <w:rFonts w:hint="eastAsia" w:ascii="仿宋" w:hAnsi="仿宋" w:eastAsia="仿宋" w:cs="仿宋"/>
          <w:color w:val="000000"/>
          <w:sz w:val="28"/>
          <w:szCs w:val="28"/>
        </w:rPr>
        <w:t>基础要求</w:t>
      </w:r>
      <w:r>
        <w:rPr>
          <w:rFonts w:hint="eastAsia" w:ascii="仿宋" w:hAnsi="仿宋" w:eastAsia="仿宋" w:cs="仿宋"/>
          <w:color w:val="000000"/>
          <w:sz w:val="28"/>
          <w:szCs w:val="28"/>
          <w:lang w:eastAsia="zh-CN"/>
        </w:rPr>
        <w:t>，在预备好的区域内布置塔机基础</w:t>
      </w:r>
      <w:r>
        <w:rPr>
          <w:rFonts w:hint="eastAsia" w:ascii="仿宋" w:hAnsi="仿宋" w:eastAsia="仿宋" w:cs="仿宋"/>
          <w:color w:val="000000"/>
          <w:sz w:val="28"/>
          <w:szCs w:val="28"/>
        </w:rPr>
        <w:t>预埋螺栓，预埋螺栓放入承台预留塔机基础位置内固定好，根据说明书要求施工</w:t>
      </w:r>
      <w:r>
        <w:rPr>
          <w:rFonts w:hint="eastAsia" w:ascii="仿宋" w:hAnsi="仿宋" w:eastAsia="仿宋" w:cs="仿宋"/>
          <w:color w:val="000000"/>
          <w:sz w:val="28"/>
          <w:szCs w:val="28"/>
          <w:lang w:eastAsia="zh-CN"/>
        </w:rPr>
        <w:t>，基础预埋螺栓垂直度小于2/1000，预留出基础表面的螺栓丝牙长度应为60mm</w:t>
      </w:r>
      <w:r>
        <w:rPr>
          <w:rFonts w:hint="eastAsia" w:ascii="微软雅黑" w:hAnsi="微软雅黑" w:eastAsia="微软雅黑" w:cs="微软雅黑"/>
          <w:color w:val="000000"/>
          <w:sz w:val="28"/>
          <w:szCs w:val="28"/>
          <w:lang w:eastAsia="zh-CN"/>
        </w:rPr>
        <w:t>～</w:t>
      </w:r>
      <w:r>
        <w:rPr>
          <w:rFonts w:hint="eastAsia" w:ascii="仿宋" w:hAnsi="仿宋" w:eastAsia="仿宋" w:cs="仿宋"/>
          <w:color w:val="000000"/>
          <w:sz w:val="28"/>
          <w:szCs w:val="28"/>
          <w:lang w:eastAsia="zh-CN"/>
        </w:rPr>
        <w:t>90mm‌满足塔机安装要求。每一根螺栓都需与钢筋焊接固定牢固，防止在浇筑砼时螺栓移位</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在塔机基础对角设置两处接地装置，采用长度和截面尺寸符合要求的镀锌角钢（如2.5m长，宽度≥50mm，厚度2mm）制作接地极，打入地下。</w:t>
      </w:r>
      <w:r>
        <w:rPr>
          <w:rFonts w:hint="eastAsia" w:ascii="仿宋" w:hAnsi="仿宋" w:eastAsia="仿宋" w:cs="仿宋"/>
          <w:color w:val="000000"/>
          <w:sz w:val="28"/>
          <w:szCs w:val="28"/>
        </w:rPr>
        <w:t>浇筑完砼后检查基础水平，水平面不大于1/1000</w:t>
      </w:r>
      <w:r>
        <w:rPr>
          <w:rFonts w:hint="eastAsia" w:ascii="仿宋" w:hAnsi="仿宋" w:eastAsia="仿宋" w:cs="仿宋"/>
          <w:color w:val="000000"/>
          <w:sz w:val="28"/>
          <w:szCs w:val="28"/>
          <w:lang w:eastAsia="zh-CN"/>
        </w:rPr>
        <w:t>，使用接地电阻测试仪测量接地电阻，确保接地电阻值符合安全标准（接地电阻均不应大于4Ω，而防雷保护接地电阻不应大于10Ω）</w:t>
      </w:r>
      <w:r>
        <w:rPr>
          <w:rFonts w:hint="eastAsia" w:ascii="仿宋" w:hAnsi="仿宋" w:eastAsia="仿宋" w:cs="仿宋"/>
          <w:color w:val="000000"/>
          <w:sz w:val="28"/>
          <w:szCs w:val="28"/>
        </w:rPr>
        <w:t>。</w:t>
      </w:r>
    </w:p>
    <w:p w14:paraId="18CF36BB">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注：承台预留塔机基础部分钢筋的绑扎密度及钢筋型号应不低于塔机说明书对塔机基础钢筋设置的要求。</w:t>
      </w:r>
    </w:p>
    <w:p w14:paraId="4A8D16C0">
      <w:pPr>
        <w:spacing w:line="240" w:lineRule="auto"/>
        <w:ind w:left="0" w:leftChars="0" w:firstLine="0" w:firstLineChars="0"/>
        <w:jc w:val="center"/>
        <w:rPr>
          <w:rFonts w:eastAsia="宋体"/>
        </w:rPr>
      </w:pPr>
      <w:r>
        <w:drawing>
          <wp:inline distT="0" distB="0" distL="114300" distR="114300">
            <wp:extent cx="4291330" cy="3623310"/>
            <wp:effectExtent l="0" t="0" r="13970" b="1524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9"/>
                    <a:stretch>
                      <a:fillRect/>
                    </a:stretch>
                  </pic:blipFill>
                  <pic:spPr>
                    <a:xfrm>
                      <a:off x="0" y="0"/>
                      <a:ext cx="4291330" cy="3623310"/>
                    </a:xfrm>
                    <a:prstGeom prst="rect">
                      <a:avLst/>
                    </a:prstGeom>
                    <a:noFill/>
                    <a:ln>
                      <a:noFill/>
                    </a:ln>
                  </pic:spPr>
                </pic:pic>
              </a:graphicData>
            </a:graphic>
          </wp:inline>
        </w:drawing>
      </w:r>
    </w:p>
    <w:p w14:paraId="231309FF">
      <w:pPr>
        <w:pStyle w:val="122"/>
      </w:pPr>
      <w:r>
        <w:rPr>
          <w:rFonts w:hint="eastAsia"/>
        </w:rPr>
        <w:t>图3-</w:t>
      </w:r>
      <w:r>
        <w:t>1</w:t>
      </w:r>
      <w:r>
        <w:rPr>
          <w:rFonts w:hint="eastAsia"/>
          <w:lang w:val="en-US" w:eastAsia="zh-CN"/>
        </w:rPr>
        <w:t xml:space="preserve"> 284#墩</w:t>
      </w:r>
      <w:r>
        <w:rPr>
          <w:rFonts w:hint="eastAsia"/>
        </w:rPr>
        <w:t>塔机基础图</w:t>
      </w:r>
      <w:r>
        <w:drawing>
          <wp:inline distT="0" distB="0" distL="114300" distR="114300">
            <wp:extent cx="4216400" cy="3117850"/>
            <wp:effectExtent l="0" t="0" r="12700" b="635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20"/>
                    <a:stretch>
                      <a:fillRect/>
                    </a:stretch>
                  </pic:blipFill>
                  <pic:spPr>
                    <a:xfrm>
                      <a:off x="0" y="0"/>
                      <a:ext cx="4216400" cy="3117850"/>
                    </a:xfrm>
                    <a:prstGeom prst="rect">
                      <a:avLst/>
                    </a:prstGeom>
                    <a:noFill/>
                    <a:ln>
                      <a:noFill/>
                    </a:ln>
                  </pic:spPr>
                </pic:pic>
              </a:graphicData>
            </a:graphic>
          </wp:inline>
        </w:drawing>
      </w:r>
    </w:p>
    <w:p w14:paraId="306BA6B6">
      <w:pPr>
        <w:pStyle w:val="122"/>
        <w:ind w:left="0" w:leftChars="0" w:firstLine="0" w:firstLineChars="0"/>
        <w:jc w:val="center"/>
      </w:pPr>
      <w:r>
        <w:rPr>
          <w:rFonts w:hint="eastAsia"/>
        </w:rPr>
        <w:t>图3-</w:t>
      </w:r>
      <w:r>
        <w:rPr>
          <w:rFonts w:hint="eastAsia"/>
          <w:lang w:val="en-US" w:eastAsia="zh-CN"/>
        </w:rPr>
        <w:t>2 285#墩</w:t>
      </w:r>
      <w:r>
        <w:rPr>
          <w:rFonts w:hint="eastAsia"/>
        </w:rPr>
        <w:t>塔机基础图</w:t>
      </w:r>
      <w:r>
        <w:drawing>
          <wp:inline distT="0" distB="0" distL="114300" distR="114300">
            <wp:extent cx="4458970" cy="3370580"/>
            <wp:effectExtent l="0" t="0" r="17780" b="1270"/>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21"/>
                    <a:stretch>
                      <a:fillRect/>
                    </a:stretch>
                  </pic:blipFill>
                  <pic:spPr>
                    <a:xfrm>
                      <a:off x="0" y="0"/>
                      <a:ext cx="4458970" cy="3370580"/>
                    </a:xfrm>
                    <a:prstGeom prst="rect">
                      <a:avLst/>
                    </a:prstGeom>
                    <a:noFill/>
                    <a:ln>
                      <a:noFill/>
                    </a:ln>
                  </pic:spPr>
                </pic:pic>
              </a:graphicData>
            </a:graphic>
          </wp:inline>
        </w:drawing>
      </w:r>
    </w:p>
    <w:p w14:paraId="1C6E729C">
      <w:pPr>
        <w:pStyle w:val="122"/>
        <w:ind w:left="0" w:leftChars="0" w:firstLine="0" w:firstLineChars="0"/>
        <w:jc w:val="center"/>
      </w:pPr>
      <w:r>
        <w:rPr>
          <w:rFonts w:hint="eastAsia"/>
        </w:rPr>
        <w:t>图3-</w:t>
      </w:r>
      <w:r>
        <w:rPr>
          <w:rFonts w:hint="eastAsia"/>
          <w:lang w:val="en-US" w:eastAsia="zh-CN"/>
        </w:rPr>
        <w:t>3 286#墩</w:t>
      </w:r>
      <w:r>
        <w:rPr>
          <w:rFonts w:hint="eastAsia"/>
        </w:rPr>
        <w:t>塔机基础图</w:t>
      </w:r>
    </w:p>
    <w:p w14:paraId="209851EB">
      <w:pPr>
        <w:spacing w:line="240" w:lineRule="auto"/>
        <w:ind w:firstLine="0" w:firstLineChars="0"/>
        <w:jc w:val="center"/>
      </w:pPr>
      <w:r>
        <w:drawing>
          <wp:inline distT="0" distB="0" distL="114300" distR="114300">
            <wp:extent cx="5721985" cy="350774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rcRect t="15882"/>
                    <a:stretch>
                      <a:fillRect/>
                    </a:stretch>
                  </pic:blipFill>
                  <pic:spPr>
                    <a:xfrm>
                      <a:off x="0" y="0"/>
                      <a:ext cx="5721985" cy="3507740"/>
                    </a:xfrm>
                    <a:prstGeom prst="rect">
                      <a:avLst/>
                    </a:prstGeom>
                    <a:noFill/>
                    <a:ln>
                      <a:noFill/>
                    </a:ln>
                  </pic:spPr>
                </pic:pic>
              </a:graphicData>
            </a:graphic>
          </wp:inline>
        </w:drawing>
      </w:r>
    </w:p>
    <w:p w14:paraId="1F615ED3">
      <w:pPr>
        <w:pStyle w:val="122"/>
      </w:pPr>
      <w:r>
        <w:rPr>
          <w:rFonts w:hint="eastAsia"/>
        </w:rPr>
        <w:t>图3-</w:t>
      </w:r>
      <w:r>
        <w:rPr>
          <w:rFonts w:hint="eastAsia"/>
          <w:lang w:val="en-US" w:eastAsia="zh-CN"/>
        </w:rPr>
        <w:t>4</w:t>
      </w:r>
      <w:r>
        <w:rPr>
          <w:rFonts w:hint="eastAsia"/>
        </w:rPr>
        <w:t>塔机基础钢筋图</w:t>
      </w:r>
    </w:p>
    <w:p w14:paraId="25F2C85C">
      <w:pPr>
        <w:spacing w:line="240" w:lineRule="auto"/>
        <w:ind w:firstLine="0" w:firstLineChars="0"/>
        <w:rPr>
          <w:rFonts w:hint="eastAsia"/>
        </w:rPr>
      </w:pPr>
    </w:p>
    <w:bookmarkEnd w:id="108"/>
    <w:bookmarkEnd w:id="109"/>
    <w:bookmarkEnd w:id="127"/>
    <w:bookmarkEnd w:id="128"/>
    <w:bookmarkEnd w:id="129"/>
    <w:bookmarkEnd w:id="130"/>
    <w:bookmarkEnd w:id="131"/>
    <w:p w14:paraId="6A2CC5E2">
      <w:pPr>
        <w:pStyle w:val="2"/>
        <w:ind w:left="1960" w:right="1960" w:firstLine="1280" w:firstLineChars="400"/>
        <w:jc w:val="both"/>
        <w:rPr>
          <w:color w:val="000000"/>
        </w:rPr>
      </w:pPr>
      <w:bookmarkStart w:id="134" w:name="_Toc19228"/>
      <w:bookmarkStart w:id="135" w:name="_Toc526402030"/>
      <w:bookmarkStart w:id="136" w:name="_Toc12526"/>
      <w:bookmarkStart w:id="137" w:name="_Toc11396"/>
      <w:bookmarkStart w:id="138" w:name="_Toc18875"/>
      <w:bookmarkStart w:id="139" w:name="_Toc15182"/>
      <w:bookmarkStart w:id="140" w:name="_Toc531896369"/>
      <w:bookmarkStart w:id="141" w:name="_Toc8163"/>
      <w:bookmarkStart w:id="142" w:name="_Toc32314"/>
      <w:bookmarkStart w:id="143" w:name="_Toc28258"/>
      <w:bookmarkStart w:id="144" w:name="_Toc20180"/>
      <w:bookmarkStart w:id="145" w:name="_Toc24480"/>
      <w:bookmarkStart w:id="146" w:name="_Toc10066"/>
      <w:bookmarkStart w:id="147" w:name="_Toc22146"/>
      <w:bookmarkStart w:id="148" w:name="_Toc32091"/>
      <w:bookmarkStart w:id="149" w:name="_Toc24545"/>
      <w:bookmarkStart w:id="150" w:name="_Toc25516"/>
      <w:bookmarkStart w:id="151" w:name="_Toc9049"/>
      <w:bookmarkStart w:id="152" w:name="_Toc5939"/>
      <w:bookmarkStart w:id="153" w:name="_Toc22374"/>
      <w:r>
        <w:rPr>
          <w:rFonts w:hint="eastAsia"/>
          <w:color w:val="000000"/>
        </w:rPr>
        <w:t>第四章 施工</w:t>
      </w:r>
      <w:bookmarkEnd w:id="134"/>
      <w:bookmarkEnd w:id="135"/>
      <w:bookmarkEnd w:id="136"/>
      <w:bookmarkEnd w:id="137"/>
      <w:bookmarkEnd w:id="138"/>
      <w:bookmarkEnd w:id="139"/>
      <w:bookmarkEnd w:id="140"/>
      <w:bookmarkEnd w:id="141"/>
      <w:bookmarkEnd w:id="142"/>
      <w:bookmarkEnd w:id="143"/>
      <w:bookmarkEnd w:id="144"/>
      <w:bookmarkEnd w:id="145"/>
      <w:bookmarkEnd w:id="146"/>
      <w:r>
        <w:rPr>
          <w:rFonts w:hint="eastAsia"/>
          <w:color w:val="000000"/>
        </w:rPr>
        <w:t>技术方案</w:t>
      </w:r>
      <w:bookmarkEnd w:id="147"/>
      <w:bookmarkEnd w:id="148"/>
      <w:bookmarkEnd w:id="149"/>
      <w:bookmarkEnd w:id="150"/>
      <w:bookmarkEnd w:id="151"/>
      <w:bookmarkEnd w:id="152"/>
      <w:bookmarkEnd w:id="153"/>
    </w:p>
    <w:p w14:paraId="52B06064">
      <w:pPr>
        <w:pStyle w:val="3"/>
        <w:rPr>
          <w:color w:val="000000"/>
        </w:rPr>
      </w:pPr>
      <w:bookmarkStart w:id="154" w:name="_Toc31565"/>
      <w:bookmarkStart w:id="155" w:name="_Toc23852"/>
      <w:bookmarkStart w:id="156" w:name="_Toc30976"/>
      <w:bookmarkStart w:id="157" w:name="_Toc7312"/>
      <w:bookmarkStart w:id="158" w:name="_Toc13514"/>
      <w:bookmarkStart w:id="159" w:name="_Toc10614"/>
      <w:bookmarkStart w:id="160" w:name="_Toc20690"/>
      <w:bookmarkStart w:id="161" w:name="_Toc22300"/>
      <w:bookmarkStart w:id="162" w:name="_Toc22610"/>
      <w:bookmarkStart w:id="163" w:name="_Toc5459"/>
      <w:bookmarkStart w:id="164" w:name="_Toc24903"/>
      <w:bookmarkStart w:id="165" w:name="_Toc20207"/>
      <w:bookmarkStart w:id="166" w:name="_Toc18626"/>
      <w:bookmarkStart w:id="167" w:name="_Toc12270"/>
      <w:r>
        <w:rPr>
          <w:rFonts w:hint="eastAsia"/>
          <w:color w:val="000000"/>
        </w:rPr>
        <w:t>4.1 组织机构</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36ECEBE">
      <w:pPr>
        <w:ind w:firstLine="560"/>
      </w:pPr>
      <w:bookmarkStart w:id="168" w:name="_Toc30832"/>
      <w:bookmarkStart w:id="169" w:name="_Toc23518"/>
      <w:bookmarkStart w:id="170" w:name="_Toc1909"/>
      <w:bookmarkStart w:id="171" w:name="_Toc28912"/>
      <w:bookmarkStart w:id="172" w:name="_Toc24476"/>
      <w:bookmarkStart w:id="173" w:name="_Toc531896370"/>
      <w:bookmarkStart w:id="174" w:name="_Toc2774"/>
      <w:bookmarkStart w:id="175" w:name="_Toc514922752"/>
      <w:bookmarkStart w:id="176" w:name="_Toc29716"/>
      <w:bookmarkStart w:id="177" w:name="_Toc10279"/>
      <w:bookmarkStart w:id="178" w:name="_Toc4571"/>
      <w:bookmarkStart w:id="179" w:name="_Toc356"/>
      <w:bookmarkStart w:id="180" w:name="_Toc26147"/>
      <w:bookmarkStart w:id="181" w:name="_Toc28673"/>
      <w:bookmarkStart w:id="182" w:name="_Toc514412681"/>
      <w:bookmarkStart w:id="183" w:name="_Toc31708"/>
      <w:bookmarkStart w:id="184" w:name="_Toc29878"/>
      <w:bookmarkStart w:id="185" w:name="_Toc31779"/>
      <w:bookmarkStart w:id="186" w:name="_Toc441657861"/>
      <w:bookmarkStart w:id="187" w:name="_Toc526402036"/>
      <w:bookmarkStart w:id="188" w:name="_Toc10433"/>
      <w:bookmarkStart w:id="189" w:name="_Toc10000"/>
      <w:r>
        <w:rPr>
          <w:rFonts w:hint="eastAsia"/>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5CFE36DF">
      <w:pPr>
        <w:pStyle w:val="79"/>
        <w:spacing w:line="240" w:lineRule="auto"/>
        <w:ind w:firstLine="0" w:firstLineChars="0"/>
        <w:jc w:val="center"/>
      </w:pPr>
      <w:r>
        <w:rPr>
          <w:rStyle w:val="123"/>
        </w:rPr>
        <w:drawing>
          <wp:inline distT="0" distB="0" distL="114300" distR="114300">
            <wp:extent cx="5224145" cy="2447290"/>
            <wp:effectExtent l="0" t="0" r="3175" b="635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23"/>
                    <a:stretch>
                      <a:fillRect/>
                    </a:stretch>
                  </pic:blipFill>
                  <pic:spPr>
                    <a:xfrm>
                      <a:off x="0" y="0"/>
                      <a:ext cx="5224145" cy="2447290"/>
                    </a:xfrm>
                    <a:prstGeom prst="rect">
                      <a:avLst/>
                    </a:prstGeom>
                    <a:noFill/>
                    <a:ln>
                      <a:noFill/>
                    </a:ln>
                  </pic:spPr>
                </pic:pic>
              </a:graphicData>
            </a:graphic>
          </wp:inline>
        </w:drawing>
      </w:r>
    </w:p>
    <w:p w14:paraId="1F8BFFC6">
      <w:pPr>
        <w:pStyle w:val="122"/>
        <w:ind w:firstLine="0"/>
        <w:rPr>
          <w:rFonts w:ascii="Times New Roman" w:hAnsi="Times New Roman" w:eastAsia="仿宋" w:cs="Times New Roman"/>
          <w:b w:val="0"/>
          <w:color w:val="auto"/>
        </w:rPr>
      </w:pPr>
      <w:r>
        <w:rPr>
          <w:rFonts w:hint="eastAsia" w:ascii="Times New Roman" w:hAnsi="Times New Roman" w:eastAsia="仿宋" w:cs="Times New Roman"/>
          <w:color w:val="auto"/>
        </w:rPr>
        <w:t>图4.1-1 塔式起重机安拆组织机构图</w:t>
      </w:r>
    </w:p>
    <w:p w14:paraId="58E024F2">
      <w:pPr>
        <w:pStyle w:val="4"/>
        <w:rPr>
          <w:rFonts w:ascii="黑体" w:hAnsi="黑体"/>
          <w:color w:val="000000"/>
        </w:rPr>
      </w:pPr>
      <w:r>
        <w:rPr>
          <w:rFonts w:hint="eastAsia" w:ascii="黑体" w:hAnsi="黑体"/>
          <w:color w:val="000000"/>
        </w:rPr>
        <w:t>4.1</w:t>
      </w:r>
      <w:r>
        <w:rPr>
          <w:rFonts w:ascii="黑体" w:hAnsi="黑体"/>
          <w:color w:val="000000"/>
        </w:rPr>
        <w:t>.</w:t>
      </w:r>
      <w:r>
        <w:rPr>
          <w:rFonts w:hint="eastAsia" w:ascii="黑体" w:hAnsi="黑体"/>
          <w:color w:val="000000"/>
        </w:rPr>
        <w:t>1施工人员职责分工</w:t>
      </w:r>
    </w:p>
    <w:p w14:paraId="29F645D6">
      <w:pPr>
        <w:pStyle w:val="122"/>
        <w:rPr>
          <w:rStyle w:val="123"/>
          <w:b/>
        </w:rPr>
      </w:pPr>
      <w:r>
        <w:rPr>
          <w:rStyle w:val="123"/>
          <w:rFonts w:hint="eastAsia"/>
          <w:b/>
        </w:rPr>
        <w:t>表4.1-1塔机安装施工管理人员配置表</w:t>
      </w:r>
    </w:p>
    <w:tbl>
      <w:tblPr>
        <w:tblStyle w:val="40"/>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200DCB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Align w:val="center"/>
          </w:tcPr>
          <w:p w14:paraId="67E1E820">
            <w:pPr>
              <w:widowControl/>
              <w:adjustRightInd w:val="0"/>
              <w:spacing w:line="240" w:lineRule="auto"/>
              <w:ind w:firstLine="33" w:firstLineChars="14"/>
              <w:jc w:val="center"/>
              <w:textAlignment w:val="center"/>
              <w:rPr>
                <w:rFonts w:ascii="仿宋" w:hAnsi="仿宋"/>
                <w:kern w:val="0"/>
                <w:sz w:val="24"/>
                <w:szCs w:val="24"/>
              </w:rPr>
            </w:pPr>
            <w:bookmarkStart w:id="190" w:name="_Hlk533448464"/>
            <w:r>
              <w:rPr>
                <w:rFonts w:hint="eastAsia" w:ascii="仿宋" w:hAnsi="仿宋"/>
                <w:kern w:val="0"/>
                <w:sz w:val="24"/>
                <w:szCs w:val="24"/>
              </w:rPr>
              <w:t>单位</w:t>
            </w:r>
          </w:p>
        </w:tc>
        <w:tc>
          <w:tcPr>
            <w:tcW w:w="1262" w:type="dxa"/>
            <w:vAlign w:val="center"/>
          </w:tcPr>
          <w:p w14:paraId="6092F51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姓名</w:t>
            </w:r>
          </w:p>
        </w:tc>
        <w:tc>
          <w:tcPr>
            <w:tcW w:w="1637" w:type="dxa"/>
            <w:vAlign w:val="center"/>
          </w:tcPr>
          <w:p w14:paraId="00D1F2B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w:t>
            </w:r>
          </w:p>
        </w:tc>
        <w:tc>
          <w:tcPr>
            <w:tcW w:w="4100" w:type="dxa"/>
            <w:vAlign w:val="center"/>
          </w:tcPr>
          <w:p w14:paraId="11590B29">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岗位职责</w:t>
            </w:r>
          </w:p>
        </w:tc>
      </w:tr>
      <w:tr w14:paraId="117F01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4C48E8F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中铁大桥局机械化施工公司</w:t>
            </w:r>
          </w:p>
        </w:tc>
        <w:tc>
          <w:tcPr>
            <w:tcW w:w="1262" w:type="dxa"/>
            <w:vAlign w:val="center"/>
          </w:tcPr>
          <w:p w14:paraId="241F14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76CF6C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安拆负责人</w:t>
            </w:r>
          </w:p>
        </w:tc>
        <w:tc>
          <w:tcPr>
            <w:tcW w:w="4100" w:type="dxa"/>
          </w:tcPr>
          <w:p w14:paraId="0A44EE84">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对塔机安装的全过程进行管理、监控，合理的组织生产，确保安全施工。</w:t>
            </w:r>
          </w:p>
        </w:tc>
      </w:tr>
      <w:tr w14:paraId="3F6D7C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0765E4F">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80CE84B">
            <w:pPr>
              <w:widowControl/>
              <w:adjustRightInd w:val="0"/>
              <w:spacing w:line="240" w:lineRule="auto"/>
              <w:ind w:firstLine="0" w:firstLineChars="0"/>
              <w:jc w:val="center"/>
              <w:textAlignment w:val="center"/>
              <w:rPr>
                <w:rFonts w:ascii="仿宋" w:hAnsi="仿宋"/>
                <w:kern w:val="0"/>
                <w:sz w:val="24"/>
                <w:szCs w:val="24"/>
              </w:rPr>
            </w:pPr>
            <w:r>
              <w:rPr>
                <w:rFonts w:hint="eastAsia" w:ascii="仿宋" w:hAnsi="仿宋"/>
                <w:kern w:val="0"/>
                <w:sz w:val="24"/>
                <w:szCs w:val="24"/>
              </w:rPr>
              <w:t>温  涛</w:t>
            </w:r>
          </w:p>
        </w:tc>
        <w:tc>
          <w:tcPr>
            <w:tcW w:w="1637" w:type="dxa"/>
            <w:vAlign w:val="center"/>
          </w:tcPr>
          <w:p w14:paraId="52387F2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技术总工</w:t>
            </w:r>
          </w:p>
        </w:tc>
        <w:tc>
          <w:tcPr>
            <w:tcW w:w="4100" w:type="dxa"/>
          </w:tcPr>
          <w:p w14:paraId="5C72E95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现场勘察，编制塔机的安装技术方案，负责安装技术指导，汇编整理技术资料，监管设备检验。</w:t>
            </w:r>
          </w:p>
        </w:tc>
      </w:tr>
      <w:tr w14:paraId="0D1CEA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6485DD0">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143DB98">
            <w:pPr>
              <w:widowControl/>
              <w:adjustRightInd w:val="0"/>
              <w:spacing w:line="240" w:lineRule="auto"/>
              <w:ind w:firstLine="33" w:firstLineChars="14"/>
              <w:jc w:val="center"/>
              <w:textAlignment w:val="center"/>
              <w:rPr>
                <w:rFonts w:hint="default" w:ascii="仿宋" w:hAnsi="仿宋" w:eastAsia="仿宋"/>
                <w:kern w:val="0"/>
                <w:sz w:val="24"/>
                <w:szCs w:val="24"/>
                <w:lang w:val="en-US" w:eastAsia="zh-CN"/>
              </w:rPr>
            </w:pPr>
            <w:r>
              <w:rPr>
                <w:rFonts w:hint="eastAsia" w:ascii="仿宋" w:hAnsi="仿宋"/>
                <w:kern w:val="0"/>
                <w:sz w:val="24"/>
                <w:szCs w:val="24"/>
                <w:lang w:val="en-US" w:eastAsia="zh-CN"/>
              </w:rPr>
              <w:t>方柳</w:t>
            </w:r>
          </w:p>
        </w:tc>
        <w:tc>
          <w:tcPr>
            <w:tcW w:w="1637" w:type="dxa"/>
            <w:vAlign w:val="center"/>
          </w:tcPr>
          <w:p w14:paraId="234C005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施工工长</w:t>
            </w:r>
          </w:p>
        </w:tc>
        <w:tc>
          <w:tcPr>
            <w:tcW w:w="4100" w:type="dxa"/>
          </w:tcPr>
          <w:p w14:paraId="35B57381">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负责现场塔机按照安装方案安装，以及组织现场安装人员施工。</w:t>
            </w:r>
          </w:p>
        </w:tc>
      </w:tr>
      <w:tr w14:paraId="50842A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9688ED8">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B3CBC2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40BDDA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安全员</w:t>
            </w:r>
          </w:p>
        </w:tc>
        <w:tc>
          <w:tcPr>
            <w:tcW w:w="4100" w:type="dxa"/>
          </w:tcPr>
          <w:p w14:paraId="6643C25C">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检查施工中安全保护措施的监督执行，监督执行作业前安全技术交底，负责现场施工安全监督。</w:t>
            </w:r>
          </w:p>
        </w:tc>
      </w:tr>
      <w:tr w14:paraId="3000F1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94EEEE5">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42FB8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贺中兵</w:t>
            </w:r>
          </w:p>
        </w:tc>
        <w:tc>
          <w:tcPr>
            <w:tcW w:w="1637" w:type="dxa"/>
            <w:vAlign w:val="center"/>
          </w:tcPr>
          <w:p w14:paraId="15D0B89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w:t>
            </w:r>
          </w:p>
        </w:tc>
        <w:tc>
          <w:tcPr>
            <w:tcW w:w="4100" w:type="dxa"/>
          </w:tcPr>
          <w:p w14:paraId="0346038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负责地面起重指挥，做好作业人员的协调工作。</w:t>
            </w:r>
          </w:p>
        </w:tc>
      </w:tr>
      <w:tr w14:paraId="333286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F2BAE3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9C6D9C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吴强</w:t>
            </w:r>
          </w:p>
        </w:tc>
        <w:tc>
          <w:tcPr>
            <w:tcW w:w="1637" w:type="dxa"/>
            <w:vAlign w:val="center"/>
          </w:tcPr>
          <w:p w14:paraId="1C9CAB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安拆电工</w:t>
            </w:r>
          </w:p>
        </w:tc>
        <w:tc>
          <w:tcPr>
            <w:tcW w:w="4100" w:type="dxa"/>
          </w:tcPr>
          <w:p w14:paraId="4163F81F">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负责塔机电控柜、电阻箱等电气元件接线</w:t>
            </w:r>
          </w:p>
        </w:tc>
      </w:tr>
      <w:tr w14:paraId="7FF3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4632E9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BFE6257">
            <w:pPr>
              <w:widowControl/>
              <w:adjustRightInd w:val="0"/>
              <w:spacing w:line="240" w:lineRule="auto"/>
              <w:ind w:firstLine="33" w:firstLineChars="14"/>
              <w:jc w:val="center"/>
              <w:textAlignment w:val="center"/>
              <w:rPr>
                <w:kern w:val="0"/>
                <w:sz w:val="24"/>
                <w:szCs w:val="24"/>
              </w:rPr>
            </w:pPr>
            <w:r>
              <w:rPr>
                <w:rFonts w:hint="eastAsia" w:ascii="仿宋" w:hAnsi="仿宋"/>
                <w:kern w:val="0"/>
                <w:sz w:val="24"/>
                <w:szCs w:val="24"/>
                <w:lang w:val="en-US" w:eastAsia="zh-CN"/>
              </w:rPr>
              <w:t xml:space="preserve">方柳  </w:t>
            </w:r>
            <w:r>
              <w:rPr>
                <w:rFonts w:hint="eastAsia" w:ascii="仿宋" w:hAnsi="仿宋"/>
                <w:kern w:val="0"/>
                <w:sz w:val="24"/>
                <w:szCs w:val="24"/>
              </w:rPr>
              <w:t xml:space="preserve"> 邹四胡 </w:t>
            </w:r>
            <w:r>
              <w:rPr>
                <w:rFonts w:hint="eastAsia"/>
                <w:kern w:val="0"/>
                <w:sz w:val="24"/>
                <w:szCs w:val="24"/>
              </w:rPr>
              <w:t>李小琴 胡杰</w:t>
            </w:r>
          </w:p>
        </w:tc>
        <w:tc>
          <w:tcPr>
            <w:tcW w:w="1637" w:type="dxa"/>
            <w:vAlign w:val="center"/>
          </w:tcPr>
          <w:p w14:paraId="490F928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塔机安拆工</w:t>
            </w:r>
          </w:p>
        </w:tc>
        <w:tc>
          <w:tcPr>
            <w:tcW w:w="4100" w:type="dxa"/>
          </w:tcPr>
          <w:p w14:paraId="75740BBE">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0FAE74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935C7F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F44BD4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万元</w:t>
            </w:r>
          </w:p>
        </w:tc>
        <w:tc>
          <w:tcPr>
            <w:tcW w:w="1637" w:type="dxa"/>
            <w:vAlign w:val="center"/>
          </w:tcPr>
          <w:p w14:paraId="6B1DF3E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塔机司机</w:t>
            </w:r>
          </w:p>
        </w:tc>
        <w:tc>
          <w:tcPr>
            <w:tcW w:w="4100" w:type="dxa"/>
          </w:tcPr>
          <w:p w14:paraId="7722DE13">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负责顶升期间操作塔机</w:t>
            </w:r>
          </w:p>
        </w:tc>
      </w:tr>
      <w:tr w14:paraId="02EB03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32AB537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项目部</w:t>
            </w:r>
          </w:p>
        </w:tc>
        <w:tc>
          <w:tcPr>
            <w:tcW w:w="1262" w:type="dxa"/>
            <w:vAlign w:val="center"/>
          </w:tcPr>
          <w:p w14:paraId="71ACC3E7">
            <w:pPr>
              <w:widowControl/>
              <w:adjustRightInd w:val="0"/>
              <w:spacing w:line="240" w:lineRule="auto"/>
              <w:ind w:firstLine="33" w:firstLineChars="14"/>
              <w:jc w:val="center"/>
              <w:textAlignment w:val="center"/>
              <w:rPr>
                <w:rFonts w:ascii="仿宋" w:hAnsi="仿宋"/>
                <w:kern w:val="0"/>
                <w:sz w:val="24"/>
                <w:szCs w:val="24"/>
              </w:rPr>
            </w:pPr>
            <w:r>
              <w:rPr>
                <w:rFonts w:ascii="仿宋" w:hAnsi="仿宋"/>
                <w:kern w:val="0"/>
                <w:sz w:val="24"/>
                <w:szCs w:val="24"/>
              </w:rPr>
              <w:t>/</w:t>
            </w:r>
          </w:p>
        </w:tc>
        <w:tc>
          <w:tcPr>
            <w:tcW w:w="1637" w:type="dxa"/>
            <w:vAlign w:val="center"/>
          </w:tcPr>
          <w:p w14:paraId="0BE47B6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汽车吊操作工</w:t>
            </w:r>
          </w:p>
        </w:tc>
        <w:tc>
          <w:tcPr>
            <w:tcW w:w="4100" w:type="dxa"/>
          </w:tcPr>
          <w:p w14:paraId="575F6D25">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在安装前一天必须到现场查看场地参加技术安全、危险源交底。</w:t>
            </w:r>
          </w:p>
        </w:tc>
      </w:tr>
      <w:tr w14:paraId="273406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D01782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C6A613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w:t>
            </w:r>
          </w:p>
        </w:tc>
        <w:tc>
          <w:tcPr>
            <w:tcW w:w="1637" w:type="dxa"/>
            <w:vAlign w:val="center"/>
          </w:tcPr>
          <w:p w14:paraId="6820093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起重指挥司索工</w:t>
            </w:r>
          </w:p>
        </w:tc>
        <w:tc>
          <w:tcPr>
            <w:tcW w:w="4100" w:type="dxa"/>
          </w:tcPr>
          <w:p w14:paraId="300E1478">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塔吊指挥要严格执行塔吊起重吊运方案及技术、安全要求和措施</w:t>
            </w:r>
          </w:p>
        </w:tc>
      </w:tr>
      <w:tr w14:paraId="40A633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11F7A91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51DE324">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李骏</w:t>
            </w:r>
          </w:p>
        </w:tc>
        <w:tc>
          <w:tcPr>
            <w:tcW w:w="1637" w:type="dxa"/>
            <w:vAlign w:val="center"/>
          </w:tcPr>
          <w:p w14:paraId="469FC07B">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现场负责人</w:t>
            </w:r>
          </w:p>
        </w:tc>
        <w:tc>
          <w:tcPr>
            <w:tcW w:w="4100" w:type="dxa"/>
            <w:vAlign w:val="center"/>
          </w:tcPr>
          <w:p w14:paraId="79A817C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对塔机安拆的全过程进行统筹、协调，确保安全施工。</w:t>
            </w:r>
          </w:p>
        </w:tc>
      </w:tr>
      <w:tr w14:paraId="54D80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1057AA7">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A3F4D1C">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傅燕平</w:t>
            </w:r>
          </w:p>
        </w:tc>
        <w:tc>
          <w:tcPr>
            <w:tcW w:w="1637" w:type="dxa"/>
            <w:vAlign w:val="center"/>
          </w:tcPr>
          <w:p w14:paraId="597DE8FD">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技术负责人</w:t>
            </w:r>
          </w:p>
        </w:tc>
        <w:tc>
          <w:tcPr>
            <w:tcW w:w="4100" w:type="dxa"/>
            <w:vAlign w:val="center"/>
          </w:tcPr>
          <w:p w14:paraId="4E600621">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进行安全技术交底、负责技术管理工作。</w:t>
            </w:r>
          </w:p>
        </w:tc>
      </w:tr>
      <w:tr w14:paraId="6B946B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43248DEE">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C65BF5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刘平</w:t>
            </w:r>
          </w:p>
        </w:tc>
        <w:tc>
          <w:tcPr>
            <w:tcW w:w="1637" w:type="dxa"/>
            <w:vAlign w:val="center"/>
          </w:tcPr>
          <w:p w14:paraId="1669A128">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安全员</w:t>
            </w:r>
          </w:p>
        </w:tc>
        <w:tc>
          <w:tcPr>
            <w:tcW w:w="4100" w:type="dxa"/>
            <w:vAlign w:val="center"/>
          </w:tcPr>
          <w:p w14:paraId="6D583274">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检查施工中安全保护措施的监督执行，监督执行作业前安全技术交底，负责现场施工安全监督。</w:t>
            </w:r>
          </w:p>
        </w:tc>
      </w:tr>
      <w:tr w14:paraId="24B216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7EAF66A">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4BFC200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周文亮</w:t>
            </w:r>
          </w:p>
        </w:tc>
        <w:tc>
          <w:tcPr>
            <w:tcW w:w="1637" w:type="dxa"/>
            <w:vAlign w:val="center"/>
          </w:tcPr>
          <w:p w14:paraId="2266102D">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机管员</w:t>
            </w:r>
          </w:p>
        </w:tc>
        <w:tc>
          <w:tcPr>
            <w:tcW w:w="4100" w:type="dxa"/>
            <w:vAlign w:val="center"/>
          </w:tcPr>
          <w:p w14:paraId="40876172">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配合汇编整理技术资料，监管设备检验，塔机安装完毕后自检。</w:t>
            </w:r>
          </w:p>
        </w:tc>
      </w:tr>
      <w:tr w14:paraId="1957A7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F1F9066">
            <w:pPr>
              <w:widowControl/>
              <w:adjustRightInd w:val="0"/>
              <w:spacing w:line="240" w:lineRule="auto"/>
              <w:ind w:firstLine="33" w:firstLineChars="14"/>
              <w:jc w:val="center"/>
              <w:textAlignment w:val="center"/>
              <w:rPr>
                <w:rFonts w:ascii="仿宋" w:hAnsi="仿宋"/>
                <w:kern w:val="0"/>
                <w:sz w:val="24"/>
                <w:szCs w:val="24"/>
              </w:rPr>
            </w:pPr>
          </w:p>
        </w:tc>
        <w:tc>
          <w:tcPr>
            <w:tcW w:w="1262" w:type="dxa"/>
          </w:tcPr>
          <w:p w14:paraId="58F392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伍启</w:t>
            </w:r>
          </w:p>
        </w:tc>
        <w:tc>
          <w:tcPr>
            <w:tcW w:w="1637" w:type="dxa"/>
            <w:vAlign w:val="center"/>
          </w:tcPr>
          <w:p w14:paraId="133FF6AE">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测量人员</w:t>
            </w:r>
          </w:p>
        </w:tc>
        <w:tc>
          <w:tcPr>
            <w:tcW w:w="4100" w:type="dxa"/>
            <w:vAlign w:val="center"/>
          </w:tcPr>
          <w:p w14:paraId="17E723D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配合塔吊垂直度测量</w:t>
            </w:r>
          </w:p>
        </w:tc>
      </w:tr>
      <w:tr w14:paraId="54C05B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2AFBE43">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B2300CF">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袁康林</w:t>
            </w:r>
          </w:p>
        </w:tc>
        <w:tc>
          <w:tcPr>
            <w:tcW w:w="1637" w:type="dxa"/>
            <w:vAlign w:val="center"/>
          </w:tcPr>
          <w:p w14:paraId="48E2D153">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特种设备管理人员</w:t>
            </w:r>
          </w:p>
        </w:tc>
        <w:tc>
          <w:tcPr>
            <w:tcW w:w="4100" w:type="dxa"/>
            <w:vAlign w:val="center"/>
          </w:tcPr>
          <w:p w14:paraId="40854BF9">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塔吊安拆过程全过程盯控</w:t>
            </w:r>
          </w:p>
        </w:tc>
      </w:tr>
      <w:bookmarkEnd w:id="190"/>
    </w:tbl>
    <w:p w14:paraId="728C11B0">
      <w:pPr>
        <w:pStyle w:val="3"/>
        <w:spacing w:line="240" w:lineRule="auto"/>
        <w:rPr>
          <w:color w:val="000000"/>
        </w:rPr>
      </w:pPr>
      <w:bookmarkStart w:id="191" w:name="_Toc19099"/>
      <w:r>
        <w:rPr>
          <w:rFonts w:hint="eastAsia"/>
          <w:color w:val="000000"/>
        </w:rPr>
        <w:t>4.2 工期计划</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91"/>
    </w:p>
    <w:p w14:paraId="028F7757">
      <w:pPr>
        <w:ind w:firstLine="560"/>
      </w:pPr>
      <w:r>
        <w:rPr>
          <w:rFonts w:hint="eastAsia"/>
        </w:rPr>
        <w:t>XGT6015A-8S塔机安装顶升到使用高度用时约5天，其中包含塔机预拼组件时间。</w:t>
      </w:r>
    </w:p>
    <w:p w14:paraId="54E1F562">
      <w:pPr>
        <w:pStyle w:val="122"/>
        <w:rPr>
          <w:rStyle w:val="123"/>
          <w:b/>
        </w:rPr>
      </w:pPr>
      <w:bookmarkStart w:id="192" w:name="_Toc29824_WPSOffice_Level2"/>
      <w:r>
        <w:rPr>
          <w:rStyle w:val="123"/>
          <w:rFonts w:hint="eastAsia"/>
          <w:b/>
        </w:rPr>
        <w:t>表4.2-1 XGT6015A-8S施工进度表</w:t>
      </w:r>
      <w:bookmarkEnd w:id="192"/>
    </w:p>
    <w:tbl>
      <w:tblPr>
        <w:tblStyle w:val="40"/>
        <w:tblW w:w="9160" w:type="dxa"/>
        <w:tblInd w:w="0"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978"/>
        <w:gridCol w:w="5831"/>
        <w:gridCol w:w="1114"/>
        <w:gridCol w:w="1237"/>
      </w:tblGrid>
      <w:tr w14:paraId="1E26D21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7B8F93F5">
            <w:pPr>
              <w:ind w:firstLine="0" w:firstLineChars="0"/>
              <w:jc w:val="center"/>
              <w:rPr>
                <w:rFonts w:ascii="仿宋" w:hAnsi="仿宋" w:cs="宋体"/>
                <w:b/>
                <w:bCs/>
                <w:sz w:val="24"/>
                <w:szCs w:val="24"/>
              </w:rPr>
            </w:pPr>
            <w:r>
              <w:rPr>
                <w:rFonts w:hint="eastAsia" w:ascii="仿宋" w:hAnsi="仿宋" w:cs="宋体"/>
                <w:b/>
                <w:bCs/>
                <w:sz w:val="24"/>
                <w:szCs w:val="24"/>
              </w:rPr>
              <w:t>序号</w:t>
            </w:r>
          </w:p>
        </w:tc>
        <w:tc>
          <w:tcPr>
            <w:tcW w:w="5831" w:type="dxa"/>
            <w:tcBorders>
              <w:tl2br w:val="nil"/>
              <w:tr2bl w:val="nil"/>
            </w:tcBorders>
            <w:vAlign w:val="center"/>
          </w:tcPr>
          <w:p w14:paraId="4E2C094D">
            <w:pPr>
              <w:ind w:firstLine="0" w:firstLineChars="0"/>
              <w:jc w:val="center"/>
              <w:rPr>
                <w:rFonts w:ascii="仿宋" w:hAnsi="仿宋" w:cs="宋体"/>
                <w:b/>
                <w:bCs/>
                <w:sz w:val="24"/>
                <w:szCs w:val="24"/>
              </w:rPr>
            </w:pPr>
            <w:r>
              <w:rPr>
                <w:rFonts w:hint="eastAsia" w:ascii="仿宋" w:hAnsi="仿宋" w:cs="宋体"/>
                <w:b/>
                <w:bCs/>
                <w:sz w:val="24"/>
                <w:szCs w:val="24"/>
              </w:rPr>
              <w:t>工作项目</w:t>
            </w:r>
          </w:p>
        </w:tc>
        <w:tc>
          <w:tcPr>
            <w:tcW w:w="1114" w:type="dxa"/>
            <w:tcBorders>
              <w:tl2br w:val="nil"/>
              <w:tr2bl w:val="nil"/>
            </w:tcBorders>
            <w:vAlign w:val="center"/>
          </w:tcPr>
          <w:p w14:paraId="0A6DAD03">
            <w:pPr>
              <w:ind w:firstLine="0" w:firstLineChars="0"/>
              <w:jc w:val="center"/>
              <w:rPr>
                <w:rFonts w:ascii="仿宋" w:hAnsi="仿宋" w:cs="宋体"/>
                <w:b/>
                <w:bCs/>
                <w:sz w:val="24"/>
                <w:szCs w:val="24"/>
              </w:rPr>
            </w:pPr>
            <w:r>
              <w:rPr>
                <w:rFonts w:hint="eastAsia" w:ascii="仿宋" w:hAnsi="仿宋" w:cs="宋体"/>
                <w:b/>
                <w:bCs/>
                <w:sz w:val="24"/>
                <w:szCs w:val="24"/>
              </w:rPr>
              <w:t>时间（天）</w:t>
            </w:r>
          </w:p>
        </w:tc>
        <w:tc>
          <w:tcPr>
            <w:tcW w:w="1237" w:type="dxa"/>
            <w:tcBorders>
              <w:tl2br w:val="nil"/>
              <w:tr2bl w:val="nil"/>
            </w:tcBorders>
            <w:vAlign w:val="center"/>
          </w:tcPr>
          <w:p w14:paraId="2C92FDFE">
            <w:pPr>
              <w:ind w:firstLine="0" w:firstLineChars="0"/>
              <w:jc w:val="center"/>
              <w:rPr>
                <w:rFonts w:ascii="仿宋" w:hAnsi="仿宋" w:cs="宋体"/>
                <w:b/>
                <w:bCs/>
                <w:sz w:val="24"/>
                <w:szCs w:val="24"/>
              </w:rPr>
            </w:pPr>
            <w:r>
              <w:rPr>
                <w:rFonts w:hint="eastAsia" w:ascii="仿宋" w:hAnsi="仿宋" w:cs="宋体"/>
                <w:b/>
                <w:bCs/>
                <w:sz w:val="24"/>
                <w:szCs w:val="24"/>
              </w:rPr>
              <w:t>备注</w:t>
            </w:r>
          </w:p>
        </w:tc>
      </w:tr>
      <w:tr w14:paraId="2F750A3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52559304">
            <w:pPr>
              <w:ind w:firstLine="0" w:firstLineChars="0"/>
              <w:jc w:val="center"/>
              <w:rPr>
                <w:rFonts w:ascii="仿宋" w:hAnsi="仿宋" w:cs="宋体"/>
                <w:sz w:val="24"/>
                <w:szCs w:val="24"/>
              </w:rPr>
            </w:pPr>
            <w:r>
              <w:rPr>
                <w:rFonts w:ascii="仿宋" w:hAnsi="仿宋" w:cs="宋体"/>
                <w:sz w:val="24"/>
                <w:szCs w:val="24"/>
              </w:rPr>
              <w:t>1</w:t>
            </w:r>
          </w:p>
        </w:tc>
        <w:tc>
          <w:tcPr>
            <w:tcW w:w="5831" w:type="dxa"/>
            <w:tcBorders>
              <w:tl2br w:val="nil"/>
              <w:tr2bl w:val="nil"/>
            </w:tcBorders>
            <w:vAlign w:val="center"/>
          </w:tcPr>
          <w:p w14:paraId="37F5ED2D">
            <w:pPr>
              <w:ind w:firstLine="0" w:firstLineChars="0"/>
              <w:jc w:val="center"/>
              <w:rPr>
                <w:rFonts w:ascii="仿宋" w:hAnsi="仿宋" w:cs="宋体"/>
                <w:sz w:val="24"/>
                <w:szCs w:val="24"/>
              </w:rPr>
            </w:pPr>
            <w:r>
              <w:rPr>
                <w:rFonts w:hint="eastAsia" w:ascii="仿宋" w:hAnsi="仿宋" w:cs="宋体"/>
                <w:sz w:val="24"/>
                <w:szCs w:val="24"/>
              </w:rPr>
              <w:t>施工队伍进场，工具准备，现场勘查，协调</w:t>
            </w:r>
          </w:p>
        </w:tc>
        <w:tc>
          <w:tcPr>
            <w:tcW w:w="1114" w:type="dxa"/>
            <w:tcBorders>
              <w:tl2br w:val="nil"/>
              <w:tr2bl w:val="nil"/>
            </w:tcBorders>
            <w:vAlign w:val="center"/>
          </w:tcPr>
          <w:p w14:paraId="7098A053">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2A4B8D36">
            <w:pPr>
              <w:ind w:firstLine="480"/>
              <w:jc w:val="center"/>
              <w:rPr>
                <w:rFonts w:ascii="仿宋" w:hAnsi="仿宋" w:cs="宋体"/>
                <w:sz w:val="24"/>
                <w:szCs w:val="24"/>
              </w:rPr>
            </w:pPr>
          </w:p>
        </w:tc>
      </w:tr>
      <w:tr w14:paraId="4CC3CD8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381693C9">
            <w:pPr>
              <w:ind w:firstLine="0" w:firstLineChars="0"/>
              <w:jc w:val="center"/>
              <w:rPr>
                <w:rFonts w:ascii="仿宋" w:hAnsi="仿宋" w:cs="宋体"/>
                <w:sz w:val="24"/>
                <w:szCs w:val="24"/>
              </w:rPr>
            </w:pPr>
            <w:r>
              <w:rPr>
                <w:rFonts w:ascii="仿宋" w:hAnsi="仿宋" w:cs="宋体"/>
                <w:sz w:val="24"/>
                <w:szCs w:val="24"/>
              </w:rPr>
              <w:t>2</w:t>
            </w:r>
          </w:p>
        </w:tc>
        <w:tc>
          <w:tcPr>
            <w:tcW w:w="5831" w:type="dxa"/>
            <w:tcBorders>
              <w:tl2br w:val="nil"/>
              <w:tr2bl w:val="nil"/>
            </w:tcBorders>
            <w:vAlign w:val="center"/>
          </w:tcPr>
          <w:p w14:paraId="553066C0">
            <w:pPr>
              <w:ind w:firstLine="0" w:firstLineChars="0"/>
              <w:jc w:val="center"/>
              <w:rPr>
                <w:rFonts w:ascii="仿宋" w:hAnsi="仿宋" w:cs="宋体"/>
                <w:sz w:val="24"/>
                <w:szCs w:val="24"/>
              </w:rPr>
            </w:pPr>
            <w:r>
              <w:rPr>
                <w:rFonts w:hint="eastAsia" w:ascii="仿宋" w:hAnsi="仿宋" w:cs="宋体"/>
                <w:sz w:val="24"/>
                <w:szCs w:val="24"/>
              </w:rPr>
              <w:t>安装塔机1节基础节，1节标准节，安装爬升架</w:t>
            </w:r>
          </w:p>
        </w:tc>
        <w:tc>
          <w:tcPr>
            <w:tcW w:w="1114" w:type="dxa"/>
            <w:tcBorders>
              <w:tl2br w:val="nil"/>
              <w:tr2bl w:val="nil"/>
            </w:tcBorders>
            <w:vAlign w:val="center"/>
          </w:tcPr>
          <w:p w14:paraId="3CE2C0B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2074A8C">
            <w:pPr>
              <w:ind w:firstLine="480"/>
              <w:jc w:val="center"/>
              <w:rPr>
                <w:rFonts w:ascii="仿宋" w:hAnsi="仿宋" w:cs="宋体"/>
                <w:sz w:val="24"/>
                <w:szCs w:val="24"/>
              </w:rPr>
            </w:pPr>
          </w:p>
        </w:tc>
      </w:tr>
      <w:tr w14:paraId="0B37433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0EB17B42">
            <w:pPr>
              <w:ind w:firstLine="0" w:firstLineChars="0"/>
              <w:jc w:val="center"/>
              <w:rPr>
                <w:rFonts w:ascii="仿宋" w:hAnsi="仿宋" w:cs="宋体"/>
                <w:sz w:val="24"/>
                <w:szCs w:val="24"/>
              </w:rPr>
            </w:pPr>
            <w:r>
              <w:rPr>
                <w:rFonts w:ascii="仿宋" w:hAnsi="仿宋" w:cs="宋体"/>
                <w:sz w:val="24"/>
                <w:szCs w:val="24"/>
              </w:rPr>
              <w:t>3</w:t>
            </w:r>
          </w:p>
        </w:tc>
        <w:tc>
          <w:tcPr>
            <w:tcW w:w="5831" w:type="dxa"/>
            <w:tcBorders>
              <w:tl2br w:val="nil"/>
              <w:tr2bl w:val="nil"/>
            </w:tcBorders>
            <w:vAlign w:val="center"/>
          </w:tcPr>
          <w:p w14:paraId="49D24F12">
            <w:pPr>
              <w:ind w:firstLine="0" w:firstLineChars="0"/>
              <w:jc w:val="center"/>
              <w:rPr>
                <w:rFonts w:ascii="仿宋" w:hAnsi="仿宋" w:cs="宋体"/>
                <w:sz w:val="24"/>
                <w:szCs w:val="24"/>
              </w:rPr>
            </w:pPr>
            <w:r>
              <w:rPr>
                <w:rFonts w:hint="eastAsia" w:ascii="仿宋" w:hAnsi="仿宋" w:cs="宋体"/>
                <w:sz w:val="24"/>
                <w:szCs w:val="24"/>
              </w:rPr>
              <w:t>安装回转总成、平衡臂根节、平衡臂、起重臂</w:t>
            </w:r>
          </w:p>
        </w:tc>
        <w:tc>
          <w:tcPr>
            <w:tcW w:w="1114" w:type="dxa"/>
            <w:tcBorders>
              <w:tl2br w:val="nil"/>
              <w:tr2bl w:val="nil"/>
            </w:tcBorders>
            <w:vAlign w:val="center"/>
          </w:tcPr>
          <w:p w14:paraId="243032F1">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81F1360">
            <w:pPr>
              <w:ind w:firstLine="480"/>
              <w:jc w:val="center"/>
              <w:rPr>
                <w:rFonts w:ascii="仿宋" w:hAnsi="仿宋" w:cs="宋体"/>
                <w:sz w:val="24"/>
                <w:szCs w:val="24"/>
              </w:rPr>
            </w:pPr>
          </w:p>
        </w:tc>
      </w:tr>
      <w:tr w14:paraId="42CA2E2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2193ED5">
            <w:pPr>
              <w:ind w:firstLine="0" w:firstLineChars="0"/>
              <w:jc w:val="center"/>
              <w:rPr>
                <w:rFonts w:ascii="仿宋" w:hAnsi="仿宋" w:cs="宋体"/>
                <w:sz w:val="24"/>
                <w:szCs w:val="24"/>
              </w:rPr>
            </w:pPr>
            <w:r>
              <w:rPr>
                <w:rFonts w:ascii="仿宋" w:hAnsi="仿宋" w:cs="宋体"/>
                <w:sz w:val="24"/>
                <w:szCs w:val="24"/>
              </w:rPr>
              <w:t>4</w:t>
            </w:r>
          </w:p>
        </w:tc>
        <w:tc>
          <w:tcPr>
            <w:tcW w:w="5831" w:type="dxa"/>
            <w:tcBorders>
              <w:tl2br w:val="nil"/>
              <w:tr2bl w:val="nil"/>
            </w:tcBorders>
            <w:vAlign w:val="center"/>
          </w:tcPr>
          <w:p w14:paraId="7D8C6CA2">
            <w:pPr>
              <w:ind w:firstLine="0" w:firstLineChars="0"/>
              <w:jc w:val="center"/>
              <w:rPr>
                <w:rFonts w:ascii="仿宋" w:hAnsi="仿宋" w:cs="宋体"/>
                <w:sz w:val="24"/>
                <w:szCs w:val="24"/>
              </w:rPr>
            </w:pPr>
            <w:r>
              <w:rPr>
                <w:rFonts w:hint="eastAsia" w:ascii="仿宋" w:hAnsi="仿宋" w:cs="宋体"/>
                <w:sz w:val="24"/>
                <w:szCs w:val="24"/>
              </w:rPr>
              <w:t>穿钩，调试，顶升到使用高度</w:t>
            </w:r>
          </w:p>
        </w:tc>
        <w:tc>
          <w:tcPr>
            <w:tcW w:w="1114" w:type="dxa"/>
            <w:tcBorders>
              <w:tl2br w:val="nil"/>
              <w:tr2bl w:val="nil"/>
            </w:tcBorders>
            <w:vAlign w:val="center"/>
          </w:tcPr>
          <w:p w14:paraId="0F307B57">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51F86F14">
            <w:pPr>
              <w:ind w:firstLine="480"/>
              <w:jc w:val="center"/>
              <w:rPr>
                <w:rFonts w:ascii="仿宋" w:hAnsi="仿宋" w:cs="宋体"/>
                <w:sz w:val="24"/>
                <w:szCs w:val="24"/>
              </w:rPr>
            </w:pPr>
          </w:p>
        </w:tc>
      </w:tr>
      <w:tr w14:paraId="230DAC7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15875FD">
            <w:pPr>
              <w:ind w:firstLine="0" w:firstLineChars="0"/>
              <w:jc w:val="center"/>
              <w:rPr>
                <w:rFonts w:ascii="仿宋" w:hAnsi="仿宋" w:cs="宋体"/>
                <w:sz w:val="24"/>
                <w:szCs w:val="24"/>
              </w:rPr>
            </w:pPr>
            <w:r>
              <w:rPr>
                <w:rFonts w:ascii="仿宋" w:hAnsi="仿宋" w:cs="宋体"/>
                <w:sz w:val="24"/>
                <w:szCs w:val="24"/>
              </w:rPr>
              <w:t>5</w:t>
            </w:r>
          </w:p>
        </w:tc>
        <w:tc>
          <w:tcPr>
            <w:tcW w:w="5831" w:type="dxa"/>
            <w:tcBorders>
              <w:tl2br w:val="nil"/>
              <w:tr2bl w:val="nil"/>
            </w:tcBorders>
            <w:vAlign w:val="center"/>
          </w:tcPr>
          <w:p w14:paraId="19B34820">
            <w:pPr>
              <w:ind w:firstLine="0" w:firstLineChars="0"/>
              <w:jc w:val="center"/>
              <w:rPr>
                <w:rFonts w:ascii="仿宋" w:hAnsi="仿宋" w:cs="宋体"/>
                <w:sz w:val="24"/>
                <w:szCs w:val="24"/>
              </w:rPr>
            </w:pPr>
            <w:r>
              <w:rPr>
                <w:rFonts w:hint="eastAsia" w:ascii="仿宋" w:hAnsi="仿宋" w:cs="宋体"/>
                <w:sz w:val="24"/>
                <w:szCs w:val="24"/>
              </w:rPr>
              <w:t>验收，交付使用顶升到使用高度</w:t>
            </w:r>
          </w:p>
        </w:tc>
        <w:tc>
          <w:tcPr>
            <w:tcW w:w="1114" w:type="dxa"/>
            <w:tcBorders>
              <w:tl2br w:val="nil"/>
              <w:tr2bl w:val="nil"/>
            </w:tcBorders>
            <w:vAlign w:val="center"/>
          </w:tcPr>
          <w:p w14:paraId="0DE2A59B">
            <w:pPr>
              <w:ind w:firstLine="0" w:firstLineChars="0"/>
              <w:jc w:val="center"/>
              <w:rPr>
                <w:rFonts w:ascii="仿宋" w:hAnsi="仿宋" w:cs="宋体"/>
                <w:sz w:val="24"/>
                <w:szCs w:val="24"/>
              </w:rPr>
            </w:pPr>
            <w:r>
              <w:rPr>
                <w:rFonts w:hint="eastAsia" w:ascii="仿宋" w:hAnsi="仿宋" w:cs="宋体"/>
                <w:sz w:val="24"/>
                <w:szCs w:val="24"/>
              </w:rPr>
              <w:t>1</w:t>
            </w:r>
          </w:p>
        </w:tc>
        <w:tc>
          <w:tcPr>
            <w:tcW w:w="1237" w:type="dxa"/>
            <w:tcBorders>
              <w:tl2br w:val="nil"/>
              <w:tr2bl w:val="nil"/>
            </w:tcBorders>
            <w:vAlign w:val="center"/>
          </w:tcPr>
          <w:p w14:paraId="4AF7E4B4">
            <w:pPr>
              <w:ind w:firstLine="480"/>
              <w:jc w:val="center"/>
              <w:rPr>
                <w:rFonts w:ascii="仿宋" w:hAnsi="仿宋" w:cs="宋体"/>
                <w:sz w:val="24"/>
                <w:szCs w:val="24"/>
              </w:rPr>
            </w:pPr>
          </w:p>
        </w:tc>
      </w:tr>
      <w:tr w14:paraId="199D76B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809" w:type="dxa"/>
            <w:gridSpan w:val="2"/>
            <w:tcBorders>
              <w:tl2br w:val="nil"/>
              <w:tr2bl w:val="nil"/>
            </w:tcBorders>
            <w:vAlign w:val="center"/>
          </w:tcPr>
          <w:p w14:paraId="5E9E8B0D">
            <w:pPr>
              <w:ind w:firstLine="0" w:firstLineChars="0"/>
              <w:jc w:val="center"/>
              <w:rPr>
                <w:rFonts w:ascii="仿宋" w:hAnsi="仿宋" w:cs="宋体"/>
                <w:sz w:val="24"/>
                <w:szCs w:val="24"/>
              </w:rPr>
            </w:pPr>
            <w:r>
              <w:rPr>
                <w:rFonts w:hint="eastAsia" w:ascii="仿宋" w:hAnsi="仿宋" w:cs="宋体"/>
                <w:sz w:val="24"/>
                <w:szCs w:val="24"/>
              </w:rPr>
              <w:t>总计时间</w:t>
            </w:r>
          </w:p>
        </w:tc>
        <w:tc>
          <w:tcPr>
            <w:tcW w:w="1114" w:type="dxa"/>
            <w:tcBorders>
              <w:tl2br w:val="nil"/>
              <w:tr2bl w:val="nil"/>
            </w:tcBorders>
            <w:vAlign w:val="center"/>
          </w:tcPr>
          <w:p w14:paraId="03495D8C">
            <w:pPr>
              <w:ind w:firstLine="0" w:firstLineChars="0"/>
              <w:jc w:val="center"/>
              <w:rPr>
                <w:rFonts w:ascii="仿宋" w:hAnsi="仿宋" w:cs="宋体"/>
                <w:sz w:val="24"/>
                <w:szCs w:val="24"/>
              </w:rPr>
            </w:pPr>
            <w:r>
              <w:rPr>
                <w:rFonts w:hint="eastAsia" w:ascii="仿宋" w:hAnsi="仿宋" w:cs="宋体"/>
                <w:sz w:val="24"/>
                <w:szCs w:val="24"/>
              </w:rPr>
              <w:t>5</w:t>
            </w:r>
          </w:p>
        </w:tc>
        <w:tc>
          <w:tcPr>
            <w:tcW w:w="1237" w:type="dxa"/>
            <w:tcBorders>
              <w:tl2br w:val="nil"/>
              <w:tr2bl w:val="nil"/>
            </w:tcBorders>
            <w:vAlign w:val="center"/>
          </w:tcPr>
          <w:p w14:paraId="309685F3">
            <w:pPr>
              <w:ind w:firstLine="480"/>
              <w:jc w:val="center"/>
              <w:rPr>
                <w:rFonts w:ascii="仿宋" w:hAnsi="仿宋" w:cs="宋体"/>
                <w:sz w:val="24"/>
                <w:szCs w:val="24"/>
              </w:rPr>
            </w:pPr>
          </w:p>
        </w:tc>
      </w:tr>
      <w:bookmarkEnd w:id="185"/>
      <w:bookmarkEnd w:id="186"/>
      <w:bookmarkEnd w:id="187"/>
      <w:bookmarkEnd w:id="188"/>
      <w:bookmarkEnd w:id="189"/>
    </w:tbl>
    <w:p w14:paraId="48DF7D14">
      <w:pPr>
        <w:pStyle w:val="3"/>
        <w:rPr>
          <w:rFonts w:hint="eastAsia"/>
          <w:color w:val="000000"/>
        </w:rPr>
      </w:pPr>
      <w:bookmarkStart w:id="193" w:name="_Toc28617"/>
      <w:bookmarkStart w:id="194" w:name="_Toc6821"/>
      <w:bookmarkStart w:id="195" w:name="_Toc25743"/>
      <w:bookmarkStart w:id="196" w:name="_Toc5878"/>
      <w:bookmarkStart w:id="197" w:name="_Toc16823"/>
      <w:bookmarkStart w:id="198" w:name="_Toc24122"/>
      <w:bookmarkStart w:id="199" w:name="_Toc1393"/>
      <w:bookmarkStart w:id="200" w:name="_Toc531896372"/>
      <w:bookmarkStart w:id="201" w:name="_Toc526402039"/>
      <w:bookmarkStart w:id="202" w:name="_Toc10289"/>
      <w:bookmarkStart w:id="203" w:name="_Toc991"/>
      <w:bookmarkStart w:id="204" w:name="_Toc15011"/>
      <w:bookmarkStart w:id="205" w:name="_Toc13185"/>
      <w:bookmarkStart w:id="206" w:name="_Toc12738"/>
      <w:bookmarkStart w:id="207" w:name="_Toc28230"/>
      <w:bookmarkStart w:id="208" w:name="_Toc21837"/>
      <w:bookmarkStart w:id="209" w:name="_Toc21013"/>
      <w:bookmarkStart w:id="210" w:name="_Toc1868"/>
      <w:bookmarkStart w:id="211" w:name="_Toc9594"/>
      <w:bookmarkStart w:id="212" w:name="_Toc250"/>
      <w:r>
        <w:rPr>
          <w:rFonts w:hint="eastAsia"/>
          <w:color w:val="000000"/>
        </w:rPr>
        <w:t>4.3资源配置</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17B0F03">
      <w:pPr>
        <w:rPr>
          <w:rFonts w:hint="eastAsia"/>
          <w:color w:val="000000"/>
        </w:rPr>
      </w:pPr>
    </w:p>
    <w:p w14:paraId="2084B24E">
      <w:pPr>
        <w:pStyle w:val="39"/>
      </w:pPr>
    </w:p>
    <w:p w14:paraId="40CE501E">
      <w:pPr>
        <w:pStyle w:val="122"/>
        <w:rPr>
          <w:rStyle w:val="123"/>
          <w:rFonts w:hint="eastAsia"/>
          <w:b/>
        </w:rPr>
      </w:pPr>
      <w:bookmarkStart w:id="213" w:name="_Toc29702"/>
      <w:bookmarkStart w:id="214" w:name="_Toc2682"/>
      <w:bookmarkStart w:id="215" w:name="_Toc6657_WPSOffice_Level2"/>
      <w:bookmarkStart w:id="216" w:name="_Toc6157_WPSOffice_Level2"/>
      <w:bookmarkStart w:id="217" w:name="_Toc13661"/>
      <w:bookmarkStart w:id="218" w:name="_Toc19125_WPSOffice_Level2"/>
      <w:bookmarkStart w:id="219" w:name="_Toc4731_WPSOffice_Level2"/>
      <w:bookmarkStart w:id="220" w:name="_Toc31107"/>
      <w:bookmarkStart w:id="221" w:name="_Toc451992411"/>
      <w:bookmarkStart w:id="222" w:name="_Toc19293"/>
      <w:bookmarkStart w:id="223" w:name="_Toc526402042"/>
      <w:bookmarkStart w:id="224" w:name="_Toc5510"/>
      <w:r>
        <w:rPr>
          <w:rStyle w:val="123"/>
          <w:rFonts w:hint="eastAsia"/>
          <w:b/>
        </w:rPr>
        <w:t>表4.3-1  XGT6015A-8S塔机主要吊装单元划分与重量一览表</w:t>
      </w:r>
      <w:bookmarkEnd w:id="213"/>
      <w:bookmarkEnd w:id="214"/>
      <w:bookmarkEnd w:id="215"/>
      <w:bookmarkEnd w:id="216"/>
      <w:bookmarkEnd w:id="217"/>
      <w:bookmarkEnd w:id="218"/>
      <w:bookmarkEnd w:id="219"/>
    </w:p>
    <w:tbl>
      <w:tblPr>
        <w:tblStyle w:val="40"/>
        <w:tblW w:w="5000"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1"/>
        <w:gridCol w:w="2966"/>
        <w:gridCol w:w="2316"/>
        <w:gridCol w:w="2308"/>
      </w:tblGrid>
      <w:tr w14:paraId="00E7DB8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pct"/>
            <w:vAlign w:val="center"/>
          </w:tcPr>
          <w:p w14:paraId="45E45F4C">
            <w:pPr>
              <w:ind w:firstLine="0" w:firstLineChars="0"/>
              <w:jc w:val="center"/>
              <w:rPr>
                <w:rFonts w:ascii="仿宋" w:hAnsi="仿宋"/>
                <w:sz w:val="24"/>
                <w:szCs w:val="24"/>
              </w:rPr>
            </w:pPr>
            <w:r>
              <w:rPr>
                <w:rFonts w:hint="eastAsia" w:ascii="仿宋" w:hAnsi="仿宋"/>
                <w:sz w:val="24"/>
                <w:szCs w:val="24"/>
              </w:rPr>
              <w:t>序 号</w:t>
            </w:r>
          </w:p>
        </w:tc>
        <w:tc>
          <w:tcPr>
            <w:tcW w:w="1606" w:type="pct"/>
            <w:vAlign w:val="center"/>
          </w:tcPr>
          <w:p w14:paraId="6528BCA0">
            <w:pPr>
              <w:ind w:firstLine="0" w:firstLineChars="0"/>
              <w:jc w:val="center"/>
              <w:rPr>
                <w:rFonts w:ascii="仿宋" w:hAnsi="仿宋"/>
                <w:sz w:val="24"/>
                <w:szCs w:val="24"/>
              </w:rPr>
            </w:pPr>
            <w:r>
              <w:rPr>
                <w:rFonts w:hint="eastAsia" w:ascii="仿宋" w:hAnsi="仿宋"/>
                <w:sz w:val="24"/>
                <w:szCs w:val="24"/>
              </w:rPr>
              <w:t>名称</w:t>
            </w:r>
          </w:p>
        </w:tc>
        <w:tc>
          <w:tcPr>
            <w:tcW w:w="1254" w:type="pct"/>
            <w:vAlign w:val="center"/>
          </w:tcPr>
          <w:p w14:paraId="66D9340B">
            <w:pPr>
              <w:ind w:firstLine="0" w:firstLineChars="0"/>
              <w:jc w:val="center"/>
              <w:rPr>
                <w:rFonts w:ascii="仿宋" w:hAnsi="仿宋"/>
                <w:sz w:val="24"/>
                <w:szCs w:val="24"/>
              </w:rPr>
            </w:pPr>
            <w:r>
              <w:rPr>
                <w:rFonts w:hint="eastAsia" w:ascii="仿宋" w:hAnsi="仿宋"/>
                <w:sz w:val="24"/>
                <w:szCs w:val="24"/>
              </w:rPr>
              <w:t>重量（t）</w:t>
            </w:r>
          </w:p>
        </w:tc>
        <w:tc>
          <w:tcPr>
            <w:tcW w:w="1250" w:type="pct"/>
            <w:vAlign w:val="center"/>
          </w:tcPr>
          <w:p w14:paraId="35AE75BE">
            <w:pPr>
              <w:ind w:firstLine="0" w:firstLineChars="0"/>
              <w:jc w:val="center"/>
              <w:rPr>
                <w:rFonts w:ascii="仿宋" w:hAnsi="仿宋"/>
                <w:sz w:val="24"/>
                <w:szCs w:val="24"/>
              </w:rPr>
            </w:pPr>
            <w:r>
              <w:rPr>
                <w:rFonts w:hint="eastAsia" w:ascii="仿宋" w:hAnsi="仿宋"/>
                <w:sz w:val="24"/>
                <w:szCs w:val="24"/>
              </w:rPr>
              <w:t>吊高 H(m)</w:t>
            </w:r>
          </w:p>
        </w:tc>
      </w:tr>
      <w:tr w14:paraId="519B56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59DCC9C4">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w:t>
            </w:r>
          </w:p>
        </w:tc>
        <w:tc>
          <w:tcPr>
            <w:tcW w:w="1606" w:type="pct"/>
            <w:vAlign w:val="center"/>
          </w:tcPr>
          <w:p w14:paraId="06353F3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基础节</w:t>
            </w:r>
          </w:p>
        </w:tc>
        <w:tc>
          <w:tcPr>
            <w:tcW w:w="2316" w:type="dxa"/>
            <w:vAlign w:val="center"/>
          </w:tcPr>
          <w:p w14:paraId="43C80710">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1.598</w:t>
            </w:r>
          </w:p>
        </w:tc>
        <w:tc>
          <w:tcPr>
            <w:tcW w:w="2308" w:type="dxa"/>
            <w:vAlign w:val="center"/>
          </w:tcPr>
          <w:p w14:paraId="6BC3CCF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r>
      <w:tr w14:paraId="11809E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F4BC7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w:t>
            </w:r>
          </w:p>
        </w:tc>
        <w:tc>
          <w:tcPr>
            <w:tcW w:w="1606" w:type="pct"/>
            <w:vAlign w:val="center"/>
          </w:tcPr>
          <w:p w14:paraId="29383F05">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标准节</w:t>
            </w:r>
          </w:p>
        </w:tc>
        <w:tc>
          <w:tcPr>
            <w:tcW w:w="2316" w:type="dxa"/>
            <w:vAlign w:val="center"/>
          </w:tcPr>
          <w:p w14:paraId="6DD6705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0.8</w:t>
            </w:r>
            <w:r>
              <w:rPr>
                <w:rFonts w:hint="eastAsia" w:ascii="仿宋" w:hAnsi="仿宋"/>
                <w:color w:val="000000"/>
                <w:sz w:val="24"/>
                <w:szCs w:val="24"/>
                <w:lang w:val="en-US" w:eastAsia="zh-CN"/>
              </w:rPr>
              <w:t>38</w:t>
            </w:r>
          </w:p>
        </w:tc>
        <w:tc>
          <w:tcPr>
            <w:tcW w:w="2308" w:type="dxa"/>
            <w:vAlign w:val="center"/>
          </w:tcPr>
          <w:p w14:paraId="56A19FE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12</w:t>
            </w:r>
          </w:p>
        </w:tc>
      </w:tr>
      <w:tr w14:paraId="43C1FD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E5B49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w:t>
            </w:r>
          </w:p>
        </w:tc>
        <w:tc>
          <w:tcPr>
            <w:tcW w:w="1606" w:type="pct"/>
            <w:vAlign w:val="center"/>
          </w:tcPr>
          <w:p w14:paraId="5F1A871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顶升套架</w:t>
            </w:r>
          </w:p>
        </w:tc>
        <w:tc>
          <w:tcPr>
            <w:tcW w:w="2316" w:type="dxa"/>
            <w:vAlign w:val="center"/>
          </w:tcPr>
          <w:p w14:paraId="17BE804A">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3.381</w:t>
            </w:r>
          </w:p>
        </w:tc>
        <w:tc>
          <w:tcPr>
            <w:tcW w:w="2308" w:type="dxa"/>
            <w:vAlign w:val="center"/>
          </w:tcPr>
          <w:p w14:paraId="024C4A10">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18.5</w:t>
            </w:r>
          </w:p>
        </w:tc>
      </w:tr>
      <w:tr w14:paraId="5BAE38D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42B338D">
            <w:pPr>
              <w:spacing w:line="360" w:lineRule="auto"/>
              <w:ind w:firstLine="0" w:firstLineChars="0"/>
              <w:jc w:val="center"/>
              <w:rPr>
                <w:rFonts w:ascii="仿宋" w:hAnsi="仿宋"/>
                <w:color w:val="000000"/>
                <w:sz w:val="24"/>
                <w:szCs w:val="24"/>
              </w:rPr>
            </w:pPr>
          </w:p>
        </w:tc>
        <w:tc>
          <w:tcPr>
            <w:tcW w:w="1606" w:type="pct"/>
            <w:vAlign w:val="center"/>
          </w:tcPr>
          <w:p w14:paraId="0865659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安装特殊节</w:t>
            </w:r>
          </w:p>
        </w:tc>
        <w:tc>
          <w:tcPr>
            <w:tcW w:w="2316" w:type="dxa"/>
            <w:vAlign w:val="center"/>
          </w:tcPr>
          <w:p w14:paraId="34F722A1">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1.316</w:t>
            </w:r>
          </w:p>
        </w:tc>
        <w:tc>
          <w:tcPr>
            <w:tcW w:w="2308" w:type="dxa"/>
            <w:vAlign w:val="center"/>
          </w:tcPr>
          <w:p w14:paraId="07F84CF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15</w:t>
            </w:r>
          </w:p>
        </w:tc>
      </w:tr>
      <w:tr w14:paraId="5949F55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5C83D8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4</w:t>
            </w:r>
          </w:p>
        </w:tc>
        <w:tc>
          <w:tcPr>
            <w:tcW w:w="1606" w:type="pct"/>
            <w:vAlign w:val="center"/>
          </w:tcPr>
          <w:p w14:paraId="2DEDCD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回转支承总成</w:t>
            </w:r>
          </w:p>
        </w:tc>
        <w:tc>
          <w:tcPr>
            <w:tcW w:w="2316" w:type="dxa"/>
            <w:vAlign w:val="center"/>
          </w:tcPr>
          <w:p w14:paraId="16EC811E">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3.983</w:t>
            </w:r>
          </w:p>
        </w:tc>
        <w:tc>
          <w:tcPr>
            <w:tcW w:w="2308" w:type="dxa"/>
            <w:vAlign w:val="center"/>
          </w:tcPr>
          <w:p w14:paraId="0A2219F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1CF25E6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554D1D6">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5</w:t>
            </w:r>
          </w:p>
        </w:tc>
        <w:tc>
          <w:tcPr>
            <w:tcW w:w="1606" w:type="pct"/>
            <w:vAlign w:val="center"/>
          </w:tcPr>
          <w:p w14:paraId="2202B51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起重臂根节</w:t>
            </w:r>
          </w:p>
        </w:tc>
        <w:tc>
          <w:tcPr>
            <w:tcW w:w="2316" w:type="dxa"/>
            <w:vAlign w:val="center"/>
          </w:tcPr>
          <w:p w14:paraId="5CE91B1A">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2.909</w:t>
            </w:r>
          </w:p>
        </w:tc>
        <w:tc>
          <w:tcPr>
            <w:tcW w:w="2308" w:type="dxa"/>
            <w:vAlign w:val="center"/>
          </w:tcPr>
          <w:p w14:paraId="75C18AA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24.7</w:t>
            </w:r>
          </w:p>
        </w:tc>
      </w:tr>
      <w:tr w14:paraId="00A2C4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191C4E97">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7</w:t>
            </w:r>
          </w:p>
        </w:tc>
        <w:tc>
          <w:tcPr>
            <w:tcW w:w="1606" w:type="pct"/>
            <w:vAlign w:val="center"/>
          </w:tcPr>
          <w:p w14:paraId="6DFFC10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平衡臂总成</w:t>
            </w:r>
          </w:p>
        </w:tc>
        <w:tc>
          <w:tcPr>
            <w:tcW w:w="2316" w:type="dxa"/>
            <w:vAlign w:val="center"/>
          </w:tcPr>
          <w:p w14:paraId="079D495E">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5.027</w:t>
            </w:r>
          </w:p>
        </w:tc>
        <w:tc>
          <w:tcPr>
            <w:tcW w:w="2308" w:type="dxa"/>
            <w:vAlign w:val="center"/>
          </w:tcPr>
          <w:p w14:paraId="38145F8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7D7E22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7F5BE3C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8</w:t>
            </w:r>
          </w:p>
        </w:tc>
        <w:tc>
          <w:tcPr>
            <w:tcW w:w="1606" w:type="pct"/>
            <w:vAlign w:val="center"/>
          </w:tcPr>
          <w:p w14:paraId="033E928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2块平衡重</w:t>
            </w:r>
          </w:p>
        </w:tc>
        <w:tc>
          <w:tcPr>
            <w:tcW w:w="2316" w:type="dxa"/>
            <w:vAlign w:val="center"/>
          </w:tcPr>
          <w:p w14:paraId="12890C4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3.2</w:t>
            </w:r>
            <w:r>
              <w:rPr>
                <w:rFonts w:hint="eastAsia" w:ascii="仿宋" w:hAnsi="仿宋"/>
                <w:color w:val="000000"/>
                <w:sz w:val="24"/>
                <w:szCs w:val="24"/>
                <w:lang w:val="en-US" w:eastAsia="zh-CN"/>
              </w:rPr>
              <w:t>×2</w:t>
            </w:r>
          </w:p>
        </w:tc>
        <w:tc>
          <w:tcPr>
            <w:tcW w:w="2308" w:type="dxa"/>
            <w:vAlign w:val="center"/>
          </w:tcPr>
          <w:p w14:paraId="2EA7FC13">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21</w:t>
            </w:r>
          </w:p>
        </w:tc>
      </w:tr>
      <w:tr w14:paraId="29D356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6B0F60A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c>
          <w:tcPr>
            <w:tcW w:w="1606" w:type="pct"/>
            <w:vAlign w:val="center"/>
          </w:tcPr>
          <w:p w14:paraId="47FCA0B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剩余起重臂总成</w:t>
            </w:r>
          </w:p>
        </w:tc>
        <w:tc>
          <w:tcPr>
            <w:tcW w:w="2316" w:type="dxa"/>
            <w:vAlign w:val="center"/>
          </w:tcPr>
          <w:p w14:paraId="41AD8A08">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4.697</w:t>
            </w:r>
          </w:p>
        </w:tc>
        <w:tc>
          <w:tcPr>
            <w:tcW w:w="2308" w:type="dxa"/>
            <w:vAlign w:val="center"/>
          </w:tcPr>
          <w:p w14:paraId="399525AE">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24.7</w:t>
            </w:r>
          </w:p>
        </w:tc>
      </w:tr>
      <w:tr w14:paraId="51D1B5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2BB2371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10</w:t>
            </w:r>
          </w:p>
        </w:tc>
        <w:tc>
          <w:tcPr>
            <w:tcW w:w="1606" w:type="pct"/>
            <w:vAlign w:val="center"/>
          </w:tcPr>
          <w:p w14:paraId="6EF774C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剩余平衡重</w:t>
            </w:r>
          </w:p>
        </w:tc>
        <w:tc>
          <w:tcPr>
            <w:tcW w:w="2316" w:type="dxa"/>
            <w:vAlign w:val="center"/>
          </w:tcPr>
          <w:p w14:paraId="264885F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3.2+2.3+1</w:t>
            </w:r>
          </w:p>
        </w:tc>
        <w:tc>
          <w:tcPr>
            <w:tcW w:w="2308" w:type="dxa"/>
            <w:vAlign w:val="center"/>
          </w:tcPr>
          <w:p w14:paraId="4748E04D">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24.7</w:t>
            </w:r>
          </w:p>
        </w:tc>
      </w:tr>
    </w:tbl>
    <w:p w14:paraId="753E0C28">
      <w:pPr>
        <w:ind w:firstLine="562"/>
        <w:rPr>
          <w:rFonts w:ascii="宋体" w:hAnsi="宋体" w:cs="宋体"/>
          <w:b/>
          <w:color w:val="000000"/>
        </w:rPr>
      </w:pPr>
      <w:r>
        <w:rPr>
          <w:rFonts w:hint="eastAsia" w:ascii="宋体" w:hAnsi="宋体" w:cs="宋体"/>
          <w:b/>
          <w:color w:val="000000"/>
        </w:rPr>
        <w:t>注：以上吊高为吊耳高度，未计入吊装钢丝绳长度。</w:t>
      </w:r>
    </w:p>
    <w:p w14:paraId="68655569">
      <w:pPr>
        <w:pStyle w:val="122"/>
        <w:rPr>
          <w:rStyle w:val="123"/>
          <w:b/>
        </w:rPr>
      </w:pPr>
      <w:r>
        <w:rPr>
          <w:rStyle w:val="123"/>
          <w:rFonts w:hint="eastAsia"/>
          <w:b/>
        </w:rPr>
        <w:t>表4.</w:t>
      </w:r>
      <w:r>
        <w:rPr>
          <w:rStyle w:val="123"/>
          <w:b/>
        </w:rPr>
        <w:t>3-</w:t>
      </w:r>
      <w:bookmarkStart w:id="225" w:name="_Toc5216_WPSOffice_Level1"/>
      <w:bookmarkStart w:id="226" w:name="_Toc680"/>
      <w:bookmarkStart w:id="227" w:name="_Toc31474"/>
      <w:bookmarkStart w:id="228" w:name="_Toc14238_WPSOffice_Level1"/>
      <w:bookmarkStart w:id="229" w:name="_Toc8340"/>
      <w:bookmarkStart w:id="230" w:name="_Toc525111824"/>
      <w:bookmarkStart w:id="231" w:name="_Toc8783"/>
      <w:bookmarkStart w:id="232" w:name="_Toc29821"/>
      <w:bookmarkStart w:id="233" w:name="_Toc87114061"/>
      <w:bookmarkStart w:id="234" w:name="_Toc27331"/>
      <w:bookmarkStart w:id="235" w:name="_Toc27213"/>
      <w:bookmarkStart w:id="236" w:name="_Toc87114060"/>
      <w:r>
        <w:rPr>
          <w:rStyle w:val="123"/>
          <w:rFonts w:hint="eastAsia"/>
          <w:b/>
        </w:rPr>
        <w:t>2吊索具与专用工具配备</w:t>
      </w:r>
      <w:bookmarkEnd w:id="225"/>
      <w:bookmarkEnd w:id="226"/>
      <w:bookmarkEnd w:id="227"/>
      <w:bookmarkEnd w:id="228"/>
      <w:bookmarkEnd w:id="229"/>
      <w:bookmarkEnd w:id="230"/>
      <w:bookmarkEnd w:id="231"/>
    </w:p>
    <w:tbl>
      <w:tblPr>
        <w:tblStyle w:val="40"/>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644"/>
        <w:gridCol w:w="2584"/>
        <w:gridCol w:w="2519"/>
        <w:gridCol w:w="617"/>
        <w:gridCol w:w="909"/>
        <w:gridCol w:w="1765"/>
      </w:tblGrid>
      <w:tr w14:paraId="59E7AD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28A9927">
            <w:pPr>
              <w:widowControl/>
              <w:ind w:firstLine="0" w:firstLineChars="0"/>
              <w:jc w:val="center"/>
              <w:rPr>
                <w:rFonts w:ascii="仿宋" w:hAnsi="仿宋"/>
                <w:color w:val="1D1B11"/>
                <w:kern w:val="0"/>
                <w:sz w:val="24"/>
                <w:szCs w:val="24"/>
              </w:rPr>
            </w:pPr>
            <w:bookmarkStart w:id="237" w:name="_Toc7349"/>
            <w:bookmarkStart w:id="238" w:name="_Toc2820"/>
            <w:bookmarkStart w:id="239" w:name="_Toc10343"/>
            <w:bookmarkStart w:id="240" w:name="_Toc25962"/>
            <w:bookmarkStart w:id="241" w:name="_Toc4813"/>
            <w:r>
              <w:rPr>
                <w:rFonts w:hint="eastAsia" w:ascii="仿宋" w:hAnsi="仿宋"/>
                <w:color w:val="1D1B11"/>
                <w:kern w:val="0"/>
                <w:sz w:val="24"/>
                <w:szCs w:val="24"/>
              </w:rPr>
              <w:t>序号</w:t>
            </w:r>
          </w:p>
        </w:tc>
        <w:tc>
          <w:tcPr>
            <w:tcW w:w="2584" w:type="dxa"/>
            <w:shd w:val="clear" w:color="auto" w:fill="FFFFFF" w:themeFill="background1"/>
            <w:vAlign w:val="center"/>
          </w:tcPr>
          <w:p w14:paraId="6A22383E">
            <w:pPr>
              <w:widowControl/>
              <w:ind w:left="9" w:leftChars="-25" w:hanging="79" w:hangingChars="33"/>
              <w:jc w:val="center"/>
              <w:rPr>
                <w:rFonts w:ascii="仿宋" w:hAnsi="仿宋"/>
                <w:color w:val="1D1B11"/>
                <w:kern w:val="0"/>
                <w:sz w:val="24"/>
                <w:szCs w:val="24"/>
              </w:rPr>
            </w:pPr>
            <w:r>
              <w:rPr>
                <w:rFonts w:hint="eastAsia" w:ascii="仿宋" w:hAnsi="仿宋"/>
                <w:color w:val="1D1B11"/>
                <w:kern w:val="0"/>
                <w:sz w:val="24"/>
                <w:szCs w:val="24"/>
              </w:rPr>
              <w:t>机具名称</w:t>
            </w:r>
          </w:p>
        </w:tc>
        <w:tc>
          <w:tcPr>
            <w:tcW w:w="2519" w:type="dxa"/>
            <w:shd w:val="clear" w:color="auto" w:fill="FFFFFF" w:themeFill="background1"/>
            <w:vAlign w:val="center"/>
          </w:tcPr>
          <w:p w14:paraId="3DD4A2E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规格型号</w:t>
            </w:r>
          </w:p>
        </w:tc>
        <w:tc>
          <w:tcPr>
            <w:tcW w:w="617" w:type="dxa"/>
            <w:shd w:val="clear" w:color="auto" w:fill="FFFFFF" w:themeFill="background1"/>
            <w:vAlign w:val="center"/>
          </w:tcPr>
          <w:p w14:paraId="21794AFC">
            <w:pPr>
              <w:widowControl/>
              <w:ind w:firstLine="24" w:firstLineChars="10"/>
              <w:jc w:val="center"/>
              <w:rPr>
                <w:rFonts w:ascii="仿宋" w:hAnsi="仿宋"/>
                <w:color w:val="1D1B11"/>
                <w:kern w:val="0"/>
                <w:sz w:val="24"/>
                <w:szCs w:val="24"/>
              </w:rPr>
            </w:pPr>
            <w:r>
              <w:rPr>
                <w:rFonts w:hint="eastAsia" w:ascii="仿宋" w:hAnsi="仿宋"/>
                <w:color w:val="1D1B11"/>
                <w:kern w:val="0"/>
                <w:sz w:val="24"/>
                <w:szCs w:val="24"/>
              </w:rPr>
              <w:t>单位</w:t>
            </w:r>
          </w:p>
        </w:tc>
        <w:tc>
          <w:tcPr>
            <w:tcW w:w="909" w:type="dxa"/>
            <w:shd w:val="clear" w:color="auto" w:fill="FFFFFF" w:themeFill="background1"/>
            <w:vAlign w:val="center"/>
          </w:tcPr>
          <w:p w14:paraId="453E76B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数量</w:t>
            </w:r>
          </w:p>
        </w:tc>
        <w:tc>
          <w:tcPr>
            <w:tcW w:w="1765" w:type="dxa"/>
            <w:shd w:val="clear" w:color="auto" w:fill="FFFFFF" w:themeFill="background1"/>
            <w:vAlign w:val="center"/>
          </w:tcPr>
          <w:p w14:paraId="085C59A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备注</w:t>
            </w:r>
          </w:p>
        </w:tc>
      </w:tr>
      <w:tr w14:paraId="682DA8D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7EFB904">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32998CB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47B84682">
            <w:pPr>
              <w:widowControl/>
              <w:ind w:firstLine="0" w:firstLineChars="0"/>
              <w:jc w:val="center"/>
              <w:rPr>
                <w:rFonts w:ascii="仿宋" w:hAnsi="仿宋"/>
                <w:color w:val="1D1B11"/>
                <w:kern w:val="0"/>
                <w:sz w:val="24"/>
                <w:szCs w:val="24"/>
              </w:rPr>
            </w:pPr>
            <w:r>
              <w:rPr>
                <w:rFonts w:ascii="仿宋" w:hAnsi="仿宋"/>
                <w:color w:val="1D1B11"/>
                <w:kern w:val="0"/>
                <w:sz w:val="24"/>
                <w:szCs w:val="24"/>
              </w:rPr>
              <w:t>2t</w:t>
            </w:r>
          </w:p>
        </w:tc>
        <w:tc>
          <w:tcPr>
            <w:tcW w:w="617" w:type="dxa"/>
            <w:shd w:val="clear" w:color="auto" w:fill="FFFFFF" w:themeFill="background1"/>
            <w:vAlign w:val="center"/>
          </w:tcPr>
          <w:p w14:paraId="0375D70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5AC5D272">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72274923">
            <w:pPr>
              <w:widowControl/>
              <w:ind w:firstLine="480"/>
              <w:jc w:val="center"/>
              <w:rPr>
                <w:rFonts w:ascii="仿宋" w:hAnsi="仿宋"/>
                <w:color w:val="1D1B11"/>
                <w:kern w:val="0"/>
                <w:sz w:val="24"/>
                <w:szCs w:val="24"/>
              </w:rPr>
            </w:pPr>
          </w:p>
        </w:tc>
      </w:tr>
      <w:tr w14:paraId="3AB56BC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3AB42EE1">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2D774C9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54C261C6">
            <w:pPr>
              <w:widowControl/>
              <w:ind w:firstLine="0" w:firstLineChars="0"/>
              <w:jc w:val="center"/>
              <w:rPr>
                <w:rFonts w:ascii="仿宋" w:hAnsi="仿宋"/>
                <w:color w:val="1D1B11"/>
                <w:kern w:val="0"/>
                <w:sz w:val="24"/>
                <w:szCs w:val="24"/>
              </w:rPr>
            </w:pPr>
            <w:r>
              <w:rPr>
                <w:rFonts w:ascii="仿宋" w:hAnsi="仿宋"/>
                <w:color w:val="1D1B11"/>
                <w:kern w:val="0"/>
                <w:sz w:val="24"/>
                <w:szCs w:val="24"/>
              </w:rPr>
              <w:t>3t</w:t>
            </w:r>
          </w:p>
        </w:tc>
        <w:tc>
          <w:tcPr>
            <w:tcW w:w="617" w:type="dxa"/>
            <w:shd w:val="clear" w:color="auto" w:fill="FFFFFF" w:themeFill="background1"/>
            <w:vAlign w:val="center"/>
          </w:tcPr>
          <w:p w14:paraId="402DBAC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35623F1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151AA840">
            <w:pPr>
              <w:widowControl/>
              <w:ind w:firstLine="480"/>
              <w:jc w:val="center"/>
              <w:rPr>
                <w:rFonts w:ascii="仿宋" w:hAnsi="仿宋"/>
                <w:color w:val="1D1B11"/>
                <w:kern w:val="0"/>
                <w:sz w:val="24"/>
                <w:szCs w:val="24"/>
              </w:rPr>
            </w:pPr>
          </w:p>
        </w:tc>
      </w:tr>
      <w:tr w14:paraId="34CAF8F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CF3900C">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06E9FA6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活动扳手</w:t>
            </w:r>
          </w:p>
        </w:tc>
        <w:tc>
          <w:tcPr>
            <w:tcW w:w="2519" w:type="dxa"/>
            <w:shd w:val="clear" w:color="auto" w:fill="FFFFFF" w:themeFill="background1"/>
            <w:vAlign w:val="center"/>
          </w:tcPr>
          <w:p w14:paraId="5937CCF5">
            <w:pPr>
              <w:widowControl/>
              <w:ind w:firstLine="0" w:firstLineChars="0"/>
              <w:jc w:val="center"/>
              <w:rPr>
                <w:rFonts w:ascii="仿宋" w:hAnsi="仿宋"/>
                <w:color w:val="1D1B11"/>
                <w:kern w:val="0"/>
                <w:sz w:val="24"/>
                <w:szCs w:val="24"/>
              </w:rPr>
            </w:pPr>
            <w:r>
              <w:rPr>
                <w:rFonts w:ascii="仿宋" w:hAnsi="仿宋"/>
                <w:color w:val="1D1B11"/>
                <w:kern w:val="0"/>
                <w:sz w:val="24"/>
                <w:szCs w:val="24"/>
              </w:rPr>
              <w:t>14</w:t>
            </w:r>
            <w:r>
              <w:rPr>
                <w:rFonts w:hint="eastAsia" w:ascii="仿宋" w:hAnsi="仿宋"/>
                <w:color w:val="1D1B11"/>
                <w:kern w:val="0"/>
                <w:sz w:val="24"/>
                <w:szCs w:val="24"/>
              </w:rPr>
              <w:t>寸</w:t>
            </w:r>
          </w:p>
        </w:tc>
        <w:tc>
          <w:tcPr>
            <w:tcW w:w="617" w:type="dxa"/>
            <w:shd w:val="clear" w:color="auto" w:fill="FFFFFF" w:themeFill="background1"/>
            <w:vAlign w:val="center"/>
          </w:tcPr>
          <w:p w14:paraId="4CBEABC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49D16DF3">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273F001">
            <w:pPr>
              <w:widowControl/>
              <w:ind w:firstLine="480"/>
              <w:jc w:val="center"/>
              <w:rPr>
                <w:rFonts w:ascii="仿宋" w:hAnsi="仿宋"/>
                <w:color w:val="1D1B11"/>
                <w:kern w:val="0"/>
                <w:sz w:val="24"/>
                <w:szCs w:val="24"/>
              </w:rPr>
            </w:pPr>
          </w:p>
        </w:tc>
      </w:tr>
      <w:tr w14:paraId="0AFC95B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9BE8BE0">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4E09074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梅花扳手</w:t>
            </w:r>
          </w:p>
        </w:tc>
        <w:tc>
          <w:tcPr>
            <w:tcW w:w="2519" w:type="dxa"/>
            <w:shd w:val="clear" w:color="auto" w:fill="FFFFFF" w:themeFill="background1"/>
            <w:vAlign w:val="center"/>
          </w:tcPr>
          <w:p w14:paraId="4B695F79">
            <w:pPr>
              <w:widowControl/>
              <w:ind w:firstLine="0" w:firstLineChars="0"/>
              <w:jc w:val="center"/>
              <w:rPr>
                <w:rFonts w:ascii="仿宋" w:hAnsi="仿宋"/>
                <w:color w:val="1D1B11"/>
                <w:kern w:val="0"/>
                <w:sz w:val="24"/>
                <w:szCs w:val="24"/>
              </w:rPr>
            </w:pPr>
            <w:r>
              <w:rPr>
                <w:rFonts w:ascii="仿宋" w:hAnsi="仿宋"/>
                <w:color w:val="1D1B11"/>
                <w:kern w:val="0"/>
                <w:sz w:val="24"/>
                <w:szCs w:val="24"/>
              </w:rPr>
              <w:t>14-17</w:t>
            </w:r>
            <w:r>
              <w:rPr>
                <w:rFonts w:hint="eastAsia" w:ascii="仿宋" w:hAnsi="仿宋"/>
                <w:color w:val="1D1B11"/>
                <w:kern w:val="0"/>
                <w:sz w:val="24"/>
                <w:szCs w:val="24"/>
              </w:rPr>
              <w:t>、</w:t>
            </w:r>
            <w:r>
              <w:rPr>
                <w:rFonts w:ascii="仿宋" w:hAnsi="仿宋"/>
                <w:color w:val="1D1B11"/>
                <w:kern w:val="0"/>
                <w:sz w:val="24"/>
                <w:szCs w:val="24"/>
              </w:rPr>
              <w:t>17-19</w:t>
            </w:r>
          </w:p>
        </w:tc>
        <w:tc>
          <w:tcPr>
            <w:tcW w:w="617" w:type="dxa"/>
            <w:shd w:val="clear" w:color="auto" w:fill="FFFFFF" w:themeFill="background1"/>
            <w:vAlign w:val="center"/>
          </w:tcPr>
          <w:p w14:paraId="24808A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7253555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01FE11C6">
            <w:pPr>
              <w:widowControl/>
              <w:ind w:firstLine="480"/>
              <w:jc w:val="center"/>
              <w:rPr>
                <w:rFonts w:ascii="仿宋" w:hAnsi="仿宋"/>
                <w:color w:val="1D1B11"/>
                <w:kern w:val="0"/>
                <w:sz w:val="24"/>
                <w:szCs w:val="24"/>
              </w:rPr>
            </w:pPr>
          </w:p>
        </w:tc>
      </w:tr>
      <w:tr w14:paraId="71FD1B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707B36C">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1D7AF3F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大锤</w:t>
            </w:r>
          </w:p>
        </w:tc>
        <w:tc>
          <w:tcPr>
            <w:tcW w:w="2519" w:type="dxa"/>
            <w:shd w:val="clear" w:color="auto" w:fill="FFFFFF" w:themeFill="background1"/>
            <w:vAlign w:val="center"/>
          </w:tcPr>
          <w:p w14:paraId="10EE2F1A">
            <w:pPr>
              <w:widowControl/>
              <w:ind w:firstLine="0" w:firstLineChars="0"/>
              <w:jc w:val="center"/>
              <w:rPr>
                <w:rFonts w:ascii="仿宋" w:hAnsi="仿宋"/>
                <w:color w:val="1D1B11"/>
                <w:kern w:val="0"/>
                <w:sz w:val="24"/>
                <w:szCs w:val="24"/>
              </w:rPr>
            </w:pPr>
            <w:r>
              <w:rPr>
                <w:rFonts w:ascii="仿宋" w:hAnsi="仿宋"/>
                <w:color w:val="1D1B11"/>
                <w:kern w:val="0"/>
                <w:sz w:val="24"/>
                <w:szCs w:val="24"/>
              </w:rPr>
              <w:t>16</w:t>
            </w:r>
            <w:r>
              <w:rPr>
                <w:rFonts w:hint="eastAsia" w:ascii="仿宋" w:hAnsi="仿宋"/>
                <w:color w:val="1D1B11"/>
                <w:kern w:val="0"/>
                <w:sz w:val="24"/>
                <w:szCs w:val="24"/>
              </w:rPr>
              <w:t>、</w:t>
            </w:r>
            <w:r>
              <w:rPr>
                <w:rFonts w:ascii="仿宋" w:hAnsi="仿宋"/>
                <w:color w:val="1D1B11"/>
                <w:kern w:val="0"/>
                <w:sz w:val="24"/>
                <w:szCs w:val="24"/>
              </w:rPr>
              <w:t>18</w:t>
            </w:r>
            <w:r>
              <w:rPr>
                <w:rFonts w:hint="eastAsia" w:ascii="仿宋" w:hAnsi="仿宋"/>
                <w:color w:val="1D1B11"/>
                <w:kern w:val="0"/>
                <w:sz w:val="24"/>
                <w:szCs w:val="24"/>
              </w:rPr>
              <w:t>、</w:t>
            </w:r>
            <w:r>
              <w:rPr>
                <w:rFonts w:ascii="仿宋" w:hAnsi="仿宋"/>
                <w:color w:val="1D1B11"/>
                <w:kern w:val="0"/>
                <w:sz w:val="24"/>
                <w:szCs w:val="24"/>
              </w:rPr>
              <w:t>20P</w:t>
            </w:r>
          </w:p>
        </w:tc>
        <w:tc>
          <w:tcPr>
            <w:tcW w:w="617" w:type="dxa"/>
            <w:shd w:val="clear" w:color="auto" w:fill="FFFFFF" w:themeFill="background1"/>
            <w:vAlign w:val="center"/>
          </w:tcPr>
          <w:p w14:paraId="1C91A48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1A622B2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431E06F1">
            <w:pPr>
              <w:widowControl/>
              <w:ind w:firstLine="480"/>
              <w:jc w:val="center"/>
              <w:rPr>
                <w:rFonts w:ascii="仿宋" w:hAnsi="仿宋"/>
                <w:color w:val="1D1B11"/>
                <w:kern w:val="0"/>
                <w:sz w:val="24"/>
                <w:szCs w:val="24"/>
              </w:rPr>
            </w:pPr>
          </w:p>
        </w:tc>
      </w:tr>
      <w:tr w14:paraId="4FE7B37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60AC07D">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3587404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电工常用工具</w:t>
            </w:r>
          </w:p>
        </w:tc>
        <w:tc>
          <w:tcPr>
            <w:tcW w:w="2519" w:type="dxa"/>
            <w:tcBorders>
              <w:bottom w:val="single" w:color="000000" w:sz="4" w:space="0"/>
            </w:tcBorders>
            <w:shd w:val="clear" w:color="auto" w:fill="FFFFFF" w:themeFill="background1"/>
            <w:vAlign w:val="center"/>
          </w:tcPr>
          <w:p w14:paraId="20B96E23">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04C2EAB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套</w:t>
            </w:r>
          </w:p>
        </w:tc>
        <w:tc>
          <w:tcPr>
            <w:tcW w:w="909" w:type="dxa"/>
            <w:shd w:val="clear" w:color="auto" w:fill="FFFFFF" w:themeFill="background1"/>
            <w:vAlign w:val="center"/>
          </w:tcPr>
          <w:p w14:paraId="44B42D1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1765" w:type="dxa"/>
            <w:shd w:val="clear" w:color="auto" w:fill="FFFFFF" w:themeFill="background1"/>
            <w:vAlign w:val="center"/>
          </w:tcPr>
          <w:p w14:paraId="4F3218A1">
            <w:pPr>
              <w:widowControl/>
              <w:ind w:firstLine="480"/>
              <w:jc w:val="center"/>
              <w:rPr>
                <w:rFonts w:ascii="仿宋" w:hAnsi="仿宋"/>
                <w:color w:val="1D1B11"/>
                <w:kern w:val="0"/>
                <w:sz w:val="24"/>
                <w:szCs w:val="24"/>
              </w:rPr>
            </w:pPr>
          </w:p>
        </w:tc>
      </w:tr>
      <w:tr w14:paraId="6BE4DC2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6DC3040">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4833C930">
            <w:pPr>
              <w:widowControl/>
              <w:ind w:firstLine="0" w:firstLineChars="0"/>
              <w:jc w:val="center"/>
              <w:rPr>
                <w:rFonts w:ascii="仿宋" w:hAnsi="仿宋"/>
                <w:color w:val="1D1B11"/>
                <w:kern w:val="0"/>
                <w:sz w:val="24"/>
                <w:szCs w:val="24"/>
                <w:highlight w:val="none"/>
              </w:rPr>
            </w:pPr>
            <w:r>
              <w:rPr>
                <w:rFonts w:ascii="仿宋" w:hAnsi="仿宋"/>
                <w:color w:val="1D1B11"/>
                <w:kern w:val="0"/>
                <w:sz w:val="24"/>
                <w:szCs w:val="24"/>
                <w:highlight w:val="none"/>
              </w:rPr>
              <w:t>Φ</w:t>
            </w:r>
            <w:r>
              <w:rPr>
                <w:rFonts w:hint="eastAsia" w:ascii="仿宋" w:hAnsi="仿宋"/>
                <w:color w:val="1D1B11"/>
                <w:kern w:val="0"/>
                <w:sz w:val="24"/>
                <w:szCs w:val="24"/>
                <w:highlight w:val="none"/>
                <w:lang w:val="en-US" w:eastAsia="zh-CN"/>
              </w:rPr>
              <w:t>18</w:t>
            </w:r>
            <w:r>
              <w:rPr>
                <w:rFonts w:ascii="仿宋" w:hAnsi="仿宋"/>
                <w:color w:val="1D1B11"/>
                <w:sz w:val="24"/>
                <w:szCs w:val="24"/>
                <w:highlight w:val="none"/>
              </w:rPr>
              <w:t>×</w:t>
            </w:r>
            <w:r>
              <w:rPr>
                <w:rFonts w:hint="eastAsia" w:ascii="仿宋" w:hAnsi="仿宋"/>
                <w:color w:val="1D1B11"/>
                <w:kern w:val="0"/>
                <w:sz w:val="24"/>
                <w:szCs w:val="24"/>
                <w:highlight w:val="none"/>
              </w:rPr>
              <w:t>12m吊装钢丝绳</w:t>
            </w:r>
          </w:p>
        </w:tc>
        <w:tc>
          <w:tcPr>
            <w:tcW w:w="2519" w:type="dxa"/>
            <w:tcBorders>
              <w:top w:val="single" w:color="000000" w:sz="4" w:space="0"/>
            </w:tcBorders>
            <w:shd w:val="clear" w:color="auto" w:fill="FFFFFF" w:themeFill="background1"/>
            <w:vAlign w:val="center"/>
          </w:tcPr>
          <w:p w14:paraId="05BA0A49">
            <w:pPr>
              <w:ind w:firstLine="0" w:firstLineChars="0"/>
              <w:jc w:val="center"/>
              <w:rPr>
                <w:rFonts w:ascii="仿宋" w:hAnsi="仿宋"/>
                <w:color w:val="1D1B11"/>
                <w:kern w:val="0"/>
                <w:sz w:val="24"/>
                <w:szCs w:val="24"/>
                <w:highlight w:val="yellow"/>
              </w:rPr>
            </w:pPr>
            <w:r>
              <w:rPr>
                <w:rFonts w:ascii="仿宋" w:hAnsi="仿宋"/>
                <w:color w:val="1D1B11"/>
                <w:kern w:val="0"/>
                <w:sz w:val="24"/>
                <w:szCs w:val="24"/>
                <w:highlight w:val="none"/>
              </w:rPr>
              <w:t>6</w:t>
            </w:r>
            <w:r>
              <w:rPr>
                <w:rFonts w:ascii="仿宋" w:hAnsi="仿宋"/>
                <w:color w:val="1D1B11"/>
                <w:sz w:val="24"/>
                <w:szCs w:val="24"/>
                <w:highlight w:val="none"/>
              </w:rPr>
              <w:t>×</w:t>
            </w:r>
            <w:r>
              <w:rPr>
                <w:rFonts w:hint="eastAsia" w:ascii="仿宋" w:hAnsi="仿宋"/>
                <w:color w:val="1D1B11"/>
                <w:sz w:val="24"/>
                <w:szCs w:val="24"/>
                <w:highlight w:val="none"/>
                <w:lang w:val="en-US" w:eastAsia="zh-CN"/>
              </w:rPr>
              <w:t>18</w:t>
            </w:r>
            <w:r>
              <w:rPr>
                <w:rFonts w:hint="eastAsia" w:ascii="仿宋" w:hAnsi="仿宋"/>
                <w:color w:val="1D1B11"/>
                <w:sz w:val="24"/>
                <w:szCs w:val="24"/>
                <w:highlight w:val="none"/>
              </w:rPr>
              <w:t>M形式</w:t>
            </w:r>
            <w:r>
              <w:rPr>
                <w:rFonts w:hint="eastAsia" w:ascii="仿宋" w:hAnsi="仿宋"/>
                <w:color w:val="1D1B11"/>
                <w:kern w:val="0"/>
                <w:sz w:val="24"/>
                <w:szCs w:val="24"/>
                <w:highlight w:val="none"/>
              </w:rPr>
              <w:t>，</w:t>
            </w:r>
            <w:r>
              <w:rPr>
                <w:rFonts w:ascii="仿宋" w:hAnsi="仿宋"/>
                <w:color w:val="1D1B11"/>
                <w:kern w:val="0"/>
                <w:sz w:val="24"/>
                <w:szCs w:val="24"/>
                <w:highlight w:val="none"/>
              </w:rPr>
              <w:t>1</w:t>
            </w:r>
            <w:r>
              <w:rPr>
                <w:rFonts w:hint="eastAsia" w:ascii="仿宋" w:hAnsi="仿宋"/>
                <w:color w:val="1D1B11"/>
                <w:kern w:val="0"/>
                <w:sz w:val="24"/>
                <w:szCs w:val="24"/>
                <w:highlight w:val="none"/>
                <w:lang w:val="en-US" w:eastAsia="zh-CN"/>
              </w:rPr>
              <w:t>8</w:t>
            </w:r>
            <w:r>
              <w:rPr>
                <w:rFonts w:ascii="仿宋" w:hAnsi="仿宋"/>
                <w:color w:val="1D1B11"/>
                <w:kern w:val="0"/>
                <w:sz w:val="24"/>
                <w:szCs w:val="24"/>
                <w:highlight w:val="none"/>
              </w:rPr>
              <w:t>70</w:t>
            </w:r>
            <w:r>
              <w:rPr>
                <w:rFonts w:hint="eastAsia" w:ascii="仿宋" w:hAnsi="仿宋"/>
                <w:color w:val="1D1B11"/>
                <w:kern w:val="0"/>
                <w:sz w:val="24"/>
                <w:szCs w:val="24"/>
                <w:highlight w:val="none"/>
              </w:rPr>
              <w:t>级纤维芯两端插编环眼</w:t>
            </w:r>
          </w:p>
        </w:tc>
        <w:tc>
          <w:tcPr>
            <w:tcW w:w="617" w:type="dxa"/>
            <w:shd w:val="clear" w:color="auto" w:fill="FFFFFF" w:themeFill="background1"/>
            <w:vAlign w:val="center"/>
          </w:tcPr>
          <w:p w14:paraId="4D294FC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44E7A85E">
            <w:pPr>
              <w:ind w:firstLine="0" w:firstLineChars="0"/>
              <w:jc w:val="center"/>
              <w:rPr>
                <w:rFonts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0632F4C5">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起吊起重臂</w:t>
            </w:r>
          </w:p>
        </w:tc>
      </w:tr>
      <w:tr w14:paraId="2F15BF8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5DE4238">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7A9F42F8">
            <w:pPr>
              <w:widowControl/>
              <w:ind w:firstLine="0" w:firstLineChars="0"/>
              <w:jc w:val="center"/>
              <w:rPr>
                <w:rFonts w:ascii="仿宋" w:hAnsi="仿宋"/>
                <w:color w:val="1D1B11"/>
                <w:kern w:val="0"/>
                <w:sz w:val="24"/>
                <w:szCs w:val="24"/>
                <w:highlight w:val="none"/>
              </w:rPr>
            </w:pPr>
            <w:r>
              <w:rPr>
                <w:rFonts w:ascii="仿宋" w:hAnsi="仿宋"/>
                <w:color w:val="1D1B11"/>
                <w:kern w:val="0"/>
                <w:sz w:val="24"/>
                <w:szCs w:val="24"/>
                <w:highlight w:val="none"/>
              </w:rPr>
              <w:t>Φ</w:t>
            </w:r>
            <w:r>
              <w:rPr>
                <w:rFonts w:hint="eastAsia" w:ascii="仿宋" w:hAnsi="仿宋"/>
                <w:color w:val="1D1B11"/>
                <w:kern w:val="0"/>
                <w:sz w:val="24"/>
                <w:szCs w:val="24"/>
                <w:highlight w:val="none"/>
                <w:lang w:val="en-US" w:eastAsia="zh-CN"/>
              </w:rPr>
              <w:t>18</w:t>
            </w:r>
            <w:r>
              <w:rPr>
                <w:rFonts w:ascii="仿宋" w:hAnsi="仿宋"/>
                <w:color w:val="1D1B11"/>
                <w:sz w:val="24"/>
                <w:szCs w:val="24"/>
                <w:highlight w:val="none"/>
              </w:rPr>
              <w:t>×6</w:t>
            </w:r>
            <w:r>
              <w:rPr>
                <w:rFonts w:ascii="仿宋" w:hAnsi="仿宋"/>
                <w:color w:val="1D1B11"/>
                <w:kern w:val="0"/>
                <w:sz w:val="24"/>
                <w:szCs w:val="24"/>
                <w:highlight w:val="none"/>
              </w:rPr>
              <w:t>m</w:t>
            </w:r>
            <w:r>
              <w:rPr>
                <w:rFonts w:hint="eastAsia" w:ascii="仿宋" w:hAnsi="仿宋"/>
                <w:color w:val="1D1B11"/>
                <w:kern w:val="0"/>
                <w:sz w:val="24"/>
                <w:szCs w:val="24"/>
                <w:highlight w:val="none"/>
              </w:rPr>
              <w:t>吊装钢丝绳</w:t>
            </w:r>
          </w:p>
        </w:tc>
        <w:tc>
          <w:tcPr>
            <w:tcW w:w="2519" w:type="dxa"/>
            <w:tcBorders>
              <w:top w:val="single" w:color="000000" w:sz="4" w:space="0"/>
            </w:tcBorders>
            <w:shd w:val="clear" w:color="auto" w:fill="FFFFFF" w:themeFill="background1"/>
            <w:vAlign w:val="center"/>
          </w:tcPr>
          <w:p w14:paraId="4AD9221F">
            <w:pPr>
              <w:ind w:firstLine="0" w:firstLineChars="0"/>
              <w:jc w:val="center"/>
              <w:rPr>
                <w:rFonts w:ascii="仿宋" w:hAnsi="仿宋"/>
                <w:color w:val="1D1B11"/>
                <w:kern w:val="0"/>
                <w:sz w:val="24"/>
                <w:szCs w:val="24"/>
                <w:highlight w:val="yellow"/>
              </w:rPr>
            </w:pPr>
            <w:r>
              <w:rPr>
                <w:rFonts w:ascii="仿宋" w:hAnsi="仿宋"/>
                <w:color w:val="1D1B11"/>
                <w:kern w:val="0"/>
                <w:sz w:val="24"/>
                <w:szCs w:val="24"/>
                <w:highlight w:val="none"/>
              </w:rPr>
              <w:t>6</w:t>
            </w:r>
            <w:r>
              <w:rPr>
                <w:rFonts w:ascii="仿宋" w:hAnsi="仿宋"/>
                <w:color w:val="1D1B11"/>
                <w:sz w:val="24"/>
                <w:szCs w:val="24"/>
                <w:highlight w:val="none"/>
              </w:rPr>
              <w:t>×</w:t>
            </w:r>
            <w:r>
              <w:rPr>
                <w:rFonts w:hint="eastAsia" w:ascii="仿宋" w:hAnsi="仿宋"/>
                <w:color w:val="1D1B11"/>
                <w:sz w:val="24"/>
                <w:szCs w:val="24"/>
                <w:highlight w:val="none"/>
                <w:lang w:val="en-US" w:eastAsia="zh-CN"/>
              </w:rPr>
              <w:t>18</w:t>
            </w:r>
            <w:r>
              <w:rPr>
                <w:rFonts w:hint="eastAsia" w:ascii="仿宋" w:hAnsi="仿宋"/>
                <w:color w:val="1D1B11"/>
                <w:sz w:val="24"/>
                <w:szCs w:val="24"/>
                <w:highlight w:val="none"/>
              </w:rPr>
              <w:t>M形式</w:t>
            </w:r>
            <w:r>
              <w:rPr>
                <w:rFonts w:hint="eastAsia" w:ascii="仿宋" w:hAnsi="仿宋"/>
                <w:color w:val="1D1B11"/>
                <w:kern w:val="0"/>
                <w:sz w:val="24"/>
                <w:szCs w:val="24"/>
                <w:highlight w:val="none"/>
              </w:rPr>
              <w:t>，</w:t>
            </w:r>
            <w:r>
              <w:rPr>
                <w:rFonts w:ascii="仿宋" w:hAnsi="仿宋"/>
                <w:color w:val="1D1B11"/>
                <w:kern w:val="0"/>
                <w:sz w:val="24"/>
                <w:szCs w:val="24"/>
                <w:highlight w:val="none"/>
              </w:rPr>
              <w:t>1</w:t>
            </w:r>
            <w:r>
              <w:rPr>
                <w:rFonts w:hint="eastAsia" w:ascii="仿宋" w:hAnsi="仿宋"/>
                <w:color w:val="1D1B11"/>
                <w:kern w:val="0"/>
                <w:sz w:val="24"/>
                <w:szCs w:val="24"/>
                <w:highlight w:val="none"/>
                <w:lang w:val="en-US" w:eastAsia="zh-CN"/>
              </w:rPr>
              <w:t>8</w:t>
            </w:r>
            <w:r>
              <w:rPr>
                <w:rFonts w:ascii="仿宋" w:hAnsi="仿宋"/>
                <w:color w:val="1D1B11"/>
                <w:kern w:val="0"/>
                <w:sz w:val="24"/>
                <w:szCs w:val="24"/>
                <w:highlight w:val="none"/>
              </w:rPr>
              <w:t>70</w:t>
            </w:r>
            <w:r>
              <w:rPr>
                <w:rFonts w:hint="eastAsia" w:ascii="仿宋" w:hAnsi="仿宋"/>
                <w:color w:val="1D1B11"/>
                <w:kern w:val="0"/>
                <w:sz w:val="24"/>
                <w:szCs w:val="24"/>
                <w:highlight w:val="none"/>
              </w:rPr>
              <w:t>级纤维芯两端插编环眼</w:t>
            </w:r>
          </w:p>
        </w:tc>
        <w:tc>
          <w:tcPr>
            <w:tcW w:w="617" w:type="dxa"/>
            <w:shd w:val="clear" w:color="auto" w:fill="FFFFFF" w:themeFill="background1"/>
            <w:vAlign w:val="center"/>
          </w:tcPr>
          <w:p w14:paraId="06FEED2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7CDDE974">
            <w:pPr>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68520EFC">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起吊基础节回转套架塔帽等</w:t>
            </w:r>
          </w:p>
        </w:tc>
      </w:tr>
      <w:tr w14:paraId="7C1FB6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706159AF">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61BA7EE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麻绳（揽风绳）</w:t>
            </w:r>
          </w:p>
        </w:tc>
        <w:tc>
          <w:tcPr>
            <w:tcW w:w="2519" w:type="dxa"/>
            <w:tcBorders>
              <w:top w:val="single" w:color="000000" w:sz="4" w:space="0"/>
            </w:tcBorders>
            <w:shd w:val="clear" w:color="auto" w:fill="FFFFFF" w:themeFill="background1"/>
            <w:vAlign w:val="center"/>
          </w:tcPr>
          <w:p w14:paraId="4AA2D575">
            <w:pPr>
              <w:widowControl/>
              <w:ind w:firstLine="0" w:firstLineChars="0"/>
              <w:jc w:val="center"/>
              <w:rPr>
                <w:rFonts w:ascii="仿宋" w:hAnsi="仿宋"/>
                <w:color w:val="1D1B11"/>
                <w:kern w:val="0"/>
                <w:sz w:val="24"/>
                <w:szCs w:val="24"/>
              </w:rPr>
            </w:pPr>
            <w:r>
              <w:rPr>
                <w:rFonts w:ascii="仿宋" w:hAnsi="仿宋"/>
                <w:color w:val="1D1B11"/>
                <w:kern w:val="0"/>
                <w:sz w:val="24"/>
                <w:szCs w:val="24"/>
              </w:rPr>
              <w:t>Φ20</w:t>
            </w:r>
            <w:r>
              <w:rPr>
                <w:rFonts w:ascii="仿宋" w:hAnsi="仿宋"/>
                <w:color w:val="1D1B11"/>
                <w:sz w:val="24"/>
                <w:szCs w:val="24"/>
              </w:rPr>
              <w:t>×</w:t>
            </w:r>
            <w:r>
              <w:rPr>
                <w:rFonts w:ascii="仿宋" w:hAnsi="仿宋"/>
                <w:color w:val="1D1B11"/>
                <w:kern w:val="0"/>
                <w:sz w:val="24"/>
                <w:szCs w:val="24"/>
              </w:rPr>
              <w:t>30m</w:t>
            </w:r>
          </w:p>
        </w:tc>
        <w:tc>
          <w:tcPr>
            <w:tcW w:w="617" w:type="dxa"/>
            <w:shd w:val="clear" w:color="auto" w:fill="FFFFFF" w:themeFill="background1"/>
            <w:vAlign w:val="center"/>
          </w:tcPr>
          <w:p w14:paraId="63E3C12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33767C6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638EE623">
            <w:pPr>
              <w:widowControl/>
              <w:ind w:firstLine="480"/>
              <w:jc w:val="center"/>
              <w:rPr>
                <w:rFonts w:ascii="仿宋" w:hAnsi="仿宋"/>
                <w:color w:val="1D1B11"/>
                <w:kern w:val="0"/>
                <w:sz w:val="24"/>
                <w:szCs w:val="24"/>
              </w:rPr>
            </w:pPr>
          </w:p>
        </w:tc>
      </w:tr>
      <w:tr w14:paraId="0BB6629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7A6CBD7">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04E6D95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对讲机</w:t>
            </w:r>
          </w:p>
        </w:tc>
        <w:tc>
          <w:tcPr>
            <w:tcW w:w="2519" w:type="dxa"/>
            <w:shd w:val="clear" w:color="auto" w:fill="FFFFFF" w:themeFill="background1"/>
            <w:vAlign w:val="center"/>
          </w:tcPr>
          <w:p w14:paraId="272C971A">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74AD98A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部</w:t>
            </w:r>
          </w:p>
        </w:tc>
        <w:tc>
          <w:tcPr>
            <w:tcW w:w="909" w:type="dxa"/>
            <w:shd w:val="clear" w:color="auto" w:fill="FFFFFF" w:themeFill="background1"/>
            <w:vAlign w:val="center"/>
          </w:tcPr>
          <w:p w14:paraId="42C57709">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1765" w:type="dxa"/>
            <w:shd w:val="clear" w:color="auto" w:fill="FFFFFF" w:themeFill="background1"/>
            <w:vAlign w:val="center"/>
          </w:tcPr>
          <w:p w14:paraId="2C747B99">
            <w:pPr>
              <w:widowControl/>
              <w:ind w:firstLine="480"/>
              <w:jc w:val="center"/>
              <w:rPr>
                <w:rFonts w:ascii="仿宋" w:hAnsi="仿宋"/>
                <w:color w:val="1D1B11"/>
                <w:kern w:val="0"/>
                <w:sz w:val="24"/>
                <w:szCs w:val="24"/>
              </w:rPr>
            </w:pPr>
          </w:p>
        </w:tc>
      </w:tr>
      <w:tr w14:paraId="6D3937A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EF0212D">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0D35A6A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橇棍</w:t>
            </w:r>
          </w:p>
        </w:tc>
        <w:tc>
          <w:tcPr>
            <w:tcW w:w="2519" w:type="dxa"/>
            <w:shd w:val="clear" w:color="auto" w:fill="FFFFFF" w:themeFill="background1"/>
            <w:vAlign w:val="center"/>
          </w:tcPr>
          <w:p w14:paraId="5E46E5FA">
            <w:pPr>
              <w:widowControl/>
              <w:ind w:firstLine="0" w:firstLineChars="0"/>
              <w:jc w:val="center"/>
              <w:rPr>
                <w:rFonts w:ascii="仿宋" w:hAnsi="仿宋"/>
                <w:color w:val="1D1B11"/>
                <w:kern w:val="0"/>
                <w:sz w:val="24"/>
                <w:szCs w:val="24"/>
              </w:rPr>
            </w:pPr>
            <w:r>
              <w:rPr>
                <w:rFonts w:ascii="仿宋" w:hAnsi="仿宋"/>
                <w:color w:val="1D1B11"/>
                <w:kern w:val="0"/>
                <w:sz w:val="24"/>
                <w:szCs w:val="24"/>
              </w:rPr>
              <w:t>1m</w:t>
            </w:r>
            <w:r>
              <w:rPr>
                <w:rFonts w:hint="eastAsia" w:ascii="仿宋" w:hAnsi="仿宋"/>
                <w:color w:val="1D1B11"/>
                <w:kern w:val="0"/>
                <w:sz w:val="24"/>
                <w:szCs w:val="24"/>
              </w:rPr>
              <w:t>、</w:t>
            </w:r>
            <w:r>
              <w:rPr>
                <w:rFonts w:ascii="仿宋" w:hAnsi="仿宋"/>
                <w:color w:val="1D1B11"/>
                <w:kern w:val="0"/>
                <w:sz w:val="24"/>
                <w:szCs w:val="24"/>
              </w:rPr>
              <w:t>1.5m</w:t>
            </w:r>
          </w:p>
        </w:tc>
        <w:tc>
          <w:tcPr>
            <w:tcW w:w="617" w:type="dxa"/>
            <w:shd w:val="clear" w:color="auto" w:fill="FFFFFF" w:themeFill="background1"/>
            <w:vAlign w:val="center"/>
          </w:tcPr>
          <w:p w14:paraId="60F1801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2BCBA4C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3E7D6FDD">
            <w:pPr>
              <w:widowControl/>
              <w:ind w:firstLine="480"/>
              <w:jc w:val="center"/>
              <w:rPr>
                <w:rFonts w:ascii="仿宋" w:hAnsi="仿宋"/>
                <w:color w:val="1D1B11"/>
                <w:kern w:val="0"/>
                <w:sz w:val="24"/>
                <w:szCs w:val="24"/>
              </w:rPr>
            </w:pPr>
          </w:p>
        </w:tc>
      </w:tr>
      <w:tr w14:paraId="60EDB06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59F4D77">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4B6B90F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78A6340A">
            <w:pPr>
              <w:widowControl/>
              <w:ind w:firstLine="0" w:firstLineChars="0"/>
              <w:jc w:val="center"/>
              <w:rPr>
                <w:rFonts w:ascii="仿宋" w:hAnsi="仿宋"/>
                <w:color w:val="1D1B11"/>
                <w:kern w:val="0"/>
                <w:sz w:val="24"/>
                <w:szCs w:val="24"/>
                <w:highlight w:val="yellow"/>
              </w:rPr>
            </w:pPr>
            <w:r>
              <w:rPr>
                <w:rFonts w:hint="eastAsia" w:ascii="仿宋" w:hAnsi="仿宋"/>
                <w:color w:val="1D1B11"/>
                <w:kern w:val="0"/>
                <w:sz w:val="24"/>
                <w:szCs w:val="24"/>
                <w:highlight w:val="none"/>
                <w:lang w:val="en-US" w:eastAsia="zh-CN"/>
              </w:rPr>
              <w:t>5</w:t>
            </w:r>
            <w:r>
              <w:rPr>
                <w:rFonts w:ascii="仿宋" w:hAnsi="仿宋"/>
                <w:color w:val="1D1B11"/>
                <w:kern w:val="0"/>
                <w:sz w:val="24"/>
                <w:szCs w:val="24"/>
                <w:highlight w:val="none"/>
              </w:rPr>
              <w:t>t</w:t>
            </w:r>
          </w:p>
        </w:tc>
        <w:tc>
          <w:tcPr>
            <w:tcW w:w="617" w:type="dxa"/>
            <w:shd w:val="clear" w:color="auto" w:fill="FFFFFF" w:themeFill="background1"/>
            <w:vAlign w:val="center"/>
          </w:tcPr>
          <w:p w14:paraId="1B2766AF">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519B1593">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lang w:val="en-US" w:eastAsia="zh-CN"/>
              </w:rPr>
              <w:t>4</w:t>
            </w:r>
          </w:p>
        </w:tc>
        <w:tc>
          <w:tcPr>
            <w:tcW w:w="1765" w:type="dxa"/>
            <w:shd w:val="clear" w:color="auto" w:fill="FFFFFF" w:themeFill="background1"/>
            <w:vAlign w:val="center"/>
          </w:tcPr>
          <w:p w14:paraId="4597859D">
            <w:pPr>
              <w:widowControl/>
              <w:ind w:firstLine="480"/>
              <w:jc w:val="center"/>
              <w:rPr>
                <w:rFonts w:ascii="仿宋" w:hAnsi="仿宋"/>
                <w:color w:val="1D1B11"/>
                <w:kern w:val="0"/>
                <w:sz w:val="24"/>
                <w:szCs w:val="24"/>
              </w:rPr>
            </w:pPr>
          </w:p>
        </w:tc>
      </w:tr>
      <w:tr w14:paraId="1A1A625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99432A3">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65674FE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吊带</w:t>
            </w:r>
          </w:p>
        </w:tc>
        <w:tc>
          <w:tcPr>
            <w:tcW w:w="2519" w:type="dxa"/>
            <w:shd w:val="clear" w:color="auto" w:fill="FFFFFF" w:themeFill="background1"/>
            <w:vAlign w:val="center"/>
          </w:tcPr>
          <w:p w14:paraId="477270E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两端环眼</w:t>
            </w:r>
            <w:r>
              <w:rPr>
                <w:rFonts w:ascii="仿宋" w:hAnsi="仿宋"/>
                <w:color w:val="1D1B11"/>
                <w:kern w:val="0"/>
                <w:sz w:val="24"/>
                <w:szCs w:val="24"/>
              </w:rPr>
              <w:t>4t/6m</w:t>
            </w:r>
          </w:p>
        </w:tc>
        <w:tc>
          <w:tcPr>
            <w:tcW w:w="617" w:type="dxa"/>
            <w:shd w:val="clear" w:color="auto" w:fill="FFFFFF" w:themeFill="background1"/>
            <w:vAlign w:val="center"/>
          </w:tcPr>
          <w:p w14:paraId="0C62D33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464CE740">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F50640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拼标准节</w:t>
            </w:r>
          </w:p>
        </w:tc>
      </w:tr>
      <w:tr w14:paraId="27A376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13AAE59">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433F358B">
            <w:pPr>
              <w:widowControl/>
              <w:ind w:firstLine="0" w:firstLineChars="0"/>
              <w:jc w:val="center"/>
              <w:rPr>
                <w:rFonts w:ascii="仿宋" w:hAnsi="仿宋"/>
                <w:color w:val="000000"/>
                <w:kern w:val="0"/>
                <w:sz w:val="24"/>
                <w:szCs w:val="24"/>
              </w:rPr>
            </w:pPr>
            <w:r>
              <w:rPr>
                <w:rFonts w:hint="eastAsia" w:ascii="仿宋" w:hAnsi="仿宋"/>
                <w:color w:val="000000"/>
                <w:kern w:val="0"/>
                <w:sz w:val="24"/>
                <w:szCs w:val="24"/>
              </w:rPr>
              <w:t>枕木</w:t>
            </w:r>
          </w:p>
        </w:tc>
        <w:tc>
          <w:tcPr>
            <w:tcW w:w="2519" w:type="dxa"/>
            <w:shd w:val="clear" w:color="auto" w:fill="FFFFFF" w:themeFill="background1"/>
            <w:vAlign w:val="center"/>
          </w:tcPr>
          <w:p w14:paraId="6AF5EB96">
            <w:pPr>
              <w:widowControl/>
              <w:ind w:firstLine="0" w:firstLineChars="0"/>
              <w:jc w:val="center"/>
              <w:rPr>
                <w:rFonts w:ascii="仿宋" w:hAnsi="仿宋"/>
                <w:color w:val="000000"/>
                <w:kern w:val="0"/>
                <w:sz w:val="24"/>
                <w:szCs w:val="24"/>
              </w:rPr>
            </w:pPr>
          </w:p>
        </w:tc>
        <w:tc>
          <w:tcPr>
            <w:tcW w:w="617" w:type="dxa"/>
            <w:shd w:val="clear" w:color="auto" w:fill="FFFFFF" w:themeFill="background1"/>
            <w:vAlign w:val="center"/>
          </w:tcPr>
          <w:p w14:paraId="775BD9D7">
            <w:pPr>
              <w:widowControl/>
              <w:ind w:firstLine="0" w:firstLineChars="0"/>
              <w:jc w:val="center"/>
              <w:rPr>
                <w:rFonts w:ascii="仿宋" w:hAnsi="仿宋"/>
                <w:color w:val="1D1B11"/>
                <w:kern w:val="0"/>
                <w:sz w:val="24"/>
                <w:szCs w:val="24"/>
              </w:rPr>
            </w:pPr>
          </w:p>
        </w:tc>
        <w:tc>
          <w:tcPr>
            <w:tcW w:w="909" w:type="dxa"/>
            <w:shd w:val="clear" w:color="auto" w:fill="FFFFFF" w:themeFill="background1"/>
            <w:vAlign w:val="center"/>
          </w:tcPr>
          <w:p w14:paraId="19C11328">
            <w:pPr>
              <w:widowControl/>
              <w:ind w:firstLine="0" w:firstLineChars="0"/>
              <w:jc w:val="center"/>
              <w:rPr>
                <w:rFonts w:ascii="仿宋" w:hAnsi="仿宋"/>
                <w:color w:val="1D1B11"/>
                <w:kern w:val="0"/>
                <w:sz w:val="24"/>
                <w:szCs w:val="24"/>
              </w:rPr>
            </w:pPr>
            <w:r>
              <w:rPr>
                <w:rFonts w:hint="eastAsia" w:ascii="仿宋" w:hAnsi="仿宋"/>
                <w:color w:val="000000"/>
                <w:kern w:val="0"/>
                <w:sz w:val="24"/>
                <w:szCs w:val="24"/>
              </w:rPr>
              <w:t>若干</w:t>
            </w:r>
          </w:p>
        </w:tc>
        <w:tc>
          <w:tcPr>
            <w:tcW w:w="1765" w:type="dxa"/>
            <w:shd w:val="clear" w:color="auto" w:fill="FFFFFF" w:themeFill="background1"/>
            <w:vAlign w:val="center"/>
          </w:tcPr>
          <w:p w14:paraId="1F08975C">
            <w:pPr>
              <w:widowControl/>
              <w:ind w:firstLine="0" w:firstLineChars="0"/>
              <w:jc w:val="center"/>
              <w:rPr>
                <w:rFonts w:ascii="仿宋" w:hAnsi="仿宋"/>
                <w:color w:val="1D1B11"/>
                <w:kern w:val="0"/>
                <w:sz w:val="24"/>
                <w:szCs w:val="24"/>
              </w:rPr>
            </w:pPr>
          </w:p>
        </w:tc>
      </w:tr>
      <w:tr w14:paraId="0B42EF2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4FC0FD9">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14F8E42E">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全站仪</w:t>
            </w:r>
          </w:p>
        </w:tc>
        <w:tc>
          <w:tcPr>
            <w:tcW w:w="2519" w:type="dxa"/>
            <w:shd w:val="clear" w:color="auto" w:fill="FFFFFF" w:themeFill="background1"/>
            <w:vAlign w:val="center"/>
          </w:tcPr>
          <w:p w14:paraId="2B568537">
            <w:pPr>
              <w:widowControl/>
              <w:spacing w:line="240" w:lineRule="auto"/>
              <w:ind w:firstLine="0" w:firstLineChars="0"/>
              <w:jc w:val="center"/>
              <w:textAlignment w:val="center"/>
              <w:rPr>
                <w:rFonts w:ascii="仿宋" w:hAnsi="仿宋" w:cs="宋体"/>
                <w:color w:val="1D1B11"/>
                <w:kern w:val="0"/>
                <w:sz w:val="24"/>
                <w:szCs w:val="24"/>
              </w:rPr>
            </w:pPr>
            <w:r>
              <w:rPr>
                <w:rFonts w:ascii="仿宋" w:hAnsi="仿宋" w:cs="宋体"/>
                <w:color w:val="000000"/>
                <w:kern w:val="0"/>
                <w:sz w:val="24"/>
                <w:szCs w:val="24"/>
              </w:rPr>
              <w:t>TOPCN-GTS602</w:t>
            </w:r>
          </w:p>
        </w:tc>
        <w:tc>
          <w:tcPr>
            <w:tcW w:w="617" w:type="dxa"/>
            <w:shd w:val="clear" w:color="auto" w:fill="FFFFFF" w:themeFill="background1"/>
            <w:vAlign w:val="center"/>
          </w:tcPr>
          <w:p w14:paraId="314153EA">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台</w:t>
            </w:r>
          </w:p>
        </w:tc>
        <w:tc>
          <w:tcPr>
            <w:tcW w:w="909" w:type="dxa"/>
            <w:shd w:val="clear" w:color="auto" w:fill="FFFFFF" w:themeFill="background1"/>
            <w:vAlign w:val="center"/>
          </w:tcPr>
          <w:p w14:paraId="323D160B">
            <w:pPr>
              <w:widowControl/>
              <w:spacing w:line="240" w:lineRule="auto"/>
              <w:ind w:firstLine="0" w:firstLineChars="0"/>
              <w:jc w:val="center"/>
              <w:rPr>
                <w:rFonts w:ascii="仿宋" w:hAnsi="仿宋" w:cs="宋体"/>
                <w:color w:val="1D1B11"/>
                <w:kern w:val="0"/>
                <w:sz w:val="24"/>
                <w:szCs w:val="24"/>
              </w:rPr>
            </w:pPr>
            <w:r>
              <w:rPr>
                <w:rFonts w:ascii="仿宋" w:hAnsi="仿宋" w:cs="宋体"/>
                <w:color w:val="1D1B11"/>
                <w:kern w:val="0"/>
                <w:sz w:val="24"/>
                <w:szCs w:val="24"/>
              </w:rPr>
              <w:t>1</w:t>
            </w:r>
          </w:p>
        </w:tc>
        <w:tc>
          <w:tcPr>
            <w:tcW w:w="1765" w:type="dxa"/>
            <w:shd w:val="clear" w:color="auto" w:fill="FFFFFF" w:themeFill="background1"/>
            <w:vAlign w:val="center"/>
          </w:tcPr>
          <w:p w14:paraId="6C837C42">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垂直度测量</w:t>
            </w:r>
          </w:p>
        </w:tc>
      </w:tr>
    </w:tbl>
    <w:p w14:paraId="21DCA845">
      <w:pPr>
        <w:widowControl/>
        <w:ind w:firstLine="0" w:firstLineChars="0"/>
        <w:jc w:val="left"/>
        <w:rPr>
          <w:b/>
          <w:color w:val="171717"/>
        </w:rPr>
      </w:pPr>
      <w:bookmarkStart w:id="242" w:name="_Toc15485"/>
      <w:bookmarkStart w:id="243" w:name="_Toc28565"/>
      <w:bookmarkStart w:id="244" w:name="_Toc28903"/>
      <w:bookmarkStart w:id="245" w:name="_Toc4269"/>
      <w:bookmarkStart w:id="246" w:name="_Toc21504"/>
      <w:bookmarkStart w:id="247" w:name="_Toc8662"/>
      <w:r>
        <w:rPr>
          <w:rFonts w:hint="eastAsia"/>
          <w:b/>
          <w:color w:val="171717"/>
        </w:rPr>
        <w:t>注：对所使用的吊索、吊具进行全面的质量和安全检查，确认完好无损方可使用。</w:t>
      </w:r>
    </w:p>
    <w:p w14:paraId="29302C65">
      <w:pPr>
        <w:pStyle w:val="3"/>
      </w:pPr>
      <w:bookmarkStart w:id="248" w:name="_Toc12569"/>
      <w:r>
        <w:rPr>
          <w:rFonts w:hint="eastAsia"/>
          <w:color w:val="000000"/>
        </w:rPr>
        <w:t xml:space="preserve">4.4 </w:t>
      </w:r>
      <w:bookmarkEnd w:id="232"/>
      <w:bookmarkEnd w:id="233"/>
      <w:bookmarkEnd w:id="234"/>
      <w:bookmarkEnd w:id="235"/>
      <w:bookmarkEnd w:id="237"/>
      <w:bookmarkEnd w:id="238"/>
      <w:bookmarkEnd w:id="239"/>
      <w:bookmarkEnd w:id="240"/>
      <w:bookmarkEnd w:id="241"/>
      <w:bookmarkStart w:id="249" w:name="_Toc3726"/>
      <w:r>
        <w:rPr>
          <w:color w:val="000000"/>
        </w:rPr>
        <w:t>安装</w:t>
      </w:r>
      <w:r>
        <w:rPr>
          <w:rFonts w:hint="eastAsia"/>
          <w:color w:val="000000"/>
        </w:rPr>
        <w:t>起重机械</w:t>
      </w:r>
      <w:r>
        <w:rPr>
          <w:color w:val="000000"/>
        </w:rPr>
        <w:t>设备的型号、</w:t>
      </w:r>
      <w:bookmarkEnd w:id="249"/>
      <w:r>
        <w:rPr>
          <w:color w:val="000000"/>
        </w:rPr>
        <w:t>性能及</w:t>
      </w:r>
      <w:r>
        <w:rPr>
          <w:rFonts w:hint="eastAsia"/>
          <w:color w:val="000000"/>
        </w:rPr>
        <w:t>起吊能力验算</w:t>
      </w:r>
      <w:bookmarkEnd w:id="242"/>
      <w:bookmarkEnd w:id="243"/>
      <w:bookmarkEnd w:id="244"/>
      <w:bookmarkEnd w:id="245"/>
      <w:bookmarkEnd w:id="246"/>
      <w:bookmarkEnd w:id="247"/>
      <w:bookmarkEnd w:id="248"/>
    </w:p>
    <w:bookmarkEnd w:id="220"/>
    <w:bookmarkEnd w:id="221"/>
    <w:bookmarkEnd w:id="222"/>
    <w:bookmarkEnd w:id="223"/>
    <w:bookmarkEnd w:id="224"/>
    <w:bookmarkEnd w:id="236"/>
    <w:p w14:paraId="3823E38D">
      <w:pPr>
        <w:pStyle w:val="4"/>
        <w:ind w:firstLine="562" w:firstLineChars="200"/>
      </w:pPr>
      <w:bookmarkStart w:id="250" w:name="_Toc6386"/>
      <w:r>
        <w:rPr>
          <w:rFonts w:hint="eastAsia"/>
        </w:rPr>
        <w:t>4.4.1 吊机型号选择</w:t>
      </w:r>
      <w:bookmarkEnd w:id="250"/>
    </w:p>
    <w:p w14:paraId="53DD6F4A">
      <w:pPr>
        <w:widowControl/>
        <w:ind w:firstLine="560"/>
        <w:jc w:val="left"/>
        <w:rPr>
          <w:bCs/>
          <w:color w:val="171717"/>
        </w:rPr>
      </w:pPr>
      <w:r>
        <w:rPr>
          <w:rFonts w:hint="eastAsia"/>
          <w:bCs/>
          <w:color w:val="171717"/>
        </w:rPr>
        <w:t>根据XGT6015A-8S塔式起重机使用说明书可知设备的各部件重量和最大的安装起升高度，该塔式起重机安装最大起吊重量为</w:t>
      </w:r>
      <w:r>
        <w:rPr>
          <w:rFonts w:hint="eastAsia"/>
          <w:bCs/>
          <w:color w:val="171717"/>
          <w:lang w:val="en-US" w:eastAsia="zh-CN"/>
        </w:rPr>
        <w:t>平衡臂总成</w:t>
      </w:r>
      <w:r>
        <w:rPr>
          <w:rFonts w:hint="eastAsia"/>
          <w:bCs/>
          <w:color w:val="171717"/>
        </w:rPr>
        <w:t>，XGT6015A-8S塔吊</w:t>
      </w:r>
      <w:r>
        <w:rPr>
          <w:rFonts w:hint="eastAsia"/>
          <w:bCs/>
          <w:color w:val="171717"/>
          <w:lang w:val="en-US" w:eastAsia="zh-CN"/>
        </w:rPr>
        <w:t>45米，平衡臂</w:t>
      </w:r>
      <w:r>
        <w:rPr>
          <w:rFonts w:hint="eastAsia"/>
          <w:bCs/>
          <w:color w:val="171717"/>
        </w:rPr>
        <w:t>总成重</w:t>
      </w:r>
      <w:r>
        <w:rPr>
          <w:rFonts w:hint="eastAsia"/>
          <w:bCs/>
          <w:color w:val="171717"/>
          <w:lang w:val="en-US" w:eastAsia="zh-CN"/>
        </w:rPr>
        <w:t>5.027t</w:t>
      </w:r>
      <w:r>
        <w:rPr>
          <w:rFonts w:hint="eastAsia"/>
          <w:bCs/>
          <w:color w:val="171717"/>
        </w:rPr>
        <w:t>，吊高</w:t>
      </w:r>
      <w:r>
        <w:rPr>
          <w:rFonts w:hint="eastAsia"/>
          <w:bCs/>
          <w:color w:val="171717"/>
          <w:lang w:val="en-US" w:eastAsia="zh-CN"/>
        </w:rPr>
        <w:t>24</w:t>
      </w:r>
      <w:r>
        <w:rPr>
          <w:rFonts w:hint="eastAsia"/>
          <w:bCs/>
          <w:color w:val="171717"/>
        </w:rPr>
        <w:t>米；最大起升高度为</w:t>
      </w:r>
      <w:r>
        <w:rPr>
          <w:rFonts w:hint="eastAsia"/>
          <w:bCs/>
          <w:color w:val="171717"/>
          <w:lang w:eastAsia="zh-CN"/>
        </w:rPr>
        <w:t>起重臂根节</w:t>
      </w:r>
      <w:r>
        <w:rPr>
          <w:rFonts w:hint="eastAsia"/>
          <w:bCs/>
          <w:color w:val="171717"/>
        </w:rPr>
        <w:t>，吊高29米，起吊跨距不大于11米。选择25T汽车吊安装，其主臂长度为29.6m。</w:t>
      </w:r>
    </w:p>
    <w:p w14:paraId="71034644">
      <w:pPr>
        <w:pStyle w:val="4"/>
        <w:ind w:firstLine="562" w:firstLineChars="200"/>
      </w:pPr>
      <w:r>
        <w:rPr>
          <w:rFonts w:hint="eastAsia"/>
        </w:rPr>
        <w:t>4.4.2吊机型号参数</w:t>
      </w:r>
    </w:p>
    <w:p w14:paraId="01AD384F">
      <w:pPr>
        <w:pStyle w:val="122"/>
      </w:pPr>
      <w:r>
        <w:rPr>
          <w:rStyle w:val="123"/>
          <w:rFonts w:hint="eastAsia"/>
          <w:b w:val="0"/>
        </w:rPr>
        <w:t>表4.</w:t>
      </w:r>
      <w:r>
        <w:rPr>
          <w:rStyle w:val="123"/>
          <w:b w:val="0"/>
        </w:rPr>
        <w:t>4-</w:t>
      </w:r>
      <w:r>
        <w:rPr>
          <w:rStyle w:val="123"/>
          <w:rFonts w:hint="eastAsia"/>
          <w:b w:val="0"/>
        </w:rPr>
        <w:t>1</w:t>
      </w:r>
      <w:r>
        <w:rPr>
          <w:rStyle w:val="123"/>
          <w:b w:val="0"/>
        </w:rPr>
        <w:t xml:space="preserve">  </w:t>
      </w:r>
      <w:r>
        <w:rPr>
          <w:rFonts w:hint="eastAsia"/>
          <w:lang w:val="en-US" w:eastAsia="zh-CN"/>
        </w:rPr>
        <w:t>25</w:t>
      </w:r>
      <w:r>
        <w:rPr>
          <w:rFonts w:hint="eastAsia"/>
        </w:rPr>
        <w:t>T汽车吊</w:t>
      </w:r>
      <w:r>
        <w:rPr>
          <w:rStyle w:val="123"/>
          <w:rFonts w:hint="eastAsia"/>
          <w:b w:val="0"/>
        </w:rPr>
        <w:t>起重性能表</w:t>
      </w:r>
    </w:p>
    <w:p w14:paraId="25AB9D7C">
      <w:pPr>
        <w:spacing w:line="240" w:lineRule="auto"/>
        <w:ind w:firstLine="560"/>
        <w:jc w:val="center"/>
      </w:pPr>
      <w:r>
        <mc:AlternateContent>
          <mc:Choice Requires="wps">
            <w:drawing>
              <wp:anchor distT="0" distB="0" distL="114300" distR="114300" simplePos="0" relativeHeight="251661312" behindDoc="0" locked="0" layoutInCell="1" allowOverlap="1">
                <wp:simplePos x="0" y="0"/>
                <wp:positionH relativeFrom="column">
                  <wp:posOffset>1129030</wp:posOffset>
                </wp:positionH>
                <wp:positionV relativeFrom="paragraph">
                  <wp:posOffset>1187450</wp:posOffset>
                </wp:positionV>
                <wp:extent cx="3752850" cy="125095"/>
                <wp:effectExtent l="13970" t="13970" r="24130" b="32385"/>
                <wp:wrapNone/>
                <wp:docPr id="15" name="矩形 15"/>
                <wp:cNvGraphicFramePr/>
                <a:graphic xmlns:a="http://schemas.openxmlformats.org/drawingml/2006/main">
                  <a:graphicData uri="http://schemas.microsoft.com/office/word/2010/wordprocessingShape">
                    <wps:wsp>
                      <wps:cNvSpPr/>
                      <wps:spPr>
                        <a:xfrm>
                          <a:off x="1637030" y="6960870"/>
                          <a:ext cx="3752850" cy="12509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9pt;margin-top:93.5pt;height:9.85pt;width:295.5pt;z-index:251661312;v-text-anchor:middle;mso-width-relative:page;mso-height-relative:page;" filled="f" stroked="t" coordsize="21600,21600" o:gfxdata="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oKMAtcAAAALAQAADwAAAAAAAAABACAAAAAiAAAAZHJzL2Rvd25yZXYueG1s&#10;UEsBAhQAFAAAAAgAh07iQBbBXAhrAgAAwgQAAA4AAAAAAAAAAQAgAAAAJgEAAGRycy9lMm9Eb2Mu&#10;eG1sUEsFBgAAAAAGAAYAWQEAAAMGAAAAAA==&#10;">
                <v:fill on="f" focussize="0,0"/>
                <v:stroke weight="2.25pt" color="#FF0000 [2404]" joinstyle="round"/>
                <v:imagedata o:title=""/>
                <o:lock v:ext="edit" aspectratio="f"/>
              </v:rect>
            </w:pict>
          </mc:Fallback>
        </mc:AlternateContent>
      </w:r>
      <w:r>
        <w:drawing>
          <wp:inline distT="0" distB="0" distL="114300" distR="114300">
            <wp:extent cx="3843020" cy="3078480"/>
            <wp:effectExtent l="0" t="0" r="5080" b="7620"/>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4"/>
                    <a:stretch>
                      <a:fillRect/>
                    </a:stretch>
                  </pic:blipFill>
                  <pic:spPr>
                    <a:xfrm>
                      <a:off x="0" y="0"/>
                      <a:ext cx="3843020" cy="3078480"/>
                    </a:xfrm>
                    <a:prstGeom prst="rect">
                      <a:avLst/>
                    </a:prstGeom>
                    <a:noFill/>
                    <a:ln>
                      <a:noFill/>
                    </a:ln>
                  </pic:spPr>
                </pic:pic>
              </a:graphicData>
            </a:graphic>
          </wp:inline>
        </w:drawing>
      </w:r>
    </w:p>
    <w:p w14:paraId="05C3BD1D">
      <w:pPr>
        <w:pStyle w:val="4"/>
      </w:pPr>
      <w:bookmarkStart w:id="251" w:name="_Toc5356"/>
      <w:bookmarkStart w:id="252" w:name="_Toc533610086"/>
      <w:bookmarkStart w:id="253" w:name="_Toc10253"/>
      <w:r>
        <w:rPr>
          <w:rFonts w:hint="eastAsia"/>
        </w:rPr>
        <w:t xml:space="preserve">4.4.3 </w:t>
      </w:r>
      <w:r>
        <w:rPr>
          <w:rFonts w:hint="eastAsia"/>
          <w:highlight w:val="none"/>
        </w:rPr>
        <w:t>起吊能力验算</w:t>
      </w:r>
      <w:bookmarkEnd w:id="251"/>
      <w:bookmarkEnd w:id="252"/>
      <w:bookmarkEnd w:id="253"/>
    </w:p>
    <w:p w14:paraId="413AA247">
      <w:pPr>
        <w:pStyle w:val="5"/>
        <w:ind w:firstLine="562"/>
      </w:pPr>
      <w:r>
        <w:rPr>
          <w:rFonts w:hint="eastAsia"/>
        </w:rPr>
        <w:t>4.4.3.1 起重量的验算</w:t>
      </w:r>
    </w:p>
    <w:p w14:paraId="01706619">
      <w:pPr>
        <w:spacing w:line="360" w:lineRule="auto"/>
        <w:ind w:firstLine="480"/>
      </w:pPr>
      <w:r>
        <w:rPr>
          <w:color w:val="000000"/>
          <w:sz w:val="24"/>
        </w:rPr>
        <w:t xml:space="preserve">      计算依据：</w:t>
      </w:r>
    </w:p>
    <w:p w14:paraId="50097A90">
      <w:pPr>
        <w:spacing w:line="360" w:lineRule="auto"/>
        <w:ind w:firstLine="480"/>
      </w:pPr>
      <w:r>
        <w:rPr>
          <w:color w:val="000000"/>
          <w:sz w:val="24"/>
        </w:rPr>
        <w:t xml:space="preserve">    1、《建筑结构荷载规范》GB 50009-2012</w:t>
      </w:r>
    </w:p>
    <w:p w14:paraId="16AFC9F9">
      <w:pPr>
        <w:spacing w:line="360" w:lineRule="auto"/>
        <w:ind w:firstLine="480"/>
      </w:pPr>
      <w:r>
        <w:rPr>
          <w:color w:val="000000"/>
          <w:sz w:val="24"/>
        </w:rPr>
        <w:t xml:space="preserve">    2、《建筑结构可靠性设计统一标准》GB50068-2018</w:t>
      </w:r>
    </w:p>
    <w:p w14:paraId="70E4045C">
      <w:pPr>
        <w:spacing w:line="360" w:lineRule="auto"/>
        <w:ind w:firstLine="480"/>
      </w:pPr>
      <w:r>
        <w:rPr>
          <w:color w:val="000000"/>
          <w:sz w:val="24"/>
        </w:rPr>
        <w:t xml:space="preserve">    3、《建筑地基基础设计规范》GB50007-2011</w:t>
      </w:r>
    </w:p>
    <w:p w14:paraId="76883262">
      <w:pPr>
        <w:spacing w:line="360" w:lineRule="auto"/>
        <w:ind w:firstLine="480"/>
      </w:pPr>
      <w:r>
        <w:rPr>
          <w:color w:val="000000"/>
          <w:sz w:val="24"/>
        </w:rPr>
        <w:t xml:space="preserve">    4、三一厂家STC250E5-1型号汽车起重机说明书</w:t>
      </w:r>
    </w:p>
    <w:p w14:paraId="6201C845">
      <w:pPr>
        <w:spacing w:line="360" w:lineRule="auto"/>
        <w:ind w:firstLine="562"/>
      </w:pPr>
      <w:r>
        <w:rPr>
          <w:b/>
          <w:color w:val="000000"/>
        </w:rPr>
        <w:t xml:space="preserve"> 一、吊装要求</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E1F8782">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6" w:space="0"/>
              <w:left w:val="single" w:color="auto" w:sz="6" w:space="0"/>
              <w:bottom w:val="single" w:color="auto" w:sz="6" w:space="0"/>
              <w:right w:val="single" w:color="auto" w:sz="6" w:space="0"/>
            </w:tcBorders>
            <w:shd w:val="clear" w:color="auto" w:fill="FFFFFF"/>
          </w:tcPr>
          <w:p w14:paraId="4FD40946">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8" w:type="dxa"/>
            <w:tcBorders>
              <w:top w:val="single" w:color="auto" w:sz="6" w:space="0"/>
              <w:left w:val="single" w:color="auto" w:sz="6" w:space="0"/>
              <w:bottom w:val="single" w:color="auto" w:sz="6" w:space="0"/>
              <w:right w:val="single" w:color="auto" w:sz="6" w:space="0"/>
            </w:tcBorders>
            <w:shd w:val="clear" w:color="auto" w:fill="FFFFFF"/>
          </w:tcPr>
          <w:p w14:paraId="170BC436">
            <w:pPr>
              <w:spacing w:line="360" w:lineRule="auto"/>
            </w:pPr>
            <w:r>
              <w:rPr>
                <w:rFonts w:ascii="Times New Roman" w:hAnsi="Times New Roman"/>
                <w:color w:val="000000"/>
                <w:sz w:val="18"/>
              </w:rPr>
              <w:t>5.027</w:t>
            </w:r>
          </w:p>
        </w:tc>
        <w:tc>
          <w:tcPr>
            <w:tcW w:w="3110" w:type="dxa"/>
            <w:tcBorders>
              <w:top w:val="single" w:color="auto" w:sz="6" w:space="0"/>
              <w:left w:val="single" w:color="auto" w:sz="6" w:space="0"/>
              <w:bottom w:val="single" w:color="auto" w:sz="6" w:space="0"/>
              <w:right w:val="single" w:color="auto" w:sz="6" w:space="0"/>
            </w:tcBorders>
            <w:shd w:val="clear" w:color="auto" w:fill="FFFFFF"/>
          </w:tcPr>
          <w:p w14:paraId="28DEC44F">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8" w:type="dxa"/>
            <w:tcBorders>
              <w:top w:val="single" w:color="auto" w:sz="6" w:space="0"/>
              <w:left w:val="single" w:color="auto" w:sz="6" w:space="0"/>
              <w:bottom w:val="single" w:color="auto" w:sz="6" w:space="0"/>
              <w:right w:val="single" w:color="auto" w:sz="6" w:space="0"/>
            </w:tcBorders>
            <w:shd w:val="clear" w:color="auto" w:fill="FFFFFF"/>
          </w:tcPr>
          <w:p w14:paraId="46262EC8">
            <w:pPr>
              <w:spacing w:line="360" w:lineRule="auto"/>
            </w:pPr>
            <w:r>
              <w:rPr>
                <w:rFonts w:ascii="Times New Roman" w:hAnsi="Times New Roman"/>
                <w:color w:val="000000"/>
                <w:sz w:val="18"/>
              </w:rPr>
              <w:t>1.2</w:t>
            </w:r>
          </w:p>
        </w:tc>
      </w:tr>
    </w:tbl>
    <w:p w14:paraId="566D4C20">
      <w:pPr>
        <w:spacing w:line="360" w:lineRule="auto"/>
        <w:ind w:firstLine="562"/>
      </w:pPr>
      <w:r>
        <w:rPr>
          <w:b/>
          <w:color w:val="000000"/>
        </w:rPr>
        <w:t xml:space="preserve"> 二、汽车式起重机支腿力计算</w:t>
      </w:r>
    </w:p>
    <w:p w14:paraId="3A0E4D74">
      <w:pPr>
        <w:spacing w:line="360" w:lineRule="auto"/>
        <w:ind w:firstLine="482"/>
        <w:rPr>
          <w:b/>
          <w:color w:val="000000"/>
          <w:sz w:val="24"/>
        </w:rPr>
      </w:pPr>
      <w:r>
        <w:rPr>
          <w:b/>
          <w:color w:val="000000"/>
          <w:sz w:val="24"/>
        </w:rPr>
        <w:t xml:space="preserve">  1、汽车式起重机参数</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2209DDF1">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D1ED189">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9C67179">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38B530C">
            <w:pPr>
              <w:spacing w:line="360" w:lineRule="auto"/>
            </w:pPr>
            <w:r>
              <w:rPr>
                <w:rFonts w:ascii="Times New Roman" w:hAnsi="Times New Roman"/>
                <w:color w:val="000000"/>
                <w:sz w:val="18"/>
              </w:rPr>
              <w:t>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EC73318">
            <w:pPr>
              <w:spacing w:line="360" w:lineRule="auto"/>
            </w:pPr>
            <w:r>
              <w:rPr>
                <w:rFonts w:ascii="Times New Roman" w:hAnsi="Times New Roman"/>
                <w:color w:val="000000"/>
                <w:sz w:val="18"/>
              </w:rPr>
              <w:t>STC250E5-1</w:t>
            </w:r>
          </w:p>
        </w:tc>
      </w:tr>
      <w:tr w14:paraId="7078A134">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4ED49FA">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shd w:val="clear" w:color="auto" w:fill="FFFFFF"/>
          </w:tcPr>
          <w:p w14:paraId="41A06FDE">
            <w:pPr>
              <w:spacing w:line="360" w:lineRule="auto"/>
            </w:pPr>
            <w:r>
              <w:rPr>
                <w:rFonts w:ascii="Times New Roman" w:hAnsi="Times New Roman"/>
                <w:color w:val="000000"/>
                <w:sz w:val="18"/>
              </w:rPr>
              <w:t>5.027</w:t>
            </w:r>
          </w:p>
        </w:tc>
        <w:tc>
          <w:tcPr>
            <w:tcW w:w="3105" w:type="dxa"/>
            <w:shd w:val="clear" w:color="auto" w:fill="FFFFFF"/>
          </w:tcPr>
          <w:p w14:paraId="0426A7C7">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9402F8E">
            <w:pPr>
              <w:spacing w:line="360" w:lineRule="auto"/>
            </w:pPr>
            <w:r>
              <w:rPr>
                <w:rFonts w:ascii="Times New Roman" w:hAnsi="Times New Roman"/>
                <w:color w:val="000000"/>
                <w:sz w:val="18"/>
              </w:rPr>
              <w:t>1.2</w:t>
            </w:r>
          </w:p>
        </w:tc>
      </w:tr>
      <w:tr w14:paraId="4CF7276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B5D97D7">
            <w:pPr>
              <w:spacing w:line="360" w:lineRule="auto"/>
            </w:pPr>
            <w:r>
              <w:rPr>
                <w:rFonts w:ascii="Times New Roman" w:hAnsi="Times New Roman"/>
                <w:color w:val="000000"/>
                <w:sz w:val="18"/>
              </w:rPr>
              <w:t>工作幅度R(m)</w:t>
            </w:r>
          </w:p>
        </w:tc>
        <w:tc>
          <w:tcPr>
            <w:tcW w:w="1605" w:type="dxa"/>
            <w:shd w:val="clear" w:color="auto" w:fill="FFFFFF"/>
          </w:tcPr>
          <w:p w14:paraId="75F92E67">
            <w:pPr>
              <w:spacing w:line="360" w:lineRule="auto"/>
            </w:pPr>
            <w:r>
              <w:rPr>
                <w:rFonts w:ascii="Times New Roman" w:hAnsi="Times New Roman"/>
                <w:color w:val="000000"/>
                <w:sz w:val="18"/>
              </w:rPr>
              <w:t>11</w:t>
            </w:r>
          </w:p>
        </w:tc>
        <w:tc>
          <w:tcPr>
            <w:tcW w:w="3105" w:type="dxa"/>
            <w:shd w:val="clear" w:color="auto" w:fill="FFFFFF"/>
          </w:tcPr>
          <w:p w14:paraId="0A954DEF">
            <w:pPr>
              <w:spacing w:line="360" w:lineRule="auto"/>
            </w:pPr>
            <w:r>
              <w:rPr>
                <w:rFonts w:ascii="Times New Roman" w:hAnsi="Times New Roman"/>
                <w:color w:val="000000"/>
                <w:sz w:val="18"/>
              </w:rPr>
              <w:t>支腿纵向距离L(m)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0176296">
            <w:pPr>
              <w:spacing w:line="360" w:lineRule="auto"/>
            </w:pPr>
            <w:r>
              <w:rPr>
                <w:rFonts w:ascii="Times New Roman" w:hAnsi="Times New Roman"/>
                <w:color w:val="000000"/>
                <w:sz w:val="18"/>
              </w:rPr>
              <w:t>5.28</w:t>
            </w:r>
          </w:p>
        </w:tc>
      </w:tr>
      <w:tr w14:paraId="23E83FE2">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83444F4">
            <w:pPr>
              <w:spacing w:line="360" w:lineRule="auto"/>
            </w:pPr>
            <w:r>
              <w:rPr>
                <w:rFonts w:ascii="Times New Roman" w:hAnsi="Times New Roman"/>
                <w:color w:val="000000"/>
                <w:sz w:val="18"/>
              </w:rPr>
              <w:t>支腿横向距离B(m)</w:t>
            </w:r>
          </w:p>
        </w:tc>
        <w:tc>
          <w:tcPr>
            <w:tcW w:w="1605" w:type="dxa"/>
            <w:shd w:val="clear" w:color="auto" w:fill="FFFFFF"/>
          </w:tcPr>
          <w:p w14:paraId="1D16E46B">
            <w:pPr>
              <w:spacing w:line="360" w:lineRule="auto"/>
            </w:pPr>
            <w:r>
              <w:rPr>
                <w:rFonts w:ascii="Times New Roman" w:hAnsi="Times New Roman"/>
                <w:color w:val="000000"/>
                <w:sz w:val="18"/>
              </w:rPr>
              <w:t>6.4</w:t>
            </w:r>
          </w:p>
        </w:tc>
        <w:tc>
          <w:tcPr>
            <w:tcW w:w="3105" w:type="dxa"/>
            <w:shd w:val="clear" w:color="auto" w:fill="FFFFFF"/>
          </w:tcPr>
          <w:p w14:paraId="35D1E237">
            <w:pPr>
              <w:spacing w:line="360" w:lineRule="auto"/>
            </w:pPr>
            <w:r>
              <w:rPr>
                <w:rFonts w:ascii="Times New Roman" w:hAnsi="Times New Roman"/>
                <w:color w:val="000000"/>
                <w:sz w:val="18"/>
              </w:rPr>
              <w:t>后支腿距最后一排车轮距离s(m)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4EB6011">
            <w:pPr>
              <w:spacing w:line="360" w:lineRule="auto"/>
            </w:pPr>
            <w:r>
              <w:rPr>
                <w:rFonts w:ascii="Times New Roman" w:hAnsi="Times New Roman"/>
                <w:color w:val="000000"/>
                <w:sz w:val="18"/>
              </w:rPr>
              <w:t>1.5</w:t>
            </w:r>
          </w:p>
        </w:tc>
      </w:tr>
      <w:tr w14:paraId="308C3377">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64F26C09">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shd w:val="clear" w:color="auto" w:fill="FFFFFF"/>
          </w:tcPr>
          <w:p w14:paraId="6618B8B4">
            <w:pPr>
              <w:spacing w:line="360" w:lineRule="auto"/>
            </w:pPr>
            <w:r>
              <w:rPr>
                <w:rFonts w:ascii="Times New Roman" w:hAnsi="Times New Roman"/>
                <w:color w:val="000000"/>
                <w:sz w:val="18"/>
              </w:rPr>
              <w:t>2.175</w:t>
            </w:r>
          </w:p>
        </w:tc>
        <w:tc>
          <w:tcPr>
            <w:tcW w:w="3105" w:type="dxa"/>
            <w:shd w:val="clear" w:color="auto" w:fill="FFFFFF"/>
          </w:tcPr>
          <w:p w14:paraId="202BA366">
            <w:pPr>
              <w:spacing w:line="360" w:lineRule="auto"/>
            </w:pPr>
            <w:r>
              <w:rPr>
                <w:rFonts w:ascii="Times New Roman" w:hAnsi="Times New Roman"/>
                <w:color w:val="000000"/>
                <w:sz w:val="18"/>
              </w:rPr>
              <w:t>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B43B332">
            <w:pPr>
              <w:spacing w:line="360" w:lineRule="auto"/>
            </w:pPr>
            <w:r>
              <w:rPr>
                <w:rFonts w:ascii="Times New Roman" w:hAnsi="Times New Roman"/>
                <w:color w:val="000000"/>
                <w:sz w:val="18"/>
              </w:rPr>
              <w:t>32.2</w:t>
            </w:r>
          </w:p>
        </w:tc>
      </w:tr>
      <w:tr w14:paraId="51D88EB3">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486F7C2">
            <w:pPr>
              <w:spacing w:line="360" w:lineRule="auto"/>
            </w:pPr>
            <w:r>
              <w:rPr>
                <w:rFonts w:ascii="Times New Roman" w:hAnsi="Times New Roman"/>
                <w:color w:val="000000"/>
                <w:sz w:val="18"/>
              </w:rPr>
              <w:t>是否有活动配重</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62881903">
            <w:pPr>
              <w:spacing w:line="360" w:lineRule="auto"/>
            </w:pPr>
            <w:r>
              <w:rPr>
                <w:rFonts w:ascii="Times New Roman" w:hAnsi="Times New Roman"/>
                <w:color w:val="000000"/>
                <w:sz w:val="18"/>
              </w:rPr>
              <w:t>否</w:t>
            </w:r>
          </w:p>
        </w:tc>
      </w:tr>
    </w:tbl>
    <w:p w14:paraId="0715D328">
      <w:pPr>
        <w:spacing w:line="360" w:lineRule="auto"/>
        <w:ind w:firstLine="482"/>
        <w:rPr>
          <w:b/>
          <w:color w:val="000000"/>
          <w:sz w:val="24"/>
        </w:rPr>
      </w:pPr>
    </w:p>
    <w:p w14:paraId="15BEACD1">
      <w:pPr>
        <w:spacing w:line="360" w:lineRule="auto"/>
        <w:ind w:firstLine="482"/>
      </w:pPr>
      <w:r>
        <w:rPr>
          <w:b/>
          <w:color w:val="000000"/>
          <w:sz w:val="24"/>
        </w:rPr>
        <w:t xml:space="preserve">  2、汽车起重机轴距及轴荷</w:t>
      </w:r>
    </w:p>
    <w:tbl>
      <w:tblPr>
        <w:tblStyle w:val="40"/>
        <w:tblW w:w="943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shd w:val="clear" w:color="auto" w:fill="FFFFFF"/>
        <w:tblLayout w:type="autofit"/>
        <w:tblCellMar>
          <w:top w:w="45" w:type="dxa"/>
          <w:left w:w="45" w:type="dxa"/>
          <w:bottom w:w="45" w:type="dxa"/>
          <w:right w:w="45" w:type="dxa"/>
        </w:tblCellMar>
      </w:tblPr>
      <w:tblGrid>
        <w:gridCol w:w="3109"/>
        <w:gridCol w:w="1608"/>
        <w:gridCol w:w="3110"/>
        <w:gridCol w:w="1608"/>
      </w:tblGrid>
      <w:tr w14:paraId="1BBA55D2">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4EF899FA">
            <w:pPr>
              <w:spacing w:line="360" w:lineRule="auto"/>
              <w:ind w:firstLine="360"/>
            </w:pPr>
            <w:r>
              <w:rPr>
                <w:color w:val="000000"/>
                <w:sz w:val="18"/>
              </w:rPr>
              <w:t>汽车起重机轴数</w:t>
            </w:r>
          </w:p>
        </w:tc>
        <w:tc>
          <w:tcPr>
            <w:tcW w:w="1605" w:type="dxa"/>
            <w:shd w:val="clear" w:color="auto" w:fill="FFFFFF"/>
          </w:tcPr>
          <w:p w14:paraId="3237F3AC">
            <w:pPr>
              <w:spacing w:line="360" w:lineRule="auto"/>
              <w:ind w:firstLine="360"/>
            </w:pPr>
            <w:r>
              <w:rPr>
                <w:color w:val="000000"/>
                <w:sz w:val="18"/>
              </w:rPr>
              <w:t>3</w:t>
            </w:r>
          </w:p>
        </w:tc>
        <w:tc>
          <w:tcPr>
            <w:tcW w:w="3105" w:type="dxa"/>
            <w:shd w:val="clear" w:color="auto" w:fill="FFFFFF"/>
          </w:tcPr>
          <w:p w14:paraId="278BDDE2">
            <w:pPr>
              <w:spacing w:line="360" w:lineRule="auto"/>
              <w:ind w:firstLine="360"/>
            </w:pPr>
            <w:r>
              <w:rPr>
                <w:color w:val="000000"/>
                <w:sz w:val="18"/>
              </w:rPr>
              <w:t>第1排车轮荷载(吨)</w:t>
            </w:r>
          </w:p>
        </w:tc>
        <w:tc>
          <w:tcPr>
            <w:tcW w:w="1605" w:type="dxa"/>
            <w:shd w:val="clear" w:color="auto" w:fill="FFFFFF"/>
          </w:tcPr>
          <w:p w14:paraId="3BCBFD1F">
            <w:pPr>
              <w:spacing w:line="360" w:lineRule="auto"/>
              <w:ind w:firstLine="360"/>
            </w:pPr>
            <w:r>
              <w:rPr>
                <w:color w:val="000000"/>
                <w:sz w:val="18"/>
              </w:rPr>
              <w:t>6.7</w:t>
            </w:r>
          </w:p>
        </w:tc>
      </w:tr>
    </w:tbl>
    <w:p w14:paraId="567B1EAC">
      <w:pPr>
        <w:spacing w:line="360" w:lineRule="auto"/>
        <w:ind w:firstLine="480"/>
      </w:pPr>
      <w:r>
        <w:rPr>
          <w:color w:val="000000"/>
          <w:sz w:val="24"/>
        </w:rPr>
        <w:t xml:space="preserve">    </w:t>
      </w:r>
    </w:p>
    <w:tbl>
      <w:tblPr>
        <w:tblStyle w:val="40"/>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Layout w:type="autofit"/>
        <w:tblCellMar>
          <w:top w:w="45" w:type="dxa"/>
          <w:left w:w="45" w:type="dxa"/>
          <w:bottom w:w="45" w:type="dxa"/>
          <w:right w:w="45" w:type="dxa"/>
        </w:tblCellMar>
      </w:tblPr>
      <w:tblGrid>
        <w:gridCol w:w="3035"/>
        <w:gridCol w:w="3036"/>
        <w:gridCol w:w="3034"/>
      </w:tblGrid>
      <w:tr w14:paraId="4795A7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4C548DF7">
            <w:pPr>
              <w:spacing w:line="360" w:lineRule="auto"/>
              <w:ind w:firstLine="360"/>
            </w:pPr>
            <w:r>
              <w:rPr>
                <w:color w:val="000000"/>
                <w:sz w:val="18"/>
              </w:rPr>
              <w:t>第i排车轮</w:t>
            </w:r>
          </w:p>
        </w:tc>
        <w:tc>
          <w:tcPr>
            <w:tcW w:w="1667" w:type="pct"/>
            <w:shd w:val="clear" w:color="auto" w:fill="FFFFFF"/>
            <w:vAlign w:val="center"/>
          </w:tcPr>
          <w:p w14:paraId="62D722A2">
            <w:pPr>
              <w:spacing w:line="360" w:lineRule="auto"/>
              <w:ind w:firstLine="360"/>
            </w:pPr>
            <w:r>
              <w:rPr>
                <w:color w:val="000000"/>
                <w:sz w:val="18"/>
              </w:rPr>
              <w:t>依次轴距(mm)</w:t>
            </w:r>
          </w:p>
        </w:tc>
        <w:tc>
          <w:tcPr>
            <w:tcW w:w="1667" w:type="pct"/>
            <w:shd w:val="clear" w:color="auto" w:fill="FFFFFF"/>
            <w:vAlign w:val="center"/>
          </w:tcPr>
          <w:p w14:paraId="72587BE3">
            <w:pPr>
              <w:spacing w:line="360" w:lineRule="auto"/>
              <w:ind w:firstLine="360"/>
            </w:pPr>
            <w:r>
              <w:rPr>
                <w:color w:val="000000"/>
                <w:sz w:val="18"/>
              </w:rPr>
              <w:t>轴荷(吨)</w:t>
            </w:r>
          </w:p>
        </w:tc>
      </w:tr>
      <w:tr w14:paraId="15AA55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53572D3F">
            <w:pPr>
              <w:spacing w:line="360" w:lineRule="auto"/>
              <w:ind w:firstLine="360"/>
            </w:pPr>
            <w:r>
              <w:rPr>
                <w:color w:val="000000"/>
                <w:sz w:val="18"/>
              </w:rPr>
              <w:t>2</w:t>
            </w:r>
          </w:p>
        </w:tc>
        <w:tc>
          <w:tcPr>
            <w:tcW w:w="1667" w:type="pct"/>
            <w:shd w:val="clear" w:color="auto" w:fill="FFFFFF"/>
            <w:vAlign w:val="center"/>
          </w:tcPr>
          <w:p w14:paraId="526FAC0B">
            <w:pPr>
              <w:spacing w:line="360" w:lineRule="auto"/>
              <w:ind w:firstLine="360"/>
            </w:pPr>
            <w:r>
              <w:rPr>
                <w:color w:val="000000"/>
                <w:sz w:val="18"/>
              </w:rPr>
              <w:t>4580</w:t>
            </w:r>
          </w:p>
        </w:tc>
        <w:tc>
          <w:tcPr>
            <w:tcW w:w="1667" w:type="pct"/>
            <w:shd w:val="clear" w:color="auto" w:fill="FFFFFF"/>
            <w:vAlign w:val="center"/>
          </w:tcPr>
          <w:p w14:paraId="2127F9E4">
            <w:pPr>
              <w:spacing w:line="360" w:lineRule="auto"/>
              <w:ind w:firstLine="360"/>
            </w:pPr>
            <w:r>
              <w:rPr>
                <w:color w:val="000000"/>
                <w:sz w:val="18"/>
              </w:rPr>
              <w:t>12.75</w:t>
            </w:r>
          </w:p>
        </w:tc>
      </w:tr>
      <w:tr w14:paraId="136276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42A984BD">
            <w:pPr>
              <w:spacing w:line="360" w:lineRule="auto"/>
              <w:ind w:firstLine="360"/>
            </w:pPr>
            <w:r>
              <w:rPr>
                <w:color w:val="000000"/>
                <w:sz w:val="18"/>
              </w:rPr>
              <w:t>3</w:t>
            </w:r>
          </w:p>
        </w:tc>
        <w:tc>
          <w:tcPr>
            <w:tcW w:w="1667" w:type="pct"/>
            <w:shd w:val="clear" w:color="auto" w:fill="FFFFFF"/>
            <w:vAlign w:val="center"/>
          </w:tcPr>
          <w:p w14:paraId="7C563181">
            <w:pPr>
              <w:spacing w:line="360" w:lineRule="auto"/>
              <w:ind w:firstLine="360"/>
            </w:pPr>
            <w:r>
              <w:rPr>
                <w:color w:val="000000"/>
                <w:sz w:val="18"/>
              </w:rPr>
              <w:t>1350</w:t>
            </w:r>
          </w:p>
        </w:tc>
        <w:tc>
          <w:tcPr>
            <w:tcW w:w="1667" w:type="pct"/>
            <w:shd w:val="clear" w:color="auto" w:fill="FFFFFF"/>
            <w:vAlign w:val="center"/>
          </w:tcPr>
          <w:p w14:paraId="11B622D1">
            <w:pPr>
              <w:spacing w:line="360" w:lineRule="auto"/>
              <w:ind w:firstLine="360"/>
            </w:pPr>
            <w:r>
              <w:rPr>
                <w:color w:val="000000"/>
                <w:sz w:val="18"/>
              </w:rPr>
              <w:t>12.75</w:t>
            </w:r>
          </w:p>
        </w:tc>
      </w:tr>
    </w:tbl>
    <w:p w14:paraId="436DDC00">
      <w:pPr>
        <w:spacing w:line="360" w:lineRule="auto"/>
        <w:ind w:firstLine="0" w:firstLineChars="0"/>
        <w:jc w:val="center"/>
      </w:pPr>
      <w:r>
        <w:drawing>
          <wp:inline distT="0" distB="0" distL="0" distR="0">
            <wp:extent cx="5734685" cy="2903220"/>
            <wp:effectExtent l="0" t="0" r="18415" b="11430"/>
            <wp:docPr id="104"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 1"/>
                    <pic:cNvPicPr>
                      <a:picLocks noChangeAspect="1"/>
                    </pic:cNvPicPr>
                  </pic:nvPicPr>
                  <pic:blipFill>
                    <a:blip r:embed="rId25" cstate="print"/>
                    <a:stretch>
                      <a:fillRect/>
                    </a:stretch>
                  </pic:blipFill>
                  <pic:spPr>
                    <a:xfrm>
                      <a:off x="0" y="0"/>
                      <a:ext cx="5734685" cy="2903220"/>
                    </a:xfrm>
                    <a:prstGeom prst="rect">
                      <a:avLst/>
                    </a:prstGeom>
                  </pic:spPr>
                </pic:pic>
              </a:graphicData>
            </a:graphic>
          </wp:inline>
        </w:drawing>
      </w:r>
    </w:p>
    <w:p w14:paraId="689DB9D9">
      <w:pPr>
        <w:spacing w:line="360" w:lineRule="auto"/>
        <w:ind w:firstLine="560"/>
        <w:jc w:val="center"/>
      </w:pPr>
      <w:r>
        <w:fldChar w:fldCharType="begin"/>
      </w:r>
      <w:r>
        <w:instrText xml:space="preserve"> HYPERLINK "file:///D:\\品茗软件\\品茗施工云安全计算软件2025版（V4.0）\\OutPut\\液压汽车起重机吊装计算_7_支腿力计算简图.dwg" \h </w:instrText>
      </w:r>
      <w:r>
        <w:fldChar w:fldCharType="separate"/>
      </w:r>
      <w:r>
        <w:rPr>
          <w:color w:val="000080"/>
          <w:sz w:val="24"/>
          <w:u w:val="single"/>
        </w:rPr>
        <w:t>支腿力计算简图</w:t>
      </w:r>
      <w:r>
        <w:rPr>
          <w:color w:val="000080"/>
          <w:sz w:val="24"/>
          <w:u w:val="single"/>
        </w:rPr>
        <w:fldChar w:fldCharType="end"/>
      </w:r>
    </w:p>
    <w:p w14:paraId="05EFAF79">
      <w:pPr>
        <w:spacing w:line="360" w:lineRule="auto"/>
        <w:ind w:firstLine="480"/>
      </w:pPr>
      <w:r>
        <w:rPr>
          <w:color w:val="000000"/>
          <w:sz w:val="24"/>
        </w:rPr>
        <w:t>在吊装过程中，支腿荷载主要有包括以下几部分荷载产生，起重机自重（通过在不同位置的各车轮轴荷代替）对各支腿产生的荷载F</w:t>
      </w:r>
      <w:r>
        <w:rPr>
          <w:color w:val="000000"/>
          <w:sz w:val="24"/>
          <w:vertAlign w:val="subscript"/>
        </w:rPr>
        <w:t>a1</w:t>
      </w:r>
      <w:r>
        <w:rPr>
          <w:color w:val="000000"/>
          <w:sz w:val="24"/>
        </w:rPr>
        <w:t>、F</w:t>
      </w:r>
      <w:r>
        <w:rPr>
          <w:color w:val="000000"/>
          <w:sz w:val="24"/>
          <w:vertAlign w:val="subscript"/>
        </w:rPr>
        <w:t>b1</w:t>
      </w:r>
      <w:r>
        <w:rPr>
          <w:color w:val="000000"/>
          <w:sz w:val="24"/>
        </w:rPr>
        <w:t>、F</w:t>
      </w:r>
      <w:r>
        <w:rPr>
          <w:color w:val="000000"/>
          <w:sz w:val="24"/>
          <w:vertAlign w:val="subscript"/>
        </w:rPr>
        <w:t>c1</w:t>
      </w:r>
      <w:r>
        <w:rPr>
          <w:color w:val="000000"/>
          <w:sz w:val="24"/>
        </w:rPr>
        <w:t>、F</w:t>
      </w:r>
      <w:r>
        <w:rPr>
          <w:color w:val="000000"/>
          <w:sz w:val="24"/>
          <w:vertAlign w:val="subscript"/>
        </w:rPr>
        <w:t>d1</w:t>
      </w:r>
      <w:r>
        <w:rPr>
          <w:color w:val="000000"/>
          <w:sz w:val="24"/>
        </w:rPr>
        <w:t>；吊重分解到X方向对各支腿产生的荷载F</w:t>
      </w:r>
      <w:r>
        <w:rPr>
          <w:color w:val="000000"/>
          <w:sz w:val="24"/>
          <w:vertAlign w:val="subscript"/>
        </w:rPr>
        <w:t>ax</w:t>
      </w:r>
      <w:r>
        <w:rPr>
          <w:color w:val="000000"/>
          <w:sz w:val="24"/>
        </w:rPr>
        <w:t>、F</w:t>
      </w:r>
      <w:r>
        <w:rPr>
          <w:color w:val="000000"/>
          <w:sz w:val="24"/>
          <w:vertAlign w:val="subscript"/>
        </w:rPr>
        <w:t>bx</w:t>
      </w:r>
      <w:r>
        <w:rPr>
          <w:color w:val="000000"/>
          <w:sz w:val="24"/>
        </w:rPr>
        <w:t>、F</w:t>
      </w:r>
      <w:r>
        <w:rPr>
          <w:color w:val="000000"/>
          <w:sz w:val="24"/>
          <w:vertAlign w:val="subscript"/>
        </w:rPr>
        <w:t>cx</w:t>
      </w:r>
      <w:r>
        <w:rPr>
          <w:color w:val="000000"/>
          <w:sz w:val="24"/>
        </w:rPr>
        <w:t>、F</w:t>
      </w:r>
      <w:r>
        <w:rPr>
          <w:color w:val="000000"/>
          <w:sz w:val="24"/>
          <w:vertAlign w:val="subscript"/>
        </w:rPr>
        <w:t>dx</w:t>
      </w:r>
      <w:r>
        <w:rPr>
          <w:color w:val="000000"/>
          <w:sz w:val="24"/>
        </w:rPr>
        <w:t>； 吊重分解到Y方向对各支腿产生的荷载F</w:t>
      </w:r>
      <w:r>
        <w:rPr>
          <w:color w:val="000000"/>
          <w:sz w:val="24"/>
          <w:vertAlign w:val="subscript"/>
        </w:rPr>
        <w:t>ay</w:t>
      </w:r>
      <w:r>
        <w:rPr>
          <w:color w:val="000000"/>
          <w:sz w:val="24"/>
        </w:rPr>
        <w:t>、F</w:t>
      </w:r>
      <w:r>
        <w:rPr>
          <w:color w:val="000000"/>
          <w:sz w:val="24"/>
          <w:vertAlign w:val="subscript"/>
        </w:rPr>
        <w:t>by</w:t>
      </w:r>
      <w:r>
        <w:rPr>
          <w:color w:val="000000"/>
          <w:sz w:val="24"/>
        </w:rPr>
        <w:t>、F</w:t>
      </w:r>
      <w:r>
        <w:rPr>
          <w:color w:val="000000"/>
          <w:sz w:val="24"/>
          <w:vertAlign w:val="subscript"/>
        </w:rPr>
        <w:t>cy</w:t>
      </w:r>
      <w:r>
        <w:rPr>
          <w:color w:val="000000"/>
          <w:sz w:val="24"/>
        </w:rPr>
        <w:t>、F</w:t>
      </w:r>
      <w:r>
        <w:rPr>
          <w:color w:val="000000"/>
          <w:sz w:val="24"/>
          <w:vertAlign w:val="subscript"/>
        </w:rPr>
        <w:t>dy</w:t>
      </w:r>
      <w:r>
        <w:rPr>
          <w:color w:val="000000"/>
          <w:sz w:val="24"/>
        </w:rPr>
        <w:t>；</w:t>
      </w:r>
    </w:p>
    <w:p w14:paraId="572B6F2D">
      <w:pPr>
        <w:spacing w:line="360" w:lineRule="auto"/>
        <w:ind w:firstLine="0" w:firstLineChars="0"/>
        <w:jc w:val="center"/>
      </w:pPr>
      <w:r>
        <w:drawing>
          <wp:inline distT="0" distB="0" distL="0" distR="0">
            <wp:extent cx="5219700" cy="3148965"/>
            <wp:effectExtent l="0" t="0" r="0" b="13335"/>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pic:cNvPicPr>
                      <a:picLocks noChangeAspect="1"/>
                    </pic:cNvPicPr>
                  </pic:nvPicPr>
                  <pic:blipFill>
                    <a:blip r:embed="rId26" cstate="print"/>
                    <a:stretch>
                      <a:fillRect/>
                    </a:stretch>
                  </pic:blipFill>
                  <pic:spPr>
                    <a:xfrm>
                      <a:off x="0" y="0"/>
                      <a:ext cx="5219700" cy="3148965"/>
                    </a:xfrm>
                    <a:prstGeom prst="rect">
                      <a:avLst/>
                    </a:prstGeom>
                  </pic:spPr>
                </pic:pic>
              </a:graphicData>
            </a:graphic>
          </wp:inline>
        </w:drawing>
      </w:r>
    </w:p>
    <w:p w14:paraId="3854F05C">
      <w:pPr>
        <w:spacing w:line="360" w:lineRule="auto"/>
        <w:ind w:firstLine="482"/>
      </w:pPr>
      <w:r>
        <w:rPr>
          <w:b/>
          <w:color w:val="000000"/>
          <w:sz w:val="24"/>
        </w:rPr>
        <w:t xml:space="preserve">   1）起重机自重各支腿产生的荷载计算</w:t>
      </w:r>
    </w:p>
    <w:p w14:paraId="2D95B930">
      <w:pPr>
        <w:spacing w:line="360" w:lineRule="auto"/>
        <w:ind w:firstLine="480"/>
      </w:pPr>
      <w:r>
        <w:rPr>
          <w:color w:val="000000"/>
          <w:sz w:val="24"/>
        </w:rPr>
        <w:t xml:space="preserve">    起重机自重G等于各轴荷载总和，G=32.2吨</w:t>
      </w:r>
    </w:p>
    <w:p w14:paraId="63EE3004">
      <w:pPr>
        <w:spacing w:line="360" w:lineRule="auto"/>
        <w:ind w:firstLine="480"/>
      </w:pPr>
      <w:r>
        <w:rPr>
          <w:color w:val="000000"/>
          <w:sz w:val="24"/>
        </w:rPr>
        <w:t xml:space="preserve">    第1轴：荷载为F</w:t>
      </w:r>
      <w:r>
        <w:rPr>
          <w:color w:val="000000"/>
          <w:sz w:val="24"/>
          <w:vertAlign w:val="subscript"/>
        </w:rPr>
        <w:t>1</w:t>
      </w:r>
      <w:r>
        <w:rPr>
          <w:color w:val="000000"/>
          <w:sz w:val="24"/>
        </w:rPr>
        <w:t>=6.7吨，距离后支腿距离L</w:t>
      </w:r>
      <w:r>
        <w:rPr>
          <w:color w:val="000000"/>
          <w:sz w:val="24"/>
          <w:vertAlign w:val="subscript"/>
        </w:rPr>
        <w:t>1</w:t>
      </w:r>
      <w:r>
        <w:rPr>
          <w:color w:val="000000"/>
          <w:sz w:val="24"/>
        </w:rPr>
        <w:t>=4.58+1.35+1.5=7.43m</w:t>
      </w:r>
    </w:p>
    <w:p w14:paraId="43B4F187">
      <w:pPr>
        <w:spacing w:line="360" w:lineRule="auto"/>
        <w:ind w:firstLine="480"/>
      </w:pPr>
      <w:r>
        <w:rPr>
          <w:color w:val="000000"/>
          <w:sz w:val="24"/>
        </w:rPr>
        <w:t xml:space="preserve">    第2轴：荷载为F</w:t>
      </w:r>
      <w:r>
        <w:rPr>
          <w:color w:val="000000"/>
          <w:sz w:val="24"/>
          <w:vertAlign w:val="subscript"/>
        </w:rPr>
        <w:t>2</w:t>
      </w:r>
      <w:r>
        <w:rPr>
          <w:color w:val="000000"/>
          <w:sz w:val="24"/>
        </w:rPr>
        <w:t>=12.75吨，距离后支腿距离L</w:t>
      </w:r>
      <w:r>
        <w:rPr>
          <w:color w:val="000000"/>
          <w:sz w:val="24"/>
          <w:vertAlign w:val="subscript"/>
        </w:rPr>
        <w:t>2</w:t>
      </w:r>
      <w:r>
        <w:rPr>
          <w:color w:val="000000"/>
          <w:sz w:val="24"/>
        </w:rPr>
        <w:t>=1.35+1.5=2.85m</w:t>
      </w:r>
    </w:p>
    <w:p w14:paraId="0FA2AD59">
      <w:pPr>
        <w:spacing w:line="360" w:lineRule="auto"/>
        <w:ind w:firstLine="480"/>
      </w:pPr>
      <w:r>
        <w:rPr>
          <w:color w:val="000000"/>
          <w:sz w:val="24"/>
        </w:rPr>
        <w:t xml:space="preserve">    第3轴：荷载为F</w:t>
      </w:r>
      <w:r>
        <w:rPr>
          <w:color w:val="000000"/>
          <w:sz w:val="24"/>
          <w:vertAlign w:val="subscript"/>
        </w:rPr>
        <w:t>3</w:t>
      </w:r>
      <w:r>
        <w:rPr>
          <w:color w:val="000000"/>
          <w:sz w:val="24"/>
        </w:rPr>
        <w:t>=12.75吨，距离后支腿距离L</w:t>
      </w:r>
      <w:r>
        <w:rPr>
          <w:color w:val="000000"/>
          <w:sz w:val="24"/>
          <w:vertAlign w:val="subscript"/>
        </w:rPr>
        <w:t>3</w:t>
      </w:r>
      <w:r>
        <w:rPr>
          <w:color w:val="000000"/>
          <w:sz w:val="24"/>
        </w:rPr>
        <w:t>=1.5m</w:t>
      </w:r>
    </w:p>
    <w:p w14:paraId="6EE0F8FC">
      <w:pPr>
        <w:spacing w:line="360" w:lineRule="auto"/>
        <w:ind w:firstLine="480"/>
      </w:pPr>
      <w:r>
        <w:rPr>
          <w:color w:val="000000"/>
          <w:sz w:val="24"/>
        </w:rPr>
        <w:t xml:space="preserve">    通过各轴荷载F</w:t>
      </w:r>
      <w:r>
        <w:rPr>
          <w:color w:val="000000"/>
          <w:sz w:val="24"/>
          <w:vertAlign w:val="subscript"/>
        </w:rPr>
        <w:t>i</w:t>
      </w:r>
      <w:r>
        <w:rPr>
          <w:color w:val="000000"/>
          <w:sz w:val="24"/>
        </w:rPr>
        <w:t>以及前支腿荷载分别对后支腿取矩得到</w:t>
      </w:r>
    </w:p>
    <w:p w14:paraId="47BCCA97">
      <w:pPr>
        <w:spacing w:line="360" w:lineRule="auto"/>
        <w:ind w:firstLine="480"/>
      </w:pPr>
      <w:r>
        <w:rPr>
          <w:color w:val="000000"/>
          <w:sz w:val="24"/>
        </w:rPr>
        <w:t xml:space="preserve">    F</w:t>
      </w:r>
      <w:r>
        <w:rPr>
          <w:color w:val="000000"/>
          <w:sz w:val="24"/>
          <w:vertAlign w:val="subscript"/>
        </w:rPr>
        <w:t>1</w:t>
      </w:r>
      <w:r>
        <w:rPr>
          <w:color w:val="000000"/>
          <w:sz w:val="24"/>
        </w:rPr>
        <w:t>×L</w:t>
      </w:r>
      <w:r>
        <w:rPr>
          <w:color w:val="000000"/>
          <w:sz w:val="24"/>
          <w:vertAlign w:val="subscript"/>
        </w:rPr>
        <w:t>1</w:t>
      </w:r>
      <w:r>
        <w:rPr>
          <w:color w:val="000000"/>
          <w:sz w:val="24"/>
        </w:rPr>
        <w:t>+F</w:t>
      </w:r>
      <w:r>
        <w:rPr>
          <w:color w:val="000000"/>
          <w:sz w:val="24"/>
          <w:vertAlign w:val="subscript"/>
        </w:rPr>
        <w:t>2</w:t>
      </w:r>
      <w:r>
        <w:rPr>
          <w:color w:val="000000"/>
          <w:sz w:val="24"/>
        </w:rPr>
        <w:t>×L</w:t>
      </w:r>
      <w:r>
        <w:rPr>
          <w:color w:val="000000"/>
          <w:sz w:val="24"/>
          <w:vertAlign w:val="subscript"/>
        </w:rPr>
        <w:t>2</w:t>
      </w:r>
      <w:r>
        <w:rPr>
          <w:color w:val="000000"/>
          <w:sz w:val="24"/>
        </w:rPr>
        <w:t>+F</w:t>
      </w:r>
      <w:r>
        <w:rPr>
          <w:color w:val="000000"/>
          <w:sz w:val="24"/>
          <w:vertAlign w:val="subscript"/>
        </w:rPr>
        <w:t>3</w:t>
      </w:r>
      <w:r>
        <w:rPr>
          <w:color w:val="000000"/>
          <w:sz w:val="24"/>
        </w:rPr>
        <w:t>×L</w:t>
      </w:r>
      <w:r>
        <w:rPr>
          <w:color w:val="000000"/>
          <w:sz w:val="24"/>
          <w:vertAlign w:val="subscript"/>
        </w:rPr>
        <w:t>3</w:t>
      </w:r>
      <w:r>
        <w:rPr>
          <w:color w:val="000000"/>
          <w:sz w:val="24"/>
        </w:rPr>
        <w:t>-(F</w:t>
      </w:r>
      <w:r>
        <w:rPr>
          <w:color w:val="000000"/>
          <w:sz w:val="24"/>
          <w:vertAlign w:val="subscript"/>
        </w:rPr>
        <w:t>a1</w:t>
      </w:r>
      <w:r>
        <w:rPr>
          <w:color w:val="000000"/>
          <w:sz w:val="24"/>
        </w:rPr>
        <w:t>+F</w:t>
      </w:r>
      <w:r>
        <w:rPr>
          <w:color w:val="000000"/>
          <w:sz w:val="24"/>
          <w:vertAlign w:val="subscript"/>
        </w:rPr>
        <w:t>d1</w:t>
      </w:r>
      <w:r>
        <w:rPr>
          <w:color w:val="000000"/>
          <w:sz w:val="24"/>
        </w:rPr>
        <w:t>)×L=0</w:t>
      </w:r>
    </w:p>
    <w:p w14:paraId="30B4E430">
      <w:pPr>
        <w:spacing w:line="360" w:lineRule="auto"/>
        <w:ind w:firstLine="480"/>
      </w:pPr>
      <w:r>
        <w:rPr>
          <w:color w:val="000000"/>
          <w:sz w:val="24"/>
        </w:rPr>
        <w:t xml:space="preserve">    6.7×7.43+12.75×2.85+12.75×1.5-(F</w:t>
      </w:r>
      <w:r>
        <w:rPr>
          <w:color w:val="000000"/>
          <w:sz w:val="24"/>
          <w:vertAlign w:val="subscript"/>
        </w:rPr>
        <w:t>a1</w:t>
      </w:r>
      <w:r>
        <w:rPr>
          <w:color w:val="000000"/>
          <w:sz w:val="24"/>
        </w:rPr>
        <w:t>+F</w:t>
      </w:r>
      <w:r>
        <w:rPr>
          <w:color w:val="000000"/>
          <w:sz w:val="24"/>
          <w:vertAlign w:val="subscript"/>
        </w:rPr>
        <w:t>d1</w:t>
      </w:r>
      <w:r>
        <w:rPr>
          <w:color w:val="000000"/>
          <w:sz w:val="24"/>
        </w:rPr>
        <w:t>)×5.28=0</w:t>
      </w:r>
    </w:p>
    <w:p w14:paraId="26A2DD68">
      <w:pPr>
        <w:spacing w:line="360" w:lineRule="auto"/>
        <w:ind w:firstLine="480"/>
      </w:pPr>
      <w:r>
        <w:rPr>
          <w:color w:val="000000"/>
          <w:sz w:val="24"/>
        </w:rPr>
        <w:t xml:space="preserve">    并且F</w:t>
      </w:r>
      <w:r>
        <w:rPr>
          <w:color w:val="000000"/>
          <w:sz w:val="24"/>
          <w:vertAlign w:val="subscript"/>
        </w:rPr>
        <w:t>a1</w:t>
      </w:r>
      <w:r>
        <w:rPr>
          <w:color w:val="000000"/>
          <w:sz w:val="24"/>
        </w:rPr>
        <w:t>=F</w:t>
      </w:r>
      <w:r>
        <w:rPr>
          <w:color w:val="000000"/>
          <w:sz w:val="24"/>
          <w:vertAlign w:val="subscript"/>
        </w:rPr>
        <w:t>d1</w:t>
      </w:r>
      <w:r>
        <w:rPr>
          <w:color w:val="000000"/>
          <w:sz w:val="24"/>
        </w:rPr>
        <w:t>，得到：</w:t>
      </w:r>
    </w:p>
    <w:p w14:paraId="51149BB2">
      <w:pPr>
        <w:spacing w:line="360" w:lineRule="auto"/>
        <w:ind w:firstLine="480"/>
      </w:pPr>
      <w:r>
        <w:rPr>
          <w:color w:val="000000"/>
          <w:sz w:val="24"/>
        </w:rPr>
        <w:t xml:space="preserve">    F</w:t>
      </w:r>
      <w:r>
        <w:rPr>
          <w:color w:val="000000"/>
          <w:sz w:val="24"/>
          <w:vertAlign w:val="subscript"/>
        </w:rPr>
        <w:t>a1</w:t>
      </w:r>
      <w:r>
        <w:rPr>
          <w:color w:val="000000"/>
          <w:sz w:val="24"/>
        </w:rPr>
        <w:t>=F</w:t>
      </w:r>
      <w:r>
        <w:rPr>
          <w:color w:val="000000"/>
          <w:sz w:val="24"/>
          <w:vertAlign w:val="subscript"/>
        </w:rPr>
        <w:t>d1</w:t>
      </w:r>
      <w:r>
        <w:rPr>
          <w:color w:val="000000"/>
          <w:sz w:val="24"/>
        </w:rPr>
        <w:t>=9.966吨</w:t>
      </w:r>
    </w:p>
    <w:p w14:paraId="1EA5EF5B">
      <w:pPr>
        <w:spacing w:line="360" w:lineRule="auto"/>
        <w:ind w:firstLine="480"/>
      </w:pPr>
      <w:r>
        <w:rPr>
          <w:color w:val="000000"/>
          <w:sz w:val="24"/>
        </w:rPr>
        <w:t xml:space="preserve">    F</w:t>
      </w:r>
      <w:r>
        <w:rPr>
          <w:color w:val="000000"/>
          <w:sz w:val="24"/>
          <w:vertAlign w:val="subscript"/>
        </w:rPr>
        <w:t>b1</w:t>
      </w:r>
      <w:r>
        <w:rPr>
          <w:color w:val="000000"/>
          <w:sz w:val="24"/>
        </w:rPr>
        <w:t>=F</w:t>
      </w:r>
      <w:r>
        <w:rPr>
          <w:color w:val="000000"/>
          <w:sz w:val="24"/>
          <w:vertAlign w:val="subscript"/>
        </w:rPr>
        <w:t>c1</w:t>
      </w:r>
      <w:r>
        <w:rPr>
          <w:color w:val="000000"/>
          <w:sz w:val="24"/>
        </w:rPr>
        <w:t>=[G-(F</w:t>
      </w:r>
      <w:r>
        <w:rPr>
          <w:color w:val="000000"/>
          <w:sz w:val="24"/>
          <w:vertAlign w:val="subscript"/>
        </w:rPr>
        <w:t>a1</w:t>
      </w:r>
      <w:r>
        <w:rPr>
          <w:color w:val="000000"/>
          <w:sz w:val="24"/>
        </w:rPr>
        <w:t>+F</w:t>
      </w:r>
      <w:r>
        <w:rPr>
          <w:color w:val="000000"/>
          <w:sz w:val="24"/>
          <w:vertAlign w:val="subscript"/>
        </w:rPr>
        <w:t>d1</w:t>
      </w:r>
      <w:r>
        <w:rPr>
          <w:color w:val="000000"/>
          <w:sz w:val="24"/>
        </w:rPr>
        <w:t>)]/2=[32.2-(9.966+9.966)]/2=6.134吨</w:t>
      </w:r>
    </w:p>
    <w:p w14:paraId="5EDC3AEB">
      <w:pPr>
        <w:spacing w:line="360" w:lineRule="auto"/>
        <w:ind w:firstLine="480"/>
      </w:pPr>
      <w:r>
        <w:rPr>
          <w:color w:val="000000"/>
          <w:sz w:val="24"/>
        </w:rPr>
        <w:t xml:space="preserve">    将吊重对支腿产生的影响分成吊重移动至回转中心后竖向力对支腿产生荷载+吊重幅度产生的弯矩对支腿力荷载</w:t>
      </w:r>
    </w:p>
    <w:p w14:paraId="41CD2070">
      <w:pPr>
        <w:spacing w:line="360" w:lineRule="auto"/>
        <w:ind w:firstLine="482"/>
      </w:pPr>
      <w:r>
        <w:rPr>
          <w:b/>
          <w:color w:val="000000"/>
          <w:sz w:val="24"/>
        </w:rPr>
        <w:t xml:space="preserve">  3、吊重移至回转中心后竖向力对支腿产生荷载计算</w:t>
      </w:r>
    </w:p>
    <w:p w14:paraId="2C71D2E5">
      <w:pPr>
        <w:spacing w:line="360" w:lineRule="auto"/>
      </w:pPr>
      <w:r>
        <w:rPr>
          <w:color w:val="000000"/>
          <w:sz w:val="24"/>
        </w:rPr>
        <w:t xml:space="preserve">   </w:t>
      </w: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)×L=0</w:t>
      </w:r>
    </w:p>
    <w:p w14:paraId="364CFF5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/(2L)=1.2×5.027×2.175/(2×5.28)=1.242吨</w:t>
      </w:r>
    </w:p>
    <w:p w14:paraId="4E58D273">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)/(2L)=1.2×5.027×(5.28-2.175)/(2×5.28)=1.774吨</w:t>
      </w:r>
    </w:p>
    <w:p w14:paraId="7E79A721">
      <w:pPr>
        <w:spacing w:line="360" w:lineRule="auto"/>
        <w:ind w:firstLine="482"/>
      </w:pPr>
      <w:r>
        <w:rPr>
          <w:b/>
          <w:color w:val="000000"/>
          <w:sz w:val="24"/>
        </w:rPr>
        <w:t xml:space="preserve">   1）吊重考虑幅度后的弯矩对各支腿产生的荷载计算</w:t>
      </w:r>
    </w:p>
    <w:p w14:paraId="1C0D8A9C">
      <w:pPr>
        <w:spacing w:line="360" w:lineRule="auto"/>
        <w:ind w:firstLine="482"/>
      </w:pPr>
      <w:r>
        <w:rPr>
          <w:b/>
          <w:color w:val="000000"/>
          <w:sz w:val="24"/>
        </w:rPr>
        <w:t xml:space="preserve">     ①求X方向吊重考虑幅度后的弯矩对各支腿荷载影响计算，各支腿荷载为F</w:t>
      </w:r>
      <w:r>
        <w:rPr>
          <w:color w:val="000000"/>
          <w:sz w:val="24"/>
          <w:vertAlign w:val="subscript"/>
        </w:rPr>
        <w:t>ax</w:t>
      </w:r>
      <w:r>
        <w:rPr>
          <w:b/>
          <w:color w:val="000000"/>
          <w:sz w:val="24"/>
        </w:rPr>
        <w:t>=F</w:t>
      </w:r>
      <w:r>
        <w:rPr>
          <w:color w:val="000000"/>
          <w:sz w:val="24"/>
          <w:vertAlign w:val="subscript"/>
        </w:rPr>
        <w:t>dx</w:t>
      </w:r>
      <w:r>
        <w:rPr>
          <w:b/>
          <w:color w:val="000000"/>
          <w:sz w:val="24"/>
        </w:rPr>
        <w:t>，F</w:t>
      </w:r>
      <w:r>
        <w:rPr>
          <w:color w:val="000000"/>
          <w:sz w:val="24"/>
          <w:vertAlign w:val="subscript"/>
        </w:rPr>
        <w:t>bx</w:t>
      </w:r>
      <w:r>
        <w:rPr>
          <w:b/>
          <w:color w:val="000000"/>
          <w:sz w:val="24"/>
        </w:rPr>
        <w:t>=F</w:t>
      </w:r>
      <w:r>
        <w:rPr>
          <w:color w:val="000000"/>
          <w:sz w:val="24"/>
          <w:vertAlign w:val="subscript"/>
        </w:rPr>
        <w:t>cx</w:t>
      </w:r>
    </w:p>
    <w:p w14:paraId="4E8B529F">
      <w:pPr>
        <w:spacing w:line="360" w:lineRule="auto"/>
        <w:ind w:firstLine="560"/>
        <w:jc w:val="center"/>
      </w:pPr>
      <w:r>
        <w:drawing>
          <wp:inline distT="0" distB="0" distL="0" distR="0">
            <wp:extent cx="3981450" cy="2529205"/>
            <wp:effectExtent l="0" t="0" r="0" b="4445"/>
            <wp:docPr id="4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 3"/>
                    <pic:cNvPicPr>
                      <a:picLocks noChangeAspect="1"/>
                    </pic:cNvPicPr>
                  </pic:nvPicPr>
                  <pic:blipFill>
                    <a:blip r:embed="rId27" cstate="print"/>
                    <a:stretch>
                      <a:fillRect/>
                    </a:stretch>
                  </pic:blipFill>
                  <pic:spPr>
                    <a:xfrm>
                      <a:off x="0" y="0"/>
                      <a:ext cx="3981450" cy="2529205"/>
                    </a:xfrm>
                    <a:prstGeom prst="rect">
                      <a:avLst/>
                    </a:prstGeom>
                  </pic:spPr>
                </pic:pic>
              </a:graphicData>
            </a:graphic>
          </wp:inline>
        </w:drawing>
      </w:r>
    </w:p>
    <w:p w14:paraId="7BFE9177">
      <w:pPr>
        <w:spacing w:line="360" w:lineRule="auto"/>
      </w:pPr>
      <w:r>
        <w:rPr>
          <w:color w:val="000000"/>
          <w:sz w:val="24"/>
        </w:rPr>
        <w:t xml:space="preserve">  </w:t>
      </w: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×R)cosβ-(F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)×L=0</w:t>
      </w:r>
    </w:p>
    <w:p w14:paraId="1E17A2EF">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×R)×cosβ/(2L)=(1.2×5.027×11)×cosβ/(2×5.28)=6.284cosβ</w:t>
      </w:r>
    </w:p>
    <w:p w14:paraId="17046486">
      <w:pPr>
        <w:spacing w:line="360" w:lineRule="auto"/>
        <w:rPr>
          <w:rFonts w:ascii="Times New Roman" w:hAnsi="Times New Roman"/>
          <w:color w:val="000000"/>
          <w:sz w:val="24"/>
        </w:rPr>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=-6.284cosβ</w:t>
      </w:r>
    </w:p>
    <w:p w14:paraId="01447DF2">
      <w:pPr>
        <w:spacing w:line="360" w:lineRule="auto"/>
      </w:pPr>
      <w:r>
        <w:rPr>
          <w:b/>
          <w:color w:val="000000"/>
          <w:sz w:val="24"/>
        </w:rPr>
        <w:t xml:space="preserve">     ②求Y方向吊重考虑幅度后的弯矩对各支腿荷载影响计算，各支腿荷载为F</w:t>
      </w:r>
      <w:r>
        <w:rPr>
          <w:color w:val="000000"/>
          <w:sz w:val="24"/>
          <w:vertAlign w:val="subscript"/>
        </w:rPr>
        <w:t>ay</w:t>
      </w:r>
      <w:r>
        <w:rPr>
          <w:b/>
          <w:color w:val="000000"/>
          <w:sz w:val="24"/>
        </w:rPr>
        <w:t>=F</w:t>
      </w:r>
      <w:r>
        <w:rPr>
          <w:color w:val="000000"/>
          <w:sz w:val="24"/>
          <w:vertAlign w:val="subscript"/>
        </w:rPr>
        <w:t>by</w:t>
      </w:r>
      <w:r>
        <w:rPr>
          <w:b/>
          <w:color w:val="000000"/>
          <w:sz w:val="24"/>
        </w:rPr>
        <w:t>，F</w:t>
      </w:r>
      <w:r>
        <w:rPr>
          <w:color w:val="000000"/>
          <w:sz w:val="24"/>
          <w:vertAlign w:val="subscript"/>
        </w:rPr>
        <w:t>cy</w:t>
      </w:r>
      <w:r>
        <w:rPr>
          <w:b/>
          <w:color w:val="000000"/>
          <w:sz w:val="24"/>
        </w:rPr>
        <w:t>=F</w:t>
      </w:r>
      <w:r>
        <w:rPr>
          <w:color w:val="000000"/>
          <w:sz w:val="24"/>
          <w:vertAlign w:val="subscript"/>
        </w:rPr>
        <w:t>dy</w:t>
      </w:r>
    </w:p>
    <w:p w14:paraId="3BA04EB5">
      <w:pPr>
        <w:spacing w:line="360" w:lineRule="auto"/>
        <w:ind w:firstLine="560"/>
        <w:jc w:val="center"/>
      </w:pPr>
      <w:r>
        <w:drawing>
          <wp:inline distT="0" distB="0" distL="0" distR="0">
            <wp:extent cx="3839210" cy="2439035"/>
            <wp:effectExtent l="0" t="0" r="8890" b="18415"/>
            <wp:docPr id="4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 4"/>
                    <pic:cNvPicPr>
                      <a:picLocks noChangeAspect="1"/>
                    </pic:cNvPicPr>
                  </pic:nvPicPr>
                  <pic:blipFill>
                    <a:blip r:embed="rId28" cstate="print"/>
                    <a:stretch>
                      <a:fillRect/>
                    </a:stretch>
                  </pic:blipFill>
                  <pic:spPr>
                    <a:xfrm>
                      <a:off x="0" y="0"/>
                      <a:ext cx="3839210" cy="2439035"/>
                    </a:xfrm>
                    <a:prstGeom prst="rect">
                      <a:avLst/>
                    </a:prstGeom>
                  </pic:spPr>
                </pic:pic>
              </a:graphicData>
            </a:graphic>
          </wp:inline>
        </w:drawing>
      </w:r>
    </w:p>
    <w:p w14:paraId="60271FF0">
      <w:pPr>
        <w:spacing w:line="360" w:lineRule="auto"/>
      </w:pPr>
      <w:r>
        <w:rPr>
          <w:color w:val="000000"/>
          <w:sz w:val="24"/>
        </w:rPr>
        <w:t xml:space="preserve">    </w:t>
      </w: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)×L=0</w:t>
      </w:r>
    </w:p>
    <w:p w14:paraId="1CC02D6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×R)×sinβ/(2L)=(1.2×5.027×11)×sinβ/(2×5.28)=6.284sinβ</w:t>
      </w:r>
    </w:p>
    <w:p w14:paraId="6F365EB1">
      <w:pPr>
        <w:spacing w:line="360" w:lineRule="auto"/>
        <w:rPr>
          <w:rFonts w:ascii="Times New Roman" w:hAnsi="Times New Roman"/>
          <w:color w:val="000000"/>
          <w:sz w:val="24"/>
        </w:rPr>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=-6.284sinβ</w:t>
      </w:r>
    </w:p>
    <w:p w14:paraId="3F59FA87">
      <w:pPr>
        <w:spacing w:line="360" w:lineRule="auto"/>
      </w:pPr>
      <w:r>
        <w:rPr>
          <w:b/>
          <w:color w:val="000000"/>
          <w:sz w:val="24"/>
        </w:rPr>
        <w:t xml:space="preserve">   2）考虑各因素影响后，各支腿的荷载分别为：</w:t>
      </w:r>
    </w:p>
    <w:p w14:paraId="2E69CAED">
      <w:pPr>
        <w:spacing w:line="360" w:lineRule="auto"/>
      </w:pPr>
      <w:r>
        <w:rPr>
          <w:rFonts w:ascii="Times New Roman" w:hAnsi="Times New Roman"/>
          <w:color w:val="000000"/>
          <w:sz w:val="24"/>
        </w:rPr>
        <w:t xml:space="preserve">    支腿a:F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=9.966+1.242-6.284cosβ+6.284sinβ</w:t>
      </w:r>
    </w:p>
    <w:p w14:paraId="0C8782AF">
      <w:pPr>
        <w:spacing w:line="360" w:lineRule="auto"/>
      </w:pPr>
      <w:r>
        <w:rPr>
          <w:rFonts w:ascii="Times New Roman" w:hAnsi="Times New Roman"/>
          <w:color w:val="000000"/>
          <w:sz w:val="24"/>
        </w:rPr>
        <w:t xml:space="preserve">    支腿b:F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=6.134+1.774+6.284cosβ+6.284sinβ</w:t>
      </w:r>
    </w:p>
    <w:p w14:paraId="13528F63">
      <w:pPr>
        <w:spacing w:line="360" w:lineRule="auto"/>
      </w:pPr>
      <w:r>
        <w:rPr>
          <w:rFonts w:ascii="Times New Roman" w:hAnsi="Times New Roman"/>
          <w:color w:val="000000"/>
          <w:sz w:val="24"/>
        </w:rPr>
        <w:t xml:space="preserve">    支腿c:F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=6.134+1.774+6.284cosβ-6.284sinβ</w:t>
      </w:r>
    </w:p>
    <w:p w14:paraId="14D3EDE1">
      <w:pPr>
        <w:spacing w:line="360" w:lineRule="auto"/>
      </w:pPr>
      <w:r>
        <w:rPr>
          <w:rFonts w:ascii="Times New Roman" w:hAnsi="Times New Roman"/>
          <w:color w:val="000000"/>
          <w:sz w:val="24"/>
        </w:rPr>
        <w:t xml:space="preserve">    支腿d:F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=9.966+1.242-6.284cosβ-6.284sinβ</w:t>
      </w:r>
    </w:p>
    <w:p w14:paraId="623F7252">
      <w:pPr>
        <w:spacing w:line="360" w:lineRule="auto"/>
        <w:ind w:firstLine="482"/>
      </w:pPr>
      <w:r>
        <w:rPr>
          <w:b/>
          <w:color w:val="000000"/>
          <w:sz w:val="24"/>
        </w:rPr>
        <w:t xml:space="preserve">   3）各吊装工况及最不利工况支腿荷载计算</w:t>
      </w:r>
    </w:p>
    <w:p w14:paraId="3711A9F4">
      <w:pPr>
        <w:spacing w:line="360" w:lineRule="auto"/>
        <w:ind w:firstLine="482"/>
      </w:pPr>
      <w:r>
        <w:rPr>
          <w:b/>
          <w:color w:val="000000"/>
          <w:sz w:val="24"/>
        </w:rPr>
        <w:t xml:space="preserve">     ①当β=0°时，此时吊物在起重机后方</w:t>
      </w:r>
    </w:p>
    <w:p w14:paraId="3BB1BA47">
      <w:pPr>
        <w:spacing w:line="360" w:lineRule="auto"/>
        <w:ind w:firstLine="560"/>
      </w:pPr>
      <w:r>
        <w:drawing>
          <wp:inline distT="0" distB="0" distL="0" distR="0">
            <wp:extent cx="5257800" cy="3171825"/>
            <wp:effectExtent l="0" t="0" r="0" b="9525"/>
            <wp:docPr id="4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 5"/>
                    <pic:cNvPicPr>
                      <a:picLocks noChangeAspect="1"/>
                    </pic:cNvPicPr>
                  </pic:nvPicPr>
                  <pic:blipFill>
                    <a:blip r:embed="rId26" cstate="print"/>
                    <a:stretch>
                      <a:fillRect/>
                    </a:stretch>
                  </pic:blipFill>
                  <pic:spPr>
                    <a:xfrm>
                      <a:off x="0" y="0"/>
                      <a:ext cx="5257800" cy="3171825"/>
                    </a:xfrm>
                    <a:prstGeom prst="rect">
                      <a:avLst/>
                    </a:prstGeom>
                  </pic:spPr>
                </pic:pic>
              </a:graphicData>
            </a:graphic>
          </wp:inline>
        </w:drawing>
      </w:r>
    </w:p>
    <w:p w14:paraId="06CF0B80">
      <w:pPr>
        <w:spacing w:line="360" w:lineRule="auto"/>
      </w:pPr>
      <w:r>
        <w:rPr>
          <w:color w:val="000000"/>
          <w:sz w:val="24"/>
        </w:rPr>
        <w:t xml:space="preserve">    </w:t>
      </w:r>
      <w:r>
        <w:rPr>
          <w:rFonts w:ascii="Times New Roman" w:hAnsi="Times New Roman"/>
          <w:color w:val="000000"/>
          <w:sz w:val="24"/>
        </w:rPr>
        <w:t>将β=0°代入得到：</w:t>
      </w:r>
    </w:p>
    <w:p w14:paraId="5C5F43C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=4.925吨，F</w:t>
      </w:r>
      <w:r>
        <w:rPr>
          <w:rFonts w:ascii="Times New Roman" w:hAnsi="Times New Roman"/>
          <w:color w:val="000000"/>
          <w:sz w:val="24"/>
          <w:vertAlign w:val="subscript"/>
        </w:rPr>
        <w:t>b</w:t>
      </w:r>
      <w:r>
        <w:rPr>
          <w:rFonts w:ascii="Times New Roman" w:hAnsi="Times New Roman"/>
          <w:color w:val="000000"/>
          <w:sz w:val="24"/>
        </w:rPr>
        <w:t>=14.191吨，F</w:t>
      </w:r>
      <w:r>
        <w:rPr>
          <w:rFonts w:ascii="Times New Roman" w:hAnsi="Times New Roman"/>
          <w:color w:val="000000"/>
          <w:sz w:val="24"/>
          <w:vertAlign w:val="subscript"/>
        </w:rPr>
        <w:t>c</w:t>
      </w:r>
      <w:r>
        <w:rPr>
          <w:rFonts w:ascii="Times New Roman" w:hAnsi="Times New Roman"/>
          <w:color w:val="000000"/>
          <w:sz w:val="24"/>
        </w:rPr>
        <w:t>=14.191吨，F</w:t>
      </w:r>
      <w:r>
        <w:rPr>
          <w:rFonts w:ascii="Times New Roman" w:hAnsi="Times New Roman"/>
          <w:color w:val="000000"/>
          <w:sz w:val="24"/>
          <w:vertAlign w:val="subscript"/>
        </w:rPr>
        <w:t>d</w:t>
      </w:r>
      <w:r>
        <w:rPr>
          <w:rFonts w:ascii="Times New Roman" w:hAnsi="Times New Roman"/>
          <w:color w:val="000000"/>
          <w:sz w:val="24"/>
        </w:rPr>
        <w:t>=4.925吨</w:t>
      </w:r>
    </w:p>
    <w:p w14:paraId="6F6511ED">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)=max(4.925、14.191、14.191、4.925)=14.191吨</w:t>
      </w:r>
    </w:p>
    <w:p w14:paraId="480B19B1">
      <w:pPr>
        <w:spacing w:line="360" w:lineRule="auto"/>
        <w:ind w:left="0" w:leftChars="0" w:firstLine="0" w:firstLineChars="0"/>
      </w:pPr>
      <w:r>
        <w:rPr>
          <w:b/>
          <w:color w:val="000000"/>
          <w:sz w:val="24"/>
        </w:rPr>
        <w:t xml:space="preserve">     ②当β=90°时，此时吊物在起重机侧方</w:t>
      </w:r>
    </w:p>
    <w:p w14:paraId="6CE5675A">
      <w:pPr>
        <w:spacing w:line="360" w:lineRule="auto"/>
        <w:ind w:firstLine="0" w:firstLineChars="0"/>
        <w:jc w:val="center"/>
      </w:pPr>
      <w:r>
        <w:drawing>
          <wp:inline distT="0" distB="0" distL="0" distR="0">
            <wp:extent cx="5505450" cy="3790950"/>
            <wp:effectExtent l="0" t="0" r="0" b="0"/>
            <wp:docPr id="4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 6"/>
                    <pic:cNvPicPr>
                      <a:picLocks noChangeAspect="1"/>
                    </pic:cNvPicPr>
                  </pic:nvPicPr>
                  <pic:blipFill>
                    <a:blip r:embed="rId29" cstate="print"/>
                    <a:stretch>
                      <a:fillRect/>
                    </a:stretch>
                  </pic:blipFill>
                  <pic:spPr>
                    <a:xfrm>
                      <a:off x="0" y="0"/>
                      <a:ext cx="5505450" cy="3790950"/>
                    </a:xfrm>
                    <a:prstGeom prst="rect">
                      <a:avLst/>
                    </a:prstGeom>
                  </pic:spPr>
                </pic:pic>
              </a:graphicData>
            </a:graphic>
          </wp:inline>
        </w:drawing>
      </w:r>
    </w:p>
    <w:p w14:paraId="5174E254">
      <w:pPr>
        <w:spacing w:line="360" w:lineRule="auto"/>
      </w:pPr>
      <w:r>
        <w:rPr>
          <w:color w:val="000000"/>
          <w:sz w:val="24"/>
        </w:rPr>
        <w:t xml:space="preserve">    </w:t>
      </w:r>
      <w:r>
        <w:rPr>
          <w:rFonts w:ascii="Times New Roman" w:hAnsi="Times New Roman"/>
          <w:color w:val="000000"/>
          <w:sz w:val="24"/>
        </w:rPr>
        <w:t>将β=90°代入得到：</w:t>
      </w:r>
    </w:p>
    <w:p w14:paraId="4C541FA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=17.492吨，F</w:t>
      </w:r>
      <w:r>
        <w:rPr>
          <w:rFonts w:ascii="Times New Roman" w:hAnsi="Times New Roman"/>
          <w:color w:val="000000"/>
          <w:sz w:val="24"/>
          <w:vertAlign w:val="subscript"/>
        </w:rPr>
        <w:t>b</w:t>
      </w:r>
      <w:r>
        <w:rPr>
          <w:rFonts w:ascii="Times New Roman" w:hAnsi="Times New Roman"/>
          <w:color w:val="000000"/>
          <w:sz w:val="24"/>
        </w:rPr>
        <w:t>=14.191吨，F</w:t>
      </w:r>
      <w:r>
        <w:rPr>
          <w:rFonts w:ascii="Times New Roman" w:hAnsi="Times New Roman"/>
          <w:color w:val="000000"/>
          <w:sz w:val="24"/>
          <w:vertAlign w:val="subscript"/>
        </w:rPr>
        <w:t>c</w:t>
      </w:r>
      <w:r>
        <w:rPr>
          <w:rFonts w:ascii="Times New Roman" w:hAnsi="Times New Roman"/>
          <w:color w:val="000000"/>
          <w:sz w:val="24"/>
        </w:rPr>
        <w:t>=1.624吨，F</w:t>
      </w:r>
      <w:r>
        <w:rPr>
          <w:rFonts w:ascii="Times New Roman" w:hAnsi="Times New Roman"/>
          <w:color w:val="000000"/>
          <w:sz w:val="24"/>
          <w:vertAlign w:val="subscript"/>
        </w:rPr>
        <w:t>d</w:t>
      </w:r>
      <w:r>
        <w:rPr>
          <w:rFonts w:ascii="Times New Roman" w:hAnsi="Times New Roman"/>
          <w:color w:val="000000"/>
          <w:sz w:val="24"/>
        </w:rPr>
        <w:t>=4.925吨</w:t>
      </w:r>
    </w:p>
    <w:p w14:paraId="4B09F8DD">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)=max(17.492、14.191、1.624、4.925)=17.492吨</w:t>
      </w:r>
    </w:p>
    <w:p w14:paraId="093C74FA">
      <w:pPr>
        <w:spacing w:line="360" w:lineRule="auto"/>
        <w:ind w:left="0" w:leftChars="0" w:firstLine="0" w:firstLineChars="0"/>
      </w:pPr>
      <w:r>
        <w:rPr>
          <w:b/>
          <w:color w:val="000000"/>
          <w:sz w:val="24"/>
        </w:rPr>
        <w:t xml:space="preserve">     ③起重臂位于支腿b方向工况</w:t>
      </w:r>
    </w:p>
    <w:p w14:paraId="6F6060F3">
      <w:pPr>
        <w:spacing w:line="360" w:lineRule="auto"/>
        <w:ind w:firstLine="0" w:firstLineChars="0"/>
      </w:pPr>
      <w:r>
        <w:drawing>
          <wp:inline distT="0" distB="0" distL="0" distR="0">
            <wp:extent cx="5706110" cy="3448050"/>
            <wp:effectExtent l="0" t="0" r="8890" b="0"/>
            <wp:docPr id="48"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 7"/>
                    <pic:cNvPicPr>
                      <a:picLocks noChangeAspect="1"/>
                    </pic:cNvPicPr>
                  </pic:nvPicPr>
                  <pic:blipFill>
                    <a:blip r:embed="rId30" cstate="print"/>
                    <a:stretch>
                      <a:fillRect/>
                    </a:stretch>
                  </pic:blipFill>
                  <pic:spPr>
                    <a:xfrm>
                      <a:off x="0" y="0"/>
                      <a:ext cx="5706110" cy="3448050"/>
                    </a:xfrm>
                    <a:prstGeom prst="rect">
                      <a:avLst/>
                    </a:prstGeom>
                  </pic:spPr>
                </pic:pic>
              </a:graphicData>
            </a:graphic>
          </wp:inline>
        </w:drawing>
      </w:r>
    </w:p>
    <w:p w14:paraId="11857632">
      <w:pPr>
        <w:spacing w:line="360" w:lineRule="auto"/>
      </w:pPr>
      <w:r>
        <w:rPr>
          <w:color w:val="000000"/>
          <w:sz w:val="24"/>
        </w:rPr>
        <w:t xml:space="preserve">    </w:t>
      </w:r>
      <w:r>
        <w:rPr>
          <w:rFonts w:ascii="Times New Roman" w:hAnsi="Times New Roman"/>
          <w:color w:val="000000"/>
          <w:sz w:val="24"/>
        </w:rPr>
        <w:t>当β=55.797°时，起重臂在支腿b方向，此时：</w:t>
      </w:r>
    </w:p>
    <w:p w14:paraId="05E9E703">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=12.873吨，F</w:t>
      </w:r>
      <w:r>
        <w:rPr>
          <w:rFonts w:ascii="Times New Roman" w:hAnsi="Times New Roman"/>
          <w:color w:val="000000"/>
          <w:sz w:val="24"/>
          <w:vertAlign w:val="subscript"/>
        </w:rPr>
        <w:t>b</w:t>
      </w:r>
      <w:r>
        <w:rPr>
          <w:rFonts w:ascii="Times New Roman" w:hAnsi="Times New Roman"/>
          <w:color w:val="000000"/>
          <w:sz w:val="24"/>
        </w:rPr>
        <w:t>=16.637吨，F</w:t>
      </w:r>
      <w:r>
        <w:rPr>
          <w:rFonts w:ascii="Times New Roman" w:hAnsi="Times New Roman"/>
          <w:color w:val="000000"/>
          <w:sz w:val="24"/>
          <w:vertAlign w:val="subscript"/>
        </w:rPr>
        <w:t>c</w:t>
      </w:r>
      <w:r>
        <w:rPr>
          <w:rFonts w:ascii="Times New Roman" w:hAnsi="Times New Roman"/>
          <w:color w:val="000000"/>
          <w:sz w:val="24"/>
        </w:rPr>
        <w:t>=6.243吨，F</w:t>
      </w:r>
      <w:r>
        <w:rPr>
          <w:rFonts w:ascii="Times New Roman" w:hAnsi="Times New Roman"/>
          <w:color w:val="000000"/>
          <w:sz w:val="24"/>
          <w:vertAlign w:val="subscript"/>
        </w:rPr>
        <w:t>d</w:t>
      </w:r>
      <w:r>
        <w:rPr>
          <w:rFonts w:ascii="Times New Roman" w:hAnsi="Times New Roman"/>
          <w:color w:val="000000"/>
          <w:sz w:val="24"/>
        </w:rPr>
        <w:t>=2.479吨</w:t>
      </w:r>
    </w:p>
    <w:p w14:paraId="01180465">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)=max(12.873、16.637、6.243、2.479)=16.637吨</w:t>
      </w:r>
    </w:p>
    <w:p w14:paraId="1B1293F2">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)=max(14.191，17.492，16.637)=17.492吨</w:t>
      </w:r>
    </w:p>
    <w:p w14:paraId="256FA546">
      <w:pPr>
        <w:spacing w:line="360" w:lineRule="auto"/>
        <w:ind w:firstLine="562"/>
      </w:pPr>
      <w:r>
        <w:rPr>
          <w:b/>
          <w:color w:val="000000"/>
        </w:rPr>
        <w:t xml:space="preserve"> 三、地基基础验算</w:t>
      </w:r>
    </w:p>
    <w:p w14:paraId="47242B7F">
      <w:pPr>
        <w:spacing w:line="360" w:lineRule="auto"/>
        <w:ind w:firstLine="482"/>
      </w:pPr>
      <w:r>
        <w:rPr>
          <w:b/>
          <w:color w:val="000000"/>
          <w:sz w:val="24"/>
        </w:rPr>
        <w:t xml:space="preserve">  1、地基参数</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69872CE2">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1A58266">
            <w:pPr>
              <w:spacing w:line="360" w:lineRule="auto"/>
              <w:ind w:firstLine="360"/>
            </w:pPr>
            <w:r>
              <w:rPr>
                <w:color w:val="000000"/>
                <w:sz w:val="18"/>
              </w:rPr>
              <w:t>单根支腿受力面积A</w:t>
            </w:r>
            <w:r>
              <w:rPr>
                <w:color w:val="000000"/>
                <w:sz w:val="24"/>
                <w:vertAlign w:val="subscript"/>
              </w:rPr>
              <w:t>d1</w:t>
            </w:r>
            <w:r>
              <w:rPr>
                <w:color w:val="000000"/>
                <w:sz w:val="18"/>
              </w:rPr>
              <w:t>(m</w:t>
            </w:r>
            <w:r>
              <w:rPr>
                <w:color w:val="000000"/>
                <w:sz w:val="24"/>
                <w:vertAlign w:val="superscript"/>
              </w:rPr>
              <w:t>2</w:t>
            </w:r>
            <w:r>
              <w:rPr>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5886609">
            <w:pPr>
              <w:spacing w:line="360" w:lineRule="auto"/>
              <w:ind w:firstLine="360"/>
            </w:pPr>
            <w:r>
              <w:rPr>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CBF3F15">
            <w:pPr>
              <w:spacing w:line="360" w:lineRule="auto"/>
              <w:ind w:firstLine="360"/>
            </w:pPr>
            <w:r>
              <w:rPr>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FE40455">
            <w:pPr>
              <w:spacing w:line="360" w:lineRule="auto"/>
              <w:ind w:firstLine="360"/>
            </w:pPr>
            <w:r>
              <w:rPr>
                <w:color w:val="000000"/>
                <w:sz w:val="18"/>
              </w:rPr>
              <w:t>素填土</w:t>
            </w:r>
          </w:p>
        </w:tc>
      </w:tr>
      <w:tr w14:paraId="2A0D778D">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1D1CB9F">
            <w:pPr>
              <w:spacing w:line="360" w:lineRule="auto"/>
              <w:ind w:firstLine="360"/>
            </w:pPr>
            <w:r>
              <w:rPr>
                <w:color w:val="000000"/>
                <w:sz w:val="18"/>
              </w:rPr>
              <w:t>地基承载力特征值fak(kPa)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687D4D5A">
            <w:pPr>
              <w:spacing w:line="360" w:lineRule="auto"/>
              <w:ind w:firstLine="360"/>
            </w:pPr>
            <w:r>
              <w:rPr>
                <w:color w:val="000000"/>
                <w:sz w:val="18"/>
              </w:rPr>
              <w:t>135</w:t>
            </w:r>
          </w:p>
        </w:tc>
      </w:tr>
    </w:tbl>
    <w:p w14:paraId="27A84D87">
      <w:pPr>
        <w:spacing w:line="360" w:lineRule="auto"/>
      </w:pPr>
      <w:r>
        <w:rPr>
          <w:color w:val="000000"/>
          <w:sz w:val="24"/>
        </w:rPr>
        <w:t xml:space="preserve">   </w:t>
      </w:r>
      <w:r>
        <w:rPr>
          <w:rFonts w:ascii="Times New Roman" w:hAnsi="Times New Roman"/>
          <w:color w:val="000000"/>
          <w:sz w:val="24"/>
        </w:rPr>
        <w:t>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=9.8×17.492=171.426kN</w:t>
      </w:r>
    </w:p>
    <w:p w14:paraId="37983BEE">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=171.426/2.25=76.189kPa≤f</w:t>
      </w:r>
      <w:r>
        <w:rPr>
          <w:rFonts w:ascii="Times New Roman" w:hAnsi="Times New Roman"/>
          <w:color w:val="000000"/>
          <w:sz w:val="24"/>
          <w:vertAlign w:val="subscript"/>
        </w:rPr>
        <w:t>ak</w:t>
      </w:r>
      <w:r>
        <w:rPr>
          <w:rFonts w:ascii="Times New Roman" w:hAnsi="Times New Roman"/>
          <w:color w:val="000000"/>
          <w:sz w:val="24"/>
        </w:rPr>
        <w:t>=135kPa</w:t>
      </w:r>
    </w:p>
    <w:p w14:paraId="281E19FD">
      <w:pPr>
        <w:spacing w:line="360" w:lineRule="auto"/>
        <w:ind w:firstLine="480"/>
      </w:pPr>
      <w:r>
        <w:rPr>
          <w:color w:val="008000"/>
          <w:sz w:val="24"/>
        </w:rPr>
        <w:t xml:space="preserve">    满足要求！</w:t>
      </w:r>
    </w:p>
    <w:p w14:paraId="25D7C9D7">
      <w:pPr>
        <w:spacing w:line="360" w:lineRule="auto"/>
        <w:ind w:firstLine="562"/>
      </w:pPr>
      <w:r>
        <w:rPr>
          <w:b/>
          <w:color w:val="000000"/>
        </w:rPr>
        <w:t xml:space="preserve"> 四、汽车式起重机抗倾覆计算</w:t>
      </w:r>
    </w:p>
    <w:p w14:paraId="62670928">
      <w:pPr>
        <w:spacing w:line="360" w:lineRule="auto"/>
        <w:ind w:firstLine="480"/>
      </w:pPr>
      <w:r>
        <w:rPr>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25D72B62">
      <w:pPr>
        <w:spacing w:line="360" w:lineRule="auto"/>
        <w:ind w:firstLine="482"/>
      </w:pPr>
      <w:r>
        <w:rPr>
          <w:b/>
          <w:color w:val="000000"/>
          <w:sz w:val="24"/>
        </w:rPr>
        <w:t xml:space="preserve">  1、吊物在起重机后方时</w:t>
      </w:r>
    </w:p>
    <w:p w14:paraId="35952D44">
      <w:pPr>
        <w:spacing w:line="360" w:lineRule="auto"/>
      </w:pPr>
      <w:r>
        <w:rPr>
          <w:color w:val="000000"/>
          <w:sz w:val="24"/>
        </w:rPr>
        <w:t xml:space="preserve">    </w:t>
      </w:r>
      <w:r>
        <w:rPr>
          <w:rFonts w:ascii="Times New Roman" w:hAnsi="Times New Roman"/>
          <w:color w:val="000000"/>
          <w:sz w:val="24"/>
        </w:rPr>
        <w:t>参考起重机支腿力计算章节，吊物在起重机后方时取β=0°，同时将吊重产生的倾覆力矩乘以k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=3.917吨，F</w:t>
      </w:r>
      <w:r>
        <w:rPr>
          <w:rFonts w:ascii="Times New Roman" w:hAnsi="Times New Roman"/>
          <w:color w:val="000000"/>
          <w:sz w:val="24"/>
          <w:vertAlign w:val="subscript"/>
        </w:rPr>
        <w:t>b</w:t>
      </w:r>
      <w:r>
        <w:rPr>
          <w:rFonts w:ascii="Times New Roman" w:hAnsi="Times New Roman"/>
          <w:color w:val="000000"/>
          <w:sz w:val="24"/>
        </w:rPr>
        <w:t>=15.803吨，F</w:t>
      </w:r>
      <w:r>
        <w:rPr>
          <w:rFonts w:ascii="Times New Roman" w:hAnsi="Times New Roman"/>
          <w:color w:val="000000"/>
          <w:sz w:val="24"/>
          <w:vertAlign w:val="subscript"/>
        </w:rPr>
        <w:t>c</w:t>
      </w:r>
      <w:r>
        <w:rPr>
          <w:rFonts w:ascii="Times New Roman" w:hAnsi="Times New Roman"/>
          <w:color w:val="000000"/>
          <w:sz w:val="24"/>
        </w:rPr>
        <w:t>=15.803吨，F</w:t>
      </w:r>
      <w:r>
        <w:rPr>
          <w:rFonts w:ascii="Times New Roman" w:hAnsi="Times New Roman"/>
          <w:color w:val="000000"/>
          <w:sz w:val="24"/>
          <w:vertAlign w:val="subscript"/>
        </w:rPr>
        <w:t>d</w:t>
      </w:r>
      <w:r>
        <w:rPr>
          <w:rFonts w:ascii="Times New Roman" w:hAnsi="Times New Roman"/>
          <w:color w:val="000000"/>
          <w:sz w:val="24"/>
        </w:rPr>
        <w:t>=3.917吨。</w:t>
      </w:r>
    </w:p>
    <w:p w14:paraId="094A822D">
      <w:pPr>
        <w:spacing w:line="360" w:lineRule="auto"/>
      </w:pPr>
      <w:r>
        <w:rPr>
          <w:rFonts w:ascii="Times New Roman" w:hAnsi="Times New Roman"/>
          <w:color w:val="000000"/>
          <w:sz w:val="24"/>
        </w:rPr>
        <w:t xml:space="preserve">    没有出现支腿荷载为负数。</w:t>
      </w:r>
    </w:p>
    <w:p w14:paraId="345E9C60">
      <w:pPr>
        <w:spacing w:line="360" w:lineRule="auto"/>
        <w:ind w:firstLine="480"/>
      </w:pPr>
      <w:r>
        <w:rPr>
          <w:color w:val="008000"/>
          <w:sz w:val="24"/>
        </w:rPr>
        <w:t xml:space="preserve">    抗倾覆满足要求！</w:t>
      </w:r>
    </w:p>
    <w:p w14:paraId="2CA1D443">
      <w:pPr>
        <w:spacing w:line="360" w:lineRule="auto"/>
        <w:ind w:firstLine="482"/>
      </w:pPr>
      <w:r>
        <w:rPr>
          <w:b/>
          <w:color w:val="000000"/>
          <w:sz w:val="24"/>
        </w:rPr>
        <w:t xml:space="preserve">  2、吊物在起重机侧方时</w:t>
      </w:r>
    </w:p>
    <w:p w14:paraId="1260FE3E">
      <w:pPr>
        <w:spacing w:line="360" w:lineRule="auto"/>
      </w:pPr>
      <w:r>
        <w:rPr>
          <w:color w:val="000000"/>
          <w:sz w:val="24"/>
        </w:rPr>
        <w:t xml:space="preserve">    </w:t>
      </w:r>
      <w:r>
        <w:rPr>
          <w:rFonts w:ascii="Times New Roman" w:hAnsi="Times New Roman"/>
          <w:color w:val="000000"/>
          <w:sz w:val="24"/>
        </w:rPr>
        <w:t xml:space="preserve">  参考起重机支腿力计算章节，吊物在起重机侧方时取β=90°，同时将吊重产生的倾覆力矩乘以k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=16.582吨，F</w:t>
      </w:r>
      <w:r>
        <w:rPr>
          <w:rFonts w:ascii="Times New Roman" w:hAnsi="Times New Roman"/>
          <w:color w:val="000000"/>
          <w:sz w:val="24"/>
          <w:vertAlign w:val="subscript"/>
        </w:rPr>
        <w:t>b</w:t>
      </w:r>
      <w:r>
        <w:rPr>
          <w:rFonts w:ascii="Times New Roman" w:hAnsi="Times New Roman"/>
          <w:color w:val="000000"/>
          <w:sz w:val="24"/>
        </w:rPr>
        <w:t>=15.579吨，F</w:t>
      </w:r>
      <w:r>
        <w:rPr>
          <w:rFonts w:ascii="Times New Roman" w:hAnsi="Times New Roman"/>
          <w:color w:val="000000"/>
          <w:sz w:val="24"/>
          <w:vertAlign w:val="subscript"/>
        </w:rPr>
        <w:t>c</w:t>
      </w:r>
      <w:r>
        <w:rPr>
          <w:rFonts w:ascii="Times New Roman" w:hAnsi="Times New Roman"/>
          <w:color w:val="000000"/>
          <w:sz w:val="24"/>
        </w:rPr>
        <w:t>=0.946吨，F</w:t>
      </w:r>
      <w:r>
        <w:rPr>
          <w:rFonts w:ascii="Times New Roman" w:hAnsi="Times New Roman"/>
          <w:color w:val="000000"/>
          <w:sz w:val="24"/>
          <w:vertAlign w:val="subscript"/>
        </w:rPr>
        <w:t>d</w:t>
      </w:r>
      <w:r>
        <w:rPr>
          <w:rFonts w:ascii="Times New Roman" w:hAnsi="Times New Roman"/>
          <w:color w:val="000000"/>
          <w:sz w:val="24"/>
        </w:rPr>
        <w:t>=6.332吨。</w:t>
      </w:r>
    </w:p>
    <w:p w14:paraId="2D4A25C5">
      <w:pPr>
        <w:spacing w:line="360" w:lineRule="auto"/>
      </w:pPr>
      <w:r>
        <w:rPr>
          <w:rFonts w:ascii="Times New Roman" w:hAnsi="Times New Roman"/>
          <w:color w:val="000000"/>
          <w:sz w:val="24"/>
        </w:rPr>
        <w:t xml:space="preserve">    没有出现支腿荷载为负数。</w:t>
      </w:r>
    </w:p>
    <w:p w14:paraId="119937D3">
      <w:pPr>
        <w:spacing w:line="360" w:lineRule="auto"/>
        <w:ind w:firstLine="480"/>
      </w:pPr>
      <w:r>
        <w:rPr>
          <w:color w:val="008000"/>
          <w:sz w:val="24"/>
        </w:rPr>
        <w:t xml:space="preserve">    抗倾覆满足要求！</w:t>
      </w:r>
    </w:p>
    <w:p w14:paraId="3DFF415D">
      <w:pPr>
        <w:spacing w:line="360" w:lineRule="auto"/>
        <w:ind w:firstLine="560"/>
      </w:pPr>
    </w:p>
    <w:p w14:paraId="047B70F8">
      <w:pPr>
        <w:ind w:firstLine="560"/>
      </w:pPr>
    </w:p>
    <w:p w14:paraId="0EA987F4">
      <w:pPr>
        <w:pStyle w:val="2"/>
        <w:ind w:right="1960"/>
        <w:rPr>
          <w:rFonts w:hint="eastAsia"/>
          <w:color w:val="000000"/>
        </w:rPr>
      </w:pPr>
      <w:bookmarkStart w:id="254" w:name="_Toc16506"/>
      <w:bookmarkStart w:id="255" w:name="_Toc14360"/>
      <w:bookmarkStart w:id="256" w:name="_Toc3319"/>
      <w:bookmarkStart w:id="257" w:name="_Toc9309"/>
      <w:bookmarkStart w:id="258" w:name="_Toc10672"/>
      <w:bookmarkStart w:id="259" w:name="_Toc29110"/>
      <w:bookmarkStart w:id="260" w:name="_Toc1524"/>
      <w:r>
        <w:rPr>
          <w:rFonts w:hint="eastAsia"/>
          <w:color w:val="000000"/>
        </w:rPr>
        <w:t xml:space="preserve">          </w:t>
      </w:r>
      <w:bookmarkStart w:id="261" w:name="_Toc13242"/>
      <w:r>
        <w:rPr>
          <w:rFonts w:hint="eastAsia"/>
          <w:color w:val="000000"/>
        </w:rPr>
        <w:t>第五章 XGT6015A-8S安装施工方案</w:t>
      </w:r>
      <w:bookmarkEnd w:id="261"/>
    </w:p>
    <w:p w14:paraId="70B25A9A">
      <w:pPr>
        <w:ind w:left="0" w:leftChars="0" w:firstLine="0" w:firstLineChars="0"/>
        <w:jc w:val="center"/>
        <w:rPr>
          <w:rFonts w:hint="default" w:ascii="黑体" w:hAnsi="黑体" w:eastAsia="黑体" w:cs="仿宋"/>
          <w:color w:val="000000"/>
          <w:kern w:val="44"/>
          <w:sz w:val="32"/>
          <w:szCs w:val="28"/>
          <w:lang w:val="en-US" w:eastAsia="zh-CN" w:bidi="ar-SA"/>
        </w:rPr>
      </w:pPr>
      <w:r>
        <w:rPr>
          <w:rFonts w:hint="eastAsia" w:ascii="黑体" w:hAnsi="黑体" w:eastAsia="黑体" w:cs="仿宋"/>
          <w:color w:val="000000"/>
          <w:kern w:val="44"/>
          <w:sz w:val="32"/>
          <w:szCs w:val="28"/>
          <w:lang w:val="en-US" w:eastAsia="zh-CN" w:bidi="ar-SA"/>
        </w:rPr>
        <w:t>（以284#塔式起重机为例）</w:t>
      </w:r>
    </w:p>
    <w:bookmarkEnd w:id="254"/>
    <w:bookmarkEnd w:id="255"/>
    <w:bookmarkEnd w:id="256"/>
    <w:bookmarkEnd w:id="257"/>
    <w:bookmarkEnd w:id="258"/>
    <w:bookmarkEnd w:id="259"/>
    <w:bookmarkEnd w:id="260"/>
    <w:p w14:paraId="18D1556A">
      <w:pPr>
        <w:pStyle w:val="3"/>
      </w:pPr>
      <w:bookmarkStart w:id="262" w:name="_Toc525111828"/>
      <w:bookmarkStart w:id="263" w:name="_Toc26544_WPSOffice_Level2"/>
      <w:bookmarkStart w:id="264" w:name="_Toc8978"/>
      <w:bookmarkStart w:id="265" w:name="_Toc4906"/>
      <w:bookmarkStart w:id="266" w:name="_Toc31742"/>
      <w:bookmarkStart w:id="267" w:name="_Toc14104"/>
      <w:bookmarkStart w:id="268" w:name="_Toc2298_WPSOffice_Level2"/>
      <w:bookmarkStart w:id="269" w:name="_Toc3277"/>
      <w:r>
        <w:rPr>
          <w:rFonts w:hint="eastAsia"/>
        </w:rPr>
        <w:t>5.1塔机安装</w:t>
      </w:r>
      <w:bookmarkEnd w:id="262"/>
      <w:r>
        <w:rPr>
          <w:rFonts w:hint="eastAsia"/>
        </w:rPr>
        <w:t>流程</w:t>
      </w:r>
      <w:bookmarkEnd w:id="263"/>
      <w:bookmarkEnd w:id="264"/>
      <w:bookmarkEnd w:id="265"/>
      <w:bookmarkEnd w:id="266"/>
      <w:bookmarkEnd w:id="267"/>
      <w:bookmarkEnd w:id="268"/>
      <w:bookmarkEnd w:id="269"/>
    </w:p>
    <w:p w14:paraId="31C678B5">
      <w:pPr>
        <w:pStyle w:val="4"/>
      </w:pPr>
      <w:r>
        <w:rPr>
          <w:rFonts w:hint="eastAsia"/>
        </w:rPr>
        <w:t>5.1.1  XGT6015A-8S塔机安装流程</w:t>
      </w:r>
    </w:p>
    <w:p w14:paraId="2611903F">
      <w:pPr>
        <w:ind w:firstLine="560"/>
      </w:pPr>
      <w:r>
        <w:rPr>
          <w:rFonts w:hint="eastAsia"/>
          <w:color w:val="000000"/>
        </w:rPr>
        <w:t>安装工艺流程:</w:t>
      </w:r>
      <w:r>
        <w:t>吊装1节基础节及</w:t>
      </w:r>
      <w:r>
        <w:rPr>
          <w:rFonts w:hint="eastAsia"/>
        </w:rPr>
        <w:t>1</w:t>
      </w:r>
      <w:r>
        <w:t>节标准节→吊装爬升架→安装</w:t>
      </w:r>
      <w:r>
        <w:rPr>
          <w:rFonts w:hint="eastAsia"/>
        </w:rPr>
        <w:t>特殊节</w:t>
      </w:r>
      <w:r>
        <w:t>→</w:t>
      </w:r>
      <w:r>
        <w:rPr>
          <w:rFonts w:hint="eastAsia"/>
        </w:rPr>
        <w:t>安装回转总成→电工接线</w:t>
      </w:r>
      <w:r>
        <w:t>→安装</w:t>
      </w:r>
      <w:r>
        <w:rPr>
          <w:rFonts w:hint="eastAsia"/>
        </w:rPr>
        <w:t>起重臂根节</w:t>
      </w:r>
      <w:r>
        <w:t>→安装平衡臂总成→吊装</w:t>
      </w:r>
      <w:r>
        <w:rPr>
          <w:rFonts w:hint="eastAsia"/>
        </w:rPr>
        <w:t>2</w:t>
      </w:r>
      <w:r>
        <w:t>块3.</w:t>
      </w:r>
      <w:r>
        <w:rPr>
          <w:rFonts w:hint="eastAsia"/>
        </w:rPr>
        <w:t>2</w:t>
      </w:r>
      <w:r>
        <w:t>t配重→安装</w:t>
      </w:r>
      <w:r>
        <w:rPr>
          <w:rFonts w:hint="eastAsia"/>
        </w:rPr>
        <w:t>剩余</w:t>
      </w:r>
      <w:r>
        <w:t>起重臂总成→配装剩余平衡重→电工接线→钢丝绳穿绕→电气安全保护装置调整→试运转空载荷和负载荷实验→顶升加节→验收→合格后投入使用</w:t>
      </w:r>
      <w:r>
        <w:rPr>
          <w:rFonts w:hint="eastAsia"/>
        </w:rPr>
        <w:t>。</w:t>
      </w:r>
    </w:p>
    <w:p w14:paraId="0AD78839">
      <w:pPr>
        <w:pStyle w:val="3"/>
      </w:pPr>
      <w:bookmarkStart w:id="270" w:name="_Toc20704"/>
      <w:r>
        <w:rPr>
          <w:rFonts w:hint="eastAsia"/>
        </w:rPr>
        <w:t>5.2安装前准备工作</w:t>
      </w:r>
      <w:bookmarkEnd w:id="16"/>
      <w:bookmarkEnd w:id="17"/>
      <w:bookmarkEnd w:id="270"/>
    </w:p>
    <w:p w14:paraId="0991A330">
      <w:pPr>
        <w:autoSpaceDE w:val="0"/>
        <w:autoSpaceDN w:val="0"/>
        <w:adjustRightInd w:val="0"/>
        <w:ind w:firstLine="560"/>
        <w:rPr>
          <w:rFonts w:ascii="宋体" w:hAnsi="宋体" w:cs="宋体"/>
          <w:color w:val="1E1C11" w:themeColor="background2" w:themeShade="1A"/>
          <w:kern w:val="0"/>
        </w:rPr>
      </w:pPr>
      <w:bookmarkStart w:id="271" w:name="_Toc14060"/>
      <w:bookmarkStart w:id="272" w:name="_Toc9330"/>
      <w:bookmarkStart w:id="273" w:name="_Toc27181"/>
      <w:bookmarkStart w:id="274" w:name="_Toc23602"/>
      <w:bookmarkStart w:id="275" w:name="_Toc18971"/>
      <w:bookmarkStart w:id="276" w:name="_Toc12209"/>
      <w:r>
        <w:rPr>
          <w:rFonts w:hint="eastAsia" w:ascii="宋体" w:hAnsi="宋体" w:cs="宋体"/>
          <w:color w:val="1E1C11" w:themeColor="background2" w:themeShade="1A"/>
          <w:kern w:val="0"/>
        </w:rPr>
        <w:t>1．由塔机使用单位对施工现场的道路进行铺设与平整，并清除障碍等。</w:t>
      </w:r>
    </w:p>
    <w:p w14:paraId="332E2FE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2．由塔机使用单位与塔机安装技术负责人按基础制作的技术要求共同对塔机砼基础进行验收。</w:t>
      </w:r>
    </w:p>
    <w:p w14:paraId="0DF12F2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3．由塔机质检人员对塔机进行检查，检查内容如下：</w:t>
      </w:r>
    </w:p>
    <w:p w14:paraId="78AAAA6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A.钢结构件有无严重锈蚀变形开裂与脱焊；</w:t>
      </w:r>
    </w:p>
    <w:p w14:paraId="46583D4F">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B.钢丝绳是否牢固可靠，完好状态是否符合要求，绳扎头是否可靠；</w:t>
      </w:r>
    </w:p>
    <w:p w14:paraId="4234DE55">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C.各电路及电气元件是否正常；</w:t>
      </w:r>
    </w:p>
    <w:p w14:paraId="01424C8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D.爬升机构导向轮是否转动灵活，与塔机间隙是否符合要求</w:t>
      </w:r>
    </w:p>
    <w:p w14:paraId="677EB53A">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E.顶升液压装置是否正常；</w:t>
      </w:r>
    </w:p>
    <w:p w14:paraId="02FB5847">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F.转场塔机安装前应认真进行检修、保养，对变形件及时修复，必要时全机涂装油漆。</w:t>
      </w:r>
    </w:p>
    <w:p w14:paraId="7F76517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4．按要求做好人员的组织工作。</w:t>
      </w:r>
    </w:p>
    <w:p w14:paraId="791F37F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5．要求做好常用工具、索具及材料的配备。</w:t>
      </w:r>
    </w:p>
    <w:p w14:paraId="3DB3D0E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6．由技术负责人对全体作业人员进行技术交底。</w:t>
      </w:r>
    </w:p>
    <w:p w14:paraId="36613E3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7．由安全员对全体作业人员进行安全交底。</w:t>
      </w:r>
    </w:p>
    <w:p w14:paraId="4B9C0B09">
      <w:pPr>
        <w:autoSpaceDE w:val="0"/>
        <w:autoSpaceDN w:val="0"/>
        <w:adjustRightInd w:val="0"/>
        <w:ind w:firstLine="560"/>
        <w:rPr>
          <w:color w:val="000000"/>
        </w:rPr>
      </w:pPr>
      <w:r>
        <w:rPr>
          <w:rFonts w:hint="eastAsia" w:ascii="宋体" w:hAnsi="宋体" w:cs="宋体"/>
          <w:color w:val="1E1C11" w:themeColor="background2" w:themeShade="1A"/>
          <w:kern w:val="0"/>
        </w:rPr>
        <w:t>8.明确分工职责，持证上岗，作业过程中做好安全防护。</w:t>
      </w:r>
      <w:r>
        <w:rPr>
          <w:rFonts w:hint="eastAsia"/>
          <w:color w:val="000000"/>
        </w:rPr>
        <w:br w:type="page"/>
      </w:r>
    </w:p>
    <w:p w14:paraId="3C603050">
      <w:pPr>
        <w:pStyle w:val="3"/>
      </w:pPr>
      <w:bookmarkStart w:id="277" w:name="_Toc51"/>
      <w:r>
        <w:rPr>
          <w:rFonts w:hint="eastAsia"/>
        </w:rPr>
        <w:t>5.3 XGT6015A-8S塔机主机安装过程</w:t>
      </w:r>
      <w:bookmarkEnd w:id="271"/>
      <w:bookmarkEnd w:id="272"/>
      <w:bookmarkEnd w:id="273"/>
      <w:bookmarkEnd w:id="274"/>
      <w:bookmarkEnd w:id="275"/>
      <w:bookmarkEnd w:id="276"/>
      <w:bookmarkEnd w:id="277"/>
    </w:p>
    <w:p w14:paraId="512A30F2">
      <w:pPr>
        <w:autoSpaceDE w:val="0"/>
        <w:autoSpaceDN w:val="0"/>
        <w:adjustRightInd w:val="0"/>
        <w:ind w:firstLine="560"/>
        <w:rPr>
          <w:rFonts w:ascii="宋体" w:hAnsi="宋体" w:cs="宋体"/>
          <w:color w:val="1E1C11" w:themeColor="background2" w:themeShade="1A"/>
          <w:kern w:val="0"/>
        </w:rPr>
      </w:pPr>
      <w:bookmarkStart w:id="278" w:name="_Toc29112"/>
      <w:bookmarkStart w:id="279" w:name="_Toc1401"/>
      <w:bookmarkStart w:id="280" w:name="_Toc16577"/>
      <w:bookmarkStart w:id="281" w:name="_Toc27416"/>
      <w:bookmarkStart w:id="282" w:name="_Toc9554"/>
      <w:bookmarkStart w:id="283" w:name="_Toc22837"/>
      <w:bookmarkStart w:id="284" w:name="_Toc2085"/>
      <w:bookmarkStart w:id="285" w:name="_Toc10727"/>
      <w:bookmarkStart w:id="286" w:name="_Toc535"/>
      <w:bookmarkStart w:id="287" w:name="_Toc26064"/>
      <w:bookmarkStart w:id="288" w:name="_Toc20360"/>
      <w:bookmarkStart w:id="289" w:name="_Toc533610108"/>
      <w:bookmarkStart w:id="290" w:name="_Toc326854323"/>
      <w:bookmarkStart w:id="291" w:name="_Toc31593"/>
      <w:bookmarkStart w:id="292" w:name="_Toc2791"/>
      <w:r>
        <w:rPr>
          <w:rFonts w:hint="eastAsia" w:ascii="宋体" w:hAnsi="宋体" w:cs="宋体"/>
          <w:color w:val="1E1C11" w:themeColor="background2" w:themeShade="1A"/>
          <w:kern w:val="0"/>
        </w:rPr>
        <w:t>在塔机安装过程中只需要安装一节基础节、1节标准节即可安装爬升架和回转总成等部件。在安装平衡臂和大臂前要先接通回转电源，以便于大臂的安装。</w:t>
      </w:r>
    </w:p>
    <w:p w14:paraId="5AA4A37B">
      <w:pPr>
        <w:pStyle w:val="4"/>
        <w:spacing w:line="240" w:lineRule="auto"/>
        <w:rPr>
          <w:rFonts w:ascii="黑体" w:hAnsi="黑体" w:cs="黑体"/>
          <w:bCs/>
          <w:color w:val="000000"/>
        </w:rPr>
      </w:pPr>
      <w:bookmarkStart w:id="293" w:name="_Toc22888"/>
      <w:r>
        <w:rPr>
          <w:rFonts w:hint="eastAsia" w:ascii="黑体" w:hAnsi="黑体" w:cs="黑体"/>
          <w:bCs/>
          <w:color w:val="000000"/>
        </w:rPr>
        <w:t>5.3.1吊装一节基础节</w:t>
      </w:r>
      <w:bookmarkEnd w:id="293"/>
    </w:p>
    <w:p w14:paraId="7920914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基础节是一个整体节，不需要进行再拼装，安装前需注意顶升方向。</w:t>
      </w:r>
    </w:p>
    <w:p w14:paraId="71724AB3">
      <w:pPr>
        <w:autoSpaceDE w:val="0"/>
        <w:autoSpaceDN w:val="0"/>
        <w:adjustRightInd w:val="0"/>
        <w:ind w:firstLine="560"/>
        <w:rPr>
          <w:rFonts w:ascii="宋体" w:hAnsi="宋体" w:cs="宋体"/>
          <w:color w:val="1E1C11" w:themeColor="background2" w:themeShade="1A"/>
          <w:kern w:val="0"/>
        </w:rPr>
      </w:pPr>
      <w:r>
        <w:rPr>
          <w:rFonts w:hint="eastAsia"/>
          <w:color w:val="000000"/>
        </w:rPr>
        <w:t>基础节重</w:t>
      </w:r>
      <w:r>
        <w:rPr>
          <w:rFonts w:hint="eastAsia"/>
          <w:color w:val="000000"/>
          <w:lang w:val="en-US" w:eastAsia="zh-CN"/>
        </w:rPr>
        <w:t>1.598</w:t>
      </w:r>
      <w:r>
        <w:rPr>
          <w:rFonts w:hint="eastAsia"/>
          <w:color w:val="000000"/>
        </w:rPr>
        <w:t>t，使用25T汽车吊，采用</w:t>
      </w:r>
      <w:r>
        <w:rPr>
          <w:rFonts w:hint="eastAsia"/>
          <w:color w:val="000000"/>
          <w:lang w:val="en-US" w:eastAsia="zh-CN"/>
        </w:rPr>
        <w:t>四</w:t>
      </w:r>
      <w:r>
        <w:rPr>
          <w:rFonts w:hint="eastAsia"/>
          <w:color w:val="000000"/>
        </w:rPr>
        <w:t>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48A8A33F">
      <w:pPr>
        <w:autoSpaceDE w:val="0"/>
        <w:autoSpaceDN w:val="0"/>
        <w:adjustRightInd w:val="0"/>
        <w:spacing w:line="240" w:lineRule="auto"/>
        <w:ind w:firstLine="0" w:firstLineChars="0"/>
        <w:jc w:val="center"/>
        <w:rPr>
          <w:rFonts w:ascii="宋体" w:hAnsi="宋体" w:cs="宋体"/>
          <w:color w:val="1E1C11" w:themeColor="background2" w:themeShade="1A"/>
          <w:kern w:val="0"/>
        </w:rPr>
      </w:pPr>
      <w:r>
        <w:rPr>
          <w:rFonts w:ascii="宋体" w:hAnsi="宋体" w:cs="宋体"/>
          <w:color w:val="1E1C11" w:themeColor="background2" w:themeShade="1A"/>
          <w:kern w:val="0"/>
        </w:rPr>
        <w:t>如下图所示，将基础节总成（1）吊起至固定支腿（2）的上方，缓缓放下，将主弦对齐，连接套孔（5、6）对准，用高强螺栓（3、4、7）将其紧固。</w:t>
      </w:r>
      <w:r>
        <w:drawing>
          <wp:inline distT="0" distB="0" distL="114300" distR="114300">
            <wp:extent cx="4110355" cy="2141855"/>
            <wp:effectExtent l="0" t="0" r="4445" b="1079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1"/>
                    <a:stretch>
                      <a:fillRect/>
                    </a:stretch>
                  </pic:blipFill>
                  <pic:spPr>
                    <a:xfrm>
                      <a:off x="0" y="0"/>
                      <a:ext cx="4110355" cy="2141855"/>
                    </a:xfrm>
                    <a:prstGeom prst="rect">
                      <a:avLst/>
                    </a:prstGeom>
                    <a:noFill/>
                    <a:ln>
                      <a:noFill/>
                    </a:ln>
                  </pic:spPr>
                </pic:pic>
              </a:graphicData>
            </a:graphic>
          </wp:inline>
        </w:drawing>
      </w:r>
      <w:r>
        <w:drawing>
          <wp:inline distT="0" distB="0" distL="114300" distR="114300">
            <wp:extent cx="1943735" cy="2880995"/>
            <wp:effectExtent l="0" t="0" r="18415" b="1460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32"/>
                    <a:stretch>
                      <a:fillRect/>
                    </a:stretch>
                  </pic:blipFill>
                  <pic:spPr>
                    <a:xfrm>
                      <a:off x="0" y="0"/>
                      <a:ext cx="1943735" cy="2880995"/>
                    </a:xfrm>
                    <a:prstGeom prst="rect">
                      <a:avLst/>
                    </a:prstGeom>
                    <a:noFill/>
                    <a:ln>
                      <a:noFill/>
                    </a:ln>
                  </pic:spPr>
                </pic:pic>
              </a:graphicData>
            </a:graphic>
          </wp:inline>
        </w:drawing>
      </w:r>
      <w:r>
        <w:drawing>
          <wp:inline distT="0" distB="0" distL="114300" distR="114300">
            <wp:extent cx="2832100" cy="2476500"/>
            <wp:effectExtent l="0" t="0" r="6350" b="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33"/>
                    <a:stretch>
                      <a:fillRect/>
                    </a:stretch>
                  </pic:blipFill>
                  <pic:spPr>
                    <a:xfrm>
                      <a:off x="0" y="0"/>
                      <a:ext cx="2832100" cy="2476500"/>
                    </a:xfrm>
                    <a:prstGeom prst="rect">
                      <a:avLst/>
                    </a:prstGeom>
                    <a:noFill/>
                    <a:ln>
                      <a:noFill/>
                    </a:ln>
                  </pic:spPr>
                </pic:pic>
              </a:graphicData>
            </a:graphic>
          </wp:inline>
        </w:drawing>
      </w:r>
    </w:p>
    <w:p w14:paraId="088B8939">
      <w:pPr>
        <w:pStyle w:val="122"/>
        <w:spacing w:before="29" w:line="360" w:lineRule="auto"/>
        <w:ind w:right="159"/>
      </w:pPr>
      <w:r>
        <w:rPr>
          <w:rFonts w:hint="eastAsia"/>
        </w:rPr>
        <w:t>图5.3-1 基础节安装示意图</w:t>
      </w:r>
    </w:p>
    <w:p w14:paraId="6C1C014F">
      <w:pPr>
        <w:ind w:firstLine="560"/>
      </w:pPr>
      <w:r>
        <w:rPr>
          <w:rFonts w:hint="eastAsia"/>
        </w:rPr>
        <w:t>注意；</w:t>
      </w:r>
    </w:p>
    <w:p w14:paraId="096B16FC">
      <w:pPr>
        <w:ind w:firstLine="560"/>
      </w:pPr>
      <w:r>
        <w:rPr>
          <w:rFonts w:hint="eastAsia"/>
        </w:rPr>
        <w:t>1）确保安装过程中的吊装安全可靠。</w:t>
      </w:r>
    </w:p>
    <w:p w14:paraId="6C5D6895">
      <w:pPr>
        <w:ind w:firstLine="560"/>
      </w:pPr>
      <w:r>
        <w:rPr>
          <w:rFonts w:hint="eastAsia"/>
        </w:rPr>
        <w:t>2）注意基础节踏步安装方向应与建筑物方向垂直，否则将会造成后期无法降塔！</w:t>
      </w:r>
    </w:p>
    <w:p w14:paraId="56820E52">
      <w:pPr>
        <w:ind w:firstLine="560"/>
      </w:pPr>
      <w:r>
        <w:rPr>
          <w:rFonts w:hint="eastAsia"/>
        </w:rPr>
        <w:t>3）此处因受安装空间的限制，高强螺栓的安装方向为从上往下穿入。</w:t>
      </w:r>
    </w:p>
    <w:p w14:paraId="566C32B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0FE33310">
      <w:pPr>
        <w:spacing w:line="240" w:lineRule="auto"/>
        <w:ind w:firstLine="0" w:firstLineChars="0"/>
        <w:jc w:val="center"/>
      </w:pPr>
      <w:r>
        <w:drawing>
          <wp:inline distT="0" distB="0" distL="114300" distR="114300">
            <wp:extent cx="2924175" cy="184785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4"/>
                    <a:stretch>
                      <a:fillRect/>
                    </a:stretch>
                  </pic:blipFill>
                  <pic:spPr>
                    <a:xfrm>
                      <a:off x="0" y="0"/>
                      <a:ext cx="2924175" cy="1847850"/>
                    </a:xfrm>
                    <a:prstGeom prst="rect">
                      <a:avLst/>
                    </a:prstGeom>
                    <a:noFill/>
                    <a:ln>
                      <a:noFill/>
                    </a:ln>
                  </pic:spPr>
                </pic:pic>
              </a:graphicData>
            </a:graphic>
          </wp:inline>
        </w:drawing>
      </w:r>
    </w:p>
    <w:p w14:paraId="1A2A9B58">
      <w:pPr>
        <w:pStyle w:val="122"/>
        <w:spacing w:before="29" w:line="360" w:lineRule="auto"/>
        <w:ind w:right="159"/>
      </w:pPr>
      <w:r>
        <w:rPr>
          <w:rFonts w:hint="eastAsia"/>
        </w:rPr>
        <w:t>图5.3-2基础节安装方向示意图</w:t>
      </w:r>
    </w:p>
    <w:p w14:paraId="6F965116">
      <w:pPr>
        <w:pStyle w:val="4"/>
        <w:spacing w:line="240" w:lineRule="auto"/>
        <w:rPr>
          <w:rFonts w:ascii="黑体" w:hAnsi="黑体" w:cs="黑体"/>
          <w:bCs/>
          <w:color w:val="000000"/>
        </w:rPr>
      </w:pPr>
      <w:r>
        <w:rPr>
          <w:rFonts w:hint="eastAsia" w:ascii="黑体" w:hAnsi="黑体" w:cs="黑体"/>
          <w:bCs/>
          <w:color w:val="000000"/>
        </w:rPr>
        <w:t>5.3.2吊装一节标准节</w:t>
      </w:r>
    </w:p>
    <w:p w14:paraId="74B1BC30">
      <w:pPr>
        <w:autoSpaceDE w:val="0"/>
        <w:autoSpaceDN w:val="0"/>
        <w:adjustRightInd w:val="0"/>
        <w:ind w:firstLine="560"/>
        <w:rPr>
          <w:rFonts w:ascii="宋体" w:hAnsi="宋体" w:cs="宋体"/>
          <w:color w:val="1E1C11" w:themeColor="background2" w:themeShade="1A"/>
          <w:kern w:val="0"/>
        </w:rPr>
      </w:pPr>
      <w:r>
        <w:rPr>
          <w:rFonts w:hint="eastAsia"/>
          <w:color w:val="000000"/>
        </w:rPr>
        <w:t>标准节重</w:t>
      </w:r>
      <w:r>
        <w:rPr>
          <w:rFonts w:hint="eastAsia"/>
          <w:color w:val="000000"/>
          <w:lang w:val="en-US" w:eastAsia="zh-CN"/>
        </w:rPr>
        <w:t>0.838</w:t>
      </w:r>
      <w:r>
        <w:rPr>
          <w:rFonts w:hint="eastAsia"/>
          <w:color w:val="000000"/>
        </w:rPr>
        <w:t>t，使用25T汽车吊，采用</w:t>
      </w:r>
      <w:r>
        <w:rPr>
          <w:rFonts w:hint="eastAsia"/>
          <w:color w:val="000000"/>
          <w:lang w:val="en-US" w:eastAsia="zh-CN"/>
        </w:rPr>
        <w:t>四</w:t>
      </w:r>
      <w:r>
        <w:rPr>
          <w:rFonts w:hint="eastAsia"/>
          <w:color w:val="000000"/>
        </w:rPr>
        <w:t>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618D7FB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如下图所示，将标准节吊起至下方塔身节的上方，缓缓放下，对准将连接套（4、5），用高强螺栓以及对应垫圈、螺母（2、3、6）将其连接。</w:t>
      </w:r>
    </w:p>
    <w:p w14:paraId="0C6A4AB5">
      <w:pPr>
        <w:wordWrap w:val="0"/>
        <w:spacing w:line="360" w:lineRule="auto"/>
        <w:ind w:firstLine="0" w:firstLineChars="0"/>
        <w:jc w:val="center"/>
        <w:rPr>
          <w:rFonts w:ascii="宋体" w:hAnsi="宋体" w:eastAsia="宋体" w:cs="宋体"/>
          <w:color w:val="000000"/>
          <w:sz w:val="24"/>
          <w:szCs w:val="20"/>
        </w:rPr>
      </w:pPr>
      <w:r>
        <w:drawing>
          <wp:inline distT="0" distB="0" distL="114300" distR="114300">
            <wp:extent cx="5248910" cy="3514725"/>
            <wp:effectExtent l="0" t="0" r="8890" b="952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5"/>
                    <a:stretch>
                      <a:fillRect/>
                    </a:stretch>
                  </pic:blipFill>
                  <pic:spPr>
                    <a:xfrm>
                      <a:off x="0" y="0"/>
                      <a:ext cx="5248910" cy="3514725"/>
                    </a:xfrm>
                    <a:prstGeom prst="rect">
                      <a:avLst/>
                    </a:prstGeom>
                    <a:noFill/>
                    <a:ln>
                      <a:noFill/>
                    </a:ln>
                  </pic:spPr>
                </pic:pic>
              </a:graphicData>
            </a:graphic>
          </wp:inline>
        </w:drawing>
      </w:r>
      <w:r>
        <w:drawing>
          <wp:inline distT="0" distB="0" distL="114300" distR="114300">
            <wp:extent cx="1677035" cy="2787015"/>
            <wp:effectExtent l="0" t="0" r="18415" b="1333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36"/>
                    <a:stretch>
                      <a:fillRect/>
                    </a:stretch>
                  </pic:blipFill>
                  <pic:spPr>
                    <a:xfrm>
                      <a:off x="0" y="0"/>
                      <a:ext cx="1677035" cy="2787015"/>
                    </a:xfrm>
                    <a:prstGeom prst="rect">
                      <a:avLst/>
                    </a:prstGeom>
                    <a:noFill/>
                    <a:ln>
                      <a:noFill/>
                    </a:ln>
                  </pic:spPr>
                </pic:pic>
              </a:graphicData>
            </a:graphic>
          </wp:inline>
        </w:drawing>
      </w:r>
      <w:r>
        <w:drawing>
          <wp:inline distT="0" distB="0" distL="114300" distR="114300">
            <wp:extent cx="2832100" cy="2476500"/>
            <wp:effectExtent l="0" t="0" r="6350" b="0"/>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33"/>
                    <a:stretch>
                      <a:fillRect/>
                    </a:stretch>
                  </pic:blipFill>
                  <pic:spPr>
                    <a:xfrm>
                      <a:off x="0" y="0"/>
                      <a:ext cx="2832100" cy="2476500"/>
                    </a:xfrm>
                    <a:prstGeom prst="rect">
                      <a:avLst/>
                    </a:prstGeom>
                    <a:noFill/>
                    <a:ln>
                      <a:noFill/>
                    </a:ln>
                  </pic:spPr>
                </pic:pic>
              </a:graphicData>
            </a:graphic>
          </wp:inline>
        </w:drawing>
      </w:r>
    </w:p>
    <w:p w14:paraId="64C0BB72">
      <w:pPr>
        <w:pStyle w:val="122"/>
        <w:spacing w:before="29" w:line="360" w:lineRule="auto"/>
        <w:ind w:right="159"/>
      </w:pPr>
      <w:r>
        <w:rPr>
          <w:rFonts w:hint="eastAsia"/>
        </w:rPr>
        <w:t>图5.3-3吊装一节标准节</w:t>
      </w:r>
    </w:p>
    <w:p w14:paraId="50E3FF5F">
      <w:pPr>
        <w:ind w:firstLine="560"/>
      </w:pPr>
      <w:r>
        <w:rPr>
          <w:rFonts w:hint="eastAsia"/>
        </w:rPr>
        <w:t>注意；</w:t>
      </w:r>
    </w:p>
    <w:p w14:paraId="55C8BC1F">
      <w:pPr>
        <w:ind w:firstLine="560"/>
      </w:pPr>
      <w:r>
        <w:rPr>
          <w:rFonts w:hint="eastAsia"/>
        </w:rPr>
        <w:t>1）该机型塔机的标准安装流程：安装基础节，再安装完一节标准节后，进行爬升架以及上部结构的安装，其余塔身节的安装依靠塔机自身顶升系统进行，否则将会提高安装所需吊装器械的需求。</w:t>
      </w:r>
    </w:p>
    <w:p w14:paraId="10E5DE96">
      <w:pPr>
        <w:ind w:firstLine="560"/>
      </w:pPr>
      <w:r>
        <w:rPr>
          <w:rFonts w:hint="eastAsia"/>
        </w:rPr>
        <w:t>2）注意顶升踏步的方向，确保和基础节踏步方向一致，否则会导致无法顶升。</w:t>
      </w:r>
    </w:p>
    <w:p w14:paraId="5D98D47E">
      <w:pPr>
        <w:ind w:firstLine="560"/>
      </w:pPr>
      <w:r>
        <w:rPr>
          <w:rFonts w:hint="eastAsia"/>
        </w:rPr>
        <w:t>3）注意高强螺栓的安装方向为从下往上穿入。</w:t>
      </w:r>
    </w:p>
    <w:p w14:paraId="4B1CC1D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2945F7D4">
      <w:pPr>
        <w:pStyle w:val="4"/>
        <w:spacing w:line="240" w:lineRule="auto"/>
        <w:rPr>
          <w:rFonts w:ascii="黑体" w:hAnsi="黑体" w:cs="黑体"/>
          <w:bCs/>
          <w:color w:val="000000"/>
        </w:rPr>
      </w:pPr>
      <w:bookmarkStart w:id="294" w:name="_Toc32208"/>
      <w:r>
        <w:rPr>
          <w:rFonts w:hint="eastAsia" w:ascii="黑体" w:hAnsi="黑体" w:cs="黑体"/>
          <w:bCs/>
          <w:color w:val="000000"/>
        </w:rPr>
        <w:t>5.3.3吊装爬升架</w:t>
      </w:r>
      <w:bookmarkEnd w:id="294"/>
    </w:p>
    <w:p w14:paraId="7C4150DC">
      <w:pPr>
        <w:ind w:firstLine="560"/>
        <w:rPr>
          <w:color w:val="000000"/>
        </w:rPr>
      </w:pPr>
      <w:r>
        <w:rPr>
          <w:rFonts w:hint="eastAsia"/>
          <w:color w:val="000000"/>
        </w:rPr>
        <w:t>爬升架总重</w:t>
      </w:r>
      <w:r>
        <w:rPr>
          <w:rFonts w:hint="eastAsia"/>
          <w:color w:val="000000"/>
          <w:lang w:val="en-US" w:eastAsia="zh-CN"/>
        </w:rPr>
        <w:t>3.381</w:t>
      </w:r>
      <w:r>
        <w:rPr>
          <w:rFonts w:hint="eastAsia"/>
          <w:color w:val="000000"/>
        </w:rPr>
        <w:t>t，使用25T汽车吊，采用</w:t>
      </w:r>
      <w:r>
        <w:rPr>
          <w:rFonts w:hint="eastAsia"/>
          <w:color w:val="000000"/>
          <w:lang w:val="en-US" w:eastAsia="zh-CN"/>
        </w:rPr>
        <w:t>四</w:t>
      </w:r>
      <w:r>
        <w:rPr>
          <w:rFonts w:hint="eastAsia"/>
          <w:color w:val="000000"/>
        </w:rPr>
        <w:t>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70C807BF">
      <w:pPr>
        <w:ind w:firstLine="560"/>
        <w:rPr>
          <w:color w:val="000000"/>
        </w:rPr>
      </w:pPr>
      <w:r>
        <w:rPr>
          <w:color w:val="000000"/>
        </w:rPr>
        <w:t>a.</w:t>
      </w:r>
      <w:r>
        <w:rPr>
          <w:rFonts w:hint="eastAsia"/>
          <w:color w:val="000000"/>
        </w:rPr>
        <w:t xml:space="preserve">将爬升架组装完毕后，将吊具挂在爬升架上，拉紧钢丝绳吊起。切记安装顶升油缸的位置必须与塔身踏步同侧。 </w:t>
      </w:r>
    </w:p>
    <w:p w14:paraId="44DE2618">
      <w:pPr>
        <w:ind w:firstLine="560"/>
        <w:rPr>
          <w:color w:val="000000"/>
        </w:rPr>
      </w:pPr>
      <w:r>
        <w:rPr>
          <w:color w:val="000000"/>
        </w:rPr>
        <w:t>b.</w:t>
      </w:r>
      <w:r>
        <w:rPr>
          <w:rFonts w:hint="eastAsia"/>
          <w:color w:val="000000"/>
        </w:rPr>
        <w:t xml:space="preserve">将爬升架缓慢套装在塔身节外侧。 </w:t>
      </w:r>
    </w:p>
    <w:p w14:paraId="19683C5D">
      <w:pPr>
        <w:ind w:firstLine="560"/>
        <w:rPr>
          <w:color w:val="000000"/>
        </w:rPr>
      </w:pPr>
      <w:r>
        <w:rPr>
          <w:color w:val="000000"/>
        </w:rPr>
        <w:t>c.</w:t>
      </w:r>
      <w:r>
        <w:rPr>
          <w:rFonts w:hint="eastAsia"/>
          <w:color w:val="000000"/>
        </w:rPr>
        <w:t>将爬升架上的爬爪放在塔身节的第二节上部的踏步上，再调整好爬升导轮与标准节的间隙</w:t>
      </w:r>
      <w:r>
        <w:rPr>
          <w:color w:val="000000"/>
        </w:rPr>
        <w:t>(</w:t>
      </w:r>
      <w:r>
        <w:rPr>
          <w:rFonts w:hint="eastAsia"/>
          <w:color w:val="000000"/>
        </w:rPr>
        <w:t xml:space="preserve">间隙最好为 </w:t>
      </w:r>
      <w:r>
        <w:rPr>
          <w:color w:val="000000"/>
        </w:rPr>
        <w:t>2</w:t>
      </w:r>
      <w:r>
        <w:rPr>
          <w:rFonts w:hint="eastAsia"/>
          <w:color w:val="000000"/>
        </w:rPr>
        <w:t>～</w:t>
      </w:r>
      <w:r>
        <w:rPr>
          <w:color w:val="000000"/>
        </w:rPr>
        <w:t>3mm)</w:t>
      </w:r>
      <w:r>
        <w:rPr>
          <w:rFonts w:hint="eastAsia"/>
          <w:color w:val="000000"/>
        </w:rPr>
        <w:t xml:space="preserve">。 </w:t>
      </w:r>
    </w:p>
    <w:p w14:paraId="4EE086DD">
      <w:pPr>
        <w:ind w:firstLine="560"/>
        <w:rPr>
          <w:color w:val="000000"/>
        </w:rPr>
      </w:pPr>
      <w:r>
        <w:rPr>
          <w:color w:val="000000"/>
        </w:rPr>
        <w:t>d.</w:t>
      </w:r>
      <w:r>
        <w:rPr>
          <w:rFonts w:hint="eastAsia"/>
          <w:color w:val="000000"/>
        </w:rPr>
        <w:t>安装好顶升油缸，将液压泵站吊装到平台一角，接好油管，检查液压系统的运转情况，应保证油泵电机风扇叶片旋向应与外壳箭头标识一致，以避免烧坏油泵。如有错误。则应重新接好电机接线。</w:t>
      </w:r>
    </w:p>
    <w:p w14:paraId="16A2A647">
      <w:pPr>
        <w:pStyle w:val="172"/>
        <w:spacing w:line="240" w:lineRule="auto"/>
        <w:ind w:left="480" w:firstLine="0" w:firstLineChars="0"/>
        <w:jc w:val="center"/>
        <w:rPr>
          <w:kern w:val="0"/>
          <w:szCs w:val="24"/>
        </w:rPr>
      </w:pPr>
      <w:r>
        <w:drawing>
          <wp:inline distT="0" distB="0" distL="114300" distR="114300">
            <wp:extent cx="1924050" cy="3136265"/>
            <wp:effectExtent l="0" t="0" r="0" b="698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7"/>
                    <a:stretch>
                      <a:fillRect/>
                    </a:stretch>
                  </pic:blipFill>
                  <pic:spPr>
                    <a:xfrm>
                      <a:off x="0" y="0"/>
                      <a:ext cx="1924050" cy="3136265"/>
                    </a:xfrm>
                    <a:prstGeom prst="rect">
                      <a:avLst/>
                    </a:prstGeom>
                    <a:noFill/>
                    <a:ln>
                      <a:noFill/>
                    </a:ln>
                  </pic:spPr>
                </pic:pic>
              </a:graphicData>
            </a:graphic>
          </wp:inline>
        </w:drawing>
      </w:r>
      <w:r>
        <w:drawing>
          <wp:inline distT="0" distB="0" distL="114300" distR="114300">
            <wp:extent cx="2832100" cy="2476500"/>
            <wp:effectExtent l="0" t="0" r="6350" b="0"/>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33"/>
                    <a:stretch>
                      <a:fillRect/>
                    </a:stretch>
                  </pic:blipFill>
                  <pic:spPr>
                    <a:xfrm>
                      <a:off x="0" y="0"/>
                      <a:ext cx="2832100" cy="2476500"/>
                    </a:xfrm>
                    <a:prstGeom prst="rect">
                      <a:avLst/>
                    </a:prstGeom>
                    <a:noFill/>
                    <a:ln>
                      <a:noFill/>
                    </a:ln>
                  </pic:spPr>
                </pic:pic>
              </a:graphicData>
            </a:graphic>
          </wp:inline>
        </w:drawing>
      </w:r>
    </w:p>
    <w:p w14:paraId="78D1AB09">
      <w:pPr>
        <w:pStyle w:val="122"/>
        <w:spacing w:before="29" w:line="360" w:lineRule="auto"/>
        <w:ind w:right="159"/>
      </w:pPr>
      <w:r>
        <w:rPr>
          <w:rFonts w:hint="eastAsia"/>
        </w:rPr>
        <w:t>图5.3-4 吊装爬升架</w:t>
      </w:r>
    </w:p>
    <w:p w14:paraId="1E9B6FC8">
      <w:pPr>
        <w:pStyle w:val="4"/>
        <w:spacing w:line="240" w:lineRule="auto"/>
        <w:rPr>
          <w:rFonts w:ascii="黑体" w:hAnsi="黑体" w:cs="黑体"/>
          <w:bCs/>
          <w:color w:val="000000"/>
        </w:rPr>
      </w:pPr>
      <w:bookmarkStart w:id="295" w:name="_Toc14044"/>
      <w:r>
        <w:rPr>
          <w:rFonts w:hint="eastAsia" w:ascii="黑体" w:hAnsi="黑体" w:cs="黑体"/>
          <w:bCs/>
          <w:color w:val="000000"/>
        </w:rPr>
        <w:t>5.3.4安装特殊节</w:t>
      </w:r>
    </w:p>
    <w:p w14:paraId="4C1C1AB5">
      <w:pPr>
        <w:ind w:firstLine="560"/>
        <w:rPr>
          <w:color w:val="000000"/>
        </w:rPr>
      </w:pPr>
      <w:r>
        <w:rPr>
          <w:rFonts w:hint="eastAsia"/>
          <w:color w:val="000000"/>
          <w:lang w:val="en-US" w:eastAsia="zh-CN"/>
        </w:rPr>
        <w:t>特殊节</w:t>
      </w:r>
      <w:r>
        <w:rPr>
          <w:rFonts w:hint="eastAsia"/>
          <w:color w:val="000000"/>
        </w:rPr>
        <w:t>总重1.</w:t>
      </w:r>
      <w:r>
        <w:rPr>
          <w:rFonts w:hint="eastAsia"/>
          <w:color w:val="000000"/>
          <w:lang w:val="en-US" w:eastAsia="zh-CN"/>
        </w:rPr>
        <w:t>316</w:t>
      </w:r>
      <w:r>
        <w:rPr>
          <w:rFonts w:hint="eastAsia"/>
          <w:color w:val="000000"/>
        </w:rPr>
        <w:t>t，使用25T汽车吊，采用4根Φ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6D395D6E">
      <w:pPr>
        <w:ind w:firstLine="560"/>
      </w:pPr>
      <w:r>
        <w:rPr>
          <w:rFonts w:hint="eastAsia"/>
        </w:rPr>
        <w:t>将吊索绕入特殊节（1）四根主弦的连接套，并挂至吊钩，移动到塔身上方，确保与塔身节的爬梯一致后，缓缓落下，将特殊节支腿与与爬升架耳板孔对准后，插入销轴及开口销（7、8）；同时将特殊节与塔身节用螺栓（2、3、6）紧固。</w:t>
      </w:r>
    </w:p>
    <w:p w14:paraId="4CC23055">
      <w:pPr>
        <w:spacing w:line="240" w:lineRule="auto"/>
        <w:ind w:firstLine="0" w:firstLineChars="0"/>
        <w:jc w:val="center"/>
      </w:pPr>
      <w:r>
        <w:drawing>
          <wp:inline distT="0" distB="0" distL="114300" distR="114300">
            <wp:extent cx="4163695" cy="2874010"/>
            <wp:effectExtent l="0" t="0" r="8255" b="25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8"/>
                    <a:stretch>
                      <a:fillRect/>
                    </a:stretch>
                  </pic:blipFill>
                  <pic:spPr>
                    <a:xfrm>
                      <a:off x="0" y="0"/>
                      <a:ext cx="4163695" cy="2874010"/>
                    </a:xfrm>
                    <a:prstGeom prst="rect">
                      <a:avLst/>
                    </a:prstGeom>
                    <a:noFill/>
                    <a:ln>
                      <a:noFill/>
                    </a:ln>
                  </pic:spPr>
                </pic:pic>
              </a:graphicData>
            </a:graphic>
          </wp:inline>
        </w:drawing>
      </w:r>
      <w:r>
        <w:drawing>
          <wp:inline distT="0" distB="0" distL="114300" distR="114300">
            <wp:extent cx="1897380" cy="2952750"/>
            <wp:effectExtent l="0" t="0" r="7620" b="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39"/>
                    <a:stretch>
                      <a:fillRect/>
                    </a:stretch>
                  </pic:blipFill>
                  <pic:spPr>
                    <a:xfrm>
                      <a:off x="0" y="0"/>
                      <a:ext cx="1897380" cy="2952750"/>
                    </a:xfrm>
                    <a:prstGeom prst="rect">
                      <a:avLst/>
                    </a:prstGeom>
                    <a:noFill/>
                    <a:ln>
                      <a:noFill/>
                    </a:ln>
                  </pic:spPr>
                </pic:pic>
              </a:graphicData>
            </a:graphic>
          </wp:inline>
        </w:drawing>
      </w:r>
      <w:r>
        <w:drawing>
          <wp:inline distT="0" distB="0" distL="114300" distR="114300">
            <wp:extent cx="2832100" cy="2476500"/>
            <wp:effectExtent l="0" t="0" r="6350" b="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33"/>
                    <a:stretch>
                      <a:fillRect/>
                    </a:stretch>
                  </pic:blipFill>
                  <pic:spPr>
                    <a:xfrm>
                      <a:off x="0" y="0"/>
                      <a:ext cx="2832100" cy="2476500"/>
                    </a:xfrm>
                    <a:prstGeom prst="rect">
                      <a:avLst/>
                    </a:prstGeom>
                    <a:noFill/>
                    <a:ln>
                      <a:noFill/>
                    </a:ln>
                  </pic:spPr>
                </pic:pic>
              </a:graphicData>
            </a:graphic>
          </wp:inline>
        </w:drawing>
      </w:r>
    </w:p>
    <w:p w14:paraId="50C511F5">
      <w:pPr>
        <w:pStyle w:val="122"/>
        <w:spacing w:before="29" w:line="360" w:lineRule="auto"/>
        <w:ind w:right="159"/>
      </w:pPr>
      <w:r>
        <w:rPr>
          <w:rFonts w:hint="eastAsia"/>
        </w:rPr>
        <w:t>图5.3-5 吊装特殊节</w:t>
      </w:r>
    </w:p>
    <w:p w14:paraId="334EBF1E">
      <w:pPr>
        <w:pStyle w:val="4"/>
        <w:spacing w:line="240" w:lineRule="auto"/>
        <w:rPr>
          <w:rFonts w:ascii="黑体" w:hAnsi="黑体" w:cs="黑体"/>
          <w:bCs/>
          <w:color w:val="000000"/>
        </w:rPr>
      </w:pPr>
      <w:r>
        <w:rPr>
          <w:rFonts w:hint="eastAsia" w:ascii="黑体" w:hAnsi="黑体" w:cs="黑体"/>
          <w:bCs/>
          <w:color w:val="000000"/>
        </w:rPr>
        <w:t>5.3.5安装回转支承总成</w:t>
      </w:r>
      <w:bookmarkEnd w:id="295"/>
    </w:p>
    <w:p w14:paraId="6F06B6F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在地面将下支座、回转支承、上支座、回转机构、工作平台栏杆、司机室等机构装配在一起。</w:t>
      </w:r>
    </w:p>
    <w:p w14:paraId="6FA51B9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回转总成重</w:t>
      </w:r>
      <w:r>
        <w:rPr>
          <w:rFonts w:hint="eastAsia" w:ascii="宋体" w:hAnsi="宋体" w:cs="宋体"/>
          <w:color w:val="1E1C11" w:themeColor="background2" w:themeShade="1A"/>
          <w:kern w:val="0"/>
          <w:lang w:val="en-US" w:eastAsia="zh-CN"/>
        </w:rPr>
        <w:t>3.983</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，4根Φ</w:t>
      </w:r>
      <w:r>
        <w:rPr>
          <w:rFonts w:hint="eastAsia" w:ascii="宋体" w:hAnsi="宋体" w:cs="宋体"/>
          <w:color w:val="1E1C11" w:themeColor="background2" w:themeShade="1A"/>
          <w:kern w:val="0"/>
          <w:lang w:val="en-US" w:eastAsia="zh-CN"/>
        </w:rPr>
        <w:t>18</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m钢丝绳，4个</w:t>
      </w:r>
      <w:r>
        <w:rPr>
          <w:rFonts w:hint="eastAsia"/>
          <w:color w:val="000000"/>
          <w:lang w:val="en-US" w:eastAsia="zh-CN"/>
        </w:rPr>
        <w:t>5</w:t>
      </w:r>
      <w:r>
        <w:rPr>
          <w:rFonts w:hint="eastAsia"/>
          <w:color w:val="000000"/>
        </w:rPr>
        <w:t>t</w:t>
      </w:r>
      <w:r>
        <w:rPr>
          <w:rFonts w:ascii="宋体" w:hAnsi="宋体" w:cs="宋体"/>
          <w:color w:val="1E1C11" w:themeColor="background2" w:themeShade="1A"/>
          <w:kern w:val="0"/>
        </w:rPr>
        <w:t>卸扣，4吊点起吊。</w:t>
      </w:r>
    </w:p>
    <w:p w14:paraId="2C21046B">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将吊具挂在上支座四个支柱耳套下，将回转支承总成吊起</w:t>
      </w:r>
      <w:r>
        <w:rPr>
          <w:rFonts w:hint="eastAsia" w:ascii="宋体" w:hAnsi="宋体" w:cs="宋体"/>
          <w:color w:val="1E1C11" w:themeColor="background2" w:themeShade="1A"/>
          <w:kern w:val="0"/>
        </w:rPr>
        <w:t>。</w:t>
      </w:r>
    </w:p>
    <w:p w14:paraId="09B34122">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吊起回转总成（1）至特殊节上方，注意下支座爬梯方向与特殊节爬梯方向保持一致，将回转总成缓慢的落下，通过 8 个销轴（2）连接，为防止销轴脱出，两个销轴之间通过立销（3）固定，立销下端穿入葫芦销固定。</w:t>
      </w:r>
    </w:p>
    <w:p w14:paraId="3CD67B09">
      <w:pPr>
        <w:widowControl/>
        <w:spacing w:line="240" w:lineRule="auto"/>
        <w:ind w:firstLine="0" w:firstLineChars="0"/>
        <w:jc w:val="center"/>
      </w:pPr>
      <w:r>
        <w:drawing>
          <wp:inline distT="0" distB="0" distL="114300" distR="114300">
            <wp:extent cx="3529965" cy="2495550"/>
            <wp:effectExtent l="0" t="0" r="1333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0"/>
                    <a:stretch>
                      <a:fillRect/>
                    </a:stretch>
                  </pic:blipFill>
                  <pic:spPr>
                    <a:xfrm>
                      <a:off x="0" y="0"/>
                      <a:ext cx="3529965" cy="2495550"/>
                    </a:xfrm>
                    <a:prstGeom prst="rect">
                      <a:avLst/>
                    </a:prstGeom>
                    <a:noFill/>
                    <a:ln>
                      <a:noFill/>
                    </a:ln>
                  </pic:spPr>
                </pic:pic>
              </a:graphicData>
            </a:graphic>
          </wp:inline>
        </w:drawing>
      </w:r>
    </w:p>
    <w:p w14:paraId="0B3ADF44">
      <w:pPr>
        <w:widowControl/>
        <w:spacing w:line="240" w:lineRule="auto"/>
        <w:ind w:firstLine="0" w:firstLineChars="0"/>
        <w:jc w:val="center"/>
        <w:rPr>
          <w:rFonts w:ascii="宋体" w:hAnsi="宋体" w:eastAsia="宋体" w:cs="宋体"/>
          <w:color w:val="000000"/>
          <w:kern w:val="0"/>
          <w:sz w:val="24"/>
          <w:szCs w:val="24"/>
        </w:rPr>
      </w:pPr>
      <w:r>
        <w:drawing>
          <wp:inline distT="0" distB="0" distL="114300" distR="114300">
            <wp:extent cx="1870710" cy="2771775"/>
            <wp:effectExtent l="0" t="0" r="15240" b="9525"/>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41"/>
                    <a:stretch>
                      <a:fillRect/>
                    </a:stretch>
                  </pic:blipFill>
                  <pic:spPr>
                    <a:xfrm>
                      <a:off x="0" y="0"/>
                      <a:ext cx="1870710" cy="2771775"/>
                    </a:xfrm>
                    <a:prstGeom prst="rect">
                      <a:avLst/>
                    </a:prstGeom>
                    <a:noFill/>
                    <a:ln>
                      <a:noFill/>
                    </a:ln>
                  </pic:spPr>
                </pic:pic>
              </a:graphicData>
            </a:graphic>
          </wp:inline>
        </w:drawing>
      </w:r>
      <w:r>
        <w:drawing>
          <wp:inline distT="0" distB="0" distL="114300" distR="114300">
            <wp:extent cx="2832100" cy="2476500"/>
            <wp:effectExtent l="0" t="0" r="6350" b="0"/>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33"/>
                    <a:stretch>
                      <a:fillRect/>
                    </a:stretch>
                  </pic:blipFill>
                  <pic:spPr>
                    <a:xfrm>
                      <a:off x="0" y="0"/>
                      <a:ext cx="2832100" cy="2476500"/>
                    </a:xfrm>
                    <a:prstGeom prst="rect">
                      <a:avLst/>
                    </a:prstGeom>
                    <a:noFill/>
                    <a:ln>
                      <a:noFill/>
                    </a:ln>
                  </pic:spPr>
                </pic:pic>
              </a:graphicData>
            </a:graphic>
          </wp:inline>
        </w:drawing>
      </w:r>
    </w:p>
    <w:p w14:paraId="6C93E2C1">
      <w:pPr>
        <w:pStyle w:val="122"/>
        <w:spacing w:before="29" w:line="360" w:lineRule="auto"/>
        <w:ind w:right="159"/>
        <w:rPr>
          <w:rFonts w:ascii="宋体" w:hAnsi="宋体" w:eastAsia="宋体" w:cs="宋体"/>
          <w:sz w:val="24"/>
          <w:szCs w:val="20"/>
        </w:rPr>
      </w:pPr>
      <w:r>
        <w:rPr>
          <w:rFonts w:hint="eastAsia"/>
        </w:rPr>
        <w:t>图5.3-6回转安装图</w:t>
      </w:r>
    </w:p>
    <w:p w14:paraId="006F0904">
      <w:pPr>
        <w:pStyle w:val="4"/>
        <w:spacing w:line="240" w:lineRule="auto"/>
        <w:rPr>
          <w:rFonts w:ascii="黑体" w:hAnsi="黑体" w:cs="黑体"/>
          <w:bCs/>
          <w:color w:val="000000"/>
        </w:rPr>
      </w:pPr>
      <w:bookmarkStart w:id="296" w:name="_Toc9619"/>
      <w:r>
        <w:rPr>
          <w:rFonts w:hint="eastAsia" w:ascii="黑体" w:hAnsi="黑体" w:cs="黑体"/>
          <w:bCs/>
          <w:color w:val="000000"/>
        </w:rPr>
        <w:t>5.3.6 安装</w:t>
      </w:r>
      <w:bookmarkEnd w:id="296"/>
      <w:r>
        <w:rPr>
          <w:rFonts w:hint="eastAsia" w:ascii="黑体" w:hAnsi="黑体" w:cs="黑体"/>
          <w:bCs/>
          <w:color w:val="000000"/>
        </w:rPr>
        <w:t>起重臂根节</w:t>
      </w:r>
    </w:p>
    <w:p w14:paraId="3EB99E8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起重臂根节</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2.909</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lang w:val="en-US" w:eastAsia="zh-CN"/>
        </w:rPr>
        <w:t>18</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lang w:val="en-US" w:eastAsia="zh-CN"/>
        </w:rPr>
        <w:t>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p>
    <w:p w14:paraId="7203136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如下图所示，在吊装臂根节时，选用四根钢丝绳分别穿过吊耳，最终统一悬挂在吊</w:t>
      </w:r>
      <w:r>
        <w:rPr>
          <w:rFonts w:ascii="宋体" w:hAnsi="宋体" w:cs="宋体"/>
          <w:color w:val="1E1C11" w:themeColor="background2" w:themeShade="1A"/>
          <w:kern w:val="0"/>
        </w:rPr>
        <w:t>钩上，吊装中保证吊装平衡，实现臂根节的吊装。将臂根节（1）与上支座通过销轴装配到一起。</w:t>
      </w:r>
    </w:p>
    <w:p w14:paraId="7B0C5FD5">
      <w:pPr>
        <w:spacing w:line="240" w:lineRule="auto"/>
        <w:ind w:firstLine="0" w:firstLineChars="0"/>
        <w:jc w:val="center"/>
        <w:rPr>
          <w:rFonts w:ascii="Tahoma" w:hAnsi="Tahoma" w:eastAsia="宋体" w:cs="Tahoma"/>
          <w:szCs w:val="24"/>
        </w:rPr>
      </w:pPr>
      <w:r>
        <w:drawing>
          <wp:inline distT="0" distB="0" distL="114300" distR="114300">
            <wp:extent cx="4050030" cy="2751455"/>
            <wp:effectExtent l="0" t="0" r="7620" b="1079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42"/>
                    <a:stretch>
                      <a:fillRect/>
                    </a:stretch>
                  </pic:blipFill>
                  <pic:spPr>
                    <a:xfrm>
                      <a:off x="0" y="0"/>
                      <a:ext cx="4050030" cy="2751455"/>
                    </a:xfrm>
                    <a:prstGeom prst="rect">
                      <a:avLst/>
                    </a:prstGeom>
                    <a:noFill/>
                    <a:ln>
                      <a:noFill/>
                    </a:ln>
                  </pic:spPr>
                </pic:pic>
              </a:graphicData>
            </a:graphic>
          </wp:inline>
        </w:drawing>
      </w:r>
      <w:r>
        <w:drawing>
          <wp:inline distT="0" distB="0" distL="114300" distR="114300">
            <wp:extent cx="2486025" cy="3295650"/>
            <wp:effectExtent l="0" t="0" r="9525" b="0"/>
            <wp:docPr id="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
                    <pic:cNvPicPr>
                      <a:picLocks noChangeAspect="1"/>
                    </pic:cNvPicPr>
                  </pic:nvPicPr>
                  <pic:blipFill>
                    <a:blip r:embed="rId43"/>
                    <a:stretch>
                      <a:fillRect/>
                    </a:stretch>
                  </pic:blipFill>
                  <pic:spPr>
                    <a:xfrm>
                      <a:off x="0" y="0"/>
                      <a:ext cx="2486025" cy="3295650"/>
                    </a:xfrm>
                    <a:prstGeom prst="rect">
                      <a:avLst/>
                    </a:prstGeom>
                    <a:noFill/>
                    <a:ln>
                      <a:noFill/>
                    </a:ln>
                  </pic:spPr>
                </pic:pic>
              </a:graphicData>
            </a:graphic>
          </wp:inline>
        </w:drawing>
      </w:r>
      <w:r>
        <w:drawing>
          <wp:inline distT="0" distB="0" distL="114300" distR="114300">
            <wp:extent cx="3094355" cy="2546985"/>
            <wp:effectExtent l="0" t="0" r="10795" b="5715"/>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44"/>
                    <a:stretch>
                      <a:fillRect/>
                    </a:stretch>
                  </pic:blipFill>
                  <pic:spPr>
                    <a:xfrm>
                      <a:off x="0" y="0"/>
                      <a:ext cx="3094355" cy="2546985"/>
                    </a:xfrm>
                    <a:prstGeom prst="rect">
                      <a:avLst/>
                    </a:prstGeom>
                    <a:noFill/>
                    <a:ln>
                      <a:noFill/>
                    </a:ln>
                  </pic:spPr>
                </pic:pic>
              </a:graphicData>
            </a:graphic>
          </wp:inline>
        </w:drawing>
      </w:r>
    </w:p>
    <w:p w14:paraId="24C573AE">
      <w:pPr>
        <w:pStyle w:val="122"/>
        <w:spacing w:before="29" w:line="360" w:lineRule="auto"/>
        <w:ind w:right="159"/>
      </w:pPr>
      <w:r>
        <w:rPr>
          <w:rFonts w:hint="eastAsia"/>
        </w:rPr>
        <w:t>图5.3-7吊装起重臂根节</w:t>
      </w:r>
    </w:p>
    <w:p w14:paraId="45F39315">
      <w:pPr>
        <w:pStyle w:val="4"/>
        <w:spacing w:line="240" w:lineRule="auto"/>
        <w:rPr>
          <w:rFonts w:ascii="黑体" w:hAnsi="黑体" w:cs="黑体"/>
          <w:bCs/>
          <w:color w:val="000000"/>
        </w:rPr>
      </w:pPr>
      <w:bookmarkStart w:id="297" w:name="_Toc29482"/>
      <w:r>
        <w:rPr>
          <w:rFonts w:hint="eastAsia" w:ascii="黑体" w:hAnsi="黑体" w:cs="黑体"/>
          <w:bCs/>
          <w:color w:val="000000"/>
        </w:rPr>
        <w:t>5.3.7安装平衡臂总成</w:t>
      </w:r>
      <w:bookmarkEnd w:id="297"/>
      <w:r>
        <w:rPr>
          <w:rFonts w:hint="eastAsia" w:ascii="黑体" w:hAnsi="黑体" w:cs="黑体"/>
          <w:bCs/>
          <w:color w:val="000000"/>
        </w:rPr>
        <w:t>及部分平衡重</w:t>
      </w:r>
    </w:p>
    <w:p w14:paraId="2C5E614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在地面根据起重臂的长度组装好相应的平衡臂，将平衡臂上的栏杆、走道、工作平台、起升机构、电控柜、电阻柜、平衡臂拉杆等组装在一起并紧固好回转机构上接临时电源，将回转支承以上的部分回转到便于安装平衡臂的方位。</w:t>
      </w:r>
    </w:p>
    <w:p w14:paraId="3BC7843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平衡臂总成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5.027</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lang w:val="en-US" w:eastAsia="zh-CN"/>
        </w:rPr>
        <w:t>18</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lang w:val="en-US" w:eastAsia="zh-CN"/>
        </w:rPr>
        <w:t>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70270EA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再将平衡臂逐渐抬高至适当的位置，以便于平衡臂上拉杆与起重臂根节上的平衡拉杆板顺利相连，将拉杆用销轴铰接，穿好并张开开口销。</w:t>
      </w:r>
    </w:p>
    <w:p w14:paraId="25695DF4">
      <w:pPr>
        <w:spacing w:line="240" w:lineRule="auto"/>
        <w:ind w:firstLine="0" w:firstLineChars="0"/>
        <w:jc w:val="center"/>
        <w:rPr>
          <w:rFonts w:ascii="Tahoma" w:hAnsi="Tahoma" w:eastAsia="宋体" w:cs="Tahoma"/>
          <w:szCs w:val="24"/>
        </w:rPr>
      </w:pPr>
      <w:r>
        <w:drawing>
          <wp:inline distT="0" distB="0" distL="114300" distR="114300">
            <wp:extent cx="4743450" cy="1770380"/>
            <wp:effectExtent l="0" t="0" r="0" b="127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5"/>
                    <a:srcRect t="3704"/>
                    <a:stretch>
                      <a:fillRect/>
                    </a:stretch>
                  </pic:blipFill>
                  <pic:spPr>
                    <a:xfrm>
                      <a:off x="0" y="0"/>
                      <a:ext cx="4743450" cy="1770380"/>
                    </a:xfrm>
                    <a:prstGeom prst="rect">
                      <a:avLst/>
                    </a:prstGeom>
                    <a:noFill/>
                    <a:ln>
                      <a:noFill/>
                    </a:ln>
                  </pic:spPr>
                </pic:pic>
              </a:graphicData>
            </a:graphic>
          </wp:inline>
        </w:drawing>
      </w:r>
      <w:r>
        <w:drawing>
          <wp:inline distT="0" distB="0" distL="114300" distR="114300">
            <wp:extent cx="2526030" cy="2752725"/>
            <wp:effectExtent l="0" t="0" r="7620" b="9525"/>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46"/>
                    <a:stretch>
                      <a:fillRect/>
                    </a:stretch>
                  </pic:blipFill>
                  <pic:spPr>
                    <a:xfrm>
                      <a:off x="0" y="0"/>
                      <a:ext cx="2526030" cy="2752725"/>
                    </a:xfrm>
                    <a:prstGeom prst="rect">
                      <a:avLst/>
                    </a:prstGeom>
                    <a:noFill/>
                    <a:ln>
                      <a:noFill/>
                    </a:ln>
                  </pic:spPr>
                </pic:pic>
              </a:graphicData>
            </a:graphic>
          </wp:inline>
        </w:drawing>
      </w:r>
      <w:r>
        <w:drawing>
          <wp:inline distT="0" distB="0" distL="114300" distR="114300">
            <wp:extent cx="2706370" cy="2225040"/>
            <wp:effectExtent l="0" t="0" r="17780" b="381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47"/>
                    <a:stretch>
                      <a:fillRect/>
                    </a:stretch>
                  </pic:blipFill>
                  <pic:spPr>
                    <a:xfrm>
                      <a:off x="0" y="0"/>
                      <a:ext cx="2706370" cy="2225040"/>
                    </a:xfrm>
                    <a:prstGeom prst="rect">
                      <a:avLst/>
                    </a:prstGeom>
                    <a:noFill/>
                    <a:ln>
                      <a:noFill/>
                    </a:ln>
                  </pic:spPr>
                </pic:pic>
              </a:graphicData>
            </a:graphic>
          </wp:inline>
        </w:drawing>
      </w:r>
    </w:p>
    <w:p w14:paraId="56463248">
      <w:pPr>
        <w:pStyle w:val="122"/>
        <w:spacing w:before="29" w:line="360" w:lineRule="auto"/>
        <w:ind w:right="159"/>
      </w:pPr>
      <w:r>
        <w:rPr>
          <w:rFonts w:hint="eastAsia"/>
        </w:rPr>
        <w:t>图5.3-8 吊装平衡臂图</w:t>
      </w:r>
    </w:p>
    <w:p w14:paraId="5E03C9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按照下图所示，将吊具绕过专用吊耳，实现平衡重的吊装。依次吊装两块平衡重，平稳放置在平衡臂上。</w:t>
      </w:r>
    </w:p>
    <w:p w14:paraId="5253293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平衡重的安装共分为两个阶段：</w:t>
      </w:r>
    </w:p>
    <w:p w14:paraId="5B6051C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阶段 1：平衡臂安装完成后，安装 2 块 3200kg 的平衡重，安装位置为靠近起升机构方向，然后安装起重臂；</w:t>
      </w:r>
    </w:p>
    <w:p w14:paraId="192D5D37">
      <w:pPr>
        <w:ind w:firstLine="560"/>
      </w:pPr>
      <w:r>
        <w:rPr>
          <w:rFonts w:hint="eastAsia" w:ascii="宋体" w:hAnsi="宋体" w:cs="宋体"/>
          <w:color w:val="1E1C11" w:themeColor="background2" w:themeShade="1A"/>
          <w:kern w:val="0"/>
        </w:rPr>
        <w:t>阶段 2：起重臂安装完成后按照平衡重配置完成剩余平衡重的安装。吊装完成后检查并确认相邻平衡重块的整个表面是否贴紧。</w:t>
      </w:r>
    </w:p>
    <w:p w14:paraId="7C5DC35F">
      <w:pPr>
        <w:autoSpaceDE w:val="0"/>
        <w:spacing w:after="120" w:line="360" w:lineRule="auto"/>
        <w:ind w:firstLine="0" w:firstLineChars="0"/>
        <w:jc w:val="center"/>
        <w:rPr>
          <w:rFonts w:ascii="黑体" w:hAnsi="黑体" w:eastAsia="黑体"/>
          <w:sz w:val="21"/>
        </w:rPr>
      </w:pPr>
      <w:r>
        <w:drawing>
          <wp:inline distT="0" distB="0" distL="114300" distR="114300">
            <wp:extent cx="4646930" cy="2229485"/>
            <wp:effectExtent l="0" t="0" r="1270" b="184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48"/>
                    <a:stretch>
                      <a:fillRect/>
                    </a:stretch>
                  </pic:blipFill>
                  <pic:spPr>
                    <a:xfrm>
                      <a:off x="0" y="0"/>
                      <a:ext cx="4646930" cy="2229485"/>
                    </a:xfrm>
                    <a:prstGeom prst="rect">
                      <a:avLst/>
                    </a:prstGeom>
                    <a:noFill/>
                    <a:ln>
                      <a:noFill/>
                    </a:ln>
                  </pic:spPr>
                </pic:pic>
              </a:graphicData>
            </a:graphic>
          </wp:inline>
        </w:drawing>
      </w:r>
      <w:r>
        <w:drawing>
          <wp:inline distT="0" distB="0" distL="114300" distR="114300">
            <wp:extent cx="2819400" cy="2663190"/>
            <wp:effectExtent l="0" t="0" r="0" b="381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49"/>
                    <a:stretch>
                      <a:fillRect/>
                    </a:stretch>
                  </pic:blipFill>
                  <pic:spPr>
                    <a:xfrm>
                      <a:off x="0" y="0"/>
                      <a:ext cx="2819400" cy="2663190"/>
                    </a:xfrm>
                    <a:prstGeom prst="rect">
                      <a:avLst/>
                    </a:prstGeom>
                    <a:noFill/>
                    <a:ln>
                      <a:noFill/>
                    </a:ln>
                  </pic:spPr>
                </pic:pic>
              </a:graphicData>
            </a:graphic>
          </wp:inline>
        </w:drawing>
      </w:r>
      <w:r>
        <w:drawing>
          <wp:inline distT="0" distB="0" distL="114300" distR="114300">
            <wp:extent cx="2760980" cy="1915160"/>
            <wp:effectExtent l="0" t="0" r="1270" b="8890"/>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50"/>
                    <a:stretch>
                      <a:fillRect/>
                    </a:stretch>
                  </pic:blipFill>
                  <pic:spPr>
                    <a:xfrm>
                      <a:off x="0" y="0"/>
                      <a:ext cx="2760980" cy="1915160"/>
                    </a:xfrm>
                    <a:prstGeom prst="rect">
                      <a:avLst/>
                    </a:prstGeom>
                    <a:noFill/>
                    <a:ln>
                      <a:noFill/>
                    </a:ln>
                  </pic:spPr>
                </pic:pic>
              </a:graphicData>
            </a:graphic>
          </wp:inline>
        </w:drawing>
      </w:r>
    </w:p>
    <w:p w14:paraId="341CFCC9">
      <w:pPr>
        <w:pStyle w:val="122"/>
        <w:spacing w:before="29" w:line="360" w:lineRule="auto"/>
        <w:ind w:right="159"/>
      </w:pPr>
      <w:r>
        <w:rPr>
          <w:rFonts w:hint="eastAsia"/>
        </w:rPr>
        <w:t>图5.3-9吊装2块3.2t配重</w:t>
      </w:r>
    </w:p>
    <w:p w14:paraId="571A8CCD">
      <w:pPr>
        <w:pStyle w:val="4"/>
        <w:spacing w:line="240" w:lineRule="auto"/>
        <w:rPr>
          <w:rFonts w:ascii="黑体" w:hAnsi="黑体" w:cs="黑体"/>
          <w:bCs/>
          <w:color w:val="000000"/>
        </w:rPr>
      </w:pPr>
      <w:bookmarkStart w:id="298" w:name="_Toc8955"/>
      <w:r>
        <w:rPr>
          <w:rFonts w:hint="eastAsia" w:ascii="黑体" w:hAnsi="黑体" w:cs="黑体"/>
          <w:bCs/>
          <w:color w:val="000000"/>
        </w:rPr>
        <w:t>5.3.8安装起重臂总成</w:t>
      </w:r>
      <w:bookmarkEnd w:id="298"/>
    </w:p>
    <w:p w14:paraId="30986FE3">
      <w:pPr>
        <w:ind w:firstLine="560"/>
        <w:rPr>
          <w:kern w:val="0"/>
        </w:rPr>
      </w:pPr>
      <w:bookmarkStart w:id="299" w:name="_Toc20504"/>
      <w:r>
        <w:rPr>
          <w:rFonts w:hint="eastAsia"/>
          <w:kern w:val="0"/>
        </w:rPr>
        <w:t>(1)在离上横梁0.6m的支架或枕木上将需要的起重臂拼接好（拼接过程中先将载重小车套在起重臂下弦杆导轨上）。</w:t>
      </w:r>
    </w:p>
    <w:p w14:paraId="63092204">
      <w:pPr>
        <w:ind w:firstLine="560"/>
        <w:rPr>
          <w:kern w:val="0"/>
        </w:rPr>
      </w:pPr>
      <w:r>
        <w:rPr>
          <w:rFonts w:hint="eastAsia"/>
          <w:kern w:val="0"/>
        </w:rPr>
        <w:t xml:space="preserve">(2)将维修吊篮紧固在载重小车上，并使载重小车尽量靠近起重臂根部最小幅度处。 </w:t>
      </w:r>
    </w:p>
    <w:p w14:paraId="706AE963">
      <w:pPr>
        <w:ind w:firstLine="560"/>
        <w:rPr>
          <w:kern w:val="0"/>
        </w:rPr>
      </w:pPr>
      <w:r>
        <w:rPr>
          <w:rFonts w:hint="eastAsia"/>
          <w:kern w:val="0"/>
        </w:rPr>
        <w:t>安装好起重臂根部处的变幅机构，卷筒绕出长、短两根钢丝绳，其中短的通过臂根导向滑轮固定于载重小车后部， 另一根长的通过起重臂中间及头部导向滑轮，固定于载重小车前部。</w:t>
      </w:r>
    </w:p>
    <w:p w14:paraId="5088776C">
      <w:pPr>
        <w:ind w:firstLine="560"/>
        <w:rPr>
          <w:kern w:val="0"/>
        </w:rPr>
      </w:pPr>
      <w:r>
        <w:rPr>
          <w:rFonts w:hint="eastAsia"/>
          <w:kern w:val="0"/>
        </w:rPr>
        <w:t>(3)检查起重臂上的电路是否完善。使用回转机构的临时电源将塔机上部结构回转到便于安装起重臂的方位。</w:t>
      </w:r>
    </w:p>
    <w:p w14:paraId="1E5A38D6">
      <w:pPr>
        <w:ind w:firstLine="560"/>
        <w:rPr>
          <w:kern w:val="0"/>
        </w:rPr>
      </w:pPr>
      <w:r>
        <w:rPr>
          <w:rFonts w:hint="eastAsia"/>
          <w:kern w:val="0"/>
        </w:rPr>
        <w:t>(4)试吊是否平衡，否则可适当移动挂绳位置， 起吊起重臂总成至安装高度。用定轴架和销轴将塔头与起重臂根部联接固定。</w:t>
      </w:r>
    </w:p>
    <w:p w14:paraId="064331F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lang w:eastAsia="zh-CN"/>
        </w:rPr>
        <w:t>起重</w:t>
      </w:r>
      <w:r>
        <w:rPr>
          <w:rFonts w:hint="eastAsia" w:ascii="宋体" w:hAnsi="宋体" w:cs="宋体"/>
          <w:color w:val="1E1C11" w:themeColor="background2" w:themeShade="1A"/>
          <w:kern w:val="0"/>
        </w:rPr>
        <w:t>臂总成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4.697</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lang w:val="en-US" w:eastAsia="zh-CN"/>
        </w:rPr>
        <w:t>2</w:t>
      </w:r>
      <w:r>
        <w:rPr>
          <w:rFonts w:ascii="宋体" w:hAnsi="宋体" w:cs="宋体"/>
          <w:color w:val="1E1C11" w:themeColor="background2" w:themeShade="1A"/>
          <w:kern w:val="0"/>
        </w:rPr>
        <w:t>根Φ</w:t>
      </w:r>
      <w:r>
        <w:rPr>
          <w:rFonts w:hint="eastAsia" w:ascii="宋体" w:hAnsi="宋体" w:cs="宋体"/>
          <w:color w:val="1E1C11" w:themeColor="background2" w:themeShade="1A"/>
          <w:kern w:val="0"/>
          <w:lang w:val="en-US" w:eastAsia="zh-CN"/>
        </w:rPr>
        <w:t>18</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2</w:t>
      </w:r>
      <w:r>
        <w:rPr>
          <w:rFonts w:ascii="宋体" w:hAnsi="宋体" w:cs="宋体"/>
          <w:color w:val="1E1C11" w:themeColor="background2" w:themeShade="1A"/>
          <w:kern w:val="0"/>
        </w:rPr>
        <w:t>个</w:t>
      </w:r>
      <w:r>
        <w:rPr>
          <w:rFonts w:hint="eastAsia" w:ascii="宋体" w:hAnsi="宋体" w:cs="宋体"/>
          <w:color w:val="1E1C11" w:themeColor="background2" w:themeShade="1A"/>
          <w:kern w:val="0"/>
          <w:lang w:val="en-US" w:eastAsia="zh-CN"/>
        </w:rPr>
        <w:t>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2</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w:t>
      </w:r>
      <w:r>
        <w:rPr>
          <w:rFonts w:hint="eastAsia" w:ascii="宋体" w:hAnsi="宋体" w:cs="宋体"/>
          <w:color w:val="1E1C11" w:themeColor="background2" w:themeShade="1A"/>
          <w:kern w:val="0"/>
          <w:lang w:val="en-US" w:eastAsia="zh-CN"/>
        </w:rPr>
        <w:t>起重</w:t>
      </w:r>
      <w:r>
        <w:rPr>
          <w:rFonts w:hint="eastAsia" w:ascii="宋体" w:hAnsi="宋体" w:cs="宋体"/>
          <w:color w:val="1E1C11" w:themeColor="background2" w:themeShade="1A"/>
          <w:kern w:val="0"/>
        </w:rPr>
        <w:t>臂，用定轴架和销轴将平衡臂与起重臂根节固定好。</w:t>
      </w:r>
    </w:p>
    <w:p w14:paraId="5AE0FB31">
      <w:pPr>
        <w:spacing w:line="240" w:lineRule="auto"/>
        <w:ind w:firstLine="0" w:firstLineChars="0"/>
        <w:jc w:val="center"/>
        <w:rPr>
          <w:kern w:val="0"/>
          <w:szCs w:val="24"/>
        </w:rPr>
      </w:pPr>
      <w:r>
        <mc:AlternateContent>
          <mc:Choice Requires="wps">
            <w:drawing>
              <wp:anchor distT="0" distB="0" distL="114300" distR="114300" simplePos="0" relativeHeight="251662336" behindDoc="0" locked="0" layoutInCell="1" allowOverlap="1">
                <wp:simplePos x="0" y="0"/>
                <wp:positionH relativeFrom="column">
                  <wp:posOffset>2919730</wp:posOffset>
                </wp:positionH>
                <wp:positionV relativeFrom="paragraph">
                  <wp:posOffset>1273175</wp:posOffset>
                </wp:positionV>
                <wp:extent cx="657225" cy="875665"/>
                <wp:effectExtent l="19050" t="19050" r="28575" b="19685"/>
                <wp:wrapNone/>
                <wp:docPr id="31" name="矩形 31"/>
                <wp:cNvGraphicFramePr/>
                <a:graphic xmlns:a="http://schemas.openxmlformats.org/drawingml/2006/main">
                  <a:graphicData uri="http://schemas.microsoft.com/office/word/2010/wordprocessingShape">
                    <wps:wsp>
                      <wps:cNvSpPr/>
                      <wps:spPr>
                        <a:xfrm>
                          <a:off x="2646680" y="901065"/>
                          <a:ext cx="657225" cy="87566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9pt;margin-top:100.25pt;height:68.95pt;width:51.75pt;z-index:251662336;v-text-anchor:middle;mso-width-relative:page;mso-height-relative:page;" filled="f" stroked="t" coordsize="21600,21600" o:gfxdata="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aJG1tkAAAALAQAADwAAAAAAAAABACAAAAAiAAAAZHJzL2Rvd25yZXYueG1s&#10;UEsBAhQAFAAAAAgAh07iQHMjWUBpAgAAwAQAAA4AAAAAAAAAAQAgAAAAKAEAAGRycy9lMm9Eb2Mu&#10;eG1sUEsFBgAAAAAGAAYAWQEAAAMGAAAAAA==&#10;">
                <v:fill on="f" focussize="0,0"/>
                <v:stroke weight="3pt" color="#FF0000 [2404]" joinstyle="round"/>
                <v:imagedata o:title=""/>
                <o:lock v:ext="edit" aspectratio="f"/>
              </v:rect>
            </w:pict>
          </mc:Fallback>
        </mc:AlternateContent>
      </w:r>
      <w:r>
        <w:drawing>
          <wp:inline distT="0" distB="0" distL="114300" distR="114300">
            <wp:extent cx="4848860" cy="1176655"/>
            <wp:effectExtent l="0" t="0" r="8890" b="444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51"/>
                    <a:stretch>
                      <a:fillRect/>
                    </a:stretch>
                  </pic:blipFill>
                  <pic:spPr>
                    <a:xfrm>
                      <a:off x="0" y="0"/>
                      <a:ext cx="4848860" cy="1176655"/>
                    </a:xfrm>
                    <a:prstGeom prst="rect">
                      <a:avLst/>
                    </a:prstGeom>
                    <a:noFill/>
                    <a:ln>
                      <a:noFill/>
                    </a:ln>
                  </pic:spPr>
                </pic:pic>
              </a:graphicData>
            </a:graphic>
          </wp:inline>
        </w:drawing>
      </w:r>
      <w:r>
        <w:drawing>
          <wp:inline distT="0" distB="0" distL="114300" distR="114300">
            <wp:extent cx="5676900" cy="952500"/>
            <wp:effectExtent l="0" t="0" r="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52"/>
                    <a:stretch>
                      <a:fillRect/>
                    </a:stretch>
                  </pic:blipFill>
                  <pic:spPr>
                    <a:xfrm>
                      <a:off x="0" y="0"/>
                      <a:ext cx="5676900" cy="952500"/>
                    </a:xfrm>
                    <a:prstGeom prst="rect">
                      <a:avLst/>
                    </a:prstGeom>
                    <a:noFill/>
                    <a:ln>
                      <a:noFill/>
                    </a:ln>
                  </pic:spPr>
                </pic:pic>
              </a:graphicData>
            </a:graphic>
          </wp:inline>
        </w:drawing>
      </w:r>
      <w:r>
        <w:rPr>
          <w:rFonts w:ascii="宋体" w:hAnsi="宋体" w:eastAsia="宋体" w:cs="宋体"/>
          <w:kern w:val="0"/>
          <w:sz w:val="24"/>
          <w:szCs w:val="24"/>
          <w:lang w:bidi="ar"/>
        </w:rPr>
        <w:drawing>
          <wp:inline distT="0" distB="0" distL="114300" distR="114300">
            <wp:extent cx="5172075" cy="918845"/>
            <wp:effectExtent l="0" t="0" r="9525" b="14605"/>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53"/>
                    <a:stretch>
                      <a:fillRect/>
                    </a:stretch>
                  </pic:blipFill>
                  <pic:spPr>
                    <a:xfrm>
                      <a:off x="0" y="0"/>
                      <a:ext cx="5172075" cy="918845"/>
                    </a:xfrm>
                    <a:prstGeom prst="rect">
                      <a:avLst/>
                    </a:prstGeom>
                    <a:noFill/>
                    <a:ln w="9525">
                      <a:noFill/>
                    </a:ln>
                  </pic:spPr>
                </pic:pic>
              </a:graphicData>
            </a:graphic>
          </wp:inline>
        </w:drawing>
      </w:r>
      <w:r>
        <w:drawing>
          <wp:inline distT="0" distB="0" distL="114300" distR="114300">
            <wp:extent cx="5720715" cy="3109595"/>
            <wp:effectExtent l="0" t="0" r="13335" b="14605"/>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pic:cNvPicPr>
                  </pic:nvPicPr>
                  <pic:blipFill>
                    <a:blip r:embed="rId54"/>
                    <a:stretch>
                      <a:fillRect/>
                    </a:stretch>
                  </pic:blipFill>
                  <pic:spPr>
                    <a:xfrm>
                      <a:off x="0" y="0"/>
                      <a:ext cx="5720715" cy="3109595"/>
                    </a:xfrm>
                    <a:prstGeom prst="rect">
                      <a:avLst/>
                    </a:prstGeom>
                    <a:noFill/>
                    <a:ln>
                      <a:noFill/>
                    </a:ln>
                  </pic:spPr>
                </pic:pic>
              </a:graphicData>
            </a:graphic>
          </wp:inline>
        </w:drawing>
      </w:r>
      <w:r>
        <w:drawing>
          <wp:inline distT="0" distB="0" distL="114300" distR="114300">
            <wp:extent cx="5389880" cy="2102485"/>
            <wp:effectExtent l="0" t="0" r="1270" b="12065"/>
            <wp:docPr id="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55"/>
                    <a:stretch>
                      <a:fillRect/>
                    </a:stretch>
                  </pic:blipFill>
                  <pic:spPr>
                    <a:xfrm>
                      <a:off x="0" y="0"/>
                      <a:ext cx="5389880" cy="2102485"/>
                    </a:xfrm>
                    <a:prstGeom prst="rect">
                      <a:avLst/>
                    </a:prstGeom>
                    <a:noFill/>
                    <a:ln>
                      <a:noFill/>
                    </a:ln>
                  </pic:spPr>
                </pic:pic>
              </a:graphicData>
            </a:graphic>
          </wp:inline>
        </w:drawing>
      </w:r>
    </w:p>
    <w:p w14:paraId="0411698F">
      <w:pPr>
        <w:pStyle w:val="122"/>
        <w:spacing w:before="29" w:line="360" w:lineRule="auto"/>
        <w:ind w:right="159"/>
      </w:pPr>
      <w:r>
        <w:rPr>
          <w:rFonts w:hint="eastAsia"/>
        </w:rPr>
        <w:t>图5.3-</w:t>
      </w:r>
      <w:r>
        <w:rPr>
          <w:rFonts w:hint="eastAsia"/>
          <w:lang w:val="en-US" w:eastAsia="zh-CN"/>
        </w:rPr>
        <w:t>10</w:t>
      </w:r>
      <w:r>
        <w:rPr>
          <w:rFonts w:hint="eastAsia"/>
        </w:rPr>
        <w:t>吊装起重臂总成示意图</w:t>
      </w:r>
    </w:p>
    <w:p w14:paraId="2B0B55DD">
      <w:pPr>
        <w:pStyle w:val="4"/>
        <w:spacing w:line="240" w:lineRule="auto"/>
        <w:rPr>
          <w:rFonts w:ascii="黑体" w:hAnsi="黑体" w:cs="黑体"/>
          <w:bCs/>
          <w:color w:val="000000"/>
        </w:rPr>
      </w:pPr>
      <w:r>
        <w:rPr>
          <w:rFonts w:hint="eastAsia" w:ascii="黑体" w:hAnsi="黑体" w:cs="黑体"/>
          <w:bCs/>
          <w:color w:val="000000"/>
        </w:rPr>
        <w:t>5.3.9装配剩余平衡重</w:t>
      </w:r>
      <w:bookmarkEnd w:id="299"/>
    </w:p>
    <w:p w14:paraId="6CE9BAA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根据塔基臂长装配剩余平衡重（平衡重的配置及安装位置严格按照要求安装），</w:t>
      </w:r>
      <w:r>
        <w:rPr>
          <w:rFonts w:hint="eastAsia" w:ascii="宋体" w:hAnsi="宋体" w:cs="宋体"/>
          <w:color w:val="1E1C11" w:themeColor="background2" w:themeShade="1A"/>
          <w:kern w:val="0"/>
          <w:lang w:val="en-US" w:eastAsia="zh-CN"/>
        </w:rPr>
        <w:t>45</w:t>
      </w:r>
      <w:r>
        <w:rPr>
          <w:rFonts w:hint="eastAsia" w:ascii="宋体" w:hAnsi="宋体" w:cs="宋体"/>
          <w:color w:val="1E1C11" w:themeColor="background2" w:themeShade="1A"/>
          <w:kern w:val="0"/>
        </w:rPr>
        <w:t>米起重臂时其配置要求如下图：</w:t>
      </w:r>
    </w:p>
    <w:p w14:paraId="5DA986EE">
      <w:pPr>
        <w:spacing w:line="240" w:lineRule="auto"/>
        <w:ind w:firstLine="0" w:firstLineChars="0"/>
        <w:jc w:val="center"/>
        <w:rPr>
          <w:rFonts w:ascii="Tahoma" w:hAnsi="Tahoma" w:eastAsia="宋体" w:cs="Tahoma"/>
          <w:szCs w:val="24"/>
        </w:rPr>
      </w:pPr>
      <w:r>
        <w:drawing>
          <wp:inline distT="0" distB="0" distL="114300" distR="114300">
            <wp:extent cx="1939925" cy="1811020"/>
            <wp:effectExtent l="0" t="0" r="3175" b="17780"/>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pic:cNvPicPr>
                      <a:picLocks noChangeAspect="1"/>
                    </pic:cNvPicPr>
                  </pic:nvPicPr>
                  <pic:blipFill>
                    <a:blip r:embed="rId56"/>
                    <a:stretch>
                      <a:fillRect/>
                    </a:stretch>
                  </pic:blipFill>
                  <pic:spPr>
                    <a:xfrm>
                      <a:off x="0" y="0"/>
                      <a:ext cx="1939925" cy="1811020"/>
                    </a:xfrm>
                    <a:prstGeom prst="rect">
                      <a:avLst/>
                    </a:prstGeom>
                    <a:noFill/>
                    <a:ln>
                      <a:noFill/>
                    </a:ln>
                  </pic:spPr>
                </pic:pic>
              </a:graphicData>
            </a:graphic>
          </wp:inline>
        </w:drawing>
      </w:r>
      <w:r>
        <w:drawing>
          <wp:inline distT="0" distB="0" distL="114300" distR="114300">
            <wp:extent cx="5719445" cy="2736850"/>
            <wp:effectExtent l="0" t="0" r="14605" b="6350"/>
            <wp:docPr id="10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5"/>
                    <pic:cNvPicPr>
                      <a:picLocks noChangeAspect="1"/>
                    </pic:cNvPicPr>
                  </pic:nvPicPr>
                  <pic:blipFill>
                    <a:blip r:embed="rId57"/>
                    <a:stretch>
                      <a:fillRect/>
                    </a:stretch>
                  </pic:blipFill>
                  <pic:spPr>
                    <a:xfrm>
                      <a:off x="0" y="0"/>
                      <a:ext cx="5719445" cy="2736850"/>
                    </a:xfrm>
                    <a:prstGeom prst="rect">
                      <a:avLst/>
                    </a:prstGeom>
                    <a:noFill/>
                    <a:ln>
                      <a:noFill/>
                    </a:ln>
                  </pic:spPr>
                </pic:pic>
              </a:graphicData>
            </a:graphic>
          </wp:inline>
        </w:drawing>
      </w:r>
      <w:r>
        <w:drawing>
          <wp:inline distT="0" distB="0" distL="114300" distR="114300">
            <wp:extent cx="5715635" cy="2594610"/>
            <wp:effectExtent l="0" t="0" r="18415" b="15240"/>
            <wp:docPr id="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pic:cNvPicPr>
                  </pic:nvPicPr>
                  <pic:blipFill>
                    <a:blip r:embed="rId58"/>
                    <a:stretch>
                      <a:fillRect/>
                    </a:stretch>
                  </pic:blipFill>
                  <pic:spPr>
                    <a:xfrm>
                      <a:off x="0" y="0"/>
                      <a:ext cx="5715635" cy="2594610"/>
                    </a:xfrm>
                    <a:prstGeom prst="rect">
                      <a:avLst/>
                    </a:prstGeom>
                    <a:noFill/>
                    <a:ln>
                      <a:noFill/>
                    </a:ln>
                  </pic:spPr>
                </pic:pic>
              </a:graphicData>
            </a:graphic>
          </wp:inline>
        </w:drawing>
      </w:r>
    </w:p>
    <w:p w14:paraId="4BAA4D93">
      <w:pPr>
        <w:pStyle w:val="122"/>
        <w:spacing w:before="29" w:line="360" w:lineRule="auto"/>
        <w:ind w:right="159"/>
      </w:pPr>
      <w:r>
        <w:rPr>
          <w:rFonts w:hint="eastAsia"/>
        </w:rPr>
        <w:t xml:space="preserve">图5.3-11  </w:t>
      </w:r>
      <w:r>
        <w:rPr>
          <w:rFonts w:hint="eastAsia"/>
          <w:lang w:val="en-US" w:eastAsia="zh-CN"/>
        </w:rPr>
        <w:t>4</w:t>
      </w:r>
      <w:r>
        <w:rPr>
          <w:rFonts w:hint="eastAsia"/>
        </w:rPr>
        <w:t>5m起重臂时平衡重示意图</w:t>
      </w:r>
    </w:p>
    <w:p w14:paraId="5F6ED691">
      <w:pPr>
        <w:pStyle w:val="4"/>
        <w:spacing w:line="240" w:lineRule="auto"/>
        <w:rPr>
          <w:rFonts w:ascii="黑体" w:hAnsi="黑体" w:cs="黑体"/>
          <w:bCs/>
          <w:color w:val="000000"/>
        </w:rPr>
      </w:pPr>
      <w:r>
        <w:rPr>
          <w:rFonts w:hint="eastAsia" w:ascii="黑体" w:hAnsi="黑体" w:cs="黑体"/>
          <w:bCs/>
          <w:color w:val="000000"/>
        </w:rPr>
        <w:t>5.3.10穿绕起升钢丝绳</w:t>
      </w:r>
    </w:p>
    <w:p w14:paraId="3A2A7488">
      <w:pPr>
        <w:pStyle w:val="172"/>
        <w:ind w:firstLine="560"/>
        <w:rPr>
          <w:kern w:val="0"/>
          <w:szCs w:val="24"/>
        </w:rPr>
      </w:pPr>
      <w:bookmarkStart w:id="300" w:name="_Toc28436"/>
      <w:r>
        <w:rPr>
          <w:rFonts w:hint="eastAsia"/>
          <w:kern w:val="0"/>
          <w:szCs w:val="24"/>
        </w:rPr>
        <w:t>吊装完毕后，进行起升钢丝绳穿绕。</w:t>
      </w:r>
    </w:p>
    <w:p w14:paraId="09C568EA">
      <w:pPr>
        <w:pStyle w:val="172"/>
        <w:ind w:firstLine="0" w:firstLineChars="0"/>
        <w:rPr>
          <w:kern w:val="0"/>
          <w:szCs w:val="24"/>
        </w:rPr>
      </w:pPr>
      <w:r>
        <w:rPr>
          <w:rFonts w:hint="eastAsia"/>
          <w:kern w:val="0"/>
          <w:szCs w:val="24"/>
        </w:rPr>
        <w:t xml:space="preserve">    将钢丝绳从起升机构卷筒放出，通过排绳滑轮、塔顶滑轮、称重滑轮，将钢丝绳引至于位于起重臂根部的小车上，通过小车和吊钩之间的滑轮组，最后将绳头通过绳头夹用销轴固定在起重臂头部防扭装置上。注：钢丝绳穿绕完毕后检查防扭装置是否转动自如。</w:t>
      </w:r>
    </w:p>
    <w:p w14:paraId="755694DF">
      <w:pPr>
        <w:pStyle w:val="172"/>
        <w:spacing w:line="240" w:lineRule="auto"/>
        <w:ind w:firstLine="0" w:firstLineChars="0"/>
        <w:jc w:val="center"/>
        <w:rPr>
          <w:kern w:val="0"/>
          <w:szCs w:val="24"/>
        </w:rPr>
      </w:pPr>
      <w:r>
        <w:drawing>
          <wp:inline distT="0" distB="0" distL="114300" distR="114300">
            <wp:extent cx="5718175" cy="2103755"/>
            <wp:effectExtent l="0" t="0" r="0" b="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59"/>
                    <a:srcRect t="6067"/>
                    <a:stretch>
                      <a:fillRect/>
                    </a:stretch>
                  </pic:blipFill>
                  <pic:spPr>
                    <a:xfrm>
                      <a:off x="0" y="0"/>
                      <a:ext cx="5718175" cy="2103755"/>
                    </a:xfrm>
                    <a:prstGeom prst="rect">
                      <a:avLst/>
                    </a:prstGeom>
                    <a:noFill/>
                    <a:ln>
                      <a:noFill/>
                    </a:ln>
                  </pic:spPr>
                </pic:pic>
              </a:graphicData>
            </a:graphic>
          </wp:inline>
        </w:drawing>
      </w:r>
    </w:p>
    <w:p w14:paraId="159A343D">
      <w:pPr>
        <w:pStyle w:val="122"/>
        <w:spacing w:before="29" w:line="360" w:lineRule="auto"/>
        <w:ind w:right="159"/>
      </w:pPr>
      <w:r>
        <w:rPr>
          <w:rFonts w:hint="eastAsia"/>
        </w:rPr>
        <w:t>图5.3-12 钢丝绳穿绕图</w:t>
      </w:r>
    </w:p>
    <w:p w14:paraId="57D2BA23">
      <w:pPr>
        <w:pStyle w:val="4"/>
        <w:spacing w:line="240" w:lineRule="auto"/>
        <w:rPr>
          <w:rFonts w:ascii="黑体" w:hAnsi="黑体" w:cs="黑体"/>
          <w:bCs/>
          <w:color w:val="000000"/>
        </w:rPr>
      </w:pPr>
      <w:r>
        <w:rPr>
          <w:rFonts w:hint="eastAsia" w:ascii="黑体" w:hAnsi="黑体" w:cs="黑体"/>
          <w:bCs/>
          <w:color w:val="000000"/>
        </w:rPr>
        <w:t>5.3.11电气安装与使用</w:t>
      </w:r>
      <w:bookmarkEnd w:id="300"/>
    </w:p>
    <w:p w14:paraId="4A3BB07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电气安装处在塔机安装完毕后进行，参看原理图，外部接线图及控制箱连线图，连接各控制及动力电缆、制动器电缆，及安全装置，接地装置，障碍灯等；</w:t>
      </w:r>
    </w:p>
    <w:p w14:paraId="6EEDF10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a.电气安装</w:t>
      </w:r>
    </w:p>
    <w:p w14:paraId="3944F9B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送电之前应对所有线路进行检查，须固定的电缆应有可靠地固定，防止塔机在运行时损伤电缆，其主控制回路对地绝缘电阻不应小于0.5MΩ，塔机对地的接地电阻应不大于4Ω，电缆进入司机室时应穿入电缆保护圈后再进入司机室并留适当的长度。</w:t>
      </w:r>
    </w:p>
    <w:p w14:paraId="262D4065">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b.通电调试</w:t>
      </w:r>
    </w:p>
    <w:p w14:paraId="310C24C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 xml:space="preserve">   场地内的电源采用单独分配箱控制采用</w:t>
      </w:r>
      <w:r>
        <w:rPr>
          <w:rFonts w:ascii="宋体" w:hAnsi="宋体" w:cs="宋体"/>
          <w:color w:val="1E1C11" w:themeColor="background2" w:themeShade="1A"/>
          <w:kern w:val="0"/>
        </w:rPr>
        <w:t>TNS</w:t>
      </w:r>
      <w:r>
        <w:rPr>
          <w:rFonts w:hint="eastAsia" w:ascii="宋体" w:hAnsi="宋体" w:cs="宋体"/>
          <w:color w:val="1E1C11" w:themeColor="background2" w:themeShade="1A"/>
          <w:kern w:val="0"/>
        </w:rPr>
        <w:t>五线三相制接线系统。地面电源合上，送电到司机室，检查三相电源应三相平衡，电压应为380V±10%（地面电网应提供足够的容量，以保护电机正常启动和运行）。松开高度限制器，幅度限制器，配合机械安装，穿好起升，载重小车钢丝绳，然后检查各机构运转是否正常，否则应调整接至起升电机的电源相序，以符合要求。</w:t>
      </w:r>
    </w:p>
    <w:p w14:paraId="39EBC81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c.使用应注意事项</w:t>
      </w:r>
    </w:p>
    <w:p w14:paraId="25675C5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1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①</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电送到司机室后障碍灯和司机室照明可通过操作台上的开关送电，插座上也有电，可供插风扇之用。</w:t>
      </w:r>
    </w:p>
    <w:p w14:paraId="094D59FC">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2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②</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按启动按钮时，各操作手柄必须归零位，总接触器才可得电自保;</w:t>
      </w:r>
    </w:p>
    <w:p w14:paraId="7781C1C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3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③</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严禁回转机构打反车制动和紧急刹车，为防止回转打反车和紧急刹车和回转手柄归零后不能马上刹车，电气上设置延时装置须设有几秒的延时间隔。</w:t>
      </w:r>
    </w:p>
    <w:p w14:paraId="47F30592">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4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④</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小车变幅采用变频方案，工作时应根据需要选择适当的速度。</w:t>
      </w:r>
    </w:p>
    <w:p w14:paraId="512980A3">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5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⑤</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控制柜已调好的延时继电器不能随便调整，如更换元件应按电气系统说明书调整正确。</w:t>
      </w:r>
    </w:p>
    <w:p w14:paraId="4038DBCF">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6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⑥</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顶升前要检查泵站电机转向是否与要求一致，否则应将转向调整正确方向进行顶升，顶升时严禁回转变幅和起升，防止发生安全事故和绞断电缆。</w:t>
      </w:r>
    </w:p>
    <w:p w14:paraId="605571EF">
      <w:pPr>
        <w:autoSpaceDE w:val="0"/>
        <w:autoSpaceDN w:val="0"/>
        <w:adjustRightInd w:val="0"/>
        <w:ind w:firstLine="562"/>
        <w:rPr>
          <w:rFonts w:ascii="宋体" w:hAnsi="宋体" w:cs="宋体"/>
          <w:b/>
          <w:bCs/>
          <w:color w:val="1E1C11" w:themeColor="background2" w:themeShade="1A"/>
          <w:kern w:val="0"/>
        </w:rPr>
      </w:pPr>
      <w:r>
        <w:rPr>
          <w:rFonts w:hint="eastAsia" w:ascii="宋体" w:hAnsi="宋体" w:cs="宋体"/>
          <w:b/>
          <w:bCs/>
          <w:color w:val="1E1C11" w:themeColor="background2" w:themeShade="1A"/>
          <w:kern w:val="0"/>
        </w:rPr>
        <w:t>注：塔机接地保护应使用横截面积不小于16mm²的绝缘铜电缆或横截面30mm×35mm表面经电镀的金属条，接地件至少入地面以下1.5米。</w:t>
      </w:r>
      <w:bookmarkStart w:id="301" w:name="_Toc448152260"/>
    </w:p>
    <w:p w14:paraId="4900C094">
      <w:pPr>
        <w:autoSpaceDE w:val="0"/>
        <w:autoSpaceDN w:val="0"/>
        <w:adjustRightInd w:val="0"/>
        <w:ind w:firstLine="562"/>
        <w:rPr>
          <w:rFonts w:ascii="宋体" w:hAnsi="宋体" w:cs="宋体"/>
          <w:b/>
          <w:bCs/>
          <w:color w:val="1E1C11" w:themeColor="background2" w:themeShade="1A"/>
          <w:kern w:val="0"/>
        </w:rPr>
      </w:pPr>
    </w:p>
    <w:bookmarkEnd w:id="301"/>
    <w:p w14:paraId="3CE8D70A">
      <w:pPr>
        <w:pStyle w:val="4"/>
        <w:spacing w:before="29" w:line="360" w:lineRule="auto"/>
        <w:ind w:right="159"/>
      </w:pPr>
      <w:bookmarkStart w:id="302" w:name="_Toc23403_WPSOffice_Level2"/>
      <w:bookmarkStart w:id="303" w:name="_Toc525111831"/>
      <w:bookmarkStart w:id="304" w:name="_Toc3826"/>
      <w:bookmarkStart w:id="305" w:name="_Toc1148_WPSOffice_Level2"/>
      <w:bookmarkStart w:id="306" w:name="_Toc29436"/>
      <w:bookmarkStart w:id="307" w:name="_Toc4417"/>
      <w:bookmarkStart w:id="308" w:name="_Toc1251"/>
      <w:bookmarkStart w:id="309" w:name="_Toc26444"/>
      <w:bookmarkStart w:id="310" w:name="_Toc20532"/>
      <w:bookmarkStart w:id="311" w:name="_Toc9940"/>
      <w:bookmarkStart w:id="312" w:name="_Toc32716"/>
      <w:bookmarkStart w:id="313" w:name="_Toc448152262"/>
      <w:bookmarkStart w:id="314" w:name="_Toc7059"/>
      <w:bookmarkStart w:id="315" w:name="_Toc19782_WPSOffice_Level2"/>
      <w:bookmarkStart w:id="316" w:name="_Toc13112"/>
      <w:r>
        <w:rPr>
          <w:rFonts w:hint="eastAsia" w:ascii="黑体" w:hAnsi="黑体" w:cs="黑体"/>
          <w:bCs/>
          <w:color w:val="000000"/>
        </w:rPr>
        <w:t>5.3.12调试前的检查工作</w:t>
      </w:r>
      <w:bookmarkEnd w:id="302"/>
      <w:bookmarkEnd w:id="303"/>
      <w:bookmarkEnd w:id="304"/>
      <w:bookmarkEnd w:id="305"/>
      <w:bookmarkEnd w:id="306"/>
    </w:p>
    <w:p w14:paraId="4B8E7C57">
      <w:pPr>
        <w:autoSpaceDE w:val="0"/>
        <w:autoSpaceDN w:val="0"/>
        <w:adjustRightInd w:val="0"/>
        <w:ind w:firstLine="560"/>
        <w:rPr>
          <w:rFonts w:ascii="宋体" w:hAnsi="宋体" w:cs="宋体"/>
          <w:color w:val="1E1C11" w:themeColor="background2" w:themeShade="1A"/>
          <w:kern w:val="0"/>
        </w:rPr>
      </w:pPr>
      <w:bookmarkStart w:id="317" w:name="_Toc525111832"/>
      <w:r>
        <w:rPr>
          <w:rFonts w:hint="eastAsia" w:ascii="宋体" w:hAnsi="宋体" w:cs="宋体"/>
          <w:color w:val="1E1C11" w:themeColor="background2" w:themeShade="1A"/>
          <w:kern w:val="0"/>
        </w:rPr>
        <w:t>1、检查塔机上的所有连接螺栓是否拧紧。</w:t>
      </w:r>
    </w:p>
    <w:p w14:paraId="3444EA0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2、检查支腿与基础节连接销轴是否安装到位并锁紧。</w:t>
      </w:r>
    </w:p>
    <w:p w14:paraId="52D3C366">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3、检查塔机与相邻塔机或建筑物的安全距离是否符合要求。</w:t>
      </w:r>
    </w:p>
    <w:p w14:paraId="20FBEF4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4、检查的连接情况是否良好，是否有破损，与塔机接触的位置是否有保护措施。</w:t>
      </w:r>
    </w:p>
    <w:p w14:paraId="7C166A3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5、检查各标准节的连接销轴是否安装到位并销紧。</w:t>
      </w:r>
    </w:p>
    <w:p w14:paraId="02F6163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6、检查塔机的各扶梯、平台、栏杆安装是否牢固可靠。</w:t>
      </w:r>
    </w:p>
    <w:p w14:paraId="35BE885B">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7、检查塔机行走小车与起重臂之间的间隙是否符合要求。</w:t>
      </w:r>
    </w:p>
    <w:p w14:paraId="6981DF2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8、检查钢丝绳的穿绕及卷筒上的缠绕是否正确，检查钢丝绳头是否松</w:t>
      </w:r>
      <w:r>
        <w:rPr>
          <w:rFonts w:hint="eastAsia"/>
        </w:rPr>
        <w:t>动</w:t>
      </w:r>
      <w:r>
        <w:rPr>
          <w:rFonts w:hint="eastAsia" w:ascii="宋体" w:hAnsi="宋体" w:cs="宋体"/>
          <w:color w:val="1E1C11" w:themeColor="background2" w:themeShade="1A"/>
          <w:kern w:val="0"/>
        </w:rPr>
        <w:t>。</w:t>
      </w:r>
    </w:p>
    <w:p w14:paraId="3659DE3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9、检查塔机各润滑面和润滑点的润滑情况是否符合要求。</w:t>
      </w:r>
    </w:p>
    <w:p w14:paraId="30ADB22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10、检查塔机的相序是否正确。</w:t>
      </w:r>
    </w:p>
    <w:p w14:paraId="129940E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11、检查平衡臂配重是否固定牢靠。</w:t>
      </w:r>
    </w:p>
    <w:p w14:paraId="1C5C1F4F">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12、检查各操作平台上是否有杂物，防止塔机运行时坠物伤人。</w:t>
      </w:r>
    </w:p>
    <w:p w14:paraId="1529EC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13、对塔机的接地电阻进行测试，确认其小于4Ω。</w:t>
      </w:r>
    </w:p>
    <w:p w14:paraId="045FB31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14、对塔机进行垂直度检查,确认其垂直度在4/1000范围之内。</w:t>
      </w:r>
    </w:p>
    <w:p w14:paraId="66665A9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15、在塔机顶部，平衡臂尾部和起重臂端部安装风速仪。</w:t>
      </w:r>
      <w:bookmarkEnd w:id="317"/>
    </w:p>
    <w:p w14:paraId="7FAF0A07">
      <w:pPr>
        <w:pStyle w:val="4"/>
        <w:spacing w:before="29" w:line="360" w:lineRule="auto"/>
        <w:ind w:right="159"/>
        <w:rPr>
          <w:rFonts w:ascii="黑体" w:hAnsi="黑体" w:cs="黑体"/>
          <w:bCs/>
          <w:color w:val="000000"/>
        </w:rPr>
      </w:pPr>
      <w:r>
        <w:rPr>
          <w:rFonts w:hint="eastAsia" w:ascii="黑体" w:hAnsi="黑体" w:cs="黑体"/>
          <w:bCs/>
          <w:color w:val="000000"/>
        </w:rPr>
        <w:t>5.3.13调试与试运转</w:t>
      </w:r>
    </w:p>
    <w:bookmarkEnd w:id="307"/>
    <w:bookmarkEnd w:id="308"/>
    <w:bookmarkEnd w:id="309"/>
    <w:bookmarkEnd w:id="310"/>
    <w:bookmarkEnd w:id="311"/>
    <w:bookmarkEnd w:id="312"/>
    <w:p w14:paraId="7920BC4E">
      <w:pPr>
        <w:ind w:firstLine="0" w:firstLineChars="0"/>
      </w:pPr>
      <w:r>
        <w:t>试</w:t>
      </w:r>
      <w:r>
        <w:rPr>
          <w:rFonts w:hint="eastAsia" w:ascii="黑体" w:hAnsi="黑体" w:cs="黑体"/>
          <w:color w:val="000000"/>
        </w:rPr>
        <w:t>运转</w:t>
      </w:r>
      <w:r>
        <w:t>目的</w:t>
      </w:r>
    </w:p>
    <w:p w14:paraId="77E4EFA6">
      <w:pPr>
        <w:ind w:firstLine="560"/>
      </w:pPr>
      <w:r>
        <w:t>（1）验证塔式起重机的承载能力，保证塔式起重机正常使用。</w:t>
      </w:r>
    </w:p>
    <w:p w14:paraId="24CAA220">
      <w:pPr>
        <w:ind w:firstLine="560"/>
      </w:pPr>
      <w:r>
        <w:t>（2）通过加载试验，在塔式起重机正式使用前，消除其结构的非弹性变形。</w:t>
      </w:r>
    </w:p>
    <w:p w14:paraId="0CBA71FB">
      <w:pPr>
        <w:ind w:firstLine="560"/>
      </w:pPr>
      <w:r>
        <w:rPr>
          <w:rFonts w:hint="eastAsia"/>
        </w:rPr>
        <w:t>（3）</w:t>
      </w:r>
      <w:r>
        <w:t>试吊载荷</w:t>
      </w:r>
    </w:p>
    <w:p w14:paraId="67B3612E">
      <w:pPr>
        <w:adjustRightInd w:val="0"/>
        <w:snapToGrid w:val="0"/>
        <w:ind w:firstLine="560"/>
      </w:pPr>
      <w:r>
        <w:t>根据工程实际工程概况使用四倍率进行载荷试验，确定如下试吊载荷</w:t>
      </w:r>
    </w:p>
    <w:p w14:paraId="67A407FC">
      <w:pPr>
        <w:adjustRightInd w:val="0"/>
        <w:snapToGrid w:val="0"/>
        <w:ind w:firstLine="560"/>
      </w:pPr>
      <w:r>
        <w:rPr>
          <w:rFonts w:hint="eastAsia"/>
        </w:rPr>
        <w:t>XGT6015A-8S塔机</w:t>
      </w:r>
      <w:r>
        <w:t>最大试验载荷：</w:t>
      </w:r>
      <w:r>
        <w:rPr>
          <w:rFonts w:hint="eastAsia"/>
        </w:rPr>
        <w:t>8</w:t>
      </w:r>
      <w:r>
        <w:t>t （1.1倍载荷试验）</w:t>
      </w:r>
    </w:p>
    <w:p w14:paraId="1AD34C6E">
      <w:pPr>
        <w:adjustRightInd w:val="0"/>
        <w:snapToGrid w:val="0"/>
        <w:ind w:firstLine="560"/>
      </w:pPr>
      <w:r>
        <w:t>力矩调试试验载荷： (</w:t>
      </w:r>
      <w:r>
        <w:rPr>
          <w:rFonts w:hint="eastAsia"/>
        </w:rPr>
        <w:t>1</w:t>
      </w:r>
      <w:r>
        <w:t xml:space="preserve">) </w:t>
      </w:r>
      <w:r>
        <w:rPr>
          <w:rFonts w:hint="eastAsia"/>
        </w:rPr>
        <w:t>8.8</w:t>
      </w:r>
      <w:r>
        <w:t>t(</w:t>
      </w:r>
      <w:r>
        <w:rPr>
          <w:rFonts w:hint="eastAsia"/>
          <w:lang w:val="en-US" w:eastAsia="zh-CN"/>
        </w:rPr>
        <w:t>10</w:t>
      </w:r>
      <w:r>
        <w:t xml:space="preserve">m)       (2)  </w:t>
      </w:r>
      <w:r>
        <w:rPr>
          <w:rFonts w:hint="eastAsia"/>
          <w:lang w:val="en-US" w:eastAsia="zh-CN"/>
        </w:rPr>
        <w:t>2.992</w:t>
      </w:r>
      <w:r>
        <w:t>t(</w:t>
      </w:r>
      <w:r>
        <w:rPr>
          <w:rFonts w:hint="eastAsia"/>
          <w:lang w:val="en-US" w:eastAsia="zh-CN"/>
        </w:rPr>
        <w:t>45</w:t>
      </w:r>
      <w:r>
        <w:rPr>
          <w:rFonts w:hint="eastAsia"/>
        </w:rPr>
        <w:t>m</w:t>
      </w:r>
      <w:r>
        <w:t xml:space="preserve">)     </w:t>
      </w:r>
    </w:p>
    <w:p w14:paraId="3727D16F">
      <w:pPr>
        <w:ind w:firstLine="562"/>
        <w:rPr>
          <w:b/>
          <w:bCs/>
        </w:rPr>
      </w:pPr>
      <w:bookmarkStart w:id="318" w:name="_Toc15536"/>
      <w:r>
        <w:rPr>
          <w:b/>
          <w:bCs/>
        </w:rPr>
        <w:t>塔式起重机加载试验工序</w:t>
      </w:r>
      <w:bookmarkEnd w:id="318"/>
    </w:p>
    <w:p w14:paraId="0D9A4F04">
      <w:pPr>
        <w:ind w:firstLine="0" w:firstLineChars="0"/>
        <w:rPr>
          <w:b/>
          <w:bCs/>
        </w:rPr>
      </w:pPr>
      <w:r>
        <w:rPr>
          <w:b/>
          <w:bCs/>
        </w:rPr>
        <w:t>试验前检查</w:t>
      </w:r>
    </w:p>
    <w:p w14:paraId="73D60F10">
      <w:pPr>
        <w:ind w:firstLine="560"/>
      </w:pPr>
      <w:r>
        <w:t>试吊前按人员分工进行全面检查：</w:t>
      </w:r>
    </w:p>
    <w:p w14:paraId="760CC502">
      <w:pPr>
        <w:numPr>
          <w:ilvl w:val="0"/>
          <w:numId w:val="5"/>
        </w:numPr>
        <w:ind w:firstLine="560"/>
      </w:pPr>
      <w:r>
        <w:t>对塔机基础和主体结构焊缝质量、油漆质量等外观质量进行目测检查；</w:t>
      </w:r>
    </w:p>
    <w:p w14:paraId="62EEC2A7">
      <w:pPr>
        <w:numPr>
          <w:ilvl w:val="0"/>
          <w:numId w:val="5"/>
        </w:numPr>
        <w:ind w:firstLine="560"/>
      </w:pPr>
      <w:r>
        <w:t>对电气系统、操作室进行检查；</w:t>
      </w:r>
    </w:p>
    <w:p w14:paraId="7CAE7447">
      <w:pPr>
        <w:numPr>
          <w:ilvl w:val="0"/>
          <w:numId w:val="5"/>
        </w:numPr>
        <w:ind w:firstLine="560"/>
      </w:pPr>
      <w:r>
        <w:t>对起升、回转、变幅等机构进行检查；</w:t>
      </w:r>
    </w:p>
    <w:p w14:paraId="4BAFD269">
      <w:pPr>
        <w:numPr>
          <w:ilvl w:val="0"/>
          <w:numId w:val="5"/>
        </w:numPr>
        <w:ind w:firstLine="560"/>
      </w:pPr>
      <w:r>
        <w:t>对吊索、吊具、试吊物进行全面检查；</w:t>
      </w:r>
    </w:p>
    <w:p w14:paraId="3327E17C">
      <w:pPr>
        <w:numPr>
          <w:ilvl w:val="0"/>
          <w:numId w:val="5"/>
        </w:numPr>
        <w:ind w:firstLine="560"/>
      </w:pPr>
      <w:r>
        <w:t>测量组顺着起重臂方向测量塔身垂直度，需东西向与南北向测量两次</w:t>
      </w:r>
      <w:r>
        <w:rPr>
          <w:rFonts w:hint="eastAsia"/>
        </w:rPr>
        <w:t>.</w:t>
      </w:r>
    </w:p>
    <w:p w14:paraId="1C0215A2">
      <w:pPr>
        <w:pStyle w:val="11"/>
        <w:ind w:firstLine="0" w:firstLineChars="0"/>
        <w:rPr>
          <w:rFonts w:hint="default"/>
          <w:b/>
          <w:bCs/>
        </w:rPr>
      </w:pPr>
      <w:r>
        <w:rPr>
          <w:b/>
          <w:bCs/>
        </w:rPr>
        <w:t>绝缘试验</w:t>
      </w:r>
    </w:p>
    <w:p w14:paraId="1704BB8D">
      <w:pPr>
        <w:ind w:firstLine="560"/>
      </w:pPr>
      <w:r>
        <w:rPr>
          <w:rFonts w:hint="eastAsia"/>
        </w:rPr>
        <w:t>利用接地电阻仪，对附近土壤和预埋接地体进行阻值测试，利用兆欧表对塔身的接地测试是否良好</w:t>
      </w:r>
    </w:p>
    <w:p w14:paraId="2B9BBF94">
      <w:pPr>
        <w:ind w:firstLine="0" w:firstLineChars="0"/>
        <w:rPr>
          <w:b/>
          <w:bCs/>
        </w:rPr>
      </w:pPr>
      <w:r>
        <w:rPr>
          <w:b/>
          <w:bCs/>
        </w:rPr>
        <w:t>空载试验</w:t>
      </w:r>
    </w:p>
    <w:p w14:paraId="111162D1">
      <w:pPr>
        <w:ind w:firstLine="560"/>
      </w:pPr>
      <w:r>
        <w:t>塔机空载状态下，起升、回转、变幅等各动作的操作试验。检查：</w:t>
      </w:r>
    </w:p>
    <w:p w14:paraId="63089B6E">
      <w:pPr>
        <w:ind w:firstLine="560"/>
      </w:pPr>
      <w:r>
        <w:t>（1）操作系统、控制系统、联锁装置动作准确性和灵活性；</w:t>
      </w:r>
    </w:p>
    <w:p w14:paraId="5C3FAAF1">
      <w:pPr>
        <w:ind w:firstLine="560"/>
      </w:pPr>
      <w:r>
        <w:t>（2）各行程限位器的动作准确性和可靠性，（本次试验测试高度限位器与幅度限位器）；</w:t>
      </w:r>
    </w:p>
    <w:p w14:paraId="118DD38B">
      <w:pPr>
        <w:ind w:firstLine="560"/>
      </w:pPr>
      <w:r>
        <w:t>（3）各机构中无相对运动部位是否有漏油现象，有相对运动部位的渗漏情况，各机构运动的平稳性，是否有爬行、振颤、冲击、过热、异常噪声等现象。</w:t>
      </w:r>
    </w:p>
    <w:p w14:paraId="08F935DE">
      <w:pPr>
        <w:ind w:firstLine="0" w:firstLineChars="0"/>
        <w:rPr>
          <w:b/>
          <w:bCs/>
        </w:rPr>
      </w:pPr>
      <w:r>
        <w:rPr>
          <w:b/>
          <w:bCs/>
        </w:rPr>
        <w:t>额定荷载试验</w:t>
      </w:r>
    </w:p>
    <w:p w14:paraId="5B944C3B">
      <w:pPr>
        <w:ind w:firstLine="560"/>
      </w:pPr>
      <w:r>
        <w:t>根据设计的额定载荷，按照GB/T5031规定的工况、试验方法和要求，进行起升、变幅、回转试验，每一工况的试验次数不得少于3次。还应当检查以下内容是否符合要求：</w:t>
      </w:r>
    </w:p>
    <w:p w14:paraId="633D5151">
      <w:pPr>
        <w:ind w:firstLine="560"/>
      </w:pPr>
      <w:r>
        <w:t>（1）起升、回转、变幅的额定速度在允差范围内。</w:t>
      </w:r>
    </w:p>
    <w:p w14:paraId="4265811E">
      <w:pPr>
        <w:ind w:firstLine="560"/>
        <w:rPr>
          <w:b/>
          <w:sz w:val="21"/>
        </w:rPr>
      </w:pPr>
      <w:r>
        <w:t>（2）起重量限制器、起重力矩限制器信号显示、报警精度在允许范围内。</w:t>
      </w:r>
    </w:p>
    <w:p w14:paraId="4B173CEE">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7"/>
        <w:gridCol w:w="1806"/>
        <w:gridCol w:w="1808"/>
        <w:gridCol w:w="1813"/>
        <w:gridCol w:w="1791"/>
      </w:tblGrid>
      <w:tr w14:paraId="0F56F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010" w:type="pct"/>
            <w:vMerge w:val="restart"/>
            <w:vAlign w:val="center"/>
          </w:tcPr>
          <w:p w14:paraId="558958EA">
            <w:pPr>
              <w:adjustRightInd w:val="0"/>
              <w:snapToGrid w:val="0"/>
              <w:spacing w:line="240" w:lineRule="auto"/>
              <w:ind w:firstLine="0" w:firstLineChars="0"/>
              <w:jc w:val="center"/>
              <w:rPr>
                <w:sz w:val="21"/>
              </w:rPr>
            </w:pPr>
            <w:r>
              <w:rPr>
                <w:sz w:val="21"/>
              </w:rPr>
              <w:t>工况</w:t>
            </w:r>
          </w:p>
        </w:tc>
        <w:tc>
          <w:tcPr>
            <w:tcW w:w="2999" w:type="pct"/>
            <w:gridSpan w:val="3"/>
            <w:vAlign w:val="center"/>
          </w:tcPr>
          <w:p w14:paraId="1124FCC6">
            <w:pPr>
              <w:adjustRightInd w:val="0"/>
              <w:snapToGrid w:val="0"/>
              <w:spacing w:line="240" w:lineRule="auto"/>
              <w:ind w:firstLine="0" w:firstLineChars="0"/>
              <w:jc w:val="center"/>
              <w:rPr>
                <w:sz w:val="21"/>
              </w:rPr>
            </w:pPr>
            <w:r>
              <w:rPr>
                <w:sz w:val="21"/>
              </w:rPr>
              <w:t>试验方法</w:t>
            </w:r>
          </w:p>
        </w:tc>
        <w:tc>
          <w:tcPr>
            <w:tcW w:w="990" w:type="pct"/>
            <w:vMerge w:val="restart"/>
            <w:vAlign w:val="center"/>
          </w:tcPr>
          <w:p w14:paraId="530203C2">
            <w:pPr>
              <w:adjustRightInd w:val="0"/>
              <w:snapToGrid w:val="0"/>
              <w:spacing w:line="240" w:lineRule="auto"/>
              <w:ind w:firstLine="0" w:firstLineChars="0"/>
              <w:jc w:val="center"/>
              <w:rPr>
                <w:sz w:val="21"/>
              </w:rPr>
            </w:pPr>
            <w:r>
              <w:rPr>
                <w:sz w:val="21"/>
              </w:rPr>
              <w:t>试验目的</w:t>
            </w:r>
          </w:p>
        </w:tc>
      </w:tr>
      <w:tr w14:paraId="67A6FC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010" w:type="pct"/>
            <w:vMerge w:val="continue"/>
            <w:vAlign w:val="center"/>
          </w:tcPr>
          <w:p w14:paraId="171E9800">
            <w:pPr>
              <w:adjustRightInd w:val="0"/>
              <w:snapToGrid w:val="0"/>
              <w:spacing w:line="240" w:lineRule="auto"/>
              <w:ind w:firstLine="0" w:firstLineChars="0"/>
              <w:jc w:val="center"/>
              <w:rPr>
                <w:sz w:val="21"/>
              </w:rPr>
            </w:pPr>
          </w:p>
        </w:tc>
        <w:tc>
          <w:tcPr>
            <w:tcW w:w="998" w:type="pct"/>
            <w:vAlign w:val="center"/>
          </w:tcPr>
          <w:p w14:paraId="0BB9E689">
            <w:pPr>
              <w:adjustRightInd w:val="0"/>
              <w:snapToGrid w:val="0"/>
              <w:spacing w:line="240" w:lineRule="auto"/>
              <w:ind w:firstLine="0" w:firstLineChars="0"/>
              <w:jc w:val="center"/>
              <w:rPr>
                <w:sz w:val="21"/>
              </w:rPr>
            </w:pPr>
            <w:r>
              <w:rPr>
                <w:sz w:val="21"/>
              </w:rPr>
              <w:t>起升</w:t>
            </w:r>
          </w:p>
        </w:tc>
        <w:tc>
          <w:tcPr>
            <w:tcW w:w="999" w:type="pct"/>
            <w:vAlign w:val="center"/>
          </w:tcPr>
          <w:p w14:paraId="75CDC186">
            <w:pPr>
              <w:adjustRightInd w:val="0"/>
              <w:snapToGrid w:val="0"/>
              <w:spacing w:line="240" w:lineRule="auto"/>
              <w:ind w:firstLine="0" w:firstLineChars="0"/>
              <w:jc w:val="center"/>
              <w:rPr>
                <w:sz w:val="21"/>
              </w:rPr>
            </w:pPr>
            <w:r>
              <w:rPr>
                <w:sz w:val="21"/>
              </w:rPr>
              <w:t>变幅</w:t>
            </w:r>
          </w:p>
        </w:tc>
        <w:tc>
          <w:tcPr>
            <w:tcW w:w="1002" w:type="pct"/>
            <w:vAlign w:val="center"/>
          </w:tcPr>
          <w:p w14:paraId="718634E0">
            <w:pPr>
              <w:adjustRightInd w:val="0"/>
              <w:snapToGrid w:val="0"/>
              <w:spacing w:line="240" w:lineRule="auto"/>
              <w:ind w:firstLine="0" w:firstLineChars="0"/>
              <w:jc w:val="center"/>
              <w:rPr>
                <w:sz w:val="21"/>
              </w:rPr>
            </w:pPr>
            <w:r>
              <w:rPr>
                <w:sz w:val="21"/>
              </w:rPr>
              <w:t>回转</w:t>
            </w:r>
          </w:p>
        </w:tc>
        <w:tc>
          <w:tcPr>
            <w:tcW w:w="990" w:type="pct"/>
            <w:vMerge w:val="continue"/>
            <w:vAlign w:val="center"/>
          </w:tcPr>
          <w:p w14:paraId="44A777AD">
            <w:pPr>
              <w:adjustRightInd w:val="0"/>
              <w:snapToGrid w:val="0"/>
              <w:spacing w:line="240" w:lineRule="auto"/>
              <w:ind w:firstLine="0" w:firstLineChars="0"/>
              <w:jc w:val="center"/>
              <w:rPr>
                <w:sz w:val="21"/>
              </w:rPr>
            </w:pPr>
          </w:p>
        </w:tc>
      </w:tr>
      <w:tr w14:paraId="57C128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1010" w:type="pct"/>
            <w:vAlign w:val="center"/>
          </w:tcPr>
          <w:p w14:paraId="0C4096E4">
            <w:pPr>
              <w:adjustRightInd w:val="0"/>
              <w:snapToGrid w:val="0"/>
              <w:spacing w:line="240" w:lineRule="auto"/>
              <w:ind w:firstLine="0" w:firstLineChars="0"/>
              <w:jc w:val="center"/>
              <w:rPr>
                <w:sz w:val="21"/>
              </w:rPr>
            </w:pPr>
            <w:r>
              <w:rPr>
                <w:sz w:val="21"/>
              </w:rPr>
              <w:t>最大幅度相应的额定起重量</w:t>
            </w:r>
          </w:p>
        </w:tc>
        <w:tc>
          <w:tcPr>
            <w:tcW w:w="998" w:type="pct"/>
            <w:vMerge w:val="restart"/>
            <w:vAlign w:val="center"/>
          </w:tcPr>
          <w:p w14:paraId="24E95710">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999" w:type="pct"/>
            <w:vAlign w:val="center"/>
          </w:tcPr>
          <w:p w14:paraId="26BDB710">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002" w:type="pct"/>
            <w:vMerge w:val="restart"/>
            <w:vAlign w:val="center"/>
          </w:tcPr>
          <w:p w14:paraId="5724A7C5">
            <w:pPr>
              <w:adjustRightInd w:val="0"/>
              <w:snapToGrid w:val="0"/>
              <w:spacing w:line="240" w:lineRule="auto"/>
              <w:ind w:firstLine="0" w:firstLineChars="0"/>
              <w:jc w:val="center"/>
              <w:rPr>
                <w:sz w:val="21"/>
              </w:rPr>
            </w:pPr>
            <w:r>
              <w:rPr>
                <w:sz w:val="21"/>
              </w:rPr>
              <w:t>以额定速度进行左右回转。</w:t>
            </w:r>
          </w:p>
        </w:tc>
        <w:tc>
          <w:tcPr>
            <w:tcW w:w="990" w:type="pct"/>
            <w:vMerge w:val="restart"/>
            <w:vAlign w:val="center"/>
          </w:tcPr>
          <w:p w14:paraId="34450AEE">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5B3DF1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56" w:hRule="atLeast"/>
        </w:trPr>
        <w:tc>
          <w:tcPr>
            <w:tcW w:w="1010" w:type="pct"/>
            <w:vAlign w:val="center"/>
          </w:tcPr>
          <w:p w14:paraId="283D65C4">
            <w:pPr>
              <w:adjustRightInd w:val="0"/>
              <w:snapToGrid w:val="0"/>
              <w:spacing w:line="240" w:lineRule="auto"/>
              <w:ind w:firstLine="0" w:firstLineChars="0"/>
              <w:jc w:val="center"/>
              <w:rPr>
                <w:sz w:val="21"/>
              </w:rPr>
            </w:pPr>
            <w:r>
              <w:rPr>
                <w:sz w:val="21"/>
              </w:rPr>
              <w:t>最大额定起重量相应的最大幅度</w:t>
            </w:r>
          </w:p>
        </w:tc>
        <w:tc>
          <w:tcPr>
            <w:tcW w:w="998" w:type="pct"/>
            <w:vMerge w:val="continue"/>
            <w:vAlign w:val="center"/>
          </w:tcPr>
          <w:p w14:paraId="5675E10D">
            <w:pPr>
              <w:adjustRightInd w:val="0"/>
              <w:snapToGrid w:val="0"/>
              <w:spacing w:line="240" w:lineRule="auto"/>
              <w:ind w:firstLine="0" w:firstLineChars="0"/>
              <w:jc w:val="center"/>
              <w:rPr>
                <w:sz w:val="21"/>
              </w:rPr>
            </w:pPr>
          </w:p>
        </w:tc>
        <w:tc>
          <w:tcPr>
            <w:tcW w:w="999" w:type="pct"/>
            <w:vAlign w:val="center"/>
          </w:tcPr>
          <w:p w14:paraId="0347893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002" w:type="pct"/>
            <w:vMerge w:val="continue"/>
            <w:vAlign w:val="center"/>
          </w:tcPr>
          <w:p w14:paraId="6A66CBA1">
            <w:pPr>
              <w:adjustRightInd w:val="0"/>
              <w:snapToGrid w:val="0"/>
              <w:spacing w:line="240" w:lineRule="auto"/>
              <w:ind w:firstLine="0" w:firstLineChars="0"/>
              <w:jc w:val="center"/>
              <w:rPr>
                <w:sz w:val="21"/>
              </w:rPr>
            </w:pPr>
          </w:p>
        </w:tc>
        <w:tc>
          <w:tcPr>
            <w:tcW w:w="990" w:type="pct"/>
            <w:vMerge w:val="continue"/>
            <w:vAlign w:val="center"/>
          </w:tcPr>
          <w:p w14:paraId="049ECD7D">
            <w:pPr>
              <w:adjustRightInd w:val="0"/>
              <w:snapToGrid w:val="0"/>
              <w:spacing w:line="240" w:lineRule="auto"/>
              <w:ind w:firstLine="0" w:firstLineChars="0"/>
              <w:jc w:val="center"/>
              <w:rPr>
                <w:sz w:val="21"/>
              </w:rPr>
            </w:pPr>
          </w:p>
        </w:tc>
      </w:tr>
    </w:tbl>
    <w:p w14:paraId="7262D0B6">
      <w:pPr>
        <w:ind w:firstLine="560"/>
      </w:pPr>
      <w:r>
        <w:t>具体过程如下：</w:t>
      </w:r>
      <w:r>
        <w:br w:type="textWrapping"/>
      </w:r>
      <w:r>
        <w:rPr>
          <w:rFonts w:hint="eastAsia"/>
        </w:rPr>
        <w:t>XGT6015A-8S塔机：</w:t>
      </w:r>
    </w:p>
    <w:p w14:paraId="53EDBD38">
      <w:pPr>
        <w:ind w:firstLine="480" w:firstLineChars="0"/>
      </w:pPr>
      <w:r>
        <w:t>1.起重力矩定码变幅调整（4倍率）</w:t>
      </w:r>
    </w:p>
    <w:p w14:paraId="6280E4C9">
      <w:pPr>
        <w:ind w:firstLine="480" w:firstLineChars="0"/>
      </w:pPr>
      <w:r>
        <w:t>吊重</w:t>
      </w:r>
      <w:r>
        <w:rPr>
          <w:rFonts w:hint="eastAsia"/>
        </w:rPr>
        <w:t>8</w:t>
      </w:r>
      <w:r>
        <w:t>t，载重小车以慢速由</w:t>
      </w:r>
      <w:r>
        <w:rPr>
          <w:rFonts w:hint="eastAsia"/>
          <w:lang w:val="en-US" w:eastAsia="zh-CN"/>
        </w:rPr>
        <w:t>19.71</w:t>
      </w:r>
      <w:r>
        <w:t>m幅度开始向内变幅，使小车在</w:t>
      </w:r>
      <w:r>
        <w:rPr>
          <w:rFonts w:hint="eastAsia"/>
          <w:highlight w:val="none"/>
          <w:lang w:val="en-US" w:eastAsia="zh-CN"/>
        </w:rPr>
        <w:t>18.48</w:t>
      </w:r>
      <w:r>
        <w:rPr>
          <w:highlight w:val="none"/>
        </w:rPr>
        <w:t>m-</w:t>
      </w:r>
      <w:r>
        <w:rPr>
          <w:rFonts w:hint="eastAsia"/>
          <w:highlight w:val="none"/>
          <w:lang w:val="en-US" w:eastAsia="zh-CN"/>
        </w:rPr>
        <w:t>19.71</w:t>
      </w:r>
      <w:r>
        <w:rPr>
          <w:highlight w:val="none"/>
        </w:rPr>
        <w:t>m</w:t>
      </w:r>
      <w:r>
        <w:t>处，90%起重力矩开关发挥作用，司机室内预报警灯亮。</w:t>
      </w:r>
    </w:p>
    <w:p w14:paraId="05D5CBE3">
      <w:pPr>
        <w:ind w:firstLine="480" w:firstLineChars="0"/>
      </w:pPr>
      <w:r>
        <w:t>调整定码变幅螺杆，使小车</w:t>
      </w:r>
      <w:r>
        <w:rPr>
          <w:rFonts w:hint="eastAsia"/>
          <w:highlight w:val="none"/>
          <w:lang w:val="en-US" w:eastAsia="zh-CN"/>
        </w:rPr>
        <w:t>19.71</w:t>
      </w:r>
      <w:r>
        <w:rPr>
          <w:highlight w:val="none"/>
        </w:rPr>
        <w:t>m-</w:t>
      </w:r>
      <w:r>
        <w:rPr>
          <w:rFonts w:hint="eastAsia"/>
          <w:highlight w:val="none"/>
          <w:lang w:val="en-US" w:eastAsia="zh-CN"/>
        </w:rPr>
        <w:t>20</w:t>
      </w:r>
      <w:r>
        <w:rPr>
          <w:highlight w:val="none"/>
        </w:rPr>
        <w:t>m</w:t>
      </w:r>
      <w:r>
        <w:t>处，起升向上、变幅向外断电，同时发出超载警报。</w:t>
      </w:r>
    </w:p>
    <w:p w14:paraId="75FB8746">
      <w:pPr>
        <w:ind w:firstLine="480" w:firstLineChars="0"/>
      </w:pPr>
      <w:r>
        <w:t>2.起重力矩定幅变码调整（4倍率）</w:t>
      </w:r>
    </w:p>
    <w:p w14:paraId="4D817107">
      <w:pPr>
        <w:ind w:firstLine="480" w:firstLineChars="0"/>
      </w:pPr>
      <w:r>
        <w:t>在</w:t>
      </w:r>
      <w:r>
        <w:rPr>
          <w:rFonts w:hint="eastAsia"/>
          <w:lang w:val="en-US" w:eastAsia="zh-CN"/>
        </w:rPr>
        <w:t>45</w:t>
      </w:r>
      <w:r>
        <w:t>m处吊重</w:t>
      </w:r>
      <w:r>
        <w:rPr>
          <w:rFonts w:hint="eastAsia"/>
          <w:lang w:val="en-US" w:eastAsia="zh-CN"/>
        </w:rPr>
        <w:t>2.72</w:t>
      </w:r>
      <w:r>
        <w:t>t，起升机构应能向上起升，之后再加载</w:t>
      </w:r>
      <w:r>
        <w:rPr>
          <w:rFonts w:hint="eastAsia"/>
          <w:lang w:val="en-US" w:eastAsia="zh-CN"/>
        </w:rPr>
        <w:t>272</w:t>
      </w:r>
      <w:r>
        <w:t>kg，调节定幅变码螺杆，使起升不能向上，同时发出超载警报。</w:t>
      </w:r>
    </w:p>
    <w:p w14:paraId="79DA0942">
      <w:pPr>
        <w:ind w:firstLine="480" w:firstLineChars="0"/>
      </w:pPr>
      <w:r>
        <w:t>3.上述动作重复三次，保持功能稳定。</w:t>
      </w:r>
    </w:p>
    <w:p w14:paraId="3CA22283">
      <w:pPr>
        <w:ind w:firstLine="0" w:firstLineChars="0"/>
        <w:rPr>
          <w:b/>
          <w:bCs/>
        </w:rPr>
      </w:pPr>
      <w:r>
        <w:rPr>
          <w:b/>
          <w:bCs/>
        </w:rPr>
        <w:t>110 ％额定载荷动载试验</w:t>
      </w:r>
    </w:p>
    <w:p w14:paraId="3312C70B">
      <w:pPr>
        <w:ind w:firstLine="560"/>
        <w:rPr>
          <w:rFonts w:ascii="宋体" w:hAnsi="宋体" w:eastAsia="宋体" w:cs="宋体"/>
          <w:b/>
          <w:bCs/>
          <w:color w:val="171717"/>
          <w:sz w:val="21"/>
        </w:rPr>
      </w:pPr>
      <w:r>
        <w:t>110 ％额定载荷动载试验按表2进行。每一工况试验不少于3次。每一次的动作停稳后再进行下一次启动。</w:t>
      </w:r>
    </w:p>
    <w:p w14:paraId="726AC776">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40"/>
        <w:tblW w:w="86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1AE08F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vAlign w:val="center"/>
          </w:tcPr>
          <w:p w14:paraId="0572EB3D">
            <w:pPr>
              <w:adjustRightInd w:val="0"/>
              <w:snapToGrid w:val="0"/>
              <w:spacing w:line="240" w:lineRule="auto"/>
              <w:ind w:firstLine="0" w:firstLineChars="0"/>
              <w:jc w:val="center"/>
              <w:rPr>
                <w:sz w:val="21"/>
              </w:rPr>
            </w:pPr>
            <w:r>
              <w:rPr>
                <w:sz w:val="21"/>
              </w:rPr>
              <w:t>工况</w:t>
            </w:r>
          </w:p>
        </w:tc>
        <w:tc>
          <w:tcPr>
            <w:tcW w:w="4665" w:type="dxa"/>
            <w:gridSpan w:val="3"/>
            <w:vAlign w:val="center"/>
          </w:tcPr>
          <w:p w14:paraId="24B72FE5">
            <w:pPr>
              <w:adjustRightInd w:val="0"/>
              <w:snapToGrid w:val="0"/>
              <w:spacing w:line="240" w:lineRule="auto"/>
              <w:ind w:firstLine="0" w:firstLineChars="0"/>
              <w:jc w:val="center"/>
              <w:rPr>
                <w:sz w:val="21"/>
              </w:rPr>
            </w:pPr>
            <w:r>
              <w:rPr>
                <w:sz w:val="21"/>
              </w:rPr>
              <w:t>试验方法</w:t>
            </w:r>
          </w:p>
        </w:tc>
        <w:tc>
          <w:tcPr>
            <w:tcW w:w="1716" w:type="dxa"/>
            <w:vMerge w:val="restart"/>
            <w:vAlign w:val="center"/>
          </w:tcPr>
          <w:p w14:paraId="22B52887">
            <w:pPr>
              <w:adjustRightInd w:val="0"/>
              <w:snapToGrid w:val="0"/>
              <w:spacing w:line="240" w:lineRule="auto"/>
              <w:ind w:firstLine="0" w:firstLineChars="0"/>
              <w:jc w:val="center"/>
              <w:rPr>
                <w:sz w:val="21"/>
              </w:rPr>
            </w:pPr>
            <w:r>
              <w:rPr>
                <w:sz w:val="21"/>
              </w:rPr>
              <w:t>试验目的</w:t>
            </w:r>
          </w:p>
        </w:tc>
      </w:tr>
      <w:tr w14:paraId="4662BF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vAlign w:val="center"/>
          </w:tcPr>
          <w:p w14:paraId="33F57289">
            <w:pPr>
              <w:adjustRightInd w:val="0"/>
              <w:snapToGrid w:val="0"/>
              <w:spacing w:line="240" w:lineRule="auto"/>
              <w:ind w:firstLine="0" w:firstLineChars="0"/>
              <w:jc w:val="center"/>
              <w:rPr>
                <w:sz w:val="21"/>
              </w:rPr>
            </w:pPr>
          </w:p>
        </w:tc>
        <w:tc>
          <w:tcPr>
            <w:tcW w:w="1202" w:type="dxa"/>
            <w:vAlign w:val="center"/>
          </w:tcPr>
          <w:p w14:paraId="6A37C78F">
            <w:pPr>
              <w:autoSpaceDE w:val="0"/>
              <w:autoSpaceDN w:val="0"/>
              <w:adjustRightInd w:val="0"/>
              <w:snapToGrid w:val="0"/>
              <w:ind w:firstLine="0" w:firstLineChars="0"/>
              <w:jc w:val="center"/>
              <w:rPr>
                <w:sz w:val="21"/>
              </w:rPr>
            </w:pPr>
            <w:r>
              <w:rPr>
                <w:sz w:val="21"/>
              </w:rPr>
              <w:t>起升</w:t>
            </w:r>
          </w:p>
        </w:tc>
        <w:tc>
          <w:tcPr>
            <w:tcW w:w="2001" w:type="dxa"/>
            <w:vAlign w:val="center"/>
          </w:tcPr>
          <w:p w14:paraId="78EFB853">
            <w:pPr>
              <w:autoSpaceDE w:val="0"/>
              <w:autoSpaceDN w:val="0"/>
              <w:adjustRightInd w:val="0"/>
              <w:snapToGrid w:val="0"/>
              <w:ind w:firstLine="0" w:firstLineChars="0"/>
              <w:jc w:val="center"/>
              <w:rPr>
                <w:sz w:val="21"/>
              </w:rPr>
            </w:pPr>
            <w:r>
              <w:rPr>
                <w:sz w:val="21"/>
              </w:rPr>
              <w:t>小车变幅</w:t>
            </w:r>
          </w:p>
        </w:tc>
        <w:tc>
          <w:tcPr>
            <w:tcW w:w="1462" w:type="dxa"/>
            <w:vAlign w:val="center"/>
          </w:tcPr>
          <w:p w14:paraId="1F7F4044">
            <w:pPr>
              <w:autoSpaceDE w:val="0"/>
              <w:autoSpaceDN w:val="0"/>
              <w:adjustRightInd w:val="0"/>
              <w:snapToGrid w:val="0"/>
              <w:ind w:firstLine="0" w:firstLineChars="0"/>
              <w:jc w:val="center"/>
              <w:rPr>
                <w:sz w:val="21"/>
              </w:rPr>
            </w:pPr>
            <w:r>
              <w:rPr>
                <w:sz w:val="21"/>
              </w:rPr>
              <w:t>回转</w:t>
            </w:r>
          </w:p>
        </w:tc>
        <w:tc>
          <w:tcPr>
            <w:tcW w:w="1716" w:type="dxa"/>
            <w:vMerge w:val="continue"/>
            <w:vAlign w:val="center"/>
          </w:tcPr>
          <w:p w14:paraId="6FD12AC5">
            <w:pPr>
              <w:adjustRightInd w:val="0"/>
              <w:snapToGrid w:val="0"/>
              <w:spacing w:line="240" w:lineRule="auto"/>
              <w:ind w:firstLine="0" w:firstLineChars="0"/>
              <w:jc w:val="center"/>
              <w:rPr>
                <w:sz w:val="21"/>
              </w:rPr>
            </w:pPr>
          </w:p>
        </w:tc>
      </w:tr>
      <w:tr w14:paraId="63724E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vAlign w:val="center"/>
          </w:tcPr>
          <w:p w14:paraId="55465185">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vAlign w:val="center"/>
          </w:tcPr>
          <w:p w14:paraId="05B23216">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vAlign w:val="center"/>
          </w:tcPr>
          <w:p w14:paraId="2038368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vAlign w:val="center"/>
          </w:tcPr>
          <w:p w14:paraId="278FDBC4">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vAlign w:val="center"/>
          </w:tcPr>
          <w:p w14:paraId="54EEAD11">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3BB6C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vAlign w:val="center"/>
          </w:tcPr>
          <w:p w14:paraId="332FD3DF">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vAlign w:val="center"/>
          </w:tcPr>
          <w:p w14:paraId="4CDFF2D2">
            <w:pPr>
              <w:adjustRightInd w:val="0"/>
              <w:snapToGrid w:val="0"/>
              <w:spacing w:line="240" w:lineRule="auto"/>
              <w:ind w:firstLine="0" w:firstLineChars="0"/>
              <w:jc w:val="center"/>
              <w:rPr>
                <w:sz w:val="21"/>
              </w:rPr>
            </w:pPr>
          </w:p>
        </w:tc>
        <w:tc>
          <w:tcPr>
            <w:tcW w:w="2001" w:type="dxa"/>
            <w:vMerge w:val="restart"/>
            <w:vAlign w:val="center"/>
          </w:tcPr>
          <w:p w14:paraId="46732FD7">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vAlign w:val="center"/>
          </w:tcPr>
          <w:p w14:paraId="4BFF24DF">
            <w:pPr>
              <w:adjustRightInd w:val="0"/>
              <w:snapToGrid w:val="0"/>
              <w:spacing w:line="240" w:lineRule="auto"/>
              <w:ind w:firstLine="0" w:firstLineChars="0"/>
              <w:jc w:val="center"/>
              <w:rPr>
                <w:sz w:val="21"/>
              </w:rPr>
            </w:pPr>
          </w:p>
        </w:tc>
        <w:tc>
          <w:tcPr>
            <w:tcW w:w="1716" w:type="dxa"/>
            <w:vMerge w:val="continue"/>
            <w:vAlign w:val="center"/>
          </w:tcPr>
          <w:p w14:paraId="163649B8">
            <w:pPr>
              <w:adjustRightInd w:val="0"/>
              <w:snapToGrid w:val="0"/>
              <w:spacing w:line="240" w:lineRule="auto"/>
              <w:ind w:firstLine="0" w:firstLineChars="0"/>
              <w:jc w:val="center"/>
              <w:rPr>
                <w:sz w:val="21"/>
              </w:rPr>
            </w:pPr>
          </w:p>
        </w:tc>
      </w:tr>
      <w:tr w14:paraId="150AEB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vAlign w:val="center"/>
          </w:tcPr>
          <w:p w14:paraId="6F2FB41F">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vAlign w:val="center"/>
          </w:tcPr>
          <w:p w14:paraId="141DFEE7">
            <w:pPr>
              <w:adjustRightInd w:val="0"/>
              <w:snapToGrid w:val="0"/>
              <w:spacing w:line="240" w:lineRule="auto"/>
              <w:ind w:firstLine="0" w:firstLineChars="0"/>
              <w:jc w:val="center"/>
              <w:rPr>
                <w:sz w:val="21"/>
              </w:rPr>
            </w:pPr>
          </w:p>
        </w:tc>
        <w:tc>
          <w:tcPr>
            <w:tcW w:w="2001" w:type="dxa"/>
            <w:vMerge w:val="continue"/>
            <w:vAlign w:val="center"/>
          </w:tcPr>
          <w:p w14:paraId="5DC89E49">
            <w:pPr>
              <w:adjustRightInd w:val="0"/>
              <w:snapToGrid w:val="0"/>
              <w:spacing w:line="240" w:lineRule="auto"/>
              <w:ind w:firstLine="0" w:firstLineChars="0"/>
              <w:jc w:val="center"/>
              <w:rPr>
                <w:sz w:val="21"/>
              </w:rPr>
            </w:pPr>
          </w:p>
        </w:tc>
        <w:tc>
          <w:tcPr>
            <w:tcW w:w="1462" w:type="dxa"/>
            <w:vMerge w:val="continue"/>
            <w:vAlign w:val="center"/>
          </w:tcPr>
          <w:p w14:paraId="746D4376">
            <w:pPr>
              <w:adjustRightInd w:val="0"/>
              <w:snapToGrid w:val="0"/>
              <w:spacing w:line="240" w:lineRule="auto"/>
              <w:ind w:firstLine="0" w:firstLineChars="0"/>
              <w:jc w:val="center"/>
              <w:rPr>
                <w:sz w:val="21"/>
              </w:rPr>
            </w:pPr>
          </w:p>
        </w:tc>
        <w:tc>
          <w:tcPr>
            <w:tcW w:w="1716" w:type="dxa"/>
            <w:vMerge w:val="continue"/>
            <w:vAlign w:val="center"/>
          </w:tcPr>
          <w:p w14:paraId="1EC20A1E">
            <w:pPr>
              <w:adjustRightInd w:val="0"/>
              <w:snapToGrid w:val="0"/>
              <w:spacing w:line="240" w:lineRule="auto"/>
              <w:ind w:firstLine="0" w:firstLineChars="0"/>
              <w:jc w:val="center"/>
              <w:rPr>
                <w:sz w:val="21"/>
              </w:rPr>
            </w:pPr>
          </w:p>
        </w:tc>
      </w:tr>
    </w:tbl>
    <w:p w14:paraId="5EF1D0F9">
      <w:pPr>
        <w:ind w:firstLine="560"/>
      </w:pPr>
      <w:r>
        <w:t>具体过程如下：</w:t>
      </w:r>
    </w:p>
    <w:p w14:paraId="7DEABECA">
      <w:pPr>
        <w:ind w:firstLine="0" w:firstLineChars="0"/>
      </w:pPr>
      <w:r>
        <w:rPr>
          <w:rFonts w:hint="eastAsia"/>
        </w:rPr>
        <w:t>XGT6015A-8S塔机：</w:t>
      </w:r>
    </w:p>
    <w:p w14:paraId="31A63F86">
      <w:pPr>
        <w:ind w:firstLine="560"/>
      </w:pPr>
      <w:r>
        <w:t>工况1：最大幅度相应额定起重量的110%（4倍率）</w:t>
      </w:r>
    </w:p>
    <w:p w14:paraId="51DFC022">
      <w:pPr>
        <w:ind w:firstLine="560"/>
      </w:pPr>
      <w:r>
        <w:t>起重量为G</w:t>
      </w:r>
      <w:r>
        <w:rPr>
          <w:rFonts w:hint="eastAsia"/>
        </w:rPr>
        <w:t>=</w:t>
      </w:r>
      <w:r>
        <w:rPr>
          <w:rFonts w:hint="eastAsia"/>
          <w:lang w:val="en-US" w:eastAsia="zh-CN"/>
        </w:rPr>
        <w:t>2.992</w:t>
      </w:r>
      <w:r>
        <w:t>；</w:t>
      </w:r>
    </w:p>
    <w:p w14:paraId="0FDACAFF">
      <w:pPr>
        <w:ind w:firstLine="560"/>
      </w:pPr>
      <w:r>
        <w:t>将100%重量限制、100%力矩限制继电器临时短接屏蔽，缓慢起钩，离地20cm,检查各构件，确保无误后从</w:t>
      </w:r>
      <w:r>
        <w:rPr>
          <w:rFonts w:hint="eastAsia"/>
          <w:lang w:val="en-US" w:eastAsia="zh-CN"/>
        </w:rPr>
        <w:t>45</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57AA48AA">
      <w:pPr>
        <w:ind w:firstLine="560"/>
      </w:pPr>
      <w:r>
        <w:t>试验完毕恢复起重量限制器与力矩限制器。</w:t>
      </w:r>
    </w:p>
    <w:p w14:paraId="3AB28C28">
      <w:pPr>
        <w:ind w:firstLine="560"/>
      </w:pPr>
      <w:r>
        <w:t>工况2：起吊最大额定起重量的110%，在该吊重相应的最大幅度时（4倍率）</w:t>
      </w:r>
    </w:p>
    <w:p w14:paraId="6EB7B1AC">
      <w:pPr>
        <w:ind w:firstLine="560"/>
      </w:pPr>
      <w:r>
        <w:t>起重量为G=</w:t>
      </w:r>
      <w:r>
        <w:rPr>
          <w:rFonts w:hint="eastAsia"/>
        </w:rPr>
        <w:t>8.8</w:t>
      </w:r>
      <w:r>
        <w:t>t</w:t>
      </w:r>
    </w:p>
    <w:p w14:paraId="1827F6D8">
      <w:pPr>
        <w:ind w:firstLine="560"/>
      </w:pPr>
      <w:r>
        <w:t>将100%重量限制、100%力矩限制继电器临时短接屏蔽，缓慢起钩，离地</w:t>
      </w:r>
      <w:r>
        <w:rPr>
          <w:rFonts w:hint="eastAsia"/>
        </w:rPr>
        <w:t>15</w:t>
      </w:r>
      <w:r>
        <w:t>cm,检查各构件，确保无误后在从</w:t>
      </w:r>
      <w:r>
        <w:rPr>
          <w:rFonts w:hint="eastAsia"/>
          <w:lang w:val="en-US" w:eastAsia="zh-CN"/>
        </w:rPr>
        <w:t>1</w:t>
      </w:r>
      <w:r>
        <w:rPr>
          <w:rFonts w:hint="eastAsia"/>
        </w:rPr>
        <w:t>0</w:t>
      </w:r>
      <w:r>
        <w:t>m幅度起向内至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50356A8D">
      <w:pPr>
        <w:ind w:firstLine="560"/>
      </w:pPr>
      <w:r>
        <w:t>试验完毕恢复起重量限制器与力矩限制器。</w:t>
      </w:r>
    </w:p>
    <w:p w14:paraId="55ACECBA">
      <w:pPr>
        <w:ind w:firstLine="0" w:firstLineChars="0"/>
        <w:rPr>
          <w:b/>
          <w:bCs/>
        </w:rPr>
      </w:pPr>
      <w:bookmarkStart w:id="319" w:name="_Toc25574"/>
      <w:bookmarkStart w:id="320" w:name="_Toc20814"/>
      <w:r>
        <w:rPr>
          <w:b/>
          <w:bCs/>
        </w:rPr>
        <w:t>125%额定载荷静载试验</w:t>
      </w:r>
      <w:bookmarkEnd w:id="319"/>
      <w:bookmarkEnd w:id="320"/>
    </w:p>
    <w:p w14:paraId="66027EB3">
      <w:pPr>
        <w:ind w:firstLine="560"/>
      </w:pPr>
      <w:r>
        <w:t>125%额定载荷静载试验按照下表进行，试验时臂架分别位于与塔身成0°和45°两个方位</w:t>
      </w:r>
    </w:p>
    <w:tbl>
      <w:tblPr>
        <w:tblStyle w:val="40"/>
        <w:tblW w:w="9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551BBA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89" w:hRule="atLeast"/>
          <w:jc w:val="center"/>
        </w:trPr>
        <w:tc>
          <w:tcPr>
            <w:tcW w:w="3396" w:type="dxa"/>
            <w:noWrap/>
            <w:vAlign w:val="center"/>
          </w:tcPr>
          <w:p w14:paraId="08C37EC9">
            <w:pPr>
              <w:ind w:firstLine="0" w:firstLineChars="0"/>
              <w:jc w:val="center"/>
              <w:rPr>
                <w:sz w:val="24"/>
                <w:szCs w:val="24"/>
              </w:rPr>
            </w:pPr>
            <w:r>
              <w:rPr>
                <w:sz w:val="24"/>
                <w:szCs w:val="24"/>
              </w:rPr>
              <w:t>工况</w:t>
            </w:r>
          </w:p>
        </w:tc>
        <w:tc>
          <w:tcPr>
            <w:tcW w:w="2751" w:type="dxa"/>
            <w:noWrap/>
            <w:vAlign w:val="center"/>
          </w:tcPr>
          <w:p w14:paraId="4EE38BC2">
            <w:pPr>
              <w:ind w:firstLine="0" w:firstLineChars="0"/>
              <w:jc w:val="center"/>
              <w:rPr>
                <w:sz w:val="24"/>
                <w:szCs w:val="24"/>
              </w:rPr>
            </w:pPr>
            <w:r>
              <w:rPr>
                <w:sz w:val="24"/>
                <w:szCs w:val="24"/>
              </w:rPr>
              <w:t>试验方法</w:t>
            </w:r>
          </w:p>
        </w:tc>
        <w:tc>
          <w:tcPr>
            <w:tcW w:w="3252" w:type="dxa"/>
            <w:noWrap/>
            <w:vAlign w:val="center"/>
          </w:tcPr>
          <w:p w14:paraId="0A7567CC">
            <w:pPr>
              <w:ind w:firstLine="0" w:firstLineChars="0"/>
              <w:jc w:val="center"/>
              <w:rPr>
                <w:sz w:val="24"/>
                <w:szCs w:val="24"/>
              </w:rPr>
            </w:pPr>
            <w:r>
              <w:rPr>
                <w:sz w:val="24"/>
                <w:szCs w:val="24"/>
              </w:rPr>
              <w:t>试验目的</w:t>
            </w:r>
          </w:p>
        </w:tc>
      </w:tr>
      <w:tr w14:paraId="7E2782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vAlign w:val="center"/>
          </w:tcPr>
          <w:p w14:paraId="23C22B9D">
            <w:pPr>
              <w:ind w:firstLine="0" w:firstLineChars="0"/>
              <w:jc w:val="center"/>
              <w:rPr>
                <w:sz w:val="24"/>
                <w:szCs w:val="24"/>
              </w:rPr>
            </w:pPr>
            <w:r>
              <w:rPr>
                <w:sz w:val="24"/>
                <w:szCs w:val="24"/>
              </w:rPr>
              <w:t>吊重</w:t>
            </w:r>
            <w:r>
              <w:rPr>
                <w:rFonts w:hint="eastAsia"/>
                <w:sz w:val="24"/>
                <w:szCs w:val="24"/>
                <w:lang w:val="en-US" w:eastAsia="zh-CN"/>
              </w:rPr>
              <w:t>2.72</w:t>
            </w:r>
            <w:r>
              <w:rPr>
                <w:sz w:val="24"/>
                <w:szCs w:val="24"/>
              </w:rPr>
              <w:t>t×125%=</w:t>
            </w:r>
            <w:r>
              <w:rPr>
                <w:rFonts w:hint="eastAsia"/>
                <w:sz w:val="24"/>
                <w:szCs w:val="24"/>
                <w:lang w:val="en-US" w:eastAsia="zh-CN"/>
              </w:rPr>
              <w:t>3.4</w:t>
            </w:r>
            <w:r>
              <w:rPr>
                <w:sz w:val="24"/>
                <w:szCs w:val="24"/>
              </w:rPr>
              <w:t>t，工作幅度</w:t>
            </w:r>
            <w:r>
              <w:rPr>
                <w:rFonts w:hint="eastAsia"/>
                <w:sz w:val="24"/>
                <w:szCs w:val="24"/>
                <w:lang w:val="en-US" w:eastAsia="zh-CN"/>
              </w:rPr>
              <w:t>45</w:t>
            </w:r>
            <w:r>
              <w:rPr>
                <w:sz w:val="24"/>
                <w:szCs w:val="24"/>
              </w:rPr>
              <w:t>m</w:t>
            </w:r>
          </w:p>
        </w:tc>
        <w:tc>
          <w:tcPr>
            <w:tcW w:w="2751" w:type="dxa"/>
            <w:vMerge w:val="restart"/>
            <w:noWrap/>
            <w:vAlign w:val="center"/>
          </w:tcPr>
          <w:p w14:paraId="6B0FE2A6">
            <w:pPr>
              <w:ind w:firstLine="0" w:firstLineChars="0"/>
              <w:jc w:val="center"/>
              <w:rPr>
                <w:sz w:val="24"/>
                <w:szCs w:val="24"/>
              </w:rPr>
            </w:pPr>
            <w:r>
              <w:rPr>
                <w:sz w:val="24"/>
                <w:szCs w:val="24"/>
              </w:rPr>
              <w:t>起升额定载荷，离地100mm～200mm，停稳后，逐次加载至125%，测量载荷离地高度，停留10min后同一位置测量并进行比较。</w:t>
            </w:r>
          </w:p>
        </w:tc>
        <w:tc>
          <w:tcPr>
            <w:tcW w:w="3252" w:type="dxa"/>
            <w:vMerge w:val="restart"/>
            <w:noWrap/>
            <w:vAlign w:val="center"/>
          </w:tcPr>
          <w:p w14:paraId="5B76F87C">
            <w:pPr>
              <w:ind w:firstLine="0" w:firstLineChars="0"/>
              <w:jc w:val="center"/>
              <w:rPr>
                <w:sz w:val="24"/>
                <w:szCs w:val="24"/>
              </w:rPr>
            </w:pPr>
            <w:r>
              <w:rPr>
                <w:sz w:val="24"/>
                <w:szCs w:val="24"/>
              </w:rPr>
              <w:t>检查制动器可靠性，并在卸载后目测检查塔机是否出现可见裂纹、永久变形、油漆剥落、连接松动及其他可能对塔机性能和安全有影响的隐患。</w:t>
            </w:r>
          </w:p>
        </w:tc>
      </w:tr>
      <w:tr w14:paraId="6A991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vAlign w:val="center"/>
          </w:tcPr>
          <w:p w14:paraId="4CC20BE5">
            <w:pPr>
              <w:ind w:firstLine="0" w:firstLineChars="0"/>
              <w:jc w:val="center"/>
              <w:rPr>
                <w:sz w:val="24"/>
                <w:szCs w:val="24"/>
              </w:rPr>
            </w:pPr>
            <w:r>
              <w:rPr>
                <w:sz w:val="24"/>
                <w:szCs w:val="24"/>
              </w:rPr>
              <w:t>吊重</w:t>
            </w:r>
            <w:r>
              <w:rPr>
                <w:rFonts w:hint="eastAsia"/>
                <w:sz w:val="24"/>
                <w:szCs w:val="24"/>
              </w:rPr>
              <w:t>8</w:t>
            </w:r>
            <w:r>
              <w:rPr>
                <w:sz w:val="24"/>
                <w:szCs w:val="24"/>
              </w:rPr>
              <w:t>t×125%=</w:t>
            </w:r>
            <w:r>
              <w:rPr>
                <w:rFonts w:hint="eastAsia"/>
                <w:sz w:val="24"/>
                <w:szCs w:val="24"/>
              </w:rPr>
              <w:t>10</w:t>
            </w:r>
            <w:r>
              <w:rPr>
                <w:sz w:val="24"/>
                <w:szCs w:val="24"/>
              </w:rPr>
              <w:t>t，工作幅度</w:t>
            </w:r>
            <w:r>
              <w:rPr>
                <w:rFonts w:hint="eastAsia"/>
                <w:sz w:val="24"/>
                <w:szCs w:val="24"/>
              </w:rPr>
              <w:t>1</w:t>
            </w:r>
            <w:r>
              <w:rPr>
                <w:rFonts w:hint="eastAsia"/>
                <w:sz w:val="24"/>
                <w:szCs w:val="24"/>
                <w:lang w:val="en-US" w:eastAsia="zh-CN"/>
              </w:rPr>
              <w:t>0</w:t>
            </w:r>
            <w:r>
              <w:rPr>
                <w:sz w:val="24"/>
                <w:szCs w:val="24"/>
              </w:rPr>
              <w:t>m</w:t>
            </w:r>
          </w:p>
        </w:tc>
        <w:tc>
          <w:tcPr>
            <w:tcW w:w="2751" w:type="dxa"/>
            <w:vMerge w:val="continue"/>
            <w:noWrap/>
            <w:vAlign w:val="center"/>
          </w:tcPr>
          <w:p w14:paraId="4B4F3AD0">
            <w:pPr>
              <w:ind w:firstLine="0" w:firstLineChars="0"/>
              <w:jc w:val="center"/>
              <w:rPr>
                <w:sz w:val="24"/>
                <w:szCs w:val="24"/>
              </w:rPr>
            </w:pPr>
          </w:p>
        </w:tc>
        <w:tc>
          <w:tcPr>
            <w:tcW w:w="3252" w:type="dxa"/>
            <w:vMerge w:val="continue"/>
            <w:noWrap/>
            <w:vAlign w:val="center"/>
          </w:tcPr>
          <w:p w14:paraId="3990299C">
            <w:pPr>
              <w:ind w:firstLine="0" w:firstLineChars="0"/>
              <w:jc w:val="center"/>
              <w:rPr>
                <w:sz w:val="24"/>
                <w:szCs w:val="24"/>
              </w:rPr>
            </w:pPr>
          </w:p>
        </w:tc>
      </w:tr>
    </w:tbl>
    <w:p w14:paraId="6F1E66D6">
      <w:pPr>
        <w:pStyle w:val="3"/>
      </w:pPr>
      <w:bookmarkStart w:id="321" w:name="_Toc834"/>
      <w:r>
        <w:rPr>
          <w:rFonts w:hint="eastAsia"/>
        </w:rPr>
        <w:t>5.4 顶升加节</w:t>
      </w:r>
      <w:bookmarkEnd w:id="313"/>
      <w:bookmarkEnd w:id="314"/>
      <w:bookmarkEnd w:id="315"/>
      <w:bookmarkEnd w:id="316"/>
      <w:bookmarkEnd w:id="321"/>
    </w:p>
    <w:p w14:paraId="7C5C062A">
      <w:pPr>
        <w:ind w:firstLine="560"/>
      </w:pPr>
      <w:r>
        <w:rPr>
          <w:rFonts w:hint="eastAsia"/>
        </w:rPr>
        <w:t>顶升前准备：</w:t>
      </w:r>
    </w:p>
    <w:p w14:paraId="71658525">
      <w:pPr>
        <w:autoSpaceDE w:val="0"/>
        <w:autoSpaceDN w:val="0"/>
        <w:adjustRightInd w:val="0"/>
        <w:ind w:firstLine="560"/>
        <w:rPr>
          <w:rFonts w:ascii="宋体" w:hAnsi="宋体" w:cs="宋体"/>
          <w:bCs/>
          <w:kern w:val="0"/>
        </w:rPr>
      </w:pPr>
      <w:r>
        <w:rPr>
          <w:rFonts w:hint="eastAsia" w:ascii="宋体" w:hAnsi="宋体" w:cs="宋体"/>
          <w:bCs/>
          <w:kern w:val="0"/>
        </w:rPr>
        <w:t>液压泵站要求给其油箱加油，同时清理好各个塔身节，做好顶升前各项准备工作，准备连接标准节的销轴。</w:t>
      </w:r>
    </w:p>
    <w:p w14:paraId="5EB1E170">
      <w:pPr>
        <w:pStyle w:val="4"/>
      </w:pPr>
      <w:r>
        <w:rPr>
          <w:rFonts w:hint="eastAsia"/>
        </w:rPr>
        <w:t>5</w:t>
      </w:r>
      <w:r>
        <w:t>.</w:t>
      </w:r>
      <w:r>
        <w:rPr>
          <w:rFonts w:hint="eastAsia"/>
        </w:rPr>
        <w:t>4</w:t>
      </w:r>
      <w:r>
        <w:t>.1</w:t>
      </w:r>
      <w:r>
        <w:rPr>
          <w:rFonts w:hint="eastAsia"/>
        </w:rPr>
        <w:t>顶升配平</w:t>
      </w:r>
    </w:p>
    <w:p w14:paraId="69226F69">
      <w:pPr>
        <w:autoSpaceDE w:val="0"/>
        <w:autoSpaceDN w:val="0"/>
        <w:adjustRightInd w:val="0"/>
        <w:ind w:firstLine="560"/>
        <w:rPr>
          <w:rFonts w:ascii="宋体" w:hAnsi="宋体" w:cs="宋体"/>
          <w:bCs/>
          <w:kern w:val="0"/>
        </w:rPr>
      </w:pPr>
      <w:r>
        <w:rPr>
          <w:rFonts w:hint="eastAsia" w:ascii="宋体" w:hAnsi="宋体" w:cs="宋体"/>
          <w:bCs/>
          <w:kern w:val="0"/>
        </w:rPr>
        <w:t xml:space="preserve">（1）将标准节悬挂在引进梁上。 </w:t>
      </w:r>
    </w:p>
    <w:p w14:paraId="6918F44C">
      <w:pPr>
        <w:autoSpaceDE w:val="0"/>
        <w:autoSpaceDN w:val="0"/>
        <w:adjustRightInd w:val="0"/>
        <w:ind w:firstLine="560"/>
        <w:rPr>
          <w:rFonts w:ascii="宋体" w:hAnsi="宋体" w:cs="宋体"/>
          <w:bCs/>
          <w:kern w:val="0"/>
        </w:rPr>
      </w:pPr>
      <w:r>
        <w:rPr>
          <w:rFonts w:hint="eastAsia" w:ascii="宋体" w:hAnsi="宋体" w:cs="宋体"/>
          <w:bCs/>
          <w:kern w:val="0"/>
        </w:rPr>
        <w:t>配平位置如图：</w:t>
      </w:r>
    </w:p>
    <w:p w14:paraId="7D60E9B0">
      <w:pPr>
        <w:autoSpaceDE w:val="0"/>
        <w:autoSpaceDN w:val="0"/>
        <w:adjustRightInd w:val="0"/>
        <w:spacing w:line="240" w:lineRule="auto"/>
        <w:ind w:firstLine="0" w:firstLineChars="0"/>
        <w:jc w:val="center"/>
        <w:rPr>
          <w:rFonts w:ascii="宋体" w:hAnsi="宋体" w:cs="宋体"/>
          <w:bCs/>
          <w:kern w:val="0"/>
        </w:rPr>
      </w:pPr>
      <w:r>
        <mc:AlternateContent>
          <mc:Choice Requires="wps">
            <w:drawing>
              <wp:anchor distT="0" distB="0" distL="114300" distR="114300" simplePos="0" relativeHeight="251663360" behindDoc="0" locked="0" layoutInCell="1" allowOverlap="1">
                <wp:simplePos x="0" y="0"/>
                <wp:positionH relativeFrom="column">
                  <wp:posOffset>95885</wp:posOffset>
                </wp:positionH>
                <wp:positionV relativeFrom="paragraph">
                  <wp:posOffset>2011680</wp:posOffset>
                </wp:positionV>
                <wp:extent cx="5553075" cy="304800"/>
                <wp:effectExtent l="19050" t="19050" r="28575" b="19050"/>
                <wp:wrapNone/>
                <wp:docPr id="36" name="矩形 36"/>
                <wp:cNvGraphicFramePr/>
                <a:graphic xmlns:a="http://schemas.openxmlformats.org/drawingml/2006/main">
                  <a:graphicData uri="http://schemas.microsoft.com/office/word/2010/wordprocessingShape">
                    <wps:wsp>
                      <wps:cNvSpPr/>
                      <wps:spPr>
                        <a:xfrm>
                          <a:off x="1084580" y="5034915"/>
                          <a:ext cx="5553075" cy="30480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5pt;margin-top:158.4pt;height:24pt;width:437.25pt;z-index:251663360;v-text-anchor:middle;mso-width-relative:page;mso-height-relative:page;" filled="f" stroked="t" coordsize="21600,21600" o:gfxdata="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HdFf1wAAAAoBAAAPAAAAAAAAAAEAIAAAACIAAABkcnMvZG93bnJldi54&#10;bWxQSwECFAAUAAAACACHTuJAVpFQeG0CAADCBAAADgAAAAAAAAABACAAAAAmAQAAZHJzL2Uyb0Rv&#10;Yy54bWxQSwUGAAAAAAYABgBZAQAABQYAAAAA&#10;">
                <v:fill on="f" focussize="0,0"/>
                <v:stroke weight="3pt" color="#FF0000 [2404]" joinstyle="round"/>
                <v:imagedata o:title=""/>
                <o:lock v:ext="edit" aspectratio="f"/>
              </v:rect>
            </w:pict>
          </mc:Fallback>
        </mc:AlternateContent>
      </w:r>
      <w:r>
        <w:drawing>
          <wp:inline distT="0" distB="0" distL="114300" distR="114300">
            <wp:extent cx="5429250" cy="1543050"/>
            <wp:effectExtent l="0" t="0" r="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60"/>
                    <a:stretch>
                      <a:fillRect/>
                    </a:stretch>
                  </pic:blipFill>
                  <pic:spPr>
                    <a:xfrm>
                      <a:off x="0" y="0"/>
                      <a:ext cx="5429250" cy="1543050"/>
                    </a:xfrm>
                    <a:prstGeom prst="rect">
                      <a:avLst/>
                    </a:prstGeom>
                    <a:noFill/>
                    <a:ln>
                      <a:noFill/>
                    </a:ln>
                  </pic:spPr>
                </pic:pic>
              </a:graphicData>
            </a:graphic>
          </wp:inline>
        </w:drawing>
      </w:r>
      <w:r>
        <w:drawing>
          <wp:inline distT="0" distB="0" distL="114300" distR="114300">
            <wp:extent cx="5448300" cy="1562100"/>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61"/>
                    <a:stretch>
                      <a:fillRect/>
                    </a:stretch>
                  </pic:blipFill>
                  <pic:spPr>
                    <a:xfrm>
                      <a:off x="0" y="0"/>
                      <a:ext cx="5448300" cy="1562100"/>
                    </a:xfrm>
                    <a:prstGeom prst="rect">
                      <a:avLst/>
                    </a:prstGeom>
                    <a:noFill/>
                    <a:ln>
                      <a:noFill/>
                    </a:ln>
                  </pic:spPr>
                </pic:pic>
              </a:graphicData>
            </a:graphic>
          </wp:inline>
        </w:drawing>
      </w:r>
    </w:p>
    <w:p w14:paraId="09F1FC3A">
      <w:pPr>
        <w:pStyle w:val="122"/>
        <w:spacing w:before="29" w:line="360" w:lineRule="auto"/>
        <w:ind w:right="159"/>
      </w:pPr>
      <w:r>
        <w:rPr>
          <w:rFonts w:hint="eastAsia"/>
        </w:rPr>
        <w:t>图5.4-1 XGT6015A-8S塔机顶升配平图</w:t>
      </w:r>
    </w:p>
    <w:p w14:paraId="2365F724">
      <w:pPr>
        <w:autoSpaceDE w:val="0"/>
        <w:autoSpaceDN w:val="0"/>
        <w:adjustRightInd w:val="0"/>
        <w:ind w:firstLine="560"/>
        <w:rPr>
          <w:rFonts w:ascii="宋体" w:hAnsi="宋体" w:cs="宋体"/>
          <w:bCs/>
          <w:kern w:val="0"/>
        </w:rPr>
      </w:pPr>
      <w:r>
        <w:rPr>
          <w:rFonts w:hint="eastAsia" w:ascii="宋体" w:hAnsi="宋体" w:cs="宋体"/>
          <w:bCs/>
          <w:kern w:val="0"/>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19C6F127">
      <w:pPr>
        <w:autoSpaceDE w:val="0"/>
        <w:autoSpaceDN w:val="0"/>
        <w:adjustRightInd w:val="0"/>
        <w:ind w:firstLine="560"/>
        <w:rPr>
          <w:rFonts w:ascii="宋体" w:hAnsi="宋体" w:cs="宋体"/>
          <w:bCs/>
          <w:kern w:val="0"/>
        </w:rPr>
      </w:pPr>
      <w:r>
        <w:rPr>
          <w:rFonts w:hint="eastAsia" w:ascii="宋体" w:hAnsi="宋体" w:cs="宋体"/>
          <w:bCs/>
          <w:kern w:val="0"/>
        </w:rPr>
        <w:t>注意：上表中的数据为理论配平尺寸，实际配平时以观察下支座支腿与塔身主弦杆在一条垂直线上，并观察爬升架 8 个导轮与塔身主弦杆间隙基本相同为准，否则可能造成配平错误，导致顶升倾覆安全事故。</w:t>
      </w:r>
    </w:p>
    <w:p w14:paraId="001E2D2E">
      <w:pPr>
        <w:pStyle w:val="4"/>
      </w:pPr>
      <w:r>
        <w:rPr>
          <w:rFonts w:hint="eastAsia"/>
        </w:rPr>
        <w:t>5</w:t>
      </w:r>
      <w:r>
        <w:t>.</w:t>
      </w:r>
      <w:r>
        <w:rPr>
          <w:rFonts w:hint="eastAsia"/>
        </w:rPr>
        <w:t>4</w:t>
      </w:r>
      <w:r>
        <w:t>.2</w:t>
      </w:r>
      <w:r>
        <w:rPr>
          <w:rFonts w:hint="eastAsia"/>
        </w:rPr>
        <w:t>顶升操作程序</w:t>
      </w:r>
    </w:p>
    <w:p w14:paraId="20B7E02E">
      <w:pPr>
        <w:autoSpaceDE w:val="0"/>
        <w:autoSpaceDN w:val="0"/>
        <w:adjustRightInd w:val="0"/>
        <w:ind w:firstLine="560"/>
        <w:rPr>
          <w:rFonts w:ascii="宋体" w:hAnsi="宋体" w:cs="宋体"/>
          <w:bCs/>
          <w:kern w:val="0"/>
        </w:rPr>
      </w:pPr>
      <w:r>
        <w:rPr>
          <w:rFonts w:hint="eastAsia" w:ascii="宋体" w:hAnsi="宋体" w:cs="宋体"/>
          <w:bCs/>
          <w:kern w:val="0"/>
        </w:rPr>
        <w:t>1）顶升作业顺序</w:t>
      </w:r>
    </w:p>
    <w:p w14:paraId="49200D78">
      <w:pPr>
        <w:autoSpaceDE w:val="0"/>
        <w:autoSpaceDN w:val="0"/>
        <w:adjustRightInd w:val="0"/>
        <w:ind w:firstLine="560"/>
        <w:rPr>
          <w:rFonts w:ascii="宋体" w:hAnsi="宋体" w:cs="宋体"/>
          <w:bCs/>
          <w:kern w:val="0"/>
        </w:rPr>
      </w:pPr>
      <w:r>
        <w:rPr>
          <w:rFonts w:hint="eastAsia" w:ascii="宋体" w:hAnsi="宋体" w:cs="宋体"/>
          <w:bCs/>
          <w:kern w:val="0"/>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6DB184C4">
      <w:pPr>
        <w:widowControl/>
        <w:spacing w:line="240" w:lineRule="auto"/>
        <w:ind w:firstLine="0" w:firstLineChars="0"/>
        <w:jc w:val="center"/>
      </w:pPr>
      <w:r>
        <w:drawing>
          <wp:inline distT="0" distB="0" distL="114300" distR="114300">
            <wp:extent cx="5266690" cy="1518920"/>
            <wp:effectExtent l="0" t="0" r="10160"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2"/>
                    <a:stretch>
                      <a:fillRect/>
                    </a:stretch>
                  </pic:blipFill>
                  <pic:spPr>
                    <a:xfrm>
                      <a:off x="0" y="0"/>
                      <a:ext cx="5266690" cy="1518920"/>
                    </a:xfrm>
                    <a:prstGeom prst="rect">
                      <a:avLst/>
                    </a:prstGeom>
                    <a:noFill/>
                    <a:ln>
                      <a:noFill/>
                    </a:ln>
                  </pic:spPr>
                </pic:pic>
              </a:graphicData>
            </a:graphic>
          </wp:inline>
        </w:drawing>
      </w:r>
    </w:p>
    <w:p w14:paraId="4E3F3AAE">
      <w:pPr>
        <w:widowControl/>
        <w:ind w:firstLine="0" w:firstLineChars="0"/>
        <w:jc w:val="center"/>
      </w:pPr>
      <w:r>
        <w:rPr>
          <w:rFonts w:hint="eastAsia" w:ascii="宋体" w:hAnsi="宋体" w:cs="宋体"/>
          <w:b/>
          <w:bCs/>
          <w:sz w:val="21"/>
        </w:rPr>
        <w:t>图5.4-2</w:t>
      </w:r>
      <w:r>
        <w:rPr>
          <w:rFonts w:hint="eastAsia" w:ascii="宋体" w:hAnsi="宋体" w:cs="宋体"/>
          <w:b/>
          <w:bCs/>
          <w:color w:val="000000"/>
          <w:kern w:val="0"/>
          <w:sz w:val="21"/>
          <w:lang w:bidi="ar"/>
        </w:rPr>
        <w:t>塔机配平调整</w:t>
      </w:r>
      <w:r>
        <w:rPr>
          <w:rFonts w:hint="eastAsia" w:ascii="宋体" w:hAnsi="宋体" w:cs="宋体"/>
          <w:b/>
          <w:bCs/>
          <w:sz w:val="21"/>
        </w:rPr>
        <w:t>示意图</w:t>
      </w:r>
    </w:p>
    <w:p w14:paraId="6ABAF934">
      <w:pPr>
        <w:widowControl/>
        <w:ind w:firstLine="560"/>
        <w:jc w:val="left"/>
      </w:pPr>
      <w:r>
        <w:rPr>
          <w:rFonts w:hint="eastAsia" w:ascii="宋体" w:hAnsi="宋体" w:cs="宋体"/>
          <w:color w:val="000000"/>
          <w:kern w:val="0"/>
          <w:szCs w:val="24"/>
          <w:lang w:bidi="ar"/>
        </w:rPr>
        <w:t xml:space="preserve">使用回转装置上的回转制动器，将塔机上部装置处于制动状态，卸下塔身顶部与特殊节连接的 </w:t>
      </w:r>
      <w:r>
        <w:rPr>
          <w:rFonts w:ascii="Calibri" w:hAnsi="Calibri" w:cs="Calibri"/>
          <w:color w:val="000000"/>
          <w:kern w:val="0"/>
          <w:szCs w:val="24"/>
          <w:lang w:bidi="ar"/>
        </w:rPr>
        <w:t xml:space="preserve">8 </w:t>
      </w:r>
      <w:r>
        <w:rPr>
          <w:rFonts w:hint="eastAsia" w:ascii="宋体" w:hAnsi="宋体" w:cs="宋体"/>
          <w:color w:val="000000"/>
          <w:kern w:val="0"/>
          <w:szCs w:val="24"/>
          <w:lang w:bidi="ar"/>
        </w:rPr>
        <w:t xml:space="preserve">个高强度螺栓。 </w:t>
      </w:r>
    </w:p>
    <w:p w14:paraId="21F7317C">
      <w:pPr>
        <w:widowControl/>
        <w:ind w:firstLine="560"/>
        <w:jc w:val="left"/>
      </w:pPr>
      <w:r>
        <w:rPr>
          <w:rFonts w:hint="eastAsia" w:ascii="宋体" w:hAnsi="宋体" w:cs="宋体"/>
          <w:color w:val="000000"/>
          <w:kern w:val="0"/>
          <w:szCs w:val="24"/>
          <w:lang w:bidi="ar"/>
        </w:rPr>
        <w:t xml:space="preserve">开动液压顶升系统，使油缸活塞杆伸出，将顶升横梁两端的销轴落入距顶升横梁最近的塔身节踏步的圆弧槽内，插入防脱销（要设专人负责观察顶升横梁两端销轴都必须落入踏步圆弧槽内），确认无误后继续顶升， 将爬升架及以上部分顶起 </w:t>
      </w:r>
      <w:r>
        <w:rPr>
          <w:rFonts w:ascii="Calibri" w:hAnsi="Calibri" w:cs="Calibri"/>
          <w:color w:val="000000"/>
          <w:kern w:val="0"/>
          <w:szCs w:val="24"/>
          <w:lang w:bidi="ar"/>
        </w:rPr>
        <w:t>10</w:t>
      </w:r>
      <w:r>
        <w:rPr>
          <w:rFonts w:hint="eastAsia" w:ascii="宋体" w:hAnsi="宋体" w:cs="宋体"/>
          <w:color w:val="000000"/>
          <w:kern w:val="0"/>
          <w:szCs w:val="24"/>
          <w:lang w:bidi="ar"/>
        </w:rPr>
        <w:t>～</w:t>
      </w:r>
      <w:r>
        <w:rPr>
          <w:rFonts w:ascii="Calibri" w:hAnsi="Calibri" w:cs="Calibri"/>
          <w:color w:val="000000"/>
          <w:kern w:val="0"/>
          <w:szCs w:val="24"/>
          <w:lang w:bidi="ar"/>
        </w:rPr>
        <w:t xml:space="preserve">50mm </w:t>
      </w:r>
      <w:r>
        <w:rPr>
          <w:rFonts w:hint="eastAsia" w:ascii="宋体" w:hAnsi="宋体" w:cs="宋体"/>
          <w:color w:val="000000"/>
          <w:kern w:val="0"/>
          <w:szCs w:val="24"/>
          <w:lang w:bidi="ar"/>
        </w:rPr>
        <w:t>时停止，检查顶升横梁等爬升架传力部件是否有异响、变形，油缸活塞杆是否有自动回缩等异常现象，确认正常后，继续顶升。</w:t>
      </w:r>
    </w:p>
    <w:p w14:paraId="2332239C">
      <w:pPr>
        <w:widowControl/>
        <w:ind w:firstLine="560"/>
        <w:jc w:val="left"/>
      </w:pPr>
      <w:r>
        <w:rPr>
          <w:rFonts w:hint="eastAsia" w:ascii="宋体" w:hAnsi="宋体" w:cs="宋体"/>
          <w:color w:val="000000"/>
          <w:kern w:val="0"/>
          <w:szCs w:val="24"/>
          <w:lang w:bidi="ar"/>
        </w:rPr>
        <w:t xml:space="preserve">顶升略超过半个塔身节高度并使爬升架上的活动爬爪滑过一对踏步并自动复位后， 停止顶升，并回缩油缸；确认两个活动爬爪全部准确地压在踏步顶端的平面上并承受住爬升架及其以上部分的重量，且无局部变形、异响等异常情况。 </w:t>
      </w:r>
    </w:p>
    <w:p w14:paraId="558CEF0A">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"C:\\Users\\Administrator\\AppData\\Roaming\\Tencent\\Users\\406205469\\QQ\\WinTemp\\RichOle\\8D`_M@(Y3E9WE7][NEH4CXS.png"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4040505" cy="2000885"/>
            <wp:effectExtent l="0" t="0" r="17145" b="1841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3"/>
                    <a:stretch>
                      <a:fillRect/>
                    </a:stretch>
                  </pic:blipFill>
                  <pic:spPr>
                    <a:xfrm>
                      <a:off x="0" y="0"/>
                      <a:ext cx="4040505" cy="2000885"/>
                    </a:xfrm>
                    <a:prstGeom prst="rect">
                      <a:avLst/>
                    </a:prstGeom>
                    <a:noFill/>
                    <a:ln>
                      <a:noFill/>
                    </a:ln>
                  </pic:spPr>
                </pic:pic>
              </a:graphicData>
            </a:graphic>
          </wp:inline>
        </w:drawing>
      </w:r>
      <w:r>
        <w:rPr>
          <w:rFonts w:ascii="宋体" w:hAnsi="宋体" w:cs="宋体"/>
          <w:kern w:val="0"/>
          <w:szCs w:val="24"/>
          <w:lang w:bidi="ar"/>
        </w:rPr>
        <w:fldChar w:fldCharType="end"/>
      </w:r>
    </w:p>
    <w:p w14:paraId="1ABB2488">
      <w:pPr>
        <w:widowControl/>
        <w:ind w:firstLine="0" w:firstLineChars="0"/>
        <w:jc w:val="center"/>
      </w:pPr>
      <w:r>
        <w:rPr>
          <w:rFonts w:hint="eastAsia" w:ascii="宋体" w:hAnsi="宋体" w:cs="宋体"/>
          <w:b/>
          <w:bCs/>
          <w:sz w:val="21"/>
        </w:rPr>
        <w:t>图5.4-3</w:t>
      </w:r>
      <w:r>
        <w:rPr>
          <w:rFonts w:hint="eastAsia" w:ascii="宋体" w:hAnsi="宋体" w:cs="宋体"/>
          <w:b/>
          <w:bCs/>
          <w:color w:val="000000"/>
          <w:kern w:val="0"/>
          <w:sz w:val="21"/>
          <w:lang w:bidi="ar"/>
        </w:rPr>
        <w:t>塔机顶升示</w:t>
      </w:r>
      <w:r>
        <w:rPr>
          <w:rFonts w:hint="eastAsia" w:ascii="宋体" w:hAnsi="宋体" w:cs="宋体"/>
          <w:b/>
          <w:bCs/>
          <w:sz w:val="21"/>
        </w:rPr>
        <w:t>意图一</w:t>
      </w:r>
    </w:p>
    <w:p w14:paraId="18753D57">
      <w:pPr>
        <w:ind w:firstLine="560"/>
        <w:rPr>
          <w:lang w:bidi="ar"/>
        </w:rPr>
      </w:pPr>
      <w:r>
        <w:rPr>
          <w:rFonts w:hint="eastAsia"/>
          <w:lang w:bidi="ar"/>
        </w:rPr>
        <w:t xml:space="preserve">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上的标准节拉进至塔身正上方，稍微缩回油缸，将新引进的标准节落在塔身顶部并对正，拆下引进轮。用 </w:t>
      </w:r>
      <w:r>
        <w:rPr>
          <w:rFonts w:ascii="Calibri" w:hAnsi="Calibri" w:cs="Calibri"/>
          <w:lang w:bidi="ar"/>
        </w:rPr>
        <w:t xml:space="preserve">8 </w:t>
      </w:r>
      <w:r>
        <w:rPr>
          <w:rFonts w:hint="eastAsia"/>
          <w:lang w:bidi="ar"/>
        </w:rPr>
        <w:t xml:space="preserve">件高强度螺栓（每根高强度螺栓必须有两个螺母）将上、下标准节连接牢靠（预紧力矩 </w:t>
      </w:r>
      <w:r>
        <w:rPr>
          <w:rFonts w:ascii="Calibri" w:hAnsi="Calibri" w:cs="Calibri"/>
          <w:lang w:bidi="ar"/>
        </w:rPr>
        <w:t>1600N·m</w:t>
      </w:r>
      <w:r>
        <w:rPr>
          <w:rFonts w:hint="eastAsia"/>
          <w:lang w:bidi="ar"/>
        </w:rPr>
        <w:t>）。</w:t>
      </w:r>
    </w:p>
    <w:p w14:paraId="64BEF47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"C:\\Users\\Administrator\\AppData\\Roaming\\Tencent\\Users\\406205469\\QQ\\WinTemp\\RichOle\\5@(3)~DFIMTW)19QNNGU)FX.png"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1884680" cy="2339340"/>
            <wp:effectExtent l="0" t="0" r="1270" b="38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64"/>
                    <a:stretch>
                      <a:fillRect/>
                    </a:stretch>
                  </pic:blipFill>
                  <pic:spPr>
                    <a:xfrm>
                      <a:off x="0" y="0"/>
                      <a:ext cx="1884680" cy="2339340"/>
                    </a:xfrm>
                    <a:prstGeom prst="rect">
                      <a:avLst/>
                    </a:prstGeom>
                    <a:noFill/>
                    <a:ln>
                      <a:noFill/>
                    </a:ln>
                  </pic:spPr>
                </pic:pic>
              </a:graphicData>
            </a:graphic>
          </wp:inline>
        </w:drawing>
      </w:r>
      <w:r>
        <w:rPr>
          <w:rFonts w:ascii="宋体" w:hAnsi="宋体" w:cs="宋体"/>
          <w:kern w:val="0"/>
          <w:szCs w:val="24"/>
          <w:lang w:bidi="ar"/>
        </w:rPr>
        <w:fldChar w:fldCharType="end"/>
      </w:r>
    </w:p>
    <w:p w14:paraId="0CB56C79">
      <w:pPr>
        <w:widowControl/>
        <w:ind w:firstLine="0" w:firstLineChars="0"/>
        <w:jc w:val="center"/>
      </w:pPr>
      <w:r>
        <w:rPr>
          <w:rFonts w:hint="eastAsia" w:ascii="宋体" w:hAnsi="宋体" w:cs="宋体"/>
          <w:b/>
          <w:bCs/>
          <w:sz w:val="21"/>
        </w:rPr>
        <w:t>图5.4-4</w:t>
      </w:r>
      <w:r>
        <w:rPr>
          <w:rFonts w:hint="eastAsia" w:ascii="宋体" w:hAnsi="宋体" w:cs="宋体"/>
          <w:b/>
          <w:bCs/>
          <w:color w:val="000000"/>
          <w:kern w:val="0"/>
          <w:sz w:val="21"/>
          <w:lang w:bidi="ar"/>
        </w:rPr>
        <w:t>塔机顶升示</w:t>
      </w:r>
      <w:r>
        <w:rPr>
          <w:rFonts w:hint="eastAsia" w:ascii="宋体" w:hAnsi="宋体" w:cs="宋体"/>
          <w:b/>
          <w:bCs/>
          <w:sz w:val="21"/>
        </w:rPr>
        <w:t>意图二</w:t>
      </w:r>
    </w:p>
    <w:p w14:paraId="270F1F5F">
      <w:pPr>
        <w:widowControl/>
        <w:ind w:firstLine="560"/>
        <w:jc w:val="left"/>
      </w:pPr>
      <w:r>
        <w:rPr>
          <w:rFonts w:hint="eastAsia" w:ascii="宋体" w:hAnsi="宋体" w:cs="宋体"/>
          <w:color w:val="000000"/>
          <w:kern w:val="0"/>
          <w:szCs w:val="24"/>
          <w:lang w:bidi="ar"/>
        </w:rPr>
        <w:t>销轴及防脱销收回后，继续缩回油缸，将特殊节落在新的塔身顶部上，并对正，用</w:t>
      </w:r>
      <w:r>
        <w:rPr>
          <w:rFonts w:ascii="Calibri" w:hAnsi="Calibri" w:cs="Calibri"/>
          <w:color w:val="000000"/>
          <w:kern w:val="0"/>
          <w:szCs w:val="24"/>
          <w:lang w:bidi="ar"/>
        </w:rPr>
        <w:t>8</w:t>
      </w:r>
      <w:r>
        <w:rPr>
          <w:rFonts w:hint="eastAsia" w:ascii="宋体" w:hAnsi="宋体" w:cs="宋体"/>
          <w:color w:val="000000"/>
          <w:kern w:val="0"/>
          <w:szCs w:val="24"/>
          <w:lang w:bidi="ar"/>
        </w:rPr>
        <w:t xml:space="preserve">件高强度螺栓将下支座与塔身连接牢靠（每根高强度螺栓必须有两个螺母），即完成一节标准节的加节工作。 </w:t>
      </w:r>
    </w:p>
    <w:p w14:paraId="0A3348F2">
      <w:pPr>
        <w:widowControl/>
        <w:ind w:firstLine="560"/>
        <w:jc w:val="left"/>
        <w:rPr>
          <w:rFonts w:ascii="宋体" w:hAnsi="宋体" w:cs="宋体"/>
        </w:rPr>
      </w:pPr>
      <w:r>
        <w:rPr>
          <w:rFonts w:hint="eastAsia" w:ascii="宋体" w:hAnsi="宋体" w:cs="宋体"/>
        </w:rPr>
        <w:t>（7）</w:t>
      </w:r>
      <w:r>
        <w:rPr>
          <w:rFonts w:hint="eastAsia" w:ascii="宋体" w:hAnsi="宋体" w:cs="宋体"/>
          <w:color w:val="000000"/>
          <w:kern w:val="0"/>
          <w:szCs w:val="24"/>
          <w:lang w:bidi="ar"/>
        </w:rPr>
        <w:t>顶升作业注意事项</w:t>
      </w:r>
    </w:p>
    <w:p w14:paraId="6C821FB0">
      <w:pPr>
        <w:ind w:firstLine="560"/>
      </w:pPr>
      <w:r>
        <w:rPr>
          <w:rFonts w:hint="eastAsia"/>
          <w:lang w:bidi="ar"/>
        </w:rPr>
        <w:t>塔机最高处风速大于</w:t>
      </w:r>
      <w:r>
        <w:rPr>
          <w:rFonts w:ascii="Calibri" w:hAnsi="Calibri" w:cs="Calibri"/>
          <w:lang w:bidi="ar"/>
        </w:rPr>
        <w:t>12m/s</w:t>
      </w:r>
      <w:r>
        <w:rPr>
          <w:rFonts w:hint="eastAsia"/>
          <w:lang w:bidi="ar"/>
        </w:rPr>
        <w:t xml:space="preserve">时，不得进行顶升作业。 </w:t>
      </w:r>
    </w:p>
    <w:p w14:paraId="5706907B">
      <w:pPr>
        <w:ind w:firstLine="560"/>
      </w:pPr>
      <w:r>
        <w:rPr>
          <w:rFonts w:hint="eastAsia"/>
          <w:lang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31E1AE1A">
      <w:pPr>
        <w:ind w:firstLine="560"/>
      </w:pPr>
      <w:r>
        <w:rPr>
          <w:rFonts w:hint="eastAsia"/>
          <w:lang w:bidi="ar"/>
        </w:rPr>
        <w:t xml:space="preserve">顶升过程中必须保证起重臂与引入标准节方向一致，并利用回转机构制动器将起重臂制动住，载重小车必须停靠在顶升配平位置。 </w:t>
      </w:r>
    </w:p>
    <w:p w14:paraId="39E0F91B">
      <w:pPr>
        <w:ind w:firstLine="560"/>
      </w:pPr>
      <w:r>
        <w:rPr>
          <w:rFonts w:hint="eastAsia"/>
          <w:lang w:bidi="ar"/>
        </w:rPr>
        <w:t>若要连续加高几节标准节，则每加完一节后，用塔机自身起吊下一节标准节前，塔身</w:t>
      </w:r>
      <w:r>
        <w:rPr>
          <w:rFonts w:ascii="Calibri" w:hAnsi="Calibri" w:cs="Calibri"/>
          <w:lang w:bidi="ar"/>
        </w:rPr>
        <w:t>4</w:t>
      </w:r>
      <w:r>
        <w:rPr>
          <w:rFonts w:hint="eastAsia"/>
          <w:lang w:bidi="ar"/>
        </w:rPr>
        <w:t>个主弦杆和特殊节必须有</w:t>
      </w:r>
      <w:r>
        <w:rPr>
          <w:rFonts w:ascii="Calibri" w:hAnsi="Calibri" w:cs="Calibri"/>
          <w:lang w:bidi="ar"/>
        </w:rPr>
        <w:t>12</w:t>
      </w:r>
      <w:r>
        <w:rPr>
          <w:rFonts w:hint="eastAsia"/>
          <w:lang w:bidi="ar"/>
        </w:rPr>
        <w:t>个的螺栓连接，唯有在这种情况下，允许这</w:t>
      </w:r>
      <w:r>
        <w:rPr>
          <w:rFonts w:ascii="Calibri" w:hAnsi="Calibri" w:cs="Calibri"/>
          <w:lang w:bidi="ar"/>
        </w:rPr>
        <w:t>12</w:t>
      </w:r>
      <w:r>
        <w:rPr>
          <w:rFonts w:hint="eastAsia"/>
          <w:lang w:bidi="ar"/>
        </w:rPr>
        <w:t xml:space="preserve">根螺栓每根只用一个螺母。 </w:t>
      </w:r>
    </w:p>
    <w:p w14:paraId="06C15C99">
      <w:pPr>
        <w:ind w:firstLine="560"/>
      </w:pPr>
      <w:r>
        <w:rPr>
          <w:rFonts w:hint="eastAsia"/>
          <w:lang w:bidi="ar"/>
        </w:rPr>
        <w:t xml:space="preserve">所加标准节上的踏步，必须与已有塔身节对正。 </w:t>
      </w:r>
    </w:p>
    <w:p w14:paraId="430A209D">
      <w:pPr>
        <w:ind w:firstLine="560"/>
      </w:pPr>
      <w:r>
        <w:rPr>
          <w:rFonts w:hint="eastAsia"/>
          <w:lang w:bidi="ar"/>
        </w:rPr>
        <w:t xml:space="preserve">在特殊节与塔身没有用螺栓连接好之前，严禁起重臂回转、载重小车变幅和吊装作业。 </w:t>
      </w:r>
    </w:p>
    <w:p w14:paraId="7692085D">
      <w:pPr>
        <w:ind w:firstLine="560"/>
      </w:pPr>
      <w:r>
        <w:rPr>
          <w:rFonts w:hint="eastAsia"/>
          <w:lang w:bidi="ar"/>
        </w:rPr>
        <w:t>在顶升过程中，若液压顶升系统出现异常，应立即停止顶升，收回油缸，将下支座落在塔身顶部，并用</w:t>
      </w:r>
      <w:r>
        <w:rPr>
          <w:rFonts w:ascii="Calibri" w:hAnsi="Calibri" w:cs="Calibri"/>
          <w:lang w:bidi="ar"/>
        </w:rPr>
        <w:t>12</w:t>
      </w:r>
      <w:r>
        <w:rPr>
          <w:rFonts w:hint="eastAsia"/>
          <w:lang w:bidi="ar"/>
        </w:rPr>
        <w:t xml:space="preserve">件高强度螺栓将特殊节与塔身连接牢靠后，再排除液压系统的故障。 </w:t>
      </w:r>
    </w:p>
    <w:p w14:paraId="5B57D61D">
      <w:pPr>
        <w:ind w:firstLine="560"/>
      </w:pPr>
      <w:r>
        <w:rPr>
          <w:rFonts w:hint="eastAsia"/>
          <w:lang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53BDF9F7">
      <w:pPr>
        <w:ind w:firstLine="560"/>
      </w:pPr>
      <w:r>
        <w:rPr>
          <w:rFonts w:hint="eastAsia"/>
        </w:rPr>
        <w:t>（8）</w:t>
      </w:r>
      <w:r>
        <w:rPr>
          <w:rFonts w:hint="eastAsia"/>
          <w:lang w:bidi="ar"/>
        </w:rPr>
        <w:t>防脱销装置的使用方法</w:t>
      </w:r>
    </w:p>
    <w:p w14:paraId="3A2B53FE">
      <w:pPr>
        <w:ind w:firstLine="560"/>
      </w:pPr>
      <w:r>
        <w:rPr>
          <w:rFonts w:hint="eastAsia"/>
          <w:lang w:bidi="ar"/>
        </w:rPr>
        <w:t xml:space="preserve">防脱装置由两部分组成，一是顶升横梁上的插销，二是标准节踏步的防脱插销孔，其使用方法如下： </w:t>
      </w:r>
    </w:p>
    <w:p w14:paraId="2B421A41">
      <w:pPr>
        <w:ind w:firstLine="560"/>
      </w:pPr>
      <w:r>
        <w:rPr>
          <w:rFonts w:ascii="Calibri" w:hAnsi="Calibri" w:cs="Calibri"/>
          <w:lang w:bidi="ar"/>
        </w:rPr>
        <w:t>1</w:t>
      </w:r>
      <w:r>
        <w:rPr>
          <w:rFonts w:hint="eastAsia"/>
          <w:lang w:bidi="ar"/>
        </w:rPr>
        <w:t xml:space="preserve">）塔机开始顶升加节或降塔减节时，顶升横梁的销轴搁置在标准节的圆弧槽内，须将顶升横梁的防脱销插入标准节的防脱销孔内，且固定在前槽内。 </w:t>
      </w:r>
    </w:p>
    <w:p w14:paraId="21F6076E">
      <w:pPr>
        <w:ind w:firstLine="560"/>
      </w:pPr>
      <w:r>
        <w:rPr>
          <w:rFonts w:ascii="Calibri" w:hAnsi="Calibri" w:cs="Calibri"/>
          <w:lang w:bidi="ar"/>
        </w:rPr>
        <w:t>2</w:t>
      </w:r>
      <w:r>
        <w:rPr>
          <w:rFonts w:hint="eastAsia"/>
          <w:lang w:bidi="ar"/>
        </w:rPr>
        <w:t>）在完成一个顶升步骤、顶升横梁要脱离标准节踏步时，须先将防脱销轴退出标准节防脱销孔，固定在后槽内。</w:t>
      </w:r>
    </w:p>
    <w:p w14:paraId="7687DC4D">
      <w:pPr>
        <w:ind w:firstLine="560"/>
      </w:pPr>
      <w:r>
        <w:rPr>
          <w:rFonts w:hint="eastAsia"/>
        </w:rPr>
        <w:t>注意：</w:t>
      </w:r>
      <w:r>
        <w:rPr>
          <w:rFonts w:hint="eastAsia"/>
          <w:lang w:bidi="ar"/>
        </w:rPr>
        <w:t xml:space="preserve">防脱销轴未退出标准节防脱销孔，启动顶升装置强行使顶升横梁脱离标准节踏步会损坏防脱销轴。 </w:t>
      </w:r>
    </w:p>
    <w:p w14:paraId="551B71E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"C:\\Users\\Administrator\\AppData\\Roaming\\Tencent\\Users\\406205469\\QQ\\WinTemp\\RichOle\\2[0FSEPH}@I2T60`BY1ILG2.png"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2858770" cy="2228850"/>
            <wp:effectExtent l="0" t="0" r="1778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65"/>
                    <a:stretch>
                      <a:fillRect/>
                    </a:stretch>
                  </pic:blipFill>
                  <pic:spPr>
                    <a:xfrm>
                      <a:off x="0" y="0"/>
                      <a:ext cx="2858770" cy="2228850"/>
                    </a:xfrm>
                    <a:prstGeom prst="rect">
                      <a:avLst/>
                    </a:prstGeom>
                    <a:noFill/>
                    <a:ln>
                      <a:noFill/>
                    </a:ln>
                  </pic:spPr>
                </pic:pic>
              </a:graphicData>
            </a:graphic>
          </wp:inline>
        </w:drawing>
      </w:r>
      <w:r>
        <w:rPr>
          <w:rFonts w:ascii="宋体" w:hAnsi="宋体" w:cs="宋体"/>
          <w:kern w:val="0"/>
          <w:szCs w:val="24"/>
          <w:lang w:bidi="ar"/>
        </w:rPr>
        <w:fldChar w:fldCharType="end"/>
      </w:r>
    </w:p>
    <w:p w14:paraId="18ED958B">
      <w:pPr>
        <w:widowControl/>
        <w:ind w:firstLine="0" w:firstLineChars="0"/>
        <w:jc w:val="center"/>
        <w:rPr>
          <w:rFonts w:ascii="宋体" w:hAnsi="宋体" w:cs="宋体"/>
          <w:b/>
          <w:bCs/>
          <w:sz w:val="21"/>
        </w:rPr>
      </w:pPr>
      <w:r>
        <w:rPr>
          <w:rFonts w:hint="eastAsia" w:ascii="宋体" w:hAnsi="宋体" w:cs="宋体"/>
          <w:b/>
          <w:bCs/>
          <w:sz w:val="21"/>
        </w:rPr>
        <w:t>图5.4-5</w:t>
      </w:r>
      <w:r>
        <w:rPr>
          <w:rFonts w:hint="eastAsia" w:ascii="宋体" w:hAnsi="宋体" w:cs="宋体"/>
          <w:b/>
          <w:bCs/>
          <w:color w:val="000000"/>
          <w:kern w:val="0"/>
          <w:sz w:val="21"/>
          <w:lang w:bidi="ar"/>
        </w:rPr>
        <w:t>塔机顶升防脱示</w:t>
      </w:r>
      <w:r>
        <w:rPr>
          <w:rFonts w:hint="eastAsia" w:ascii="宋体" w:hAnsi="宋体" w:cs="宋体"/>
          <w:b/>
          <w:bCs/>
          <w:sz w:val="21"/>
        </w:rPr>
        <w:t>意图</w:t>
      </w:r>
    </w:p>
    <w:p w14:paraId="6D8EBB2D">
      <w:pPr>
        <w:pStyle w:val="4"/>
      </w:pPr>
      <w:r>
        <w:rPr>
          <w:rFonts w:hint="eastAsia"/>
        </w:rPr>
        <w:t>5.4.3顶升后的收尾工作</w:t>
      </w:r>
    </w:p>
    <w:p w14:paraId="17AFAAB5">
      <w:pPr>
        <w:ind w:firstLine="560"/>
      </w:pPr>
      <w:r>
        <w:rPr>
          <w:rFonts w:hint="eastAsia"/>
        </w:rPr>
        <w:t>1）顶升结束后利用套架制动块将顶升套架支承在塔身上，收回压缩升油缸。</w:t>
      </w:r>
    </w:p>
    <w:p w14:paraId="493490E2">
      <w:pPr>
        <w:ind w:firstLine="560"/>
      </w:pPr>
      <w:r>
        <w:rPr>
          <w:rFonts w:hint="eastAsia"/>
        </w:rPr>
        <w:t>2）顶升工作全面完成后可以半顶升套架下降到标准节底部或拆除顶升套架，以降低整个塔机的重心和减小迎风面积，沿海及其他风压较大的地区必须将顶升套架下降至塔机底部或拆除顶升套架。</w:t>
      </w:r>
    </w:p>
    <w:p w14:paraId="00A7119C">
      <w:pPr>
        <w:ind w:firstLine="560"/>
      </w:pPr>
      <w:r>
        <w:rPr>
          <w:rFonts w:hint="eastAsia"/>
        </w:rPr>
        <w:t xml:space="preserve"> 3）顶升完毕后可将引进梁缩回下支座内或者拆除引进梁。以免吊钩在最小幅度工作时碰到。</w:t>
      </w:r>
    </w:p>
    <w:p w14:paraId="245B498B">
      <w:pPr>
        <w:pStyle w:val="4"/>
      </w:pPr>
      <w:bookmarkStart w:id="322" w:name="_Toc10409851"/>
      <w:bookmarkStart w:id="323" w:name="_Toc15800"/>
      <w:r>
        <w:rPr>
          <w:rFonts w:hint="eastAsia"/>
        </w:rPr>
        <w:t>5.4.4塔式起重机验收</w:t>
      </w:r>
      <w:bookmarkEnd w:id="322"/>
      <w:r>
        <w:rPr>
          <w:rFonts w:hint="eastAsia"/>
        </w:rPr>
        <w:t>内容</w:t>
      </w:r>
      <w:bookmarkEnd w:id="323"/>
    </w:p>
    <w:p w14:paraId="5D2111FE">
      <w:pPr>
        <w:widowControl/>
        <w:ind w:firstLine="0" w:firstLineChars="0"/>
        <w:jc w:val="center"/>
        <w:rPr>
          <w:rFonts w:ascii="宋体" w:hAnsi="宋体" w:cs="宋体"/>
          <w:b/>
          <w:bCs/>
          <w:sz w:val="21"/>
        </w:rPr>
      </w:pPr>
      <w:r>
        <w:rPr>
          <w:rFonts w:hint="eastAsia" w:ascii="宋体" w:hAnsi="宋体" w:cs="宋体"/>
          <w:b/>
          <w:bCs/>
          <w:sz w:val="21"/>
        </w:rPr>
        <w:t>表5.4-1 塔式起重机验收内容</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1294A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8BC20F7">
            <w:pPr>
              <w:ind w:firstLine="0" w:firstLineChars="0"/>
              <w:rPr>
                <w:rFonts w:ascii="宋体" w:hAnsi="宋体"/>
                <w:sz w:val="21"/>
              </w:rPr>
            </w:pPr>
            <w:r>
              <w:rPr>
                <w:rFonts w:hint="eastAsia" w:ascii="宋体" w:hAnsi="宋体"/>
                <w:sz w:val="21"/>
              </w:rPr>
              <w:t>序号</w:t>
            </w:r>
          </w:p>
        </w:tc>
        <w:tc>
          <w:tcPr>
            <w:tcW w:w="6010" w:type="dxa"/>
            <w:gridSpan w:val="7"/>
            <w:vAlign w:val="center"/>
          </w:tcPr>
          <w:p w14:paraId="4449843D">
            <w:pPr>
              <w:ind w:firstLine="420"/>
              <w:jc w:val="center"/>
              <w:rPr>
                <w:rFonts w:ascii="宋体" w:hAnsi="宋体"/>
                <w:sz w:val="21"/>
              </w:rPr>
            </w:pPr>
            <w:r>
              <w:rPr>
                <w:rFonts w:hint="eastAsia" w:ascii="宋体" w:hAnsi="宋体"/>
                <w:sz w:val="21"/>
              </w:rPr>
              <w:t>监检项目及其内容</w:t>
            </w:r>
          </w:p>
        </w:tc>
        <w:tc>
          <w:tcPr>
            <w:tcW w:w="966" w:type="dxa"/>
            <w:vAlign w:val="center"/>
          </w:tcPr>
          <w:p w14:paraId="5362F033">
            <w:pPr>
              <w:ind w:firstLine="0" w:firstLineChars="0"/>
              <w:rPr>
                <w:rFonts w:ascii="宋体" w:hAnsi="宋体"/>
                <w:sz w:val="21"/>
              </w:rPr>
            </w:pPr>
            <w:r>
              <w:rPr>
                <w:rFonts w:hint="eastAsia" w:ascii="宋体" w:hAnsi="宋体"/>
                <w:sz w:val="21"/>
              </w:rPr>
              <w:t>检验结果</w:t>
            </w:r>
          </w:p>
        </w:tc>
        <w:tc>
          <w:tcPr>
            <w:tcW w:w="921" w:type="dxa"/>
            <w:vAlign w:val="center"/>
          </w:tcPr>
          <w:p w14:paraId="15A5BEC7">
            <w:pPr>
              <w:ind w:firstLine="210" w:firstLineChars="100"/>
              <w:rPr>
                <w:rFonts w:ascii="宋体" w:hAnsi="宋体"/>
                <w:sz w:val="21"/>
              </w:rPr>
            </w:pPr>
            <w:r>
              <w:rPr>
                <w:rFonts w:hint="eastAsia" w:ascii="宋体" w:hAnsi="宋体"/>
                <w:sz w:val="21"/>
              </w:rPr>
              <w:t>结论</w:t>
            </w:r>
          </w:p>
        </w:tc>
      </w:tr>
      <w:tr w14:paraId="1E8A3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B0470BB">
            <w:pPr>
              <w:ind w:firstLine="210" w:firstLineChars="100"/>
              <w:rPr>
                <w:rFonts w:ascii="宋体" w:hAnsi="宋体"/>
                <w:sz w:val="21"/>
              </w:rPr>
            </w:pPr>
            <w:r>
              <w:rPr>
                <w:rFonts w:hint="eastAsia" w:ascii="宋体" w:hAnsi="宋体"/>
                <w:sz w:val="21"/>
              </w:rPr>
              <w:t>1</w:t>
            </w:r>
          </w:p>
        </w:tc>
        <w:tc>
          <w:tcPr>
            <w:tcW w:w="6010" w:type="dxa"/>
            <w:gridSpan w:val="7"/>
            <w:vAlign w:val="center"/>
          </w:tcPr>
          <w:p w14:paraId="2465AFD8">
            <w:pPr>
              <w:ind w:firstLine="0" w:firstLineChars="0"/>
              <w:rPr>
                <w:rFonts w:ascii="宋体" w:hAnsi="宋体"/>
                <w:sz w:val="21"/>
              </w:rPr>
            </w:pPr>
            <w:r>
              <w:rPr>
                <w:rFonts w:hint="eastAsia" w:ascii="宋体" w:hAnsi="宋体"/>
                <w:sz w:val="21"/>
              </w:rPr>
              <w:t>设备选型</w:t>
            </w:r>
          </w:p>
        </w:tc>
        <w:tc>
          <w:tcPr>
            <w:tcW w:w="966" w:type="dxa"/>
            <w:vAlign w:val="center"/>
          </w:tcPr>
          <w:p w14:paraId="6C17B953">
            <w:pPr>
              <w:ind w:firstLine="0" w:firstLineChars="0"/>
              <w:jc w:val="center"/>
              <w:rPr>
                <w:rFonts w:ascii="宋体" w:hAnsi="宋体"/>
                <w:sz w:val="21"/>
              </w:rPr>
            </w:pPr>
          </w:p>
        </w:tc>
        <w:tc>
          <w:tcPr>
            <w:tcW w:w="921" w:type="dxa"/>
            <w:vAlign w:val="center"/>
          </w:tcPr>
          <w:p w14:paraId="652D8668">
            <w:pPr>
              <w:ind w:firstLine="0" w:firstLineChars="0"/>
              <w:jc w:val="center"/>
              <w:rPr>
                <w:rFonts w:ascii="宋体" w:hAnsi="宋体"/>
                <w:sz w:val="21"/>
              </w:rPr>
            </w:pPr>
          </w:p>
        </w:tc>
      </w:tr>
      <w:tr w14:paraId="5B155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117B39">
            <w:pPr>
              <w:ind w:firstLine="210" w:firstLineChars="100"/>
              <w:rPr>
                <w:rFonts w:ascii="宋体" w:hAnsi="宋体"/>
                <w:sz w:val="21"/>
              </w:rPr>
            </w:pPr>
            <w:r>
              <w:rPr>
                <w:rFonts w:hint="eastAsia" w:ascii="宋体" w:hAnsi="宋体"/>
                <w:sz w:val="21"/>
              </w:rPr>
              <w:t>2</w:t>
            </w:r>
          </w:p>
        </w:tc>
        <w:tc>
          <w:tcPr>
            <w:tcW w:w="1364" w:type="dxa"/>
            <w:gridSpan w:val="2"/>
            <w:vMerge w:val="restart"/>
            <w:vAlign w:val="center"/>
          </w:tcPr>
          <w:p w14:paraId="11B0FE6B">
            <w:pPr>
              <w:ind w:firstLine="0" w:firstLineChars="0"/>
              <w:rPr>
                <w:rFonts w:ascii="宋体" w:hAnsi="宋体"/>
                <w:sz w:val="21"/>
              </w:rPr>
            </w:pPr>
            <w:r>
              <w:rPr>
                <w:rFonts w:hint="eastAsia" w:ascii="宋体" w:hAnsi="宋体"/>
                <w:sz w:val="21"/>
              </w:rPr>
              <w:t>产品技术文件</w:t>
            </w:r>
          </w:p>
        </w:tc>
        <w:tc>
          <w:tcPr>
            <w:tcW w:w="4646" w:type="dxa"/>
            <w:gridSpan w:val="5"/>
            <w:vAlign w:val="center"/>
          </w:tcPr>
          <w:p w14:paraId="4E1D1800">
            <w:pPr>
              <w:ind w:firstLine="0" w:firstLineChars="0"/>
              <w:rPr>
                <w:rFonts w:ascii="宋体" w:hAnsi="宋体"/>
                <w:sz w:val="21"/>
              </w:rPr>
            </w:pPr>
            <w:r>
              <w:rPr>
                <w:rFonts w:hint="eastAsia" w:ascii="宋体" w:hAnsi="宋体"/>
                <w:sz w:val="21"/>
              </w:rPr>
              <w:t>(1)产品设计文件</w:t>
            </w:r>
          </w:p>
        </w:tc>
        <w:tc>
          <w:tcPr>
            <w:tcW w:w="966" w:type="dxa"/>
            <w:vAlign w:val="center"/>
          </w:tcPr>
          <w:p w14:paraId="4D2E9CA1">
            <w:pPr>
              <w:ind w:firstLine="0" w:firstLineChars="0"/>
              <w:jc w:val="center"/>
              <w:rPr>
                <w:rFonts w:ascii="宋体" w:hAnsi="宋体"/>
                <w:sz w:val="21"/>
              </w:rPr>
            </w:pPr>
          </w:p>
        </w:tc>
        <w:tc>
          <w:tcPr>
            <w:tcW w:w="921" w:type="dxa"/>
            <w:vAlign w:val="center"/>
          </w:tcPr>
          <w:p w14:paraId="103BA428">
            <w:pPr>
              <w:ind w:firstLine="0" w:firstLineChars="0"/>
              <w:jc w:val="center"/>
              <w:rPr>
                <w:rFonts w:ascii="宋体" w:hAnsi="宋体"/>
                <w:sz w:val="21"/>
              </w:rPr>
            </w:pPr>
          </w:p>
        </w:tc>
      </w:tr>
      <w:tr w14:paraId="34650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D2829FF">
            <w:pPr>
              <w:ind w:firstLine="0" w:firstLineChars="0"/>
              <w:jc w:val="center"/>
              <w:rPr>
                <w:rFonts w:ascii="宋体" w:hAnsi="宋体"/>
                <w:sz w:val="21"/>
              </w:rPr>
            </w:pPr>
            <w:r>
              <w:rPr>
                <w:rFonts w:hint="eastAsia" w:ascii="宋体" w:hAnsi="宋体"/>
                <w:sz w:val="21"/>
              </w:rPr>
              <w:t xml:space="preserve"> 3</w:t>
            </w:r>
          </w:p>
        </w:tc>
        <w:tc>
          <w:tcPr>
            <w:tcW w:w="1364" w:type="dxa"/>
            <w:gridSpan w:val="2"/>
            <w:vMerge w:val="continue"/>
            <w:vAlign w:val="center"/>
          </w:tcPr>
          <w:p w14:paraId="68E0055C">
            <w:pPr>
              <w:ind w:firstLine="0" w:firstLineChars="0"/>
              <w:jc w:val="center"/>
              <w:rPr>
                <w:rFonts w:ascii="宋体" w:hAnsi="宋体"/>
                <w:sz w:val="21"/>
              </w:rPr>
            </w:pPr>
          </w:p>
        </w:tc>
        <w:tc>
          <w:tcPr>
            <w:tcW w:w="4646" w:type="dxa"/>
            <w:gridSpan w:val="5"/>
            <w:vAlign w:val="center"/>
          </w:tcPr>
          <w:p w14:paraId="753A7F92">
            <w:pPr>
              <w:ind w:firstLine="0" w:firstLineChars="0"/>
              <w:rPr>
                <w:rFonts w:ascii="宋体" w:hAnsi="宋体"/>
                <w:sz w:val="21"/>
              </w:rPr>
            </w:pPr>
            <w:r>
              <w:rPr>
                <w:rFonts w:hint="eastAsia" w:ascii="宋体" w:hAnsi="宋体"/>
                <w:sz w:val="21"/>
              </w:rPr>
              <w:t>(2)产品质量合格证明、安装及其使用维护说明</w:t>
            </w:r>
          </w:p>
        </w:tc>
        <w:tc>
          <w:tcPr>
            <w:tcW w:w="966" w:type="dxa"/>
            <w:vAlign w:val="center"/>
          </w:tcPr>
          <w:p w14:paraId="603D0C7B">
            <w:pPr>
              <w:ind w:firstLine="0" w:firstLineChars="0"/>
              <w:jc w:val="center"/>
              <w:rPr>
                <w:rFonts w:ascii="宋体" w:hAnsi="宋体"/>
                <w:sz w:val="21"/>
              </w:rPr>
            </w:pPr>
          </w:p>
        </w:tc>
        <w:tc>
          <w:tcPr>
            <w:tcW w:w="921" w:type="dxa"/>
            <w:vAlign w:val="center"/>
          </w:tcPr>
          <w:p w14:paraId="2114C20C">
            <w:pPr>
              <w:ind w:firstLine="0" w:firstLineChars="0"/>
              <w:jc w:val="center"/>
              <w:rPr>
                <w:rFonts w:ascii="宋体" w:hAnsi="宋体"/>
                <w:sz w:val="21"/>
              </w:rPr>
            </w:pPr>
          </w:p>
        </w:tc>
      </w:tr>
      <w:tr w14:paraId="2E872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2D9A102">
            <w:pPr>
              <w:ind w:firstLine="0" w:firstLineChars="0"/>
              <w:jc w:val="center"/>
              <w:rPr>
                <w:rFonts w:ascii="宋体" w:hAnsi="宋体"/>
                <w:sz w:val="21"/>
              </w:rPr>
            </w:pPr>
            <w:r>
              <w:rPr>
                <w:rFonts w:hint="eastAsia" w:ascii="宋体" w:hAnsi="宋体"/>
                <w:sz w:val="21"/>
              </w:rPr>
              <w:t xml:space="preserve"> 4</w:t>
            </w:r>
          </w:p>
        </w:tc>
        <w:tc>
          <w:tcPr>
            <w:tcW w:w="1364" w:type="dxa"/>
            <w:gridSpan w:val="2"/>
            <w:vMerge w:val="continue"/>
            <w:vAlign w:val="center"/>
          </w:tcPr>
          <w:p w14:paraId="1202921C">
            <w:pPr>
              <w:ind w:firstLine="0" w:firstLineChars="0"/>
              <w:jc w:val="center"/>
              <w:rPr>
                <w:rFonts w:ascii="宋体" w:hAnsi="宋体"/>
                <w:sz w:val="21"/>
              </w:rPr>
            </w:pPr>
          </w:p>
        </w:tc>
        <w:tc>
          <w:tcPr>
            <w:tcW w:w="4646" w:type="dxa"/>
            <w:gridSpan w:val="5"/>
            <w:vAlign w:val="center"/>
          </w:tcPr>
          <w:p w14:paraId="07AC017C">
            <w:pPr>
              <w:ind w:firstLine="0" w:firstLineChars="0"/>
              <w:rPr>
                <w:rFonts w:ascii="宋体" w:hAnsi="宋体"/>
                <w:sz w:val="21"/>
              </w:rPr>
            </w:pPr>
            <w:r>
              <w:rPr>
                <w:rFonts w:hint="eastAsia" w:ascii="宋体" w:hAnsi="宋体"/>
                <w:sz w:val="21"/>
              </w:rPr>
              <w:t>(3)型式试验合格证明</w:t>
            </w:r>
          </w:p>
        </w:tc>
        <w:tc>
          <w:tcPr>
            <w:tcW w:w="966" w:type="dxa"/>
            <w:vAlign w:val="center"/>
          </w:tcPr>
          <w:p w14:paraId="6CC1A632">
            <w:pPr>
              <w:ind w:firstLine="0" w:firstLineChars="0"/>
              <w:jc w:val="center"/>
              <w:rPr>
                <w:rFonts w:ascii="宋体" w:hAnsi="宋体"/>
                <w:sz w:val="21"/>
              </w:rPr>
            </w:pPr>
          </w:p>
        </w:tc>
        <w:tc>
          <w:tcPr>
            <w:tcW w:w="921" w:type="dxa"/>
            <w:vAlign w:val="center"/>
          </w:tcPr>
          <w:p w14:paraId="5C11B630">
            <w:pPr>
              <w:ind w:firstLine="0" w:firstLineChars="0"/>
              <w:jc w:val="center"/>
              <w:rPr>
                <w:rFonts w:ascii="宋体" w:hAnsi="宋体"/>
                <w:sz w:val="21"/>
              </w:rPr>
            </w:pPr>
          </w:p>
        </w:tc>
      </w:tr>
      <w:tr w14:paraId="56DE3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269D8EA">
            <w:pPr>
              <w:ind w:firstLine="0" w:firstLineChars="0"/>
              <w:jc w:val="center"/>
              <w:rPr>
                <w:rFonts w:ascii="宋体" w:hAnsi="宋体"/>
                <w:sz w:val="21"/>
              </w:rPr>
            </w:pPr>
            <w:r>
              <w:rPr>
                <w:rFonts w:hint="eastAsia" w:ascii="宋体" w:hAnsi="宋体"/>
                <w:sz w:val="21"/>
              </w:rPr>
              <w:t xml:space="preserve"> 5</w:t>
            </w:r>
          </w:p>
        </w:tc>
        <w:tc>
          <w:tcPr>
            <w:tcW w:w="1364" w:type="dxa"/>
            <w:gridSpan w:val="2"/>
            <w:vMerge w:val="continue"/>
            <w:vAlign w:val="center"/>
          </w:tcPr>
          <w:p w14:paraId="01B35750">
            <w:pPr>
              <w:ind w:firstLine="0" w:firstLineChars="0"/>
              <w:jc w:val="center"/>
              <w:rPr>
                <w:rFonts w:ascii="宋体" w:hAnsi="宋体"/>
                <w:sz w:val="21"/>
              </w:rPr>
            </w:pPr>
          </w:p>
        </w:tc>
        <w:tc>
          <w:tcPr>
            <w:tcW w:w="4646" w:type="dxa"/>
            <w:gridSpan w:val="5"/>
            <w:vAlign w:val="center"/>
          </w:tcPr>
          <w:p w14:paraId="5829446B">
            <w:pPr>
              <w:ind w:firstLine="0" w:firstLineChars="0"/>
              <w:rPr>
                <w:rFonts w:ascii="宋体" w:hAnsi="宋体"/>
                <w:sz w:val="21"/>
              </w:rPr>
            </w:pPr>
            <w:r>
              <w:rPr>
                <w:rFonts w:hint="eastAsia" w:ascii="宋体" w:hAnsi="宋体"/>
                <w:sz w:val="21"/>
              </w:rPr>
              <w:t>(4)制造监督检验证书</w:t>
            </w:r>
          </w:p>
        </w:tc>
        <w:tc>
          <w:tcPr>
            <w:tcW w:w="966" w:type="dxa"/>
            <w:vAlign w:val="center"/>
          </w:tcPr>
          <w:p w14:paraId="4232AB18">
            <w:pPr>
              <w:ind w:firstLine="0" w:firstLineChars="0"/>
              <w:jc w:val="center"/>
              <w:rPr>
                <w:rFonts w:ascii="宋体" w:hAnsi="宋体"/>
                <w:sz w:val="21"/>
              </w:rPr>
            </w:pPr>
          </w:p>
        </w:tc>
        <w:tc>
          <w:tcPr>
            <w:tcW w:w="921" w:type="dxa"/>
            <w:vAlign w:val="center"/>
          </w:tcPr>
          <w:p w14:paraId="2CDA899E">
            <w:pPr>
              <w:ind w:firstLine="0" w:firstLineChars="0"/>
              <w:jc w:val="center"/>
              <w:rPr>
                <w:rFonts w:ascii="宋体" w:hAnsi="宋体"/>
                <w:sz w:val="21"/>
              </w:rPr>
            </w:pPr>
          </w:p>
        </w:tc>
      </w:tr>
      <w:tr w14:paraId="14CBA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67090BE">
            <w:pPr>
              <w:ind w:firstLine="0" w:firstLineChars="0"/>
              <w:jc w:val="center"/>
              <w:rPr>
                <w:rFonts w:ascii="宋体" w:hAnsi="宋体"/>
                <w:sz w:val="21"/>
              </w:rPr>
            </w:pPr>
            <w:r>
              <w:rPr>
                <w:rFonts w:hint="eastAsia" w:ascii="宋体" w:hAnsi="宋体"/>
                <w:sz w:val="21"/>
              </w:rPr>
              <w:t xml:space="preserve"> 6</w:t>
            </w:r>
          </w:p>
        </w:tc>
        <w:tc>
          <w:tcPr>
            <w:tcW w:w="1373" w:type="dxa"/>
            <w:gridSpan w:val="3"/>
            <w:vMerge w:val="restart"/>
            <w:vAlign w:val="center"/>
          </w:tcPr>
          <w:p w14:paraId="476D95E6">
            <w:pPr>
              <w:ind w:firstLine="0" w:firstLineChars="0"/>
              <w:rPr>
                <w:rFonts w:ascii="宋体" w:hAnsi="宋体"/>
                <w:sz w:val="21"/>
              </w:rPr>
            </w:pPr>
            <w:r>
              <w:rPr>
                <w:rFonts w:hint="eastAsia" w:ascii="宋体" w:hAnsi="宋体"/>
                <w:sz w:val="21"/>
              </w:rPr>
              <w:t>安装改造维修资格</w:t>
            </w:r>
          </w:p>
        </w:tc>
        <w:tc>
          <w:tcPr>
            <w:tcW w:w="4637" w:type="dxa"/>
            <w:gridSpan w:val="4"/>
            <w:vAlign w:val="center"/>
          </w:tcPr>
          <w:p w14:paraId="521C8054">
            <w:pPr>
              <w:ind w:firstLine="0" w:firstLineChars="0"/>
              <w:rPr>
                <w:rFonts w:ascii="宋体" w:hAnsi="宋体"/>
                <w:sz w:val="21"/>
              </w:rPr>
            </w:pPr>
            <w:r>
              <w:rPr>
                <w:rFonts w:hint="eastAsia" w:ascii="宋体" w:hAnsi="宋体"/>
                <w:sz w:val="21"/>
              </w:rPr>
              <w:t>(1)安装改造维修许可证</w:t>
            </w:r>
          </w:p>
        </w:tc>
        <w:tc>
          <w:tcPr>
            <w:tcW w:w="966" w:type="dxa"/>
            <w:vAlign w:val="center"/>
          </w:tcPr>
          <w:p w14:paraId="2A74064F">
            <w:pPr>
              <w:ind w:firstLine="0" w:firstLineChars="0"/>
              <w:jc w:val="center"/>
              <w:rPr>
                <w:rFonts w:ascii="宋体" w:hAnsi="宋体"/>
                <w:sz w:val="21"/>
              </w:rPr>
            </w:pPr>
          </w:p>
        </w:tc>
        <w:tc>
          <w:tcPr>
            <w:tcW w:w="921" w:type="dxa"/>
            <w:vAlign w:val="center"/>
          </w:tcPr>
          <w:p w14:paraId="4022DED7">
            <w:pPr>
              <w:ind w:firstLine="0" w:firstLineChars="0"/>
              <w:jc w:val="center"/>
              <w:rPr>
                <w:rFonts w:ascii="宋体" w:hAnsi="宋体"/>
                <w:sz w:val="21"/>
              </w:rPr>
            </w:pPr>
          </w:p>
        </w:tc>
      </w:tr>
      <w:tr w14:paraId="6AB7B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390D0C9">
            <w:pPr>
              <w:ind w:firstLine="0" w:firstLineChars="0"/>
              <w:jc w:val="center"/>
              <w:rPr>
                <w:rFonts w:ascii="宋体" w:hAnsi="宋体"/>
                <w:sz w:val="21"/>
              </w:rPr>
            </w:pPr>
            <w:r>
              <w:rPr>
                <w:rFonts w:hint="eastAsia" w:ascii="宋体" w:hAnsi="宋体"/>
                <w:sz w:val="21"/>
              </w:rPr>
              <w:t xml:space="preserve"> 7</w:t>
            </w:r>
          </w:p>
        </w:tc>
        <w:tc>
          <w:tcPr>
            <w:tcW w:w="1373" w:type="dxa"/>
            <w:gridSpan w:val="3"/>
            <w:vMerge w:val="continue"/>
            <w:vAlign w:val="center"/>
          </w:tcPr>
          <w:p w14:paraId="45A6A51B">
            <w:pPr>
              <w:ind w:firstLine="0" w:firstLineChars="0"/>
              <w:jc w:val="center"/>
              <w:rPr>
                <w:rFonts w:ascii="宋体" w:hAnsi="宋体"/>
                <w:sz w:val="21"/>
              </w:rPr>
            </w:pPr>
          </w:p>
        </w:tc>
        <w:tc>
          <w:tcPr>
            <w:tcW w:w="4637" w:type="dxa"/>
            <w:gridSpan w:val="4"/>
            <w:vAlign w:val="center"/>
          </w:tcPr>
          <w:p w14:paraId="2518E0D7">
            <w:pPr>
              <w:ind w:firstLine="0" w:firstLineChars="0"/>
              <w:rPr>
                <w:rFonts w:ascii="宋体" w:hAnsi="宋体"/>
                <w:sz w:val="21"/>
              </w:rPr>
            </w:pPr>
            <w:r>
              <w:rPr>
                <w:rFonts w:hint="eastAsia" w:ascii="宋体" w:hAnsi="宋体"/>
                <w:sz w:val="21"/>
              </w:rPr>
              <w:t>(2)安装改造重大维修告知书</w:t>
            </w:r>
          </w:p>
        </w:tc>
        <w:tc>
          <w:tcPr>
            <w:tcW w:w="966" w:type="dxa"/>
            <w:vAlign w:val="center"/>
          </w:tcPr>
          <w:p w14:paraId="46765E63">
            <w:pPr>
              <w:ind w:firstLine="0" w:firstLineChars="0"/>
              <w:jc w:val="center"/>
              <w:rPr>
                <w:rFonts w:ascii="宋体" w:hAnsi="宋体"/>
                <w:sz w:val="21"/>
              </w:rPr>
            </w:pPr>
          </w:p>
        </w:tc>
        <w:tc>
          <w:tcPr>
            <w:tcW w:w="921" w:type="dxa"/>
            <w:vAlign w:val="center"/>
          </w:tcPr>
          <w:p w14:paraId="460FE457">
            <w:pPr>
              <w:ind w:firstLine="0" w:firstLineChars="0"/>
              <w:jc w:val="center"/>
              <w:rPr>
                <w:rFonts w:ascii="宋体" w:hAnsi="宋体"/>
                <w:sz w:val="21"/>
              </w:rPr>
            </w:pPr>
          </w:p>
        </w:tc>
      </w:tr>
      <w:tr w14:paraId="315EB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52AC068">
            <w:pPr>
              <w:ind w:firstLine="0" w:firstLineChars="0"/>
              <w:jc w:val="center"/>
              <w:rPr>
                <w:rFonts w:ascii="宋体" w:hAnsi="宋体"/>
                <w:sz w:val="21"/>
              </w:rPr>
            </w:pPr>
            <w:r>
              <w:rPr>
                <w:rFonts w:hint="eastAsia" w:ascii="宋体" w:hAnsi="宋体"/>
                <w:sz w:val="21"/>
              </w:rPr>
              <w:t xml:space="preserve"> 8</w:t>
            </w:r>
          </w:p>
        </w:tc>
        <w:tc>
          <w:tcPr>
            <w:tcW w:w="1373" w:type="dxa"/>
            <w:gridSpan w:val="3"/>
            <w:vMerge w:val="continue"/>
            <w:vAlign w:val="center"/>
          </w:tcPr>
          <w:p w14:paraId="74241FF5">
            <w:pPr>
              <w:ind w:firstLine="0" w:firstLineChars="0"/>
              <w:jc w:val="center"/>
              <w:rPr>
                <w:rFonts w:ascii="宋体" w:hAnsi="宋体"/>
                <w:sz w:val="21"/>
              </w:rPr>
            </w:pPr>
          </w:p>
        </w:tc>
        <w:tc>
          <w:tcPr>
            <w:tcW w:w="4637" w:type="dxa"/>
            <w:gridSpan w:val="4"/>
            <w:vAlign w:val="center"/>
          </w:tcPr>
          <w:p w14:paraId="28EAF377">
            <w:pPr>
              <w:ind w:firstLine="0" w:firstLineChars="0"/>
              <w:rPr>
                <w:rFonts w:ascii="宋体" w:hAnsi="宋体"/>
                <w:sz w:val="21"/>
              </w:rPr>
            </w:pPr>
            <w:r>
              <w:rPr>
                <w:rFonts w:hint="eastAsia" w:ascii="宋体" w:hAnsi="宋体"/>
                <w:sz w:val="21"/>
              </w:rPr>
              <w:t>(3)现场安装改造维修作业人员的资格证件</w:t>
            </w:r>
          </w:p>
        </w:tc>
        <w:tc>
          <w:tcPr>
            <w:tcW w:w="966" w:type="dxa"/>
            <w:vAlign w:val="center"/>
          </w:tcPr>
          <w:p w14:paraId="588AE0A4">
            <w:pPr>
              <w:ind w:firstLine="0" w:firstLineChars="0"/>
              <w:jc w:val="center"/>
              <w:rPr>
                <w:rFonts w:ascii="宋体" w:hAnsi="宋体"/>
                <w:sz w:val="21"/>
              </w:rPr>
            </w:pPr>
          </w:p>
        </w:tc>
        <w:tc>
          <w:tcPr>
            <w:tcW w:w="921" w:type="dxa"/>
            <w:vAlign w:val="center"/>
          </w:tcPr>
          <w:p w14:paraId="62D8C732">
            <w:pPr>
              <w:ind w:firstLine="0" w:firstLineChars="0"/>
              <w:jc w:val="center"/>
              <w:rPr>
                <w:rFonts w:ascii="宋体" w:hAnsi="宋体"/>
                <w:sz w:val="21"/>
              </w:rPr>
            </w:pPr>
          </w:p>
        </w:tc>
      </w:tr>
      <w:tr w14:paraId="0EC2B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AB67FF7">
            <w:pPr>
              <w:ind w:firstLine="0" w:firstLineChars="0"/>
              <w:jc w:val="center"/>
              <w:rPr>
                <w:rFonts w:ascii="宋体" w:hAnsi="宋体"/>
                <w:sz w:val="21"/>
              </w:rPr>
            </w:pPr>
            <w:r>
              <w:rPr>
                <w:rFonts w:hint="eastAsia" w:ascii="宋体" w:hAnsi="宋体"/>
                <w:sz w:val="21"/>
              </w:rPr>
              <w:t xml:space="preserve"> 9</w:t>
            </w:r>
          </w:p>
        </w:tc>
        <w:tc>
          <w:tcPr>
            <w:tcW w:w="6010" w:type="dxa"/>
            <w:gridSpan w:val="7"/>
            <w:vAlign w:val="center"/>
          </w:tcPr>
          <w:p w14:paraId="6657D5DC">
            <w:pPr>
              <w:ind w:firstLine="0" w:firstLineChars="0"/>
              <w:rPr>
                <w:rFonts w:ascii="宋体" w:hAnsi="宋体"/>
                <w:sz w:val="21"/>
              </w:rPr>
            </w:pPr>
            <w:r>
              <w:rPr>
                <w:rFonts w:hint="eastAsia" w:ascii="宋体" w:hAnsi="宋体"/>
                <w:sz w:val="21"/>
              </w:rPr>
              <w:t xml:space="preserve"> 施工作业（工艺）文件</w:t>
            </w:r>
          </w:p>
        </w:tc>
        <w:tc>
          <w:tcPr>
            <w:tcW w:w="966" w:type="dxa"/>
            <w:vAlign w:val="center"/>
          </w:tcPr>
          <w:p w14:paraId="52B43C6D">
            <w:pPr>
              <w:ind w:firstLine="0" w:firstLineChars="0"/>
              <w:jc w:val="center"/>
              <w:rPr>
                <w:rFonts w:ascii="宋体" w:hAnsi="宋体"/>
                <w:sz w:val="21"/>
              </w:rPr>
            </w:pPr>
          </w:p>
        </w:tc>
        <w:tc>
          <w:tcPr>
            <w:tcW w:w="921" w:type="dxa"/>
            <w:vAlign w:val="center"/>
          </w:tcPr>
          <w:p w14:paraId="677F03D4">
            <w:pPr>
              <w:ind w:firstLine="0" w:firstLineChars="0"/>
              <w:jc w:val="center"/>
              <w:rPr>
                <w:rFonts w:ascii="宋体" w:hAnsi="宋体"/>
                <w:sz w:val="21"/>
              </w:rPr>
            </w:pPr>
          </w:p>
        </w:tc>
      </w:tr>
      <w:tr w14:paraId="74146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F87FB90">
            <w:pPr>
              <w:ind w:firstLine="0" w:firstLineChars="0"/>
              <w:jc w:val="center"/>
              <w:rPr>
                <w:rFonts w:ascii="宋体" w:hAnsi="宋体"/>
                <w:sz w:val="21"/>
              </w:rPr>
            </w:pPr>
            <w:r>
              <w:rPr>
                <w:rFonts w:hint="eastAsia" w:ascii="宋体" w:hAnsi="宋体"/>
                <w:sz w:val="21"/>
              </w:rPr>
              <w:t>10</w:t>
            </w:r>
          </w:p>
        </w:tc>
        <w:tc>
          <w:tcPr>
            <w:tcW w:w="1373" w:type="dxa"/>
            <w:gridSpan w:val="3"/>
            <w:vMerge w:val="restart"/>
            <w:vAlign w:val="center"/>
          </w:tcPr>
          <w:p w14:paraId="7ECABB7E">
            <w:pPr>
              <w:ind w:firstLine="0" w:firstLineChars="0"/>
              <w:rPr>
                <w:rFonts w:ascii="宋体" w:hAnsi="宋体"/>
                <w:sz w:val="21"/>
              </w:rPr>
            </w:pPr>
            <w:r>
              <w:rPr>
                <w:rFonts w:hint="eastAsia" w:ascii="宋体" w:hAnsi="宋体"/>
                <w:sz w:val="21"/>
              </w:rPr>
              <w:t>现场施工条件</w:t>
            </w:r>
          </w:p>
        </w:tc>
        <w:tc>
          <w:tcPr>
            <w:tcW w:w="4637" w:type="dxa"/>
            <w:gridSpan w:val="4"/>
            <w:vAlign w:val="center"/>
          </w:tcPr>
          <w:p w14:paraId="4287DE77">
            <w:pPr>
              <w:ind w:firstLine="0" w:firstLineChars="0"/>
              <w:rPr>
                <w:rFonts w:ascii="宋体" w:hAnsi="宋体"/>
                <w:sz w:val="21"/>
              </w:rPr>
            </w:pPr>
            <w:r>
              <w:rPr>
                <w:rFonts w:hint="eastAsia" w:ascii="宋体" w:hAnsi="宋体"/>
                <w:sz w:val="21"/>
              </w:rPr>
              <w:t>(1)基础验收证明</w:t>
            </w:r>
          </w:p>
        </w:tc>
        <w:tc>
          <w:tcPr>
            <w:tcW w:w="966" w:type="dxa"/>
            <w:vAlign w:val="center"/>
          </w:tcPr>
          <w:p w14:paraId="716E4149">
            <w:pPr>
              <w:ind w:firstLine="0" w:firstLineChars="0"/>
              <w:jc w:val="center"/>
              <w:rPr>
                <w:rFonts w:ascii="宋体" w:hAnsi="宋体"/>
                <w:sz w:val="21"/>
              </w:rPr>
            </w:pPr>
          </w:p>
        </w:tc>
        <w:tc>
          <w:tcPr>
            <w:tcW w:w="921" w:type="dxa"/>
            <w:vAlign w:val="center"/>
          </w:tcPr>
          <w:p w14:paraId="2DCB875B">
            <w:pPr>
              <w:ind w:firstLine="0" w:firstLineChars="0"/>
              <w:jc w:val="center"/>
              <w:rPr>
                <w:rFonts w:ascii="宋体" w:hAnsi="宋体"/>
                <w:sz w:val="21"/>
              </w:rPr>
            </w:pPr>
          </w:p>
        </w:tc>
      </w:tr>
      <w:tr w14:paraId="02CEE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EF3FF2A">
            <w:pPr>
              <w:ind w:firstLine="0" w:firstLineChars="0"/>
              <w:jc w:val="center"/>
              <w:rPr>
                <w:rFonts w:ascii="宋体" w:hAnsi="宋体"/>
                <w:sz w:val="21"/>
              </w:rPr>
            </w:pPr>
            <w:r>
              <w:rPr>
                <w:rFonts w:hint="eastAsia" w:ascii="宋体" w:hAnsi="宋体"/>
                <w:sz w:val="21"/>
              </w:rPr>
              <w:t>11</w:t>
            </w:r>
          </w:p>
        </w:tc>
        <w:tc>
          <w:tcPr>
            <w:tcW w:w="1373" w:type="dxa"/>
            <w:gridSpan w:val="3"/>
            <w:vMerge w:val="continue"/>
            <w:vAlign w:val="center"/>
          </w:tcPr>
          <w:p w14:paraId="0190BAEA">
            <w:pPr>
              <w:ind w:firstLine="0" w:firstLineChars="0"/>
              <w:rPr>
                <w:rFonts w:ascii="宋体" w:hAnsi="宋体"/>
                <w:sz w:val="21"/>
              </w:rPr>
            </w:pPr>
          </w:p>
        </w:tc>
        <w:tc>
          <w:tcPr>
            <w:tcW w:w="4637" w:type="dxa"/>
            <w:gridSpan w:val="4"/>
            <w:vAlign w:val="center"/>
          </w:tcPr>
          <w:p w14:paraId="285F4F84">
            <w:pPr>
              <w:ind w:firstLine="0" w:firstLineChars="0"/>
              <w:rPr>
                <w:rFonts w:ascii="宋体" w:hAnsi="宋体"/>
                <w:sz w:val="21"/>
              </w:rPr>
            </w:pPr>
            <w:r>
              <w:rPr>
                <w:rFonts w:hint="eastAsia" w:ascii="宋体" w:hAnsi="宋体"/>
                <w:sz w:val="21"/>
              </w:rPr>
              <w:t xml:space="preserve">(2)安全距离和红色障碍灯 </w:t>
            </w:r>
          </w:p>
        </w:tc>
        <w:tc>
          <w:tcPr>
            <w:tcW w:w="966" w:type="dxa"/>
            <w:vAlign w:val="center"/>
          </w:tcPr>
          <w:p w14:paraId="6B7A50BF">
            <w:pPr>
              <w:ind w:firstLine="0" w:firstLineChars="0"/>
              <w:jc w:val="center"/>
              <w:rPr>
                <w:rFonts w:ascii="宋体" w:hAnsi="宋体"/>
                <w:sz w:val="21"/>
              </w:rPr>
            </w:pPr>
          </w:p>
        </w:tc>
        <w:tc>
          <w:tcPr>
            <w:tcW w:w="921" w:type="dxa"/>
            <w:vAlign w:val="center"/>
          </w:tcPr>
          <w:p w14:paraId="4E7893E7">
            <w:pPr>
              <w:ind w:firstLine="0" w:firstLineChars="0"/>
              <w:jc w:val="center"/>
              <w:rPr>
                <w:rFonts w:ascii="宋体" w:hAnsi="宋体"/>
                <w:sz w:val="21"/>
              </w:rPr>
            </w:pPr>
          </w:p>
        </w:tc>
      </w:tr>
      <w:tr w14:paraId="1D74A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6417EC4">
            <w:pPr>
              <w:ind w:firstLine="0" w:firstLineChars="0"/>
              <w:jc w:val="center"/>
              <w:rPr>
                <w:rFonts w:ascii="宋体" w:hAnsi="宋体"/>
                <w:sz w:val="21"/>
              </w:rPr>
            </w:pPr>
            <w:r>
              <w:rPr>
                <w:rFonts w:hint="eastAsia" w:ascii="宋体" w:hAnsi="宋体"/>
                <w:sz w:val="21"/>
              </w:rPr>
              <w:t>12</w:t>
            </w:r>
          </w:p>
        </w:tc>
        <w:tc>
          <w:tcPr>
            <w:tcW w:w="1373" w:type="dxa"/>
            <w:gridSpan w:val="3"/>
            <w:vMerge w:val="restart"/>
            <w:vAlign w:val="center"/>
          </w:tcPr>
          <w:p w14:paraId="29A91394">
            <w:pPr>
              <w:ind w:firstLine="0" w:firstLineChars="0"/>
              <w:rPr>
                <w:rFonts w:ascii="宋体" w:hAnsi="宋体"/>
                <w:sz w:val="21"/>
              </w:rPr>
            </w:pPr>
            <w:r>
              <w:rPr>
                <w:rFonts w:hint="eastAsia" w:ascii="宋体" w:hAnsi="宋体"/>
                <w:sz w:val="21"/>
              </w:rPr>
              <w:t>部件施工前检验</w:t>
            </w:r>
          </w:p>
        </w:tc>
        <w:tc>
          <w:tcPr>
            <w:tcW w:w="4637" w:type="dxa"/>
            <w:gridSpan w:val="4"/>
            <w:vAlign w:val="center"/>
          </w:tcPr>
          <w:p w14:paraId="5660CE3C">
            <w:pPr>
              <w:ind w:firstLine="0" w:firstLineChars="0"/>
              <w:rPr>
                <w:rFonts w:ascii="宋体" w:hAnsi="宋体"/>
                <w:sz w:val="21"/>
              </w:rPr>
            </w:pPr>
            <w:r>
              <w:rPr>
                <w:rFonts w:hint="eastAsia" w:ascii="宋体" w:hAnsi="宋体"/>
                <w:sz w:val="21"/>
              </w:rPr>
              <w:t>(1)主要零部件合格证、铭牌</w:t>
            </w:r>
          </w:p>
        </w:tc>
        <w:tc>
          <w:tcPr>
            <w:tcW w:w="966" w:type="dxa"/>
            <w:vAlign w:val="center"/>
          </w:tcPr>
          <w:p w14:paraId="5AD4B9D9">
            <w:pPr>
              <w:ind w:firstLine="0" w:firstLineChars="0"/>
              <w:jc w:val="center"/>
              <w:rPr>
                <w:rFonts w:ascii="宋体" w:hAnsi="宋体"/>
                <w:sz w:val="21"/>
              </w:rPr>
            </w:pPr>
          </w:p>
        </w:tc>
        <w:tc>
          <w:tcPr>
            <w:tcW w:w="921" w:type="dxa"/>
            <w:vAlign w:val="center"/>
          </w:tcPr>
          <w:p w14:paraId="2DEAA2CF">
            <w:pPr>
              <w:ind w:firstLine="0" w:firstLineChars="0"/>
              <w:jc w:val="center"/>
              <w:rPr>
                <w:rFonts w:ascii="宋体" w:hAnsi="宋体"/>
                <w:sz w:val="21"/>
              </w:rPr>
            </w:pPr>
          </w:p>
        </w:tc>
      </w:tr>
      <w:tr w14:paraId="1E1ED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EEC08D6">
            <w:pPr>
              <w:ind w:firstLine="0" w:firstLineChars="0"/>
              <w:jc w:val="center"/>
              <w:rPr>
                <w:rFonts w:ascii="宋体" w:hAnsi="宋体"/>
                <w:sz w:val="21"/>
              </w:rPr>
            </w:pPr>
            <w:r>
              <w:rPr>
                <w:rFonts w:hint="eastAsia" w:ascii="宋体" w:hAnsi="宋体"/>
                <w:sz w:val="21"/>
              </w:rPr>
              <w:t>13</w:t>
            </w:r>
          </w:p>
        </w:tc>
        <w:tc>
          <w:tcPr>
            <w:tcW w:w="1373" w:type="dxa"/>
            <w:gridSpan w:val="3"/>
            <w:vMerge w:val="continue"/>
            <w:vAlign w:val="center"/>
          </w:tcPr>
          <w:p w14:paraId="601BC6EB">
            <w:pPr>
              <w:ind w:firstLine="0" w:firstLineChars="0"/>
              <w:rPr>
                <w:rFonts w:ascii="宋体" w:hAnsi="宋体"/>
                <w:sz w:val="21"/>
              </w:rPr>
            </w:pPr>
          </w:p>
        </w:tc>
        <w:tc>
          <w:tcPr>
            <w:tcW w:w="4637" w:type="dxa"/>
            <w:gridSpan w:val="4"/>
            <w:vAlign w:val="center"/>
          </w:tcPr>
          <w:p w14:paraId="24AB02A9">
            <w:pPr>
              <w:ind w:firstLine="0" w:firstLineChars="0"/>
              <w:rPr>
                <w:rFonts w:ascii="宋体" w:hAnsi="宋体"/>
                <w:sz w:val="21"/>
              </w:rPr>
            </w:pPr>
            <w:r>
              <w:rPr>
                <w:rFonts w:hint="eastAsia" w:ascii="宋体" w:hAnsi="宋体"/>
                <w:sz w:val="21"/>
              </w:rPr>
              <w:t>(2) 安全保护装置合格证、铭牌、型式试验证明</w:t>
            </w:r>
          </w:p>
        </w:tc>
        <w:tc>
          <w:tcPr>
            <w:tcW w:w="966" w:type="dxa"/>
            <w:vAlign w:val="center"/>
          </w:tcPr>
          <w:p w14:paraId="4F91C657">
            <w:pPr>
              <w:ind w:firstLine="0" w:firstLineChars="0"/>
              <w:jc w:val="center"/>
              <w:rPr>
                <w:rFonts w:ascii="宋体" w:hAnsi="宋体"/>
                <w:sz w:val="21"/>
              </w:rPr>
            </w:pPr>
          </w:p>
        </w:tc>
        <w:tc>
          <w:tcPr>
            <w:tcW w:w="921" w:type="dxa"/>
            <w:vAlign w:val="center"/>
          </w:tcPr>
          <w:p w14:paraId="2672D33F">
            <w:pPr>
              <w:ind w:firstLine="0" w:firstLineChars="0"/>
              <w:jc w:val="center"/>
              <w:rPr>
                <w:rFonts w:ascii="宋体" w:hAnsi="宋体"/>
                <w:sz w:val="21"/>
              </w:rPr>
            </w:pPr>
          </w:p>
        </w:tc>
      </w:tr>
      <w:tr w14:paraId="747B7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F4416C3">
            <w:pPr>
              <w:ind w:firstLine="0" w:firstLineChars="0"/>
              <w:jc w:val="center"/>
              <w:rPr>
                <w:rFonts w:ascii="宋体" w:hAnsi="宋体"/>
                <w:sz w:val="21"/>
              </w:rPr>
            </w:pPr>
            <w:r>
              <w:rPr>
                <w:rFonts w:hint="eastAsia" w:ascii="宋体" w:hAnsi="宋体"/>
                <w:sz w:val="21"/>
              </w:rPr>
              <w:t>14</w:t>
            </w:r>
          </w:p>
        </w:tc>
        <w:tc>
          <w:tcPr>
            <w:tcW w:w="1373" w:type="dxa"/>
            <w:gridSpan w:val="3"/>
            <w:vMerge w:val="continue"/>
            <w:vAlign w:val="center"/>
          </w:tcPr>
          <w:p w14:paraId="1229E7B2">
            <w:pPr>
              <w:ind w:firstLine="0" w:firstLineChars="0"/>
              <w:rPr>
                <w:rFonts w:ascii="宋体" w:hAnsi="宋体"/>
                <w:sz w:val="21"/>
              </w:rPr>
            </w:pPr>
          </w:p>
        </w:tc>
        <w:tc>
          <w:tcPr>
            <w:tcW w:w="4637" w:type="dxa"/>
            <w:gridSpan w:val="4"/>
            <w:vAlign w:val="center"/>
          </w:tcPr>
          <w:p w14:paraId="6CAA5B9F">
            <w:pPr>
              <w:ind w:firstLine="0" w:firstLineChars="0"/>
              <w:rPr>
                <w:rFonts w:ascii="宋体" w:hAnsi="宋体"/>
                <w:sz w:val="21"/>
              </w:rPr>
            </w:pPr>
            <w:r>
              <w:rPr>
                <w:rFonts w:hint="eastAsia" w:ascii="宋体" w:hAnsi="宋体"/>
                <w:sz w:val="21"/>
              </w:rPr>
              <w:t>(3)主要受力结构件主要几何尺寸</w:t>
            </w:r>
          </w:p>
        </w:tc>
        <w:tc>
          <w:tcPr>
            <w:tcW w:w="966" w:type="dxa"/>
            <w:vAlign w:val="center"/>
          </w:tcPr>
          <w:p w14:paraId="5E89D94C">
            <w:pPr>
              <w:ind w:firstLine="0" w:firstLineChars="0"/>
              <w:jc w:val="center"/>
              <w:rPr>
                <w:rFonts w:ascii="宋体" w:hAnsi="宋体"/>
                <w:sz w:val="21"/>
              </w:rPr>
            </w:pPr>
          </w:p>
        </w:tc>
        <w:tc>
          <w:tcPr>
            <w:tcW w:w="921" w:type="dxa"/>
            <w:vAlign w:val="center"/>
          </w:tcPr>
          <w:p w14:paraId="6962203C">
            <w:pPr>
              <w:ind w:firstLine="0" w:firstLineChars="0"/>
              <w:jc w:val="center"/>
              <w:rPr>
                <w:rFonts w:ascii="宋体" w:hAnsi="宋体"/>
                <w:sz w:val="21"/>
              </w:rPr>
            </w:pPr>
          </w:p>
        </w:tc>
      </w:tr>
      <w:tr w14:paraId="61124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0DD0C0D">
            <w:pPr>
              <w:ind w:firstLine="0" w:firstLineChars="0"/>
              <w:jc w:val="center"/>
              <w:rPr>
                <w:rFonts w:ascii="宋体" w:hAnsi="宋体"/>
                <w:sz w:val="21"/>
              </w:rPr>
            </w:pPr>
            <w:r>
              <w:rPr>
                <w:rFonts w:hint="eastAsia" w:ascii="宋体" w:hAnsi="宋体"/>
                <w:sz w:val="21"/>
              </w:rPr>
              <w:t>15</w:t>
            </w:r>
          </w:p>
        </w:tc>
        <w:tc>
          <w:tcPr>
            <w:tcW w:w="1373" w:type="dxa"/>
            <w:gridSpan w:val="3"/>
            <w:vMerge w:val="restart"/>
            <w:vAlign w:val="center"/>
          </w:tcPr>
          <w:p w14:paraId="7B24153A">
            <w:pPr>
              <w:ind w:firstLine="0" w:firstLineChars="0"/>
              <w:rPr>
                <w:rFonts w:ascii="宋体" w:hAnsi="宋体"/>
                <w:sz w:val="21"/>
              </w:rPr>
            </w:pPr>
            <w:r>
              <w:rPr>
                <w:rFonts w:hint="eastAsia" w:ascii="宋体" w:hAnsi="宋体"/>
                <w:sz w:val="21"/>
              </w:rPr>
              <w:t>主要零部件施工过程与施工后检验</w:t>
            </w:r>
          </w:p>
        </w:tc>
        <w:tc>
          <w:tcPr>
            <w:tcW w:w="4637" w:type="dxa"/>
            <w:gridSpan w:val="4"/>
            <w:vAlign w:val="center"/>
          </w:tcPr>
          <w:p w14:paraId="324F4F5A">
            <w:pPr>
              <w:ind w:firstLine="0" w:firstLineChars="0"/>
              <w:rPr>
                <w:rFonts w:ascii="宋体" w:hAnsi="宋体"/>
                <w:sz w:val="21"/>
              </w:rPr>
            </w:pPr>
            <w:r>
              <w:rPr>
                <w:rFonts w:hint="eastAsia" w:ascii="宋体" w:hAnsi="宋体"/>
                <w:sz w:val="21"/>
              </w:rPr>
              <w:t>(1)主要受力结构件连接</w:t>
            </w:r>
          </w:p>
        </w:tc>
        <w:tc>
          <w:tcPr>
            <w:tcW w:w="966" w:type="dxa"/>
            <w:vAlign w:val="center"/>
          </w:tcPr>
          <w:p w14:paraId="27A3FE26">
            <w:pPr>
              <w:ind w:firstLine="0" w:firstLineChars="0"/>
              <w:rPr>
                <w:rFonts w:ascii="宋体" w:hAnsi="宋体"/>
                <w:sz w:val="21"/>
              </w:rPr>
            </w:pPr>
          </w:p>
        </w:tc>
        <w:tc>
          <w:tcPr>
            <w:tcW w:w="921" w:type="dxa"/>
            <w:vAlign w:val="center"/>
          </w:tcPr>
          <w:p w14:paraId="5959B219">
            <w:pPr>
              <w:ind w:firstLine="0" w:firstLineChars="0"/>
              <w:rPr>
                <w:rFonts w:ascii="宋体" w:hAnsi="宋体"/>
                <w:sz w:val="21"/>
              </w:rPr>
            </w:pPr>
          </w:p>
        </w:tc>
      </w:tr>
      <w:tr w14:paraId="34B8E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66FD475">
            <w:pPr>
              <w:ind w:firstLine="0" w:firstLineChars="0"/>
              <w:jc w:val="center"/>
              <w:rPr>
                <w:rFonts w:ascii="宋体" w:hAnsi="宋体"/>
                <w:sz w:val="21"/>
              </w:rPr>
            </w:pPr>
            <w:r>
              <w:rPr>
                <w:rFonts w:hint="eastAsia" w:ascii="宋体" w:hAnsi="宋体"/>
                <w:sz w:val="21"/>
              </w:rPr>
              <w:t>16</w:t>
            </w:r>
          </w:p>
        </w:tc>
        <w:tc>
          <w:tcPr>
            <w:tcW w:w="1373" w:type="dxa"/>
            <w:gridSpan w:val="3"/>
            <w:vMerge w:val="continue"/>
            <w:vAlign w:val="center"/>
          </w:tcPr>
          <w:p w14:paraId="5B365675">
            <w:pPr>
              <w:ind w:firstLine="0" w:firstLineChars="0"/>
              <w:jc w:val="center"/>
              <w:rPr>
                <w:rFonts w:ascii="宋体" w:hAnsi="宋体"/>
                <w:sz w:val="21"/>
              </w:rPr>
            </w:pPr>
          </w:p>
        </w:tc>
        <w:tc>
          <w:tcPr>
            <w:tcW w:w="4637" w:type="dxa"/>
            <w:gridSpan w:val="4"/>
            <w:vAlign w:val="center"/>
          </w:tcPr>
          <w:p w14:paraId="4E9FAB0F">
            <w:pPr>
              <w:ind w:firstLine="0" w:firstLineChars="0"/>
              <w:rPr>
                <w:rFonts w:ascii="宋体" w:hAnsi="宋体"/>
                <w:sz w:val="21"/>
              </w:rPr>
            </w:pPr>
            <w:r>
              <w:rPr>
                <w:rFonts w:hint="eastAsia" w:ascii="宋体" w:hAnsi="宋体"/>
                <w:sz w:val="21"/>
              </w:rPr>
              <w:t>(2)施工后主要受力结构件的主要几何尺寸</w:t>
            </w:r>
          </w:p>
        </w:tc>
        <w:tc>
          <w:tcPr>
            <w:tcW w:w="966" w:type="dxa"/>
            <w:vAlign w:val="center"/>
          </w:tcPr>
          <w:p w14:paraId="5E722F25">
            <w:pPr>
              <w:ind w:firstLine="0" w:firstLineChars="0"/>
              <w:jc w:val="center"/>
              <w:rPr>
                <w:rFonts w:ascii="宋体" w:hAnsi="宋体"/>
                <w:sz w:val="21"/>
              </w:rPr>
            </w:pPr>
          </w:p>
        </w:tc>
        <w:tc>
          <w:tcPr>
            <w:tcW w:w="921" w:type="dxa"/>
            <w:vAlign w:val="center"/>
          </w:tcPr>
          <w:p w14:paraId="5D879055">
            <w:pPr>
              <w:ind w:firstLine="0" w:firstLineChars="0"/>
              <w:jc w:val="center"/>
              <w:rPr>
                <w:rFonts w:ascii="宋体" w:hAnsi="宋体"/>
                <w:sz w:val="21"/>
              </w:rPr>
            </w:pPr>
          </w:p>
        </w:tc>
      </w:tr>
      <w:tr w14:paraId="1ED31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01EC4F">
            <w:pPr>
              <w:ind w:firstLine="0" w:firstLineChars="0"/>
              <w:jc w:val="center"/>
              <w:rPr>
                <w:rFonts w:ascii="宋体" w:hAnsi="宋体"/>
                <w:sz w:val="21"/>
              </w:rPr>
            </w:pPr>
            <w:r>
              <w:rPr>
                <w:rFonts w:hint="eastAsia" w:ascii="宋体" w:hAnsi="宋体"/>
                <w:sz w:val="21"/>
              </w:rPr>
              <w:t>17</w:t>
            </w:r>
          </w:p>
        </w:tc>
        <w:tc>
          <w:tcPr>
            <w:tcW w:w="1373" w:type="dxa"/>
            <w:gridSpan w:val="3"/>
            <w:vMerge w:val="continue"/>
            <w:vAlign w:val="center"/>
          </w:tcPr>
          <w:p w14:paraId="25D36619">
            <w:pPr>
              <w:ind w:firstLine="0" w:firstLineChars="0"/>
              <w:jc w:val="center"/>
              <w:rPr>
                <w:rFonts w:ascii="宋体" w:hAnsi="宋体"/>
                <w:sz w:val="21"/>
              </w:rPr>
            </w:pPr>
          </w:p>
        </w:tc>
        <w:tc>
          <w:tcPr>
            <w:tcW w:w="4637" w:type="dxa"/>
            <w:gridSpan w:val="4"/>
            <w:vAlign w:val="center"/>
          </w:tcPr>
          <w:p w14:paraId="3A0086ED">
            <w:pPr>
              <w:ind w:firstLine="0" w:firstLineChars="0"/>
              <w:rPr>
                <w:rFonts w:ascii="宋体" w:hAnsi="宋体"/>
                <w:sz w:val="21"/>
              </w:rPr>
            </w:pPr>
            <w:r>
              <w:rPr>
                <w:rFonts w:hint="eastAsia" w:ascii="宋体" w:hAnsi="宋体"/>
                <w:sz w:val="21"/>
              </w:rPr>
              <w:t>(3)钢丝绳及其连接、吊具、滑轮组、卷筒</w:t>
            </w:r>
          </w:p>
        </w:tc>
        <w:tc>
          <w:tcPr>
            <w:tcW w:w="966" w:type="dxa"/>
            <w:vAlign w:val="center"/>
          </w:tcPr>
          <w:p w14:paraId="414514A1">
            <w:pPr>
              <w:ind w:firstLine="0" w:firstLineChars="0"/>
              <w:jc w:val="center"/>
              <w:rPr>
                <w:rFonts w:ascii="宋体" w:hAnsi="宋体"/>
                <w:sz w:val="21"/>
              </w:rPr>
            </w:pPr>
          </w:p>
        </w:tc>
        <w:tc>
          <w:tcPr>
            <w:tcW w:w="921" w:type="dxa"/>
            <w:vAlign w:val="center"/>
          </w:tcPr>
          <w:p w14:paraId="123538DC">
            <w:pPr>
              <w:ind w:firstLine="0" w:firstLineChars="0"/>
              <w:jc w:val="center"/>
              <w:rPr>
                <w:rFonts w:ascii="宋体" w:hAnsi="宋体"/>
                <w:sz w:val="21"/>
              </w:rPr>
            </w:pPr>
          </w:p>
        </w:tc>
      </w:tr>
      <w:tr w14:paraId="7D11E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33E4ED0">
            <w:pPr>
              <w:ind w:firstLine="0" w:firstLineChars="0"/>
              <w:jc w:val="center"/>
              <w:rPr>
                <w:rFonts w:ascii="宋体" w:hAnsi="宋体"/>
                <w:sz w:val="21"/>
              </w:rPr>
            </w:pPr>
            <w:r>
              <w:rPr>
                <w:rFonts w:hint="eastAsia" w:ascii="宋体" w:hAnsi="宋体"/>
                <w:sz w:val="21"/>
              </w:rPr>
              <w:t>18</w:t>
            </w:r>
          </w:p>
        </w:tc>
        <w:tc>
          <w:tcPr>
            <w:tcW w:w="1373" w:type="dxa"/>
            <w:gridSpan w:val="3"/>
            <w:vMerge w:val="continue"/>
            <w:vAlign w:val="center"/>
          </w:tcPr>
          <w:p w14:paraId="28623471">
            <w:pPr>
              <w:ind w:firstLine="0" w:firstLineChars="0"/>
              <w:jc w:val="center"/>
              <w:rPr>
                <w:rFonts w:ascii="宋体" w:hAnsi="宋体"/>
                <w:sz w:val="21"/>
              </w:rPr>
            </w:pPr>
          </w:p>
        </w:tc>
        <w:tc>
          <w:tcPr>
            <w:tcW w:w="4637" w:type="dxa"/>
            <w:gridSpan w:val="4"/>
            <w:vAlign w:val="center"/>
          </w:tcPr>
          <w:p w14:paraId="5A829357">
            <w:pPr>
              <w:ind w:firstLine="0" w:firstLineChars="0"/>
              <w:rPr>
                <w:rFonts w:ascii="宋体" w:hAnsi="宋体"/>
                <w:sz w:val="21"/>
              </w:rPr>
            </w:pPr>
            <w:r>
              <w:rPr>
                <w:rFonts w:hint="eastAsia" w:ascii="宋体" w:hAnsi="宋体"/>
                <w:sz w:val="21"/>
              </w:rPr>
              <w:t>(4)安全警示标识</w:t>
            </w:r>
          </w:p>
        </w:tc>
        <w:tc>
          <w:tcPr>
            <w:tcW w:w="966" w:type="dxa"/>
            <w:vAlign w:val="center"/>
          </w:tcPr>
          <w:p w14:paraId="5E5B4499">
            <w:pPr>
              <w:ind w:firstLine="0" w:firstLineChars="0"/>
              <w:jc w:val="center"/>
              <w:rPr>
                <w:rFonts w:ascii="宋体" w:hAnsi="宋体"/>
                <w:sz w:val="21"/>
              </w:rPr>
            </w:pPr>
          </w:p>
        </w:tc>
        <w:tc>
          <w:tcPr>
            <w:tcW w:w="921" w:type="dxa"/>
            <w:vAlign w:val="center"/>
          </w:tcPr>
          <w:p w14:paraId="6E63932C">
            <w:pPr>
              <w:ind w:firstLine="0" w:firstLineChars="0"/>
              <w:jc w:val="center"/>
              <w:rPr>
                <w:rFonts w:ascii="宋体" w:hAnsi="宋体"/>
                <w:sz w:val="21"/>
              </w:rPr>
            </w:pPr>
          </w:p>
        </w:tc>
      </w:tr>
      <w:tr w14:paraId="5E9FD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2D45016">
            <w:pPr>
              <w:ind w:firstLine="0" w:firstLineChars="0"/>
              <w:jc w:val="center"/>
              <w:rPr>
                <w:rFonts w:ascii="宋体" w:hAnsi="宋体"/>
                <w:sz w:val="21"/>
              </w:rPr>
            </w:pPr>
            <w:r>
              <w:rPr>
                <w:rFonts w:hint="eastAsia" w:ascii="宋体" w:hAnsi="宋体"/>
                <w:sz w:val="21"/>
              </w:rPr>
              <w:t>19</w:t>
            </w:r>
          </w:p>
        </w:tc>
        <w:tc>
          <w:tcPr>
            <w:tcW w:w="607" w:type="dxa"/>
            <w:vMerge w:val="restart"/>
            <w:vAlign w:val="center"/>
          </w:tcPr>
          <w:p w14:paraId="161134EF">
            <w:pPr>
              <w:ind w:firstLine="0" w:firstLineChars="0"/>
              <w:rPr>
                <w:rFonts w:ascii="宋体" w:hAnsi="宋体"/>
                <w:sz w:val="21"/>
              </w:rPr>
            </w:pPr>
            <w:r>
              <w:rPr>
                <w:rFonts w:hint="eastAsia" w:ascii="宋体" w:hAnsi="宋体"/>
                <w:sz w:val="21"/>
              </w:rPr>
              <w:t>电气与控制系统检验</w:t>
            </w:r>
          </w:p>
        </w:tc>
        <w:tc>
          <w:tcPr>
            <w:tcW w:w="5403" w:type="dxa"/>
            <w:gridSpan w:val="6"/>
            <w:vAlign w:val="center"/>
          </w:tcPr>
          <w:p w14:paraId="2D287F9B">
            <w:pPr>
              <w:ind w:firstLine="0" w:firstLineChars="0"/>
              <w:rPr>
                <w:rFonts w:ascii="宋体" w:hAnsi="宋体"/>
                <w:sz w:val="21"/>
              </w:rPr>
            </w:pPr>
            <w:r>
              <w:rPr>
                <w:rFonts w:hint="eastAsia" w:ascii="宋体" w:hAnsi="宋体"/>
                <w:sz w:val="21"/>
              </w:rPr>
              <w:t>电气设备与控制系统</w:t>
            </w:r>
          </w:p>
        </w:tc>
        <w:tc>
          <w:tcPr>
            <w:tcW w:w="966" w:type="dxa"/>
            <w:vAlign w:val="center"/>
          </w:tcPr>
          <w:p w14:paraId="05B41B6E">
            <w:pPr>
              <w:ind w:firstLine="0" w:firstLineChars="0"/>
              <w:jc w:val="center"/>
              <w:rPr>
                <w:rFonts w:ascii="宋体" w:hAnsi="宋体"/>
                <w:sz w:val="21"/>
              </w:rPr>
            </w:pPr>
          </w:p>
        </w:tc>
        <w:tc>
          <w:tcPr>
            <w:tcW w:w="921" w:type="dxa"/>
            <w:vAlign w:val="center"/>
          </w:tcPr>
          <w:p w14:paraId="698CEE53">
            <w:pPr>
              <w:ind w:firstLine="0" w:firstLineChars="0"/>
              <w:jc w:val="center"/>
              <w:rPr>
                <w:rFonts w:ascii="宋体" w:hAnsi="宋体"/>
                <w:sz w:val="21"/>
              </w:rPr>
            </w:pPr>
          </w:p>
        </w:tc>
      </w:tr>
      <w:tr w14:paraId="4396B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CE1452">
            <w:pPr>
              <w:ind w:firstLine="0" w:firstLineChars="0"/>
              <w:jc w:val="center"/>
              <w:rPr>
                <w:rFonts w:ascii="宋体" w:hAnsi="宋体"/>
                <w:sz w:val="21"/>
              </w:rPr>
            </w:pPr>
            <w:r>
              <w:rPr>
                <w:rFonts w:hint="eastAsia" w:ascii="宋体" w:hAnsi="宋体"/>
                <w:sz w:val="21"/>
              </w:rPr>
              <w:t>20</w:t>
            </w:r>
          </w:p>
        </w:tc>
        <w:tc>
          <w:tcPr>
            <w:tcW w:w="607" w:type="dxa"/>
            <w:vMerge w:val="continue"/>
            <w:vAlign w:val="center"/>
          </w:tcPr>
          <w:p w14:paraId="3DEE5831">
            <w:pPr>
              <w:ind w:firstLine="0" w:firstLineChars="0"/>
              <w:rPr>
                <w:rFonts w:ascii="宋体" w:hAnsi="宋体"/>
                <w:sz w:val="21"/>
              </w:rPr>
            </w:pPr>
          </w:p>
        </w:tc>
        <w:tc>
          <w:tcPr>
            <w:tcW w:w="857" w:type="dxa"/>
            <w:gridSpan w:val="3"/>
            <w:vMerge w:val="restart"/>
            <w:vAlign w:val="center"/>
          </w:tcPr>
          <w:p w14:paraId="7BBA37CC">
            <w:pPr>
              <w:ind w:firstLine="0" w:firstLineChars="0"/>
              <w:rPr>
                <w:rFonts w:ascii="宋体" w:hAnsi="宋体"/>
                <w:sz w:val="21"/>
              </w:rPr>
            </w:pPr>
            <w:r>
              <w:rPr>
                <w:rFonts w:hint="eastAsia" w:ascii="宋体" w:hAnsi="宋体"/>
                <w:sz w:val="21"/>
              </w:rPr>
              <w:t>电气保护装置</w:t>
            </w:r>
          </w:p>
        </w:tc>
        <w:tc>
          <w:tcPr>
            <w:tcW w:w="4546" w:type="dxa"/>
            <w:gridSpan w:val="3"/>
            <w:vAlign w:val="center"/>
          </w:tcPr>
          <w:p w14:paraId="31FB91CF">
            <w:pPr>
              <w:ind w:firstLine="0" w:firstLineChars="0"/>
              <w:rPr>
                <w:rFonts w:ascii="宋体" w:hAnsi="宋体"/>
                <w:sz w:val="21"/>
              </w:rPr>
            </w:pPr>
            <w:r>
              <w:rPr>
                <w:rFonts w:hint="eastAsia" w:ascii="宋体" w:hAnsi="宋体"/>
                <w:sz w:val="21"/>
              </w:rPr>
              <w:t>接地保护</w:t>
            </w:r>
          </w:p>
        </w:tc>
        <w:tc>
          <w:tcPr>
            <w:tcW w:w="966" w:type="dxa"/>
            <w:vAlign w:val="center"/>
          </w:tcPr>
          <w:p w14:paraId="1B15800D">
            <w:pPr>
              <w:ind w:firstLine="0" w:firstLineChars="0"/>
              <w:jc w:val="center"/>
              <w:rPr>
                <w:rFonts w:ascii="宋体" w:hAnsi="宋体"/>
                <w:sz w:val="21"/>
              </w:rPr>
            </w:pPr>
          </w:p>
        </w:tc>
        <w:tc>
          <w:tcPr>
            <w:tcW w:w="921" w:type="dxa"/>
            <w:vAlign w:val="center"/>
          </w:tcPr>
          <w:p w14:paraId="22DE4200">
            <w:pPr>
              <w:ind w:firstLine="0" w:firstLineChars="0"/>
              <w:jc w:val="center"/>
              <w:rPr>
                <w:rFonts w:ascii="宋体" w:hAnsi="宋体"/>
                <w:sz w:val="21"/>
              </w:rPr>
            </w:pPr>
          </w:p>
        </w:tc>
      </w:tr>
      <w:tr w14:paraId="0F57D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078CA75B">
            <w:pPr>
              <w:ind w:firstLine="0" w:firstLineChars="0"/>
              <w:jc w:val="center"/>
              <w:rPr>
                <w:rFonts w:ascii="宋体" w:hAnsi="宋体"/>
                <w:sz w:val="21"/>
              </w:rPr>
            </w:pPr>
            <w:r>
              <w:rPr>
                <w:rFonts w:hint="eastAsia" w:ascii="宋体" w:hAnsi="宋体"/>
                <w:sz w:val="21"/>
              </w:rPr>
              <w:t>21</w:t>
            </w:r>
          </w:p>
        </w:tc>
        <w:tc>
          <w:tcPr>
            <w:tcW w:w="607" w:type="dxa"/>
            <w:vMerge w:val="continue"/>
            <w:vAlign w:val="center"/>
          </w:tcPr>
          <w:p w14:paraId="39FD0DD3">
            <w:pPr>
              <w:ind w:firstLine="0" w:firstLineChars="0"/>
              <w:jc w:val="center"/>
              <w:rPr>
                <w:rFonts w:ascii="宋体" w:hAnsi="宋体"/>
                <w:sz w:val="21"/>
              </w:rPr>
            </w:pPr>
          </w:p>
        </w:tc>
        <w:tc>
          <w:tcPr>
            <w:tcW w:w="857" w:type="dxa"/>
            <w:gridSpan w:val="3"/>
            <w:vMerge w:val="continue"/>
            <w:vAlign w:val="center"/>
          </w:tcPr>
          <w:p w14:paraId="3C08213C">
            <w:pPr>
              <w:ind w:firstLine="0" w:firstLineChars="0"/>
              <w:rPr>
                <w:rFonts w:ascii="宋体" w:hAnsi="宋体"/>
                <w:sz w:val="21"/>
              </w:rPr>
            </w:pPr>
          </w:p>
        </w:tc>
        <w:tc>
          <w:tcPr>
            <w:tcW w:w="4546" w:type="dxa"/>
            <w:gridSpan w:val="3"/>
            <w:vAlign w:val="center"/>
          </w:tcPr>
          <w:p w14:paraId="1EEFBC83">
            <w:pPr>
              <w:ind w:firstLine="0" w:firstLineChars="0"/>
              <w:rPr>
                <w:rFonts w:ascii="宋体" w:hAnsi="宋体"/>
                <w:sz w:val="21"/>
              </w:rPr>
            </w:pPr>
            <w:r>
              <w:rPr>
                <w:rFonts w:hint="eastAsia" w:ascii="宋体" w:hAnsi="宋体"/>
                <w:sz w:val="21"/>
              </w:rPr>
              <w:t>绝缘电阻</w:t>
            </w:r>
          </w:p>
        </w:tc>
        <w:tc>
          <w:tcPr>
            <w:tcW w:w="966" w:type="dxa"/>
            <w:vAlign w:val="center"/>
          </w:tcPr>
          <w:p w14:paraId="6E1FAC87">
            <w:pPr>
              <w:ind w:firstLine="0" w:firstLineChars="0"/>
              <w:jc w:val="center"/>
              <w:rPr>
                <w:rFonts w:ascii="宋体" w:hAnsi="宋体"/>
                <w:sz w:val="21"/>
              </w:rPr>
            </w:pPr>
          </w:p>
        </w:tc>
        <w:tc>
          <w:tcPr>
            <w:tcW w:w="921" w:type="dxa"/>
            <w:vAlign w:val="center"/>
          </w:tcPr>
          <w:p w14:paraId="502AA70F">
            <w:pPr>
              <w:ind w:firstLine="0" w:firstLineChars="0"/>
              <w:jc w:val="center"/>
              <w:rPr>
                <w:rFonts w:ascii="宋体" w:hAnsi="宋体"/>
                <w:sz w:val="21"/>
              </w:rPr>
            </w:pPr>
          </w:p>
        </w:tc>
      </w:tr>
      <w:tr w14:paraId="761FB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4277D4">
            <w:pPr>
              <w:ind w:firstLine="0" w:firstLineChars="0"/>
              <w:jc w:val="center"/>
              <w:rPr>
                <w:rFonts w:ascii="宋体" w:hAnsi="宋体"/>
                <w:sz w:val="21"/>
              </w:rPr>
            </w:pPr>
            <w:r>
              <w:rPr>
                <w:rFonts w:hint="eastAsia" w:ascii="宋体" w:hAnsi="宋体"/>
                <w:sz w:val="21"/>
              </w:rPr>
              <w:t>22</w:t>
            </w:r>
          </w:p>
        </w:tc>
        <w:tc>
          <w:tcPr>
            <w:tcW w:w="607" w:type="dxa"/>
            <w:vMerge w:val="continue"/>
            <w:vAlign w:val="center"/>
          </w:tcPr>
          <w:p w14:paraId="68FBC5EC">
            <w:pPr>
              <w:ind w:firstLine="0" w:firstLineChars="0"/>
              <w:rPr>
                <w:rFonts w:ascii="宋体" w:hAnsi="宋体"/>
                <w:sz w:val="21"/>
              </w:rPr>
            </w:pPr>
          </w:p>
        </w:tc>
        <w:tc>
          <w:tcPr>
            <w:tcW w:w="857" w:type="dxa"/>
            <w:gridSpan w:val="3"/>
            <w:vMerge w:val="continue"/>
            <w:vAlign w:val="center"/>
          </w:tcPr>
          <w:p w14:paraId="1DE4DAA2">
            <w:pPr>
              <w:ind w:firstLine="0" w:firstLineChars="0"/>
              <w:rPr>
                <w:rFonts w:ascii="宋体" w:hAnsi="宋体"/>
                <w:sz w:val="21"/>
              </w:rPr>
            </w:pPr>
          </w:p>
        </w:tc>
        <w:tc>
          <w:tcPr>
            <w:tcW w:w="4546" w:type="dxa"/>
            <w:gridSpan w:val="3"/>
            <w:vAlign w:val="center"/>
          </w:tcPr>
          <w:p w14:paraId="6FA441E7">
            <w:pPr>
              <w:ind w:firstLine="0" w:firstLineChars="0"/>
              <w:rPr>
                <w:rFonts w:ascii="宋体" w:hAnsi="宋体"/>
                <w:sz w:val="21"/>
              </w:rPr>
            </w:pPr>
            <w:r>
              <w:rPr>
                <w:rFonts w:hint="eastAsia" w:ascii="宋体" w:hAnsi="宋体"/>
                <w:sz w:val="21"/>
              </w:rPr>
              <w:t>短路保护</w:t>
            </w:r>
          </w:p>
        </w:tc>
        <w:tc>
          <w:tcPr>
            <w:tcW w:w="966" w:type="dxa"/>
            <w:vAlign w:val="center"/>
          </w:tcPr>
          <w:p w14:paraId="0B813EF2">
            <w:pPr>
              <w:ind w:firstLine="0" w:firstLineChars="0"/>
              <w:jc w:val="center"/>
              <w:rPr>
                <w:rFonts w:ascii="宋体" w:hAnsi="宋体"/>
                <w:sz w:val="21"/>
              </w:rPr>
            </w:pPr>
          </w:p>
        </w:tc>
        <w:tc>
          <w:tcPr>
            <w:tcW w:w="921" w:type="dxa"/>
            <w:vAlign w:val="center"/>
          </w:tcPr>
          <w:p w14:paraId="78587F7C">
            <w:pPr>
              <w:ind w:firstLine="0" w:firstLineChars="0"/>
              <w:jc w:val="center"/>
              <w:rPr>
                <w:rFonts w:ascii="宋体" w:hAnsi="宋体"/>
                <w:sz w:val="21"/>
              </w:rPr>
            </w:pPr>
          </w:p>
        </w:tc>
      </w:tr>
      <w:tr w14:paraId="63FAE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931697B">
            <w:pPr>
              <w:ind w:firstLine="0" w:firstLineChars="0"/>
              <w:jc w:val="center"/>
              <w:rPr>
                <w:rFonts w:ascii="宋体" w:hAnsi="宋体"/>
                <w:sz w:val="21"/>
              </w:rPr>
            </w:pPr>
            <w:r>
              <w:rPr>
                <w:rFonts w:hint="eastAsia" w:ascii="宋体" w:hAnsi="宋体"/>
                <w:sz w:val="21"/>
              </w:rPr>
              <w:t>23</w:t>
            </w:r>
          </w:p>
        </w:tc>
        <w:tc>
          <w:tcPr>
            <w:tcW w:w="607" w:type="dxa"/>
            <w:vMerge w:val="continue"/>
            <w:vAlign w:val="center"/>
          </w:tcPr>
          <w:p w14:paraId="37A8540C">
            <w:pPr>
              <w:ind w:firstLine="0" w:firstLineChars="0"/>
              <w:rPr>
                <w:rFonts w:ascii="宋体" w:hAnsi="宋体"/>
                <w:sz w:val="21"/>
              </w:rPr>
            </w:pPr>
          </w:p>
        </w:tc>
        <w:tc>
          <w:tcPr>
            <w:tcW w:w="857" w:type="dxa"/>
            <w:gridSpan w:val="3"/>
            <w:vMerge w:val="continue"/>
            <w:vAlign w:val="center"/>
          </w:tcPr>
          <w:p w14:paraId="4FAD2B52">
            <w:pPr>
              <w:ind w:firstLine="0" w:firstLineChars="0"/>
              <w:rPr>
                <w:rFonts w:ascii="宋体" w:hAnsi="宋体"/>
                <w:sz w:val="21"/>
              </w:rPr>
            </w:pPr>
          </w:p>
        </w:tc>
        <w:tc>
          <w:tcPr>
            <w:tcW w:w="4546" w:type="dxa"/>
            <w:gridSpan w:val="3"/>
            <w:vAlign w:val="center"/>
          </w:tcPr>
          <w:p w14:paraId="4163D642">
            <w:pPr>
              <w:ind w:firstLine="0" w:firstLineChars="0"/>
              <w:rPr>
                <w:rFonts w:ascii="宋体" w:hAnsi="宋体"/>
                <w:sz w:val="21"/>
              </w:rPr>
            </w:pPr>
            <w:r>
              <w:rPr>
                <w:rFonts w:hint="eastAsia" w:ascii="宋体" w:hAnsi="宋体"/>
                <w:sz w:val="21"/>
              </w:rPr>
              <w:t>失压保护</w:t>
            </w:r>
          </w:p>
        </w:tc>
        <w:tc>
          <w:tcPr>
            <w:tcW w:w="966" w:type="dxa"/>
            <w:vAlign w:val="center"/>
          </w:tcPr>
          <w:p w14:paraId="2E1F8A47">
            <w:pPr>
              <w:ind w:firstLine="0" w:firstLineChars="0"/>
              <w:jc w:val="center"/>
              <w:rPr>
                <w:rFonts w:ascii="宋体" w:hAnsi="宋体"/>
                <w:sz w:val="21"/>
              </w:rPr>
            </w:pPr>
          </w:p>
        </w:tc>
        <w:tc>
          <w:tcPr>
            <w:tcW w:w="921" w:type="dxa"/>
            <w:vAlign w:val="center"/>
          </w:tcPr>
          <w:p w14:paraId="0B0899A4">
            <w:pPr>
              <w:ind w:firstLine="0" w:firstLineChars="0"/>
              <w:jc w:val="center"/>
              <w:rPr>
                <w:rFonts w:ascii="宋体" w:hAnsi="宋体"/>
                <w:sz w:val="21"/>
              </w:rPr>
            </w:pPr>
          </w:p>
        </w:tc>
      </w:tr>
      <w:tr w14:paraId="1707A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B5165D1">
            <w:pPr>
              <w:ind w:firstLine="0" w:firstLineChars="0"/>
              <w:jc w:val="center"/>
              <w:rPr>
                <w:rFonts w:ascii="宋体" w:hAnsi="宋体"/>
                <w:sz w:val="21"/>
              </w:rPr>
            </w:pPr>
            <w:r>
              <w:rPr>
                <w:rFonts w:hint="eastAsia" w:ascii="宋体" w:hAnsi="宋体"/>
                <w:sz w:val="21"/>
              </w:rPr>
              <w:t>24</w:t>
            </w:r>
          </w:p>
        </w:tc>
        <w:tc>
          <w:tcPr>
            <w:tcW w:w="607" w:type="dxa"/>
            <w:vMerge w:val="continue"/>
            <w:vAlign w:val="center"/>
          </w:tcPr>
          <w:p w14:paraId="6CBBD98A">
            <w:pPr>
              <w:ind w:firstLine="0" w:firstLineChars="0"/>
              <w:rPr>
                <w:rFonts w:ascii="宋体" w:hAnsi="宋体"/>
                <w:sz w:val="21"/>
              </w:rPr>
            </w:pPr>
          </w:p>
        </w:tc>
        <w:tc>
          <w:tcPr>
            <w:tcW w:w="857" w:type="dxa"/>
            <w:gridSpan w:val="3"/>
            <w:vMerge w:val="continue"/>
            <w:vAlign w:val="center"/>
          </w:tcPr>
          <w:p w14:paraId="7D95826F">
            <w:pPr>
              <w:ind w:firstLine="0" w:firstLineChars="0"/>
              <w:rPr>
                <w:rFonts w:ascii="宋体" w:hAnsi="宋体"/>
                <w:sz w:val="21"/>
              </w:rPr>
            </w:pPr>
          </w:p>
        </w:tc>
        <w:tc>
          <w:tcPr>
            <w:tcW w:w="4546" w:type="dxa"/>
            <w:gridSpan w:val="3"/>
            <w:vAlign w:val="center"/>
          </w:tcPr>
          <w:p w14:paraId="6BB9CD8A">
            <w:pPr>
              <w:ind w:firstLine="0" w:firstLineChars="0"/>
              <w:rPr>
                <w:rFonts w:ascii="宋体" w:hAnsi="宋体"/>
                <w:sz w:val="21"/>
              </w:rPr>
            </w:pPr>
            <w:r>
              <w:rPr>
                <w:rFonts w:hint="eastAsia" w:ascii="宋体" w:hAnsi="宋体"/>
                <w:sz w:val="21"/>
              </w:rPr>
              <w:t>零位保护</w:t>
            </w:r>
          </w:p>
        </w:tc>
        <w:tc>
          <w:tcPr>
            <w:tcW w:w="966" w:type="dxa"/>
            <w:vAlign w:val="center"/>
          </w:tcPr>
          <w:p w14:paraId="520F12A7">
            <w:pPr>
              <w:ind w:firstLine="0" w:firstLineChars="0"/>
              <w:jc w:val="center"/>
              <w:rPr>
                <w:rFonts w:ascii="宋体" w:hAnsi="宋体"/>
                <w:sz w:val="21"/>
              </w:rPr>
            </w:pPr>
          </w:p>
        </w:tc>
        <w:tc>
          <w:tcPr>
            <w:tcW w:w="921" w:type="dxa"/>
            <w:vAlign w:val="center"/>
          </w:tcPr>
          <w:p w14:paraId="274B83AF">
            <w:pPr>
              <w:ind w:firstLine="0" w:firstLineChars="0"/>
              <w:jc w:val="center"/>
              <w:rPr>
                <w:rFonts w:ascii="宋体" w:hAnsi="宋体"/>
                <w:sz w:val="21"/>
              </w:rPr>
            </w:pPr>
          </w:p>
        </w:tc>
      </w:tr>
      <w:tr w14:paraId="072F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B162236">
            <w:pPr>
              <w:ind w:firstLine="0" w:firstLineChars="0"/>
              <w:jc w:val="center"/>
              <w:rPr>
                <w:rFonts w:ascii="宋体" w:hAnsi="宋体"/>
                <w:sz w:val="21"/>
              </w:rPr>
            </w:pPr>
            <w:r>
              <w:rPr>
                <w:rFonts w:hint="eastAsia" w:ascii="宋体" w:hAnsi="宋体"/>
                <w:sz w:val="21"/>
              </w:rPr>
              <w:t>25</w:t>
            </w:r>
          </w:p>
        </w:tc>
        <w:tc>
          <w:tcPr>
            <w:tcW w:w="607" w:type="dxa"/>
            <w:vMerge w:val="restart"/>
            <w:vAlign w:val="center"/>
          </w:tcPr>
          <w:p w14:paraId="3B2B2445">
            <w:pPr>
              <w:ind w:firstLine="0" w:firstLineChars="0"/>
              <w:rPr>
                <w:rFonts w:ascii="宋体" w:hAnsi="宋体"/>
                <w:sz w:val="21"/>
              </w:rPr>
            </w:pPr>
            <w:r>
              <w:rPr>
                <w:rFonts w:hint="eastAsia" w:ascii="宋体" w:hAnsi="宋体"/>
                <w:sz w:val="21"/>
              </w:rPr>
              <w:t>电气与控制系统检验</w:t>
            </w:r>
          </w:p>
        </w:tc>
        <w:tc>
          <w:tcPr>
            <w:tcW w:w="869" w:type="dxa"/>
            <w:gridSpan w:val="4"/>
            <w:vMerge w:val="restart"/>
            <w:vAlign w:val="center"/>
          </w:tcPr>
          <w:p w14:paraId="011B3CD1">
            <w:pPr>
              <w:ind w:firstLine="0" w:firstLineChars="0"/>
              <w:rPr>
                <w:rFonts w:ascii="宋体" w:hAnsi="宋体"/>
                <w:sz w:val="21"/>
              </w:rPr>
            </w:pPr>
            <w:r>
              <w:rPr>
                <w:rFonts w:hint="eastAsia" w:ascii="宋体" w:hAnsi="宋体"/>
                <w:sz w:val="21"/>
              </w:rPr>
              <w:t>电气保护装置</w:t>
            </w:r>
          </w:p>
        </w:tc>
        <w:tc>
          <w:tcPr>
            <w:tcW w:w="4534" w:type="dxa"/>
            <w:gridSpan w:val="2"/>
            <w:vAlign w:val="center"/>
          </w:tcPr>
          <w:p w14:paraId="0CF8D7EC">
            <w:pPr>
              <w:ind w:firstLine="0" w:firstLineChars="0"/>
              <w:rPr>
                <w:rFonts w:ascii="宋体" w:hAnsi="宋体"/>
                <w:sz w:val="21"/>
              </w:rPr>
            </w:pPr>
            <w:r>
              <w:rPr>
                <w:rFonts w:hint="eastAsia" w:ascii="宋体" w:hAnsi="宋体"/>
                <w:sz w:val="21"/>
              </w:rPr>
              <w:t>过流（过载）保护</w:t>
            </w:r>
          </w:p>
        </w:tc>
        <w:tc>
          <w:tcPr>
            <w:tcW w:w="966" w:type="dxa"/>
            <w:vAlign w:val="center"/>
          </w:tcPr>
          <w:p w14:paraId="418042D7">
            <w:pPr>
              <w:ind w:firstLine="0" w:firstLineChars="0"/>
              <w:jc w:val="center"/>
              <w:rPr>
                <w:rFonts w:ascii="宋体" w:hAnsi="宋体"/>
                <w:sz w:val="21"/>
              </w:rPr>
            </w:pPr>
          </w:p>
        </w:tc>
        <w:tc>
          <w:tcPr>
            <w:tcW w:w="921" w:type="dxa"/>
            <w:vAlign w:val="center"/>
          </w:tcPr>
          <w:p w14:paraId="709109BB">
            <w:pPr>
              <w:ind w:firstLine="0" w:firstLineChars="0"/>
              <w:jc w:val="center"/>
              <w:rPr>
                <w:rFonts w:ascii="宋体" w:hAnsi="宋体"/>
                <w:sz w:val="21"/>
              </w:rPr>
            </w:pPr>
          </w:p>
        </w:tc>
      </w:tr>
      <w:tr w14:paraId="5266A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BF7F452">
            <w:pPr>
              <w:ind w:firstLine="0" w:firstLineChars="0"/>
              <w:jc w:val="center"/>
              <w:rPr>
                <w:rFonts w:ascii="宋体" w:hAnsi="宋体"/>
                <w:sz w:val="21"/>
              </w:rPr>
            </w:pPr>
            <w:r>
              <w:rPr>
                <w:rFonts w:hint="eastAsia" w:ascii="宋体" w:hAnsi="宋体"/>
                <w:sz w:val="21"/>
              </w:rPr>
              <w:t>26</w:t>
            </w:r>
          </w:p>
        </w:tc>
        <w:tc>
          <w:tcPr>
            <w:tcW w:w="607" w:type="dxa"/>
            <w:vMerge w:val="continue"/>
            <w:vAlign w:val="center"/>
          </w:tcPr>
          <w:p w14:paraId="3264D424">
            <w:pPr>
              <w:ind w:firstLine="0" w:firstLineChars="0"/>
              <w:rPr>
                <w:rFonts w:ascii="宋体" w:hAnsi="宋体"/>
                <w:sz w:val="21"/>
              </w:rPr>
            </w:pPr>
          </w:p>
        </w:tc>
        <w:tc>
          <w:tcPr>
            <w:tcW w:w="869" w:type="dxa"/>
            <w:gridSpan w:val="4"/>
            <w:vMerge w:val="continue"/>
            <w:vAlign w:val="center"/>
          </w:tcPr>
          <w:p w14:paraId="612B4790">
            <w:pPr>
              <w:ind w:firstLine="0" w:firstLineChars="0"/>
              <w:rPr>
                <w:rFonts w:ascii="宋体" w:hAnsi="宋体"/>
                <w:sz w:val="21"/>
              </w:rPr>
            </w:pPr>
          </w:p>
        </w:tc>
        <w:tc>
          <w:tcPr>
            <w:tcW w:w="4534" w:type="dxa"/>
            <w:gridSpan w:val="2"/>
            <w:vAlign w:val="center"/>
          </w:tcPr>
          <w:p w14:paraId="54653B06">
            <w:pPr>
              <w:ind w:firstLine="0" w:firstLineChars="0"/>
              <w:rPr>
                <w:rFonts w:ascii="宋体" w:hAnsi="宋体"/>
                <w:sz w:val="21"/>
              </w:rPr>
            </w:pPr>
            <w:r>
              <w:rPr>
                <w:rFonts w:hint="eastAsia" w:ascii="宋体" w:hAnsi="宋体"/>
                <w:sz w:val="21"/>
              </w:rPr>
              <w:t>失磁保护</w:t>
            </w:r>
          </w:p>
        </w:tc>
        <w:tc>
          <w:tcPr>
            <w:tcW w:w="966" w:type="dxa"/>
            <w:vAlign w:val="center"/>
          </w:tcPr>
          <w:p w14:paraId="4A963B9B">
            <w:pPr>
              <w:ind w:firstLine="0" w:firstLineChars="0"/>
              <w:jc w:val="center"/>
              <w:rPr>
                <w:rFonts w:ascii="宋体" w:hAnsi="宋体"/>
                <w:sz w:val="21"/>
              </w:rPr>
            </w:pPr>
          </w:p>
        </w:tc>
        <w:tc>
          <w:tcPr>
            <w:tcW w:w="921" w:type="dxa"/>
            <w:vAlign w:val="center"/>
          </w:tcPr>
          <w:p w14:paraId="00798EC4">
            <w:pPr>
              <w:ind w:firstLine="0" w:firstLineChars="0"/>
              <w:jc w:val="center"/>
              <w:rPr>
                <w:rFonts w:ascii="宋体" w:hAnsi="宋体"/>
                <w:sz w:val="21"/>
              </w:rPr>
            </w:pPr>
          </w:p>
        </w:tc>
      </w:tr>
      <w:tr w14:paraId="553E4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0BB0C3">
            <w:pPr>
              <w:ind w:firstLine="0" w:firstLineChars="0"/>
              <w:jc w:val="center"/>
              <w:rPr>
                <w:rFonts w:ascii="宋体" w:hAnsi="宋体"/>
                <w:sz w:val="21"/>
              </w:rPr>
            </w:pPr>
            <w:r>
              <w:rPr>
                <w:rFonts w:hint="eastAsia" w:ascii="宋体" w:hAnsi="宋体"/>
                <w:sz w:val="21"/>
              </w:rPr>
              <w:t>27</w:t>
            </w:r>
          </w:p>
        </w:tc>
        <w:tc>
          <w:tcPr>
            <w:tcW w:w="607" w:type="dxa"/>
            <w:vMerge w:val="continue"/>
            <w:vAlign w:val="center"/>
          </w:tcPr>
          <w:p w14:paraId="2689163D">
            <w:pPr>
              <w:ind w:firstLine="0" w:firstLineChars="0"/>
              <w:rPr>
                <w:rFonts w:ascii="宋体" w:hAnsi="宋体"/>
                <w:sz w:val="21"/>
              </w:rPr>
            </w:pPr>
          </w:p>
        </w:tc>
        <w:tc>
          <w:tcPr>
            <w:tcW w:w="869" w:type="dxa"/>
            <w:gridSpan w:val="4"/>
            <w:vMerge w:val="continue"/>
            <w:vAlign w:val="center"/>
          </w:tcPr>
          <w:p w14:paraId="7426DD20">
            <w:pPr>
              <w:ind w:firstLine="0" w:firstLineChars="0"/>
              <w:rPr>
                <w:rFonts w:ascii="宋体" w:hAnsi="宋体"/>
                <w:sz w:val="21"/>
              </w:rPr>
            </w:pPr>
          </w:p>
        </w:tc>
        <w:tc>
          <w:tcPr>
            <w:tcW w:w="4534" w:type="dxa"/>
            <w:gridSpan w:val="2"/>
            <w:vAlign w:val="center"/>
          </w:tcPr>
          <w:p w14:paraId="11FE12F5">
            <w:pPr>
              <w:ind w:firstLine="0" w:firstLineChars="0"/>
              <w:rPr>
                <w:rFonts w:ascii="宋体" w:hAnsi="宋体"/>
                <w:sz w:val="21"/>
              </w:rPr>
            </w:pPr>
            <w:r>
              <w:rPr>
                <w:rFonts w:hint="eastAsia" w:ascii="宋体" w:hAnsi="宋体"/>
                <w:sz w:val="21"/>
              </w:rPr>
              <w:t>供电电源断错相保护</w:t>
            </w:r>
          </w:p>
        </w:tc>
        <w:tc>
          <w:tcPr>
            <w:tcW w:w="966" w:type="dxa"/>
            <w:vAlign w:val="center"/>
          </w:tcPr>
          <w:p w14:paraId="5B29FE12">
            <w:pPr>
              <w:ind w:firstLine="0" w:firstLineChars="0"/>
              <w:jc w:val="center"/>
              <w:rPr>
                <w:rFonts w:ascii="宋体" w:hAnsi="宋体"/>
                <w:sz w:val="21"/>
              </w:rPr>
            </w:pPr>
          </w:p>
        </w:tc>
        <w:tc>
          <w:tcPr>
            <w:tcW w:w="921" w:type="dxa"/>
            <w:vAlign w:val="center"/>
          </w:tcPr>
          <w:p w14:paraId="7504D3CC">
            <w:pPr>
              <w:ind w:firstLine="0" w:firstLineChars="0"/>
              <w:jc w:val="center"/>
              <w:rPr>
                <w:rFonts w:ascii="宋体" w:hAnsi="宋体"/>
                <w:sz w:val="21"/>
              </w:rPr>
            </w:pPr>
          </w:p>
        </w:tc>
      </w:tr>
      <w:tr w14:paraId="4447B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50883408">
            <w:pPr>
              <w:ind w:firstLine="0" w:firstLineChars="0"/>
              <w:jc w:val="center"/>
              <w:rPr>
                <w:rFonts w:ascii="宋体" w:hAnsi="宋体"/>
                <w:sz w:val="21"/>
              </w:rPr>
            </w:pPr>
            <w:r>
              <w:rPr>
                <w:rFonts w:hint="eastAsia" w:ascii="宋体" w:hAnsi="宋体"/>
                <w:sz w:val="21"/>
              </w:rPr>
              <w:t>28</w:t>
            </w:r>
          </w:p>
        </w:tc>
        <w:tc>
          <w:tcPr>
            <w:tcW w:w="607" w:type="dxa"/>
            <w:vMerge w:val="continue"/>
            <w:vAlign w:val="center"/>
          </w:tcPr>
          <w:p w14:paraId="1440F339">
            <w:pPr>
              <w:ind w:firstLine="0" w:firstLineChars="0"/>
              <w:rPr>
                <w:rFonts w:ascii="宋体" w:hAnsi="宋体"/>
                <w:sz w:val="21"/>
              </w:rPr>
            </w:pPr>
          </w:p>
        </w:tc>
        <w:tc>
          <w:tcPr>
            <w:tcW w:w="869" w:type="dxa"/>
            <w:gridSpan w:val="4"/>
            <w:vMerge w:val="continue"/>
            <w:vAlign w:val="center"/>
          </w:tcPr>
          <w:p w14:paraId="1ABF7CCB">
            <w:pPr>
              <w:ind w:firstLine="0" w:firstLineChars="0"/>
              <w:rPr>
                <w:rFonts w:ascii="宋体" w:hAnsi="宋体"/>
                <w:sz w:val="21"/>
              </w:rPr>
            </w:pPr>
          </w:p>
        </w:tc>
        <w:tc>
          <w:tcPr>
            <w:tcW w:w="4534" w:type="dxa"/>
            <w:gridSpan w:val="2"/>
            <w:vAlign w:val="center"/>
          </w:tcPr>
          <w:p w14:paraId="3F233C3B">
            <w:pPr>
              <w:ind w:firstLine="0" w:firstLineChars="0"/>
              <w:rPr>
                <w:rFonts w:ascii="宋体" w:hAnsi="宋体"/>
                <w:sz w:val="21"/>
              </w:rPr>
            </w:pPr>
            <w:r>
              <w:rPr>
                <w:rFonts w:hint="eastAsia" w:ascii="宋体" w:hAnsi="宋体"/>
                <w:sz w:val="21"/>
              </w:rPr>
              <w:t>正反向接触器故障保护</w:t>
            </w:r>
          </w:p>
        </w:tc>
        <w:tc>
          <w:tcPr>
            <w:tcW w:w="966" w:type="dxa"/>
            <w:vAlign w:val="center"/>
          </w:tcPr>
          <w:p w14:paraId="45CA7E06">
            <w:pPr>
              <w:ind w:firstLine="0" w:firstLineChars="0"/>
              <w:jc w:val="center"/>
              <w:rPr>
                <w:rFonts w:ascii="宋体" w:hAnsi="宋体"/>
                <w:sz w:val="21"/>
              </w:rPr>
            </w:pPr>
          </w:p>
        </w:tc>
        <w:tc>
          <w:tcPr>
            <w:tcW w:w="921" w:type="dxa"/>
            <w:vAlign w:val="center"/>
          </w:tcPr>
          <w:p w14:paraId="045176D0">
            <w:pPr>
              <w:ind w:firstLine="0" w:firstLineChars="0"/>
              <w:jc w:val="center"/>
              <w:rPr>
                <w:rFonts w:ascii="宋体" w:hAnsi="宋体"/>
                <w:sz w:val="21"/>
              </w:rPr>
            </w:pPr>
          </w:p>
        </w:tc>
      </w:tr>
      <w:tr w14:paraId="1B2B4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0EAD8000">
            <w:pPr>
              <w:ind w:firstLine="0" w:firstLineChars="0"/>
              <w:jc w:val="center"/>
              <w:rPr>
                <w:rFonts w:ascii="宋体" w:hAnsi="宋体"/>
                <w:sz w:val="21"/>
              </w:rPr>
            </w:pPr>
            <w:r>
              <w:rPr>
                <w:rFonts w:hint="eastAsia" w:ascii="宋体" w:hAnsi="宋体"/>
                <w:sz w:val="21"/>
              </w:rPr>
              <w:t>29</w:t>
            </w:r>
          </w:p>
        </w:tc>
        <w:tc>
          <w:tcPr>
            <w:tcW w:w="607" w:type="dxa"/>
            <w:vMerge w:val="restart"/>
            <w:vAlign w:val="center"/>
          </w:tcPr>
          <w:p w14:paraId="3114288A">
            <w:pPr>
              <w:ind w:firstLine="0" w:firstLineChars="0"/>
              <w:jc w:val="left"/>
              <w:rPr>
                <w:rFonts w:ascii="宋体" w:hAnsi="宋体"/>
                <w:sz w:val="21"/>
              </w:rPr>
            </w:pPr>
            <w:r>
              <w:rPr>
                <w:rFonts w:hint="eastAsia" w:ascii="宋体" w:hAnsi="宋体"/>
                <w:sz w:val="21"/>
              </w:rPr>
              <w:t>安全保护与</w:t>
            </w:r>
          </w:p>
          <w:p w14:paraId="6D63F3DF">
            <w:pPr>
              <w:ind w:firstLine="0" w:firstLineChars="0"/>
              <w:jc w:val="left"/>
              <w:rPr>
                <w:rFonts w:ascii="宋体" w:hAnsi="宋体"/>
                <w:sz w:val="21"/>
              </w:rPr>
            </w:pPr>
            <w:r>
              <w:rPr>
                <w:rFonts w:hint="eastAsia" w:ascii="宋体" w:hAnsi="宋体"/>
                <w:sz w:val="21"/>
              </w:rPr>
              <w:t>防护装置</w:t>
            </w:r>
          </w:p>
          <w:p w14:paraId="2E8FA5A1">
            <w:pPr>
              <w:ind w:firstLine="0" w:firstLineChars="0"/>
              <w:jc w:val="left"/>
              <w:rPr>
                <w:rFonts w:ascii="宋体" w:hAnsi="宋体"/>
                <w:sz w:val="21"/>
              </w:rPr>
            </w:pPr>
            <w:r>
              <w:rPr>
                <w:rFonts w:hint="eastAsia" w:ascii="宋体" w:hAnsi="宋体"/>
                <w:sz w:val="21"/>
              </w:rPr>
              <w:t>检验</w:t>
            </w:r>
          </w:p>
        </w:tc>
        <w:tc>
          <w:tcPr>
            <w:tcW w:w="869" w:type="dxa"/>
            <w:gridSpan w:val="4"/>
            <w:vMerge w:val="restart"/>
            <w:vAlign w:val="center"/>
          </w:tcPr>
          <w:p w14:paraId="57D1CF74">
            <w:pPr>
              <w:ind w:firstLine="0" w:firstLineChars="0"/>
              <w:rPr>
                <w:rFonts w:ascii="宋体" w:hAnsi="宋体"/>
                <w:sz w:val="21"/>
              </w:rPr>
            </w:pPr>
            <w:r>
              <w:rPr>
                <w:rFonts w:hint="eastAsia" w:ascii="宋体" w:hAnsi="宋体"/>
                <w:sz w:val="21"/>
              </w:rPr>
              <w:t>制动器</w:t>
            </w:r>
          </w:p>
        </w:tc>
        <w:tc>
          <w:tcPr>
            <w:tcW w:w="4534" w:type="dxa"/>
            <w:gridSpan w:val="2"/>
            <w:vAlign w:val="center"/>
          </w:tcPr>
          <w:p w14:paraId="2710774C">
            <w:pPr>
              <w:ind w:firstLine="0" w:firstLineChars="0"/>
              <w:rPr>
                <w:rFonts w:ascii="宋体" w:hAnsi="宋体"/>
                <w:sz w:val="21"/>
              </w:rPr>
            </w:pPr>
            <w:r>
              <w:rPr>
                <w:rFonts w:hint="eastAsia" w:ascii="宋体" w:hAnsi="宋体"/>
                <w:sz w:val="21"/>
              </w:rPr>
              <w:t>工作制动器与安全制动器的设置</w:t>
            </w:r>
          </w:p>
        </w:tc>
        <w:tc>
          <w:tcPr>
            <w:tcW w:w="966" w:type="dxa"/>
            <w:vAlign w:val="center"/>
          </w:tcPr>
          <w:p w14:paraId="3DBD7680">
            <w:pPr>
              <w:ind w:firstLine="0" w:firstLineChars="0"/>
              <w:jc w:val="center"/>
              <w:rPr>
                <w:rFonts w:ascii="宋体" w:hAnsi="宋体"/>
                <w:sz w:val="21"/>
              </w:rPr>
            </w:pPr>
          </w:p>
        </w:tc>
        <w:tc>
          <w:tcPr>
            <w:tcW w:w="921" w:type="dxa"/>
            <w:vAlign w:val="center"/>
          </w:tcPr>
          <w:p w14:paraId="2877E8D0">
            <w:pPr>
              <w:ind w:firstLine="0" w:firstLineChars="0"/>
              <w:jc w:val="center"/>
              <w:rPr>
                <w:rFonts w:ascii="宋体" w:hAnsi="宋体"/>
                <w:sz w:val="21"/>
              </w:rPr>
            </w:pPr>
          </w:p>
        </w:tc>
      </w:tr>
      <w:tr w14:paraId="4D04A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6034893">
            <w:pPr>
              <w:ind w:firstLine="0" w:firstLineChars="0"/>
              <w:jc w:val="center"/>
              <w:rPr>
                <w:rFonts w:ascii="宋体" w:hAnsi="宋体"/>
                <w:sz w:val="21"/>
              </w:rPr>
            </w:pPr>
            <w:r>
              <w:rPr>
                <w:rFonts w:hint="eastAsia" w:ascii="宋体" w:hAnsi="宋体"/>
                <w:sz w:val="21"/>
              </w:rPr>
              <w:t>30</w:t>
            </w:r>
          </w:p>
        </w:tc>
        <w:tc>
          <w:tcPr>
            <w:tcW w:w="607" w:type="dxa"/>
            <w:vMerge w:val="continue"/>
            <w:vAlign w:val="center"/>
          </w:tcPr>
          <w:p w14:paraId="270409FE">
            <w:pPr>
              <w:ind w:firstLine="0" w:firstLineChars="0"/>
              <w:jc w:val="center"/>
              <w:rPr>
                <w:rFonts w:ascii="宋体" w:hAnsi="宋体"/>
                <w:sz w:val="21"/>
              </w:rPr>
            </w:pPr>
          </w:p>
        </w:tc>
        <w:tc>
          <w:tcPr>
            <w:tcW w:w="869" w:type="dxa"/>
            <w:gridSpan w:val="4"/>
            <w:vMerge w:val="continue"/>
            <w:vAlign w:val="center"/>
          </w:tcPr>
          <w:p w14:paraId="61001FE6">
            <w:pPr>
              <w:ind w:firstLine="0" w:firstLineChars="0"/>
              <w:rPr>
                <w:rFonts w:ascii="宋体" w:hAnsi="宋体"/>
                <w:sz w:val="21"/>
              </w:rPr>
            </w:pPr>
          </w:p>
        </w:tc>
        <w:tc>
          <w:tcPr>
            <w:tcW w:w="4534" w:type="dxa"/>
            <w:gridSpan w:val="2"/>
            <w:vAlign w:val="center"/>
          </w:tcPr>
          <w:p w14:paraId="5CD4B775">
            <w:pPr>
              <w:ind w:firstLine="0" w:firstLineChars="0"/>
              <w:rPr>
                <w:rFonts w:ascii="宋体" w:hAnsi="宋体"/>
                <w:sz w:val="21"/>
              </w:rPr>
            </w:pPr>
            <w:r>
              <w:rPr>
                <w:rFonts w:hint="eastAsia" w:ascii="宋体" w:hAnsi="宋体"/>
                <w:sz w:val="21"/>
              </w:rPr>
              <w:t>制动器型式、制动性能</w:t>
            </w:r>
          </w:p>
        </w:tc>
        <w:tc>
          <w:tcPr>
            <w:tcW w:w="966" w:type="dxa"/>
            <w:vAlign w:val="center"/>
          </w:tcPr>
          <w:p w14:paraId="678EFBD6">
            <w:pPr>
              <w:ind w:firstLine="0" w:firstLineChars="0"/>
              <w:jc w:val="center"/>
              <w:rPr>
                <w:rFonts w:ascii="宋体" w:hAnsi="宋体"/>
                <w:sz w:val="21"/>
              </w:rPr>
            </w:pPr>
          </w:p>
        </w:tc>
        <w:tc>
          <w:tcPr>
            <w:tcW w:w="921" w:type="dxa"/>
            <w:vAlign w:val="center"/>
          </w:tcPr>
          <w:p w14:paraId="73603601">
            <w:pPr>
              <w:ind w:firstLine="0" w:firstLineChars="0"/>
              <w:jc w:val="center"/>
              <w:rPr>
                <w:rFonts w:ascii="宋体" w:hAnsi="宋体"/>
                <w:sz w:val="21"/>
              </w:rPr>
            </w:pPr>
          </w:p>
        </w:tc>
      </w:tr>
      <w:tr w14:paraId="3186B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6BFD0D8">
            <w:pPr>
              <w:ind w:firstLine="0" w:firstLineChars="0"/>
              <w:jc w:val="center"/>
              <w:rPr>
                <w:rFonts w:ascii="宋体" w:hAnsi="宋体"/>
                <w:sz w:val="21"/>
              </w:rPr>
            </w:pPr>
            <w:r>
              <w:rPr>
                <w:rFonts w:hint="eastAsia" w:ascii="宋体" w:hAnsi="宋体"/>
                <w:sz w:val="21"/>
              </w:rPr>
              <w:t>31</w:t>
            </w:r>
          </w:p>
        </w:tc>
        <w:tc>
          <w:tcPr>
            <w:tcW w:w="607" w:type="dxa"/>
            <w:vMerge w:val="continue"/>
            <w:vAlign w:val="center"/>
          </w:tcPr>
          <w:p w14:paraId="47BBD2B9">
            <w:pPr>
              <w:ind w:firstLine="0" w:firstLineChars="0"/>
              <w:jc w:val="center"/>
              <w:rPr>
                <w:rFonts w:ascii="宋体" w:hAnsi="宋体"/>
                <w:sz w:val="21"/>
              </w:rPr>
            </w:pPr>
          </w:p>
        </w:tc>
        <w:tc>
          <w:tcPr>
            <w:tcW w:w="869" w:type="dxa"/>
            <w:gridSpan w:val="4"/>
            <w:vMerge w:val="continue"/>
            <w:vAlign w:val="center"/>
          </w:tcPr>
          <w:p w14:paraId="0B8FDE66">
            <w:pPr>
              <w:ind w:firstLine="0" w:firstLineChars="0"/>
              <w:rPr>
                <w:rFonts w:ascii="宋体" w:hAnsi="宋体"/>
                <w:sz w:val="21"/>
              </w:rPr>
            </w:pPr>
          </w:p>
        </w:tc>
        <w:tc>
          <w:tcPr>
            <w:tcW w:w="4534" w:type="dxa"/>
            <w:gridSpan w:val="2"/>
            <w:vAlign w:val="center"/>
          </w:tcPr>
          <w:p w14:paraId="2953A4B4">
            <w:pPr>
              <w:ind w:firstLine="0" w:firstLineChars="0"/>
              <w:rPr>
                <w:rFonts w:ascii="宋体" w:hAnsi="宋体"/>
                <w:sz w:val="21"/>
              </w:rPr>
            </w:pPr>
            <w:r>
              <w:rPr>
                <w:rFonts w:hint="eastAsia" w:ascii="宋体" w:hAnsi="宋体"/>
                <w:sz w:val="21"/>
              </w:rPr>
              <w:t>制动器推动器漏油现象</w:t>
            </w:r>
          </w:p>
        </w:tc>
        <w:tc>
          <w:tcPr>
            <w:tcW w:w="966" w:type="dxa"/>
            <w:vAlign w:val="center"/>
          </w:tcPr>
          <w:p w14:paraId="08E26955">
            <w:pPr>
              <w:ind w:firstLine="0" w:firstLineChars="0"/>
              <w:jc w:val="center"/>
              <w:rPr>
                <w:rFonts w:ascii="宋体" w:hAnsi="宋体"/>
                <w:sz w:val="21"/>
              </w:rPr>
            </w:pPr>
          </w:p>
        </w:tc>
        <w:tc>
          <w:tcPr>
            <w:tcW w:w="921" w:type="dxa"/>
            <w:vAlign w:val="center"/>
          </w:tcPr>
          <w:p w14:paraId="70EF907B">
            <w:pPr>
              <w:ind w:firstLine="0" w:firstLineChars="0"/>
              <w:jc w:val="center"/>
              <w:rPr>
                <w:rFonts w:ascii="宋体" w:hAnsi="宋体"/>
                <w:sz w:val="21"/>
              </w:rPr>
            </w:pPr>
          </w:p>
        </w:tc>
      </w:tr>
      <w:tr w14:paraId="57DDE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9391D82">
            <w:pPr>
              <w:ind w:firstLine="0" w:firstLineChars="0"/>
              <w:jc w:val="center"/>
              <w:rPr>
                <w:rFonts w:ascii="宋体" w:hAnsi="宋体"/>
                <w:sz w:val="21"/>
              </w:rPr>
            </w:pPr>
            <w:r>
              <w:rPr>
                <w:rFonts w:hint="eastAsia" w:ascii="宋体" w:hAnsi="宋体"/>
                <w:sz w:val="21"/>
              </w:rPr>
              <w:t>32</w:t>
            </w:r>
          </w:p>
        </w:tc>
        <w:tc>
          <w:tcPr>
            <w:tcW w:w="607" w:type="dxa"/>
            <w:vMerge w:val="continue"/>
            <w:vAlign w:val="center"/>
          </w:tcPr>
          <w:p w14:paraId="3F2DC112">
            <w:pPr>
              <w:ind w:firstLine="0" w:firstLineChars="0"/>
              <w:jc w:val="center"/>
              <w:rPr>
                <w:rFonts w:ascii="宋体" w:hAnsi="宋体"/>
                <w:sz w:val="21"/>
              </w:rPr>
            </w:pPr>
          </w:p>
        </w:tc>
        <w:tc>
          <w:tcPr>
            <w:tcW w:w="869" w:type="dxa"/>
            <w:gridSpan w:val="4"/>
            <w:vMerge w:val="continue"/>
            <w:vAlign w:val="center"/>
          </w:tcPr>
          <w:p w14:paraId="595495E5">
            <w:pPr>
              <w:ind w:firstLine="0" w:firstLineChars="0"/>
              <w:rPr>
                <w:rFonts w:ascii="宋体" w:hAnsi="宋体"/>
                <w:sz w:val="21"/>
              </w:rPr>
            </w:pPr>
          </w:p>
        </w:tc>
        <w:tc>
          <w:tcPr>
            <w:tcW w:w="4534" w:type="dxa"/>
            <w:gridSpan w:val="2"/>
            <w:vAlign w:val="center"/>
          </w:tcPr>
          <w:p w14:paraId="1D07618A">
            <w:pPr>
              <w:ind w:firstLine="0" w:firstLineChars="0"/>
              <w:rPr>
                <w:rFonts w:ascii="宋体" w:hAnsi="宋体"/>
                <w:sz w:val="21"/>
              </w:rPr>
            </w:pPr>
            <w:r>
              <w:rPr>
                <w:rFonts w:hint="eastAsia" w:ascii="宋体" w:hAnsi="宋体"/>
                <w:sz w:val="21"/>
              </w:rPr>
              <w:t>制动轮与摩擦片摩擦、缺陷和油污现象</w:t>
            </w:r>
          </w:p>
        </w:tc>
        <w:tc>
          <w:tcPr>
            <w:tcW w:w="966" w:type="dxa"/>
            <w:vAlign w:val="center"/>
          </w:tcPr>
          <w:p w14:paraId="3F359B76">
            <w:pPr>
              <w:ind w:firstLine="0" w:firstLineChars="0"/>
              <w:jc w:val="center"/>
              <w:rPr>
                <w:rFonts w:ascii="宋体" w:hAnsi="宋体"/>
                <w:sz w:val="21"/>
              </w:rPr>
            </w:pPr>
          </w:p>
        </w:tc>
        <w:tc>
          <w:tcPr>
            <w:tcW w:w="921" w:type="dxa"/>
            <w:vAlign w:val="center"/>
          </w:tcPr>
          <w:p w14:paraId="0699DDC7">
            <w:pPr>
              <w:ind w:firstLine="0" w:firstLineChars="0"/>
              <w:jc w:val="center"/>
              <w:rPr>
                <w:rFonts w:ascii="宋体" w:hAnsi="宋体"/>
                <w:sz w:val="21"/>
              </w:rPr>
            </w:pPr>
          </w:p>
        </w:tc>
      </w:tr>
      <w:tr w14:paraId="0B0B0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320C21">
            <w:pPr>
              <w:ind w:firstLine="0" w:firstLineChars="0"/>
              <w:jc w:val="center"/>
              <w:rPr>
                <w:rFonts w:ascii="宋体" w:hAnsi="宋体"/>
                <w:sz w:val="21"/>
              </w:rPr>
            </w:pPr>
            <w:r>
              <w:rPr>
                <w:rFonts w:hint="eastAsia" w:ascii="宋体" w:hAnsi="宋体"/>
                <w:sz w:val="21"/>
              </w:rPr>
              <w:t>33</w:t>
            </w:r>
          </w:p>
        </w:tc>
        <w:tc>
          <w:tcPr>
            <w:tcW w:w="607" w:type="dxa"/>
            <w:vMerge w:val="continue"/>
            <w:vAlign w:val="center"/>
          </w:tcPr>
          <w:p w14:paraId="79083A8E">
            <w:pPr>
              <w:ind w:firstLine="0" w:firstLineChars="0"/>
              <w:jc w:val="center"/>
              <w:rPr>
                <w:rFonts w:ascii="宋体" w:hAnsi="宋体"/>
                <w:sz w:val="21"/>
              </w:rPr>
            </w:pPr>
          </w:p>
        </w:tc>
        <w:tc>
          <w:tcPr>
            <w:tcW w:w="869" w:type="dxa"/>
            <w:gridSpan w:val="4"/>
            <w:vMerge w:val="continue"/>
            <w:vAlign w:val="center"/>
          </w:tcPr>
          <w:p w14:paraId="4BBB616E">
            <w:pPr>
              <w:ind w:firstLine="0" w:firstLineChars="0"/>
              <w:rPr>
                <w:rFonts w:ascii="宋体" w:hAnsi="宋体"/>
                <w:sz w:val="21"/>
              </w:rPr>
            </w:pPr>
          </w:p>
        </w:tc>
        <w:tc>
          <w:tcPr>
            <w:tcW w:w="4534" w:type="dxa"/>
            <w:gridSpan w:val="2"/>
            <w:vAlign w:val="center"/>
          </w:tcPr>
          <w:p w14:paraId="6E959EF0">
            <w:pPr>
              <w:ind w:firstLine="0" w:firstLineChars="0"/>
              <w:rPr>
                <w:rFonts w:ascii="宋体" w:hAnsi="宋体"/>
                <w:sz w:val="21"/>
              </w:rPr>
            </w:pPr>
            <w:r>
              <w:rPr>
                <w:rFonts w:hint="eastAsia" w:ascii="宋体" w:hAnsi="宋体"/>
                <w:sz w:val="21"/>
              </w:rPr>
              <w:t>制动器调整</w:t>
            </w:r>
          </w:p>
        </w:tc>
        <w:tc>
          <w:tcPr>
            <w:tcW w:w="966" w:type="dxa"/>
            <w:vAlign w:val="center"/>
          </w:tcPr>
          <w:p w14:paraId="7CFF3F31">
            <w:pPr>
              <w:ind w:firstLine="0" w:firstLineChars="0"/>
              <w:jc w:val="center"/>
              <w:rPr>
                <w:rFonts w:ascii="宋体" w:hAnsi="宋体"/>
                <w:sz w:val="21"/>
              </w:rPr>
            </w:pPr>
          </w:p>
        </w:tc>
        <w:tc>
          <w:tcPr>
            <w:tcW w:w="921" w:type="dxa"/>
            <w:vAlign w:val="center"/>
          </w:tcPr>
          <w:p w14:paraId="67282B1E">
            <w:pPr>
              <w:ind w:firstLine="0" w:firstLineChars="0"/>
              <w:jc w:val="center"/>
              <w:rPr>
                <w:rFonts w:ascii="宋体" w:hAnsi="宋体"/>
                <w:sz w:val="21"/>
              </w:rPr>
            </w:pPr>
          </w:p>
        </w:tc>
      </w:tr>
      <w:tr w14:paraId="009B1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vAlign w:val="center"/>
          </w:tcPr>
          <w:p w14:paraId="406CCCB6">
            <w:pPr>
              <w:ind w:firstLine="0" w:firstLineChars="0"/>
              <w:jc w:val="center"/>
              <w:rPr>
                <w:rFonts w:ascii="宋体" w:hAnsi="宋体"/>
                <w:sz w:val="21"/>
              </w:rPr>
            </w:pPr>
            <w:r>
              <w:rPr>
                <w:rFonts w:hint="eastAsia" w:ascii="宋体" w:hAnsi="宋体"/>
                <w:sz w:val="21"/>
              </w:rPr>
              <w:t>34</w:t>
            </w:r>
          </w:p>
        </w:tc>
        <w:tc>
          <w:tcPr>
            <w:tcW w:w="607" w:type="dxa"/>
            <w:vMerge w:val="continue"/>
            <w:vAlign w:val="center"/>
          </w:tcPr>
          <w:p w14:paraId="28F62987">
            <w:pPr>
              <w:ind w:firstLine="0" w:firstLineChars="0"/>
              <w:jc w:val="center"/>
              <w:rPr>
                <w:rFonts w:ascii="宋体" w:hAnsi="宋体"/>
                <w:sz w:val="21"/>
              </w:rPr>
            </w:pPr>
          </w:p>
        </w:tc>
        <w:tc>
          <w:tcPr>
            <w:tcW w:w="869" w:type="dxa"/>
            <w:gridSpan w:val="4"/>
            <w:vMerge w:val="continue"/>
            <w:vAlign w:val="center"/>
          </w:tcPr>
          <w:p w14:paraId="06A3D77E">
            <w:pPr>
              <w:ind w:firstLine="0" w:firstLineChars="0"/>
              <w:rPr>
                <w:rFonts w:ascii="宋体" w:hAnsi="宋体"/>
                <w:sz w:val="21"/>
              </w:rPr>
            </w:pPr>
          </w:p>
        </w:tc>
        <w:tc>
          <w:tcPr>
            <w:tcW w:w="4534" w:type="dxa"/>
            <w:gridSpan w:val="2"/>
            <w:vAlign w:val="center"/>
          </w:tcPr>
          <w:p w14:paraId="568EC022">
            <w:pPr>
              <w:ind w:firstLine="0" w:firstLineChars="0"/>
              <w:rPr>
                <w:rFonts w:ascii="宋体" w:hAnsi="宋体"/>
                <w:sz w:val="21"/>
              </w:rPr>
            </w:pPr>
            <w:r>
              <w:rPr>
                <w:rFonts w:hint="eastAsia" w:ascii="宋体" w:hAnsi="宋体"/>
                <w:sz w:val="21"/>
              </w:rPr>
              <w:t>制动轮裂纹、划痕、凹凸不平度</w:t>
            </w:r>
          </w:p>
        </w:tc>
        <w:tc>
          <w:tcPr>
            <w:tcW w:w="966" w:type="dxa"/>
            <w:vAlign w:val="center"/>
          </w:tcPr>
          <w:p w14:paraId="3D6DBD81">
            <w:pPr>
              <w:ind w:firstLine="0" w:firstLineChars="0"/>
              <w:jc w:val="center"/>
              <w:rPr>
                <w:rFonts w:ascii="宋体" w:hAnsi="宋体"/>
                <w:sz w:val="21"/>
              </w:rPr>
            </w:pPr>
          </w:p>
        </w:tc>
        <w:tc>
          <w:tcPr>
            <w:tcW w:w="921" w:type="dxa"/>
            <w:vAlign w:val="center"/>
          </w:tcPr>
          <w:p w14:paraId="360BDFF2">
            <w:pPr>
              <w:ind w:firstLine="0" w:firstLineChars="0"/>
              <w:jc w:val="center"/>
              <w:rPr>
                <w:rFonts w:ascii="宋体" w:hAnsi="宋体"/>
                <w:sz w:val="21"/>
              </w:rPr>
            </w:pPr>
          </w:p>
        </w:tc>
      </w:tr>
      <w:tr w14:paraId="211CC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vAlign w:val="center"/>
          </w:tcPr>
          <w:p w14:paraId="58EE4D2C">
            <w:pPr>
              <w:ind w:firstLine="0" w:firstLineChars="0"/>
              <w:jc w:val="center"/>
              <w:rPr>
                <w:rFonts w:ascii="宋体" w:hAnsi="宋体"/>
                <w:sz w:val="21"/>
              </w:rPr>
            </w:pPr>
            <w:r>
              <w:rPr>
                <w:rFonts w:hint="eastAsia" w:ascii="宋体" w:hAnsi="宋体"/>
                <w:sz w:val="21"/>
              </w:rPr>
              <w:t>35</w:t>
            </w:r>
          </w:p>
        </w:tc>
        <w:tc>
          <w:tcPr>
            <w:tcW w:w="607" w:type="dxa"/>
            <w:vMerge w:val="continue"/>
            <w:vAlign w:val="center"/>
          </w:tcPr>
          <w:p w14:paraId="4913886C">
            <w:pPr>
              <w:ind w:firstLine="0" w:firstLineChars="0"/>
              <w:jc w:val="center"/>
              <w:rPr>
                <w:rFonts w:ascii="宋体" w:hAnsi="宋体"/>
                <w:sz w:val="21"/>
              </w:rPr>
            </w:pPr>
          </w:p>
        </w:tc>
        <w:tc>
          <w:tcPr>
            <w:tcW w:w="869" w:type="dxa"/>
            <w:gridSpan w:val="4"/>
            <w:vMerge w:val="restart"/>
            <w:vAlign w:val="center"/>
          </w:tcPr>
          <w:p w14:paraId="0D656AB5">
            <w:pPr>
              <w:ind w:firstLine="0" w:firstLineChars="0"/>
              <w:rPr>
                <w:rFonts w:ascii="宋体" w:hAnsi="宋体"/>
                <w:sz w:val="21"/>
              </w:rPr>
            </w:pPr>
            <w:r>
              <w:rPr>
                <w:rFonts w:hint="eastAsia" w:ascii="宋体" w:hAnsi="宋体"/>
                <w:sz w:val="21"/>
              </w:rPr>
              <w:t xml:space="preserve"> 起重量限制器</w:t>
            </w:r>
          </w:p>
        </w:tc>
        <w:tc>
          <w:tcPr>
            <w:tcW w:w="4534" w:type="dxa"/>
            <w:gridSpan w:val="2"/>
            <w:vAlign w:val="center"/>
          </w:tcPr>
          <w:p w14:paraId="06BB6292">
            <w:pPr>
              <w:ind w:firstLine="0" w:firstLineChars="0"/>
              <w:rPr>
                <w:rFonts w:ascii="宋体" w:hAnsi="宋体"/>
                <w:sz w:val="21"/>
              </w:rPr>
            </w:pPr>
            <w:r>
              <w:rPr>
                <w:rFonts w:hint="eastAsia" w:ascii="宋体" w:hAnsi="宋体"/>
                <w:sz w:val="21"/>
              </w:rPr>
              <w:t>起重量限制器设置</w:t>
            </w:r>
          </w:p>
        </w:tc>
        <w:tc>
          <w:tcPr>
            <w:tcW w:w="966" w:type="dxa"/>
            <w:vAlign w:val="center"/>
          </w:tcPr>
          <w:p w14:paraId="5DC13315">
            <w:pPr>
              <w:ind w:firstLine="0" w:firstLineChars="0"/>
              <w:jc w:val="center"/>
              <w:rPr>
                <w:rFonts w:ascii="宋体" w:hAnsi="宋体"/>
                <w:sz w:val="21"/>
              </w:rPr>
            </w:pPr>
          </w:p>
        </w:tc>
        <w:tc>
          <w:tcPr>
            <w:tcW w:w="921" w:type="dxa"/>
            <w:vAlign w:val="center"/>
          </w:tcPr>
          <w:p w14:paraId="57D1A7BC">
            <w:pPr>
              <w:ind w:firstLine="0" w:firstLineChars="0"/>
              <w:jc w:val="center"/>
              <w:rPr>
                <w:rFonts w:ascii="宋体" w:hAnsi="宋体"/>
                <w:sz w:val="21"/>
              </w:rPr>
            </w:pPr>
          </w:p>
        </w:tc>
      </w:tr>
      <w:tr w14:paraId="7E6E3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745608C">
            <w:pPr>
              <w:ind w:firstLine="0" w:firstLineChars="0"/>
              <w:jc w:val="center"/>
              <w:rPr>
                <w:rFonts w:ascii="宋体" w:hAnsi="宋体"/>
                <w:sz w:val="21"/>
              </w:rPr>
            </w:pPr>
            <w:r>
              <w:rPr>
                <w:rFonts w:hint="eastAsia" w:ascii="宋体" w:hAnsi="宋体"/>
                <w:sz w:val="21"/>
              </w:rPr>
              <w:t>36</w:t>
            </w:r>
          </w:p>
        </w:tc>
        <w:tc>
          <w:tcPr>
            <w:tcW w:w="607" w:type="dxa"/>
            <w:vMerge w:val="continue"/>
            <w:vAlign w:val="center"/>
          </w:tcPr>
          <w:p w14:paraId="6B95B5F8">
            <w:pPr>
              <w:ind w:firstLine="0" w:firstLineChars="0"/>
              <w:jc w:val="center"/>
              <w:rPr>
                <w:rFonts w:ascii="宋体" w:hAnsi="宋体"/>
                <w:sz w:val="21"/>
              </w:rPr>
            </w:pPr>
          </w:p>
        </w:tc>
        <w:tc>
          <w:tcPr>
            <w:tcW w:w="869" w:type="dxa"/>
            <w:gridSpan w:val="4"/>
            <w:vMerge w:val="continue"/>
            <w:vAlign w:val="center"/>
          </w:tcPr>
          <w:p w14:paraId="6972E680">
            <w:pPr>
              <w:ind w:firstLine="0" w:firstLineChars="0"/>
              <w:rPr>
                <w:rFonts w:ascii="宋体" w:hAnsi="宋体"/>
                <w:sz w:val="21"/>
              </w:rPr>
            </w:pPr>
          </w:p>
        </w:tc>
        <w:tc>
          <w:tcPr>
            <w:tcW w:w="4534" w:type="dxa"/>
            <w:gridSpan w:val="2"/>
            <w:vAlign w:val="center"/>
          </w:tcPr>
          <w:p w14:paraId="78019CA1">
            <w:pPr>
              <w:ind w:firstLine="0" w:firstLineChars="0"/>
              <w:rPr>
                <w:rFonts w:ascii="宋体" w:hAnsi="宋体"/>
                <w:sz w:val="21"/>
              </w:rPr>
            </w:pPr>
            <w:r>
              <w:rPr>
                <w:rFonts w:hint="eastAsia" w:ascii="宋体" w:hAnsi="宋体"/>
                <w:sz w:val="21"/>
              </w:rPr>
              <w:t>试验</w:t>
            </w:r>
          </w:p>
        </w:tc>
        <w:tc>
          <w:tcPr>
            <w:tcW w:w="966" w:type="dxa"/>
            <w:vAlign w:val="center"/>
          </w:tcPr>
          <w:p w14:paraId="70E2CE69">
            <w:pPr>
              <w:ind w:firstLine="0" w:firstLineChars="0"/>
              <w:jc w:val="center"/>
              <w:rPr>
                <w:rFonts w:ascii="宋体" w:hAnsi="宋体"/>
                <w:sz w:val="21"/>
              </w:rPr>
            </w:pPr>
          </w:p>
        </w:tc>
        <w:tc>
          <w:tcPr>
            <w:tcW w:w="921" w:type="dxa"/>
            <w:vAlign w:val="center"/>
          </w:tcPr>
          <w:p w14:paraId="48159126">
            <w:pPr>
              <w:ind w:firstLine="0" w:firstLineChars="0"/>
              <w:jc w:val="center"/>
              <w:rPr>
                <w:rFonts w:ascii="宋体" w:hAnsi="宋体"/>
                <w:sz w:val="21"/>
              </w:rPr>
            </w:pPr>
          </w:p>
        </w:tc>
      </w:tr>
      <w:tr w14:paraId="30BA45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4D36B5F">
            <w:pPr>
              <w:ind w:firstLine="0" w:firstLineChars="0"/>
              <w:jc w:val="center"/>
              <w:rPr>
                <w:rFonts w:ascii="宋体" w:hAnsi="宋体"/>
                <w:sz w:val="21"/>
              </w:rPr>
            </w:pPr>
            <w:r>
              <w:rPr>
                <w:rFonts w:hint="eastAsia" w:ascii="宋体" w:hAnsi="宋体"/>
                <w:sz w:val="21"/>
              </w:rPr>
              <w:t>37</w:t>
            </w:r>
          </w:p>
        </w:tc>
        <w:tc>
          <w:tcPr>
            <w:tcW w:w="607" w:type="dxa"/>
            <w:vMerge w:val="continue"/>
            <w:vAlign w:val="center"/>
          </w:tcPr>
          <w:p w14:paraId="1DCB0623">
            <w:pPr>
              <w:ind w:firstLine="0" w:firstLineChars="0"/>
              <w:jc w:val="center"/>
              <w:rPr>
                <w:rFonts w:ascii="宋体" w:hAnsi="宋体"/>
                <w:sz w:val="21"/>
              </w:rPr>
            </w:pPr>
          </w:p>
        </w:tc>
        <w:tc>
          <w:tcPr>
            <w:tcW w:w="5403" w:type="dxa"/>
            <w:gridSpan w:val="6"/>
            <w:vAlign w:val="center"/>
          </w:tcPr>
          <w:p w14:paraId="10B73267">
            <w:pPr>
              <w:ind w:firstLine="0" w:firstLineChars="0"/>
              <w:rPr>
                <w:rFonts w:ascii="宋体" w:hAnsi="宋体"/>
                <w:sz w:val="21"/>
              </w:rPr>
            </w:pPr>
            <w:r>
              <w:rPr>
                <w:rFonts w:hint="eastAsia" w:ascii="宋体" w:hAnsi="宋体"/>
                <w:sz w:val="21"/>
              </w:rPr>
              <w:t>起升高度（下降深度）限位器</w:t>
            </w:r>
          </w:p>
        </w:tc>
        <w:tc>
          <w:tcPr>
            <w:tcW w:w="966" w:type="dxa"/>
            <w:vAlign w:val="center"/>
          </w:tcPr>
          <w:p w14:paraId="5F154A0B">
            <w:pPr>
              <w:ind w:firstLine="0" w:firstLineChars="0"/>
              <w:jc w:val="center"/>
              <w:rPr>
                <w:rFonts w:ascii="宋体" w:hAnsi="宋体"/>
                <w:sz w:val="21"/>
              </w:rPr>
            </w:pPr>
          </w:p>
        </w:tc>
        <w:tc>
          <w:tcPr>
            <w:tcW w:w="921" w:type="dxa"/>
            <w:vAlign w:val="center"/>
          </w:tcPr>
          <w:p w14:paraId="4EC683C7">
            <w:pPr>
              <w:ind w:firstLine="0" w:firstLineChars="0"/>
              <w:jc w:val="center"/>
              <w:rPr>
                <w:rFonts w:ascii="宋体" w:hAnsi="宋体"/>
                <w:sz w:val="21"/>
              </w:rPr>
            </w:pPr>
          </w:p>
        </w:tc>
      </w:tr>
      <w:tr w14:paraId="0F708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515BC5D">
            <w:pPr>
              <w:ind w:firstLine="0" w:firstLineChars="0"/>
              <w:jc w:val="center"/>
              <w:rPr>
                <w:rFonts w:ascii="宋体" w:hAnsi="宋体"/>
                <w:sz w:val="21"/>
              </w:rPr>
            </w:pPr>
            <w:r>
              <w:rPr>
                <w:rFonts w:hint="eastAsia" w:ascii="宋体" w:hAnsi="宋体"/>
                <w:sz w:val="21"/>
              </w:rPr>
              <w:t>38</w:t>
            </w:r>
          </w:p>
        </w:tc>
        <w:tc>
          <w:tcPr>
            <w:tcW w:w="607" w:type="dxa"/>
            <w:vMerge w:val="continue"/>
            <w:vAlign w:val="center"/>
          </w:tcPr>
          <w:p w14:paraId="5DE840A2">
            <w:pPr>
              <w:ind w:firstLine="0" w:firstLineChars="0"/>
              <w:jc w:val="center"/>
              <w:rPr>
                <w:rFonts w:ascii="宋体" w:hAnsi="宋体"/>
                <w:sz w:val="21"/>
              </w:rPr>
            </w:pPr>
          </w:p>
        </w:tc>
        <w:tc>
          <w:tcPr>
            <w:tcW w:w="5403" w:type="dxa"/>
            <w:gridSpan w:val="6"/>
            <w:vAlign w:val="center"/>
          </w:tcPr>
          <w:p w14:paraId="320462A4">
            <w:pPr>
              <w:ind w:firstLine="0" w:firstLineChars="0"/>
              <w:rPr>
                <w:rFonts w:ascii="宋体" w:hAnsi="宋体"/>
                <w:sz w:val="21"/>
              </w:rPr>
            </w:pPr>
            <w:r>
              <w:rPr>
                <w:rFonts w:hint="eastAsia" w:ascii="宋体" w:hAnsi="宋体"/>
                <w:sz w:val="21"/>
              </w:rPr>
              <w:t>力矩限位器</w:t>
            </w:r>
          </w:p>
        </w:tc>
        <w:tc>
          <w:tcPr>
            <w:tcW w:w="966" w:type="dxa"/>
            <w:vAlign w:val="center"/>
          </w:tcPr>
          <w:p w14:paraId="6D48F49C">
            <w:pPr>
              <w:ind w:firstLine="0" w:firstLineChars="0"/>
              <w:jc w:val="center"/>
              <w:rPr>
                <w:rFonts w:ascii="宋体" w:hAnsi="宋体"/>
                <w:sz w:val="21"/>
              </w:rPr>
            </w:pPr>
          </w:p>
        </w:tc>
        <w:tc>
          <w:tcPr>
            <w:tcW w:w="921" w:type="dxa"/>
            <w:vAlign w:val="center"/>
          </w:tcPr>
          <w:p w14:paraId="22DCE601">
            <w:pPr>
              <w:ind w:firstLine="0" w:firstLineChars="0"/>
              <w:jc w:val="center"/>
              <w:rPr>
                <w:rFonts w:ascii="宋体" w:hAnsi="宋体"/>
                <w:sz w:val="21"/>
              </w:rPr>
            </w:pPr>
          </w:p>
        </w:tc>
      </w:tr>
      <w:tr w14:paraId="6BB97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BC735AA">
            <w:pPr>
              <w:ind w:firstLine="0" w:firstLineChars="0"/>
              <w:jc w:val="center"/>
              <w:rPr>
                <w:rFonts w:ascii="宋体" w:hAnsi="宋体"/>
                <w:sz w:val="21"/>
              </w:rPr>
            </w:pPr>
            <w:r>
              <w:rPr>
                <w:rFonts w:hint="eastAsia" w:ascii="宋体" w:hAnsi="宋体"/>
                <w:sz w:val="21"/>
              </w:rPr>
              <w:t>39</w:t>
            </w:r>
          </w:p>
        </w:tc>
        <w:tc>
          <w:tcPr>
            <w:tcW w:w="607" w:type="dxa"/>
            <w:vMerge w:val="continue"/>
            <w:vAlign w:val="center"/>
          </w:tcPr>
          <w:p w14:paraId="5462AA53">
            <w:pPr>
              <w:ind w:firstLine="0" w:firstLineChars="0"/>
              <w:jc w:val="center"/>
              <w:rPr>
                <w:rFonts w:ascii="宋体" w:hAnsi="宋体"/>
                <w:sz w:val="21"/>
              </w:rPr>
            </w:pPr>
          </w:p>
        </w:tc>
        <w:tc>
          <w:tcPr>
            <w:tcW w:w="5403" w:type="dxa"/>
            <w:gridSpan w:val="6"/>
            <w:vAlign w:val="center"/>
          </w:tcPr>
          <w:p w14:paraId="682D1DD2">
            <w:pPr>
              <w:ind w:firstLine="0" w:firstLineChars="0"/>
              <w:rPr>
                <w:rFonts w:ascii="宋体" w:hAnsi="宋体"/>
                <w:sz w:val="21"/>
              </w:rPr>
            </w:pPr>
            <w:r>
              <w:rPr>
                <w:rFonts w:hint="eastAsia" w:ascii="宋体" w:hAnsi="宋体"/>
                <w:sz w:val="21"/>
              </w:rPr>
              <w:t xml:space="preserve">回转限位器 </w:t>
            </w:r>
          </w:p>
        </w:tc>
        <w:tc>
          <w:tcPr>
            <w:tcW w:w="966" w:type="dxa"/>
            <w:vAlign w:val="center"/>
          </w:tcPr>
          <w:p w14:paraId="25DE022B">
            <w:pPr>
              <w:ind w:firstLine="0" w:firstLineChars="0"/>
              <w:jc w:val="center"/>
              <w:rPr>
                <w:rFonts w:ascii="宋体" w:hAnsi="宋体"/>
                <w:sz w:val="21"/>
              </w:rPr>
            </w:pPr>
          </w:p>
        </w:tc>
        <w:tc>
          <w:tcPr>
            <w:tcW w:w="921" w:type="dxa"/>
            <w:vAlign w:val="center"/>
          </w:tcPr>
          <w:p w14:paraId="5105EF48">
            <w:pPr>
              <w:ind w:firstLine="0" w:firstLineChars="0"/>
              <w:jc w:val="center"/>
              <w:rPr>
                <w:rFonts w:ascii="宋体" w:hAnsi="宋体"/>
                <w:sz w:val="21"/>
              </w:rPr>
            </w:pPr>
          </w:p>
        </w:tc>
      </w:tr>
      <w:tr w14:paraId="389F0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53684E3">
            <w:pPr>
              <w:ind w:firstLine="0" w:firstLineChars="0"/>
              <w:jc w:val="center"/>
              <w:rPr>
                <w:rFonts w:ascii="宋体" w:hAnsi="宋体"/>
                <w:sz w:val="21"/>
              </w:rPr>
            </w:pPr>
            <w:r>
              <w:rPr>
                <w:rFonts w:hint="eastAsia" w:ascii="宋体" w:hAnsi="宋体"/>
                <w:sz w:val="21"/>
              </w:rPr>
              <w:t>40</w:t>
            </w:r>
          </w:p>
        </w:tc>
        <w:tc>
          <w:tcPr>
            <w:tcW w:w="607" w:type="dxa"/>
            <w:vMerge w:val="continue"/>
            <w:vAlign w:val="center"/>
          </w:tcPr>
          <w:p w14:paraId="5794CAF6">
            <w:pPr>
              <w:ind w:firstLine="0" w:firstLineChars="0"/>
              <w:jc w:val="center"/>
              <w:rPr>
                <w:rFonts w:ascii="宋体" w:hAnsi="宋体"/>
                <w:sz w:val="21"/>
              </w:rPr>
            </w:pPr>
          </w:p>
        </w:tc>
        <w:tc>
          <w:tcPr>
            <w:tcW w:w="5403" w:type="dxa"/>
            <w:gridSpan w:val="6"/>
            <w:vAlign w:val="center"/>
          </w:tcPr>
          <w:p w14:paraId="023B18B0">
            <w:pPr>
              <w:ind w:firstLine="0" w:firstLineChars="0"/>
              <w:rPr>
                <w:rFonts w:ascii="宋体" w:hAnsi="宋体"/>
                <w:sz w:val="21"/>
              </w:rPr>
            </w:pPr>
            <w:r>
              <w:rPr>
                <w:rFonts w:hint="eastAsia" w:ascii="宋体" w:hAnsi="宋体"/>
                <w:sz w:val="21"/>
              </w:rPr>
              <w:t>小车变幅限位器</w:t>
            </w:r>
          </w:p>
        </w:tc>
        <w:tc>
          <w:tcPr>
            <w:tcW w:w="966" w:type="dxa"/>
            <w:vAlign w:val="center"/>
          </w:tcPr>
          <w:p w14:paraId="302EB8D5">
            <w:pPr>
              <w:ind w:firstLine="0" w:firstLineChars="0"/>
              <w:jc w:val="center"/>
              <w:rPr>
                <w:rFonts w:ascii="宋体" w:hAnsi="宋体"/>
                <w:sz w:val="21"/>
              </w:rPr>
            </w:pPr>
          </w:p>
        </w:tc>
        <w:tc>
          <w:tcPr>
            <w:tcW w:w="921" w:type="dxa"/>
            <w:vAlign w:val="center"/>
          </w:tcPr>
          <w:p w14:paraId="0B759342">
            <w:pPr>
              <w:ind w:firstLine="0" w:firstLineChars="0"/>
              <w:jc w:val="center"/>
              <w:rPr>
                <w:rFonts w:ascii="宋体" w:hAnsi="宋体"/>
                <w:sz w:val="21"/>
              </w:rPr>
            </w:pPr>
          </w:p>
        </w:tc>
      </w:tr>
      <w:tr w14:paraId="44D7F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E4CAAE">
            <w:pPr>
              <w:ind w:firstLine="0" w:firstLineChars="0"/>
              <w:jc w:val="center"/>
              <w:rPr>
                <w:rFonts w:ascii="宋体" w:hAnsi="宋体"/>
                <w:sz w:val="21"/>
              </w:rPr>
            </w:pPr>
            <w:r>
              <w:rPr>
                <w:rFonts w:hint="eastAsia" w:ascii="宋体" w:hAnsi="宋体"/>
                <w:sz w:val="21"/>
              </w:rPr>
              <w:t>41</w:t>
            </w:r>
          </w:p>
        </w:tc>
        <w:tc>
          <w:tcPr>
            <w:tcW w:w="607" w:type="dxa"/>
            <w:vMerge w:val="continue"/>
            <w:vAlign w:val="center"/>
          </w:tcPr>
          <w:p w14:paraId="2F405F29">
            <w:pPr>
              <w:ind w:firstLine="0" w:firstLineChars="0"/>
              <w:jc w:val="center"/>
              <w:rPr>
                <w:rFonts w:ascii="宋体" w:hAnsi="宋体"/>
                <w:sz w:val="21"/>
              </w:rPr>
            </w:pPr>
          </w:p>
        </w:tc>
        <w:tc>
          <w:tcPr>
            <w:tcW w:w="5403" w:type="dxa"/>
            <w:gridSpan w:val="6"/>
            <w:vAlign w:val="center"/>
          </w:tcPr>
          <w:p w14:paraId="538F7B97">
            <w:pPr>
              <w:ind w:firstLine="0" w:firstLineChars="0"/>
              <w:rPr>
                <w:rFonts w:ascii="宋体" w:hAnsi="宋体"/>
                <w:sz w:val="21"/>
              </w:rPr>
            </w:pPr>
            <w:r>
              <w:rPr>
                <w:rFonts w:hint="eastAsia" w:ascii="宋体" w:hAnsi="宋体"/>
                <w:sz w:val="21"/>
              </w:rPr>
              <w:t>应急断电开关</w:t>
            </w:r>
          </w:p>
        </w:tc>
        <w:tc>
          <w:tcPr>
            <w:tcW w:w="966" w:type="dxa"/>
            <w:vAlign w:val="center"/>
          </w:tcPr>
          <w:p w14:paraId="42852593">
            <w:pPr>
              <w:ind w:firstLine="0" w:firstLineChars="0"/>
              <w:jc w:val="center"/>
              <w:rPr>
                <w:rFonts w:ascii="宋体" w:hAnsi="宋体"/>
                <w:sz w:val="21"/>
              </w:rPr>
            </w:pPr>
          </w:p>
        </w:tc>
        <w:tc>
          <w:tcPr>
            <w:tcW w:w="921" w:type="dxa"/>
            <w:vAlign w:val="center"/>
          </w:tcPr>
          <w:p w14:paraId="08FF4A74">
            <w:pPr>
              <w:ind w:firstLine="0" w:firstLineChars="0"/>
              <w:jc w:val="center"/>
              <w:rPr>
                <w:rFonts w:ascii="宋体" w:hAnsi="宋体"/>
                <w:sz w:val="21"/>
              </w:rPr>
            </w:pPr>
          </w:p>
        </w:tc>
      </w:tr>
      <w:tr w14:paraId="6FE4C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2BAAE0ED">
            <w:pPr>
              <w:ind w:firstLine="0" w:firstLineChars="0"/>
              <w:jc w:val="center"/>
              <w:rPr>
                <w:rFonts w:ascii="宋体" w:hAnsi="宋体"/>
                <w:sz w:val="21"/>
              </w:rPr>
            </w:pPr>
            <w:r>
              <w:rPr>
                <w:rFonts w:hint="eastAsia" w:ascii="宋体" w:hAnsi="宋体"/>
                <w:sz w:val="21"/>
              </w:rPr>
              <w:t>42</w:t>
            </w:r>
          </w:p>
        </w:tc>
        <w:tc>
          <w:tcPr>
            <w:tcW w:w="607" w:type="dxa"/>
            <w:vMerge w:val="continue"/>
            <w:vAlign w:val="center"/>
          </w:tcPr>
          <w:p w14:paraId="5583B1B9">
            <w:pPr>
              <w:ind w:firstLine="0" w:firstLineChars="0"/>
              <w:jc w:val="center"/>
              <w:rPr>
                <w:rFonts w:ascii="宋体" w:hAnsi="宋体"/>
                <w:sz w:val="21"/>
              </w:rPr>
            </w:pPr>
          </w:p>
        </w:tc>
        <w:tc>
          <w:tcPr>
            <w:tcW w:w="5403" w:type="dxa"/>
            <w:gridSpan w:val="6"/>
            <w:vAlign w:val="center"/>
          </w:tcPr>
          <w:p w14:paraId="3845E6F1">
            <w:pPr>
              <w:ind w:firstLine="0" w:firstLineChars="0"/>
              <w:rPr>
                <w:rFonts w:ascii="宋体" w:hAnsi="宋体"/>
                <w:sz w:val="21"/>
              </w:rPr>
            </w:pPr>
            <w:r>
              <w:rPr>
                <w:rFonts w:hint="eastAsia" w:ascii="宋体" w:hAnsi="宋体"/>
                <w:sz w:val="21"/>
              </w:rPr>
              <w:t>连锁保护装置</w:t>
            </w:r>
          </w:p>
        </w:tc>
        <w:tc>
          <w:tcPr>
            <w:tcW w:w="966" w:type="dxa"/>
            <w:vAlign w:val="center"/>
          </w:tcPr>
          <w:p w14:paraId="6CB97221">
            <w:pPr>
              <w:ind w:firstLine="0" w:firstLineChars="0"/>
              <w:jc w:val="center"/>
              <w:rPr>
                <w:rFonts w:ascii="宋体" w:hAnsi="宋体"/>
                <w:sz w:val="21"/>
              </w:rPr>
            </w:pPr>
          </w:p>
        </w:tc>
        <w:tc>
          <w:tcPr>
            <w:tcW w:w="921" w:type="dxa"/>
            <w:vAlign w:val="center"/>
          </w:tcPr>
          <w:p w14:paraId="215C603D">
            <w:pPr>
              <w:ind w:firstLine="0" w:firstLineChars="0"/>
              <w:jc w:val="center"/>
              <w:rPr>
                <w:rFonts w:ascii="宋体" w:hAnsi="宋体"/>
                <w:sz w:val="21"/>
              </w:rPr>
            </w:pPr>
          </w:p>
        </w:tc>
      </w:tr>
      <w:tr w14:paraId="58DA1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7D55250">
            <w:pPr>
              <w:ind w:firstLine="0" w:firstLineChars="0"/>
              <w:jc w:val="center"/>
              <w:rPr>
                <w:rFonts w:ascii="宋体" w:hAnsi="宋体"/>
                <w:sz w:val="21"/>
              </w:rPr>
            </w:pPr>
            <w:r>
              <w:rPr>
                <w:rFonts w:hint="eastAsia" w:ascii="宋体" w:hAnsi="宋体"/>
                <w:sz w:val="21"/>
              </w:rPr>
              <w:t>43</w:t>
            </w:r>
          </w:p>
        </w:tc>
        <w:tc>
          <w:tcPr>
            <w:tcW w:w="607" w:type="dxa"/>
            <w:vMerge w:val="continue"/>
            <w:vAlign w:val="center"/>
          </w:tcPr>
          <w:p w14:paraId="0DC3A567">
            <w:pPr>
              <w:ind w:firstLine="0" w:firstLineChars="0"/>
              <w:jc w:val="center"/>
              <w:rPr>
                <w:rFonts w:ascii="宋体" w:hAnsi="宋体"/>
                <w:sz w:val="21"/>
              </w:rPr>
            </w:pPr>
          </w:p>
        </w:tc>
        <w:tc>
          <w:tcPr>
            <w:tcW w:w="5403" w:type="dxa"/>
            <w:gridSpan w:val="6"/>
            <w:vAlign w:val="center"/>
          </w:tcPr>
          <w:p w14:paraId="25AD07D5">
            <w:pPr>
              <w:ind w:firstLine="0" w:firstLineChars="0"/>
              <w:rPr>
                <w:rFonts w:ascii="宋体" w:hAnsi="宋体"/>
                <w:sz w:val="21"/>
              </w:rPr>
            </w:pPr>
            <w:r>
              <w:rPr>
                <w:rFonts w:hint="eastAsia" w:ascii="宋体" w:hAnsi="宋体"/>
                <w:sz w:val="21"/>
              </w:rPr>
              <w:t>超速保护装置</w:t>
            </w:r>
          </w:p>
        </w:tc>
        <w:tc>
          <w:tcPr>
            <w:tcW w:w="966" w:type="dxa"/>
            <w:vAlign w:val="center"/>
          </w:tcPr>
          <w:p w14:paraId="7A123EAE">
            <w:pPr>
              <w:ind w:firstLine="0" w:firstLineChars="0"/>
              <w:jc w:val="center"/>
              <w:rPr>
                <w:rFonts w:ascii="宋体" w:hAnsi="宋体"/>
                <w:sz w:val="21"/>
              </w:rPr>
            </w:pPr>
          </w:p>
        </w:tc>
        <w:tc>
          <w:tcPr>
            <w:tcW w:w="921" w:type="dxa"/>
            <w:vAlign w:val="center"/>
          </w:tcPr>
          <w:p w14:paraId="28FBA448">
            <w:pPr>
              <w:ind w:firstLine="0" w:firstLineChars="0"/>
              <w:jc w:val="center"/>
              <w:rPr>
                <w:rFonts w:ascii="宋体" w:hAnsi="宋体"/>
                <w:sz w:val="21"/>
              </w:rPr>
            </w:pPr>
          </w:p>
        </w:tc>
      </w:tr>
      <w:tr w14:paraId="0DCC6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19B3D3F">
            <w:pPr>
              <w:ind w:firstLine="0" w:firstLineChars="0"/>
              <w:jc w:val="center"/>
              <w:rPr>
                <w:rFonts w:ascii="宋体" w:hAnsi="宋体"/>
                <w:sz w:val="21"/>
              </w:rPr>
            </w:pPr>
            <w:r>
              <w:rPr>
                <w:rFonts w:hint="eastAsia" w:ascii="宋体" w:hAnsi="宋体"/>
                <w:sz w:val="21"/>
              </w:rPr>
              <w:t>44</w:t>
            </w:r>
          </w:p>
        </w:tc>
        <w:tc>
          <w:tcPr>
            <w:tcW w:w="607" w:type="dxa"/>
            <w:vMerge w:val="continue"/>
            <w:vAlign w:val="center"/>
          </w:tcPr>
          <w:p w14:paraId="7B897811">
            <w:pPr>
              <w:ind w:firstLine="0" w:firstLineChars="0"/>
              <w:jc w:val="center"/>
              <w:rPr>
                <w:rFonts w:ascii="宋体" w:hAnsi="宋体"/>
                <w:sz w:val="21"/>
              </w:rPr>
            </w:pPr>
          </w:p>
        </w:tc>
        <w:tc>
          <w:tcPr>
            <w:tcW w:w="5403" w:type="dxa"/>
            <w:gridSpan w:val="6"/>
            <w:vAlign w:val="center"/>
          </w:tcPr>
          <w:p w14:paraId="63D030BD">
            <w:pPr>
              <w:ind w:firstLine="0" w:firstLineChars="0"/>
              <w:rPr>
                <w:rFonts w:ascii="宋体" w:hAnsi="宋体"/>
                <w:sz w:val="21"/>
              </w:rPr>
            </w:pPr>
            <w:r>
              <w:rPr>
                <w:rFonts w:hint="eastAsia" w:ascii="宋体" w:hAnsi="宋体"/>
                <w:sz w:val="21"/>
              </w:rPr>
              <w:t>风速仪</w:t>
            </w:r>
          </w:p>
        </w:tc>
        <w:tc>
          <w:tcPr>
            <w:tcW w:w="966" w:type="dxa"/>
            <w:vAlign w:val="center"/>
          </w:tcPr>
          <w:p w14:paraId="44EAB992">
            <w:pPr>
              <w:ind w:firstLine="0" w:firstLineChars="0"/>
              <w:jc w:val="center"/>
              <w:rPr>
                <w:rFonts w:ascii="宋体" w:hAnsi="宋体"/>
                <w:sz w:val="21"/>
              </w:rPr>
            </w:pPr>
          </w:p>
        </w:tc>
        <w:tc>
          <w:tcPr>
            <w:tcW w:w="921" w:type="dxa"/>
            <w:vAlign w:val="center"/>
          </w:tcPr>
          <w:p w14:paraId="7BDDF9FD">
            <w:pPr>
              <w:ind w:firstLine="0" w:firstLineChars="0"/>
              <w:jc w:val="center"/>
              <w:rPr>
                <w:rFonts w:ascii="宋体" w:hAnsi="宋体"/>
                <w:sz w:val="21"/>
              </w:rPr>
            </w:pPr>
          </w:p>
        </w:tc>
      </w:tr>
      <w:tr w14:paraId="575B7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2FD8D8">
            <w:pPr>
              <w:ind w:firstLine="0" w:firstLineChars="0"/>
              <w:jc w:val="center"/>
              <w:rPr>
                <w:rFonts w:ascii="宋体" w:hAnsi="宋体"/>
                <w:sz w:val="21"/>
              </w:rPr>
            </w:pPr>
            <w:r>
              <w:rPr>
                <w:rFonts w:hint="eastAsia" w:ascii="宋体" w:hAnsi="宋体"/>
                <w:sz w:val="21"/>
              </w:rPr>
              <w:t>45</w:t>
            </w:r>
          </w:p>
        </w:tc>
        <w:tc>
          <w:tcPr>
            <w:tcW w:w="607" w:type="dxa"/>
            <w:vMerge w:val="continue"/>
            <w:vAlign w:val="center"/>
          </w:tcPr>
          <w:p w14:paraId="249EDE3E">
            <w:pPr>
              <w:ind w:firstLine="0" w:firstLineChars="0"/>
              <w:jc w:val="center"/>
              <w:rPr>
                <w:rFonts w:ascii="宋体" w:hAnsi="宋体"/>
                <w:sz w:val="21"/>
              </w:rPr>
            </w:pPr>
          </w:p>
        </w:tc>
        <w:tc>
          <w:tcPr>
            <w:tcW w:w="5403" w:type="dxa"/>
            <w:gridSpan w:val="6"/>
            <w:vAlign w:val="center"/>
          </w:tcPr>
          <w:p w14:paraId="7DC0A917">
            <w:pPr>
              <w:ind w:firstLine="0" w:firstLineChars="0"/>
              <w:rPr>
                <w:rFonts w:ascii="宋体" w:hAnsi="宋体"/>
                <w:sz w:val="21"/>
              </w:rPr>
            </w:pPr>
            <w:r>
              <w:rPr>
                <w:rFonts w:hint="eastAsia" w:ascii="宋体" w:hAnsi="宋体"/>
                <w:sz w:val="21"/>
              </w:rPr>
              <w:t>防护罩</w:t>
            </w:r>
          </w:p>
        </w:tc>
        <w:tc>
          <w:tcPr>
            <w:tcW w:w="966" w:type="dxa"/>
            <w:vAlign w:val="center"/>
          </w:tcPr>
          <w:p w14:paraId="6323DCE0">
            <w:pPr>
              <w:ind w:firstLine="0" w:firstLineChars="0"/>
              <w:jc w:val="center"/>
              <w:rPr>
                <w:rFonts w:ascii="宋体" w:hAnsi="宋体"/>
                <w:sz w:val="21"/>
              </w:rPr>
            </w:pPr>
          </w:p>
        </w:tc>
        <w:tc>
          <w:tcPr>
            <w:tcW w:w="921" w:type="dxa"/>
            <w:vAlign w:val="center"/>
          </w:tcPr>
          <w:p w14:paraId="71DD7196">
            <w:pPr>
              <w:ind w:firstLine="0" w:firstLineChars="0"/>
              <w:jc w:val="center"/>
              <w:rPr>
                <w:rFonts w:ascii="宋体" w:hAnsi="宋体"/>
                <w:sz w:val="21"/>
              </w:rPr>
            </w:pPr>
          </w:p>
        </w:tc>
      </w:tr>
      <w:tr w14:paraId="24BBA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BDC3BB8">
            <w:pPr>
              <w:ind w:firstLine="0" w:firstLineChars="0"/>
              <w:jc w:val="center"/>
              <w:rPr>
                <w:rFonts w:ascii="宋体" w:hAnsi="宋体"/>
                <w:sz w:val="21"/>
              </w:rPr>
            </w:pPr>
            <w:r>
              <w:rPr>
                <w:rFonts w:hint="eastAsia" w:ascii="宋体" w:hAnsi="宋体"/>
                <w:sz w:val="21"/>
              </w:rPr>
              <w:t>46</w:t>
            </w:r>
          </w:p>
        </w:tc>
        <w:tc>
          <w:tcPr>
            <w:tcW w:w="1476" w:type="dxa"/>
            <w:gridSpan w:val="5"/>
            <w:vMerge w:val="restart"/>
            <w:vAlign w:val="center"/>
          </w:tcPr>
          <w:p w14:paraId="7AEBEEC9">
            <w:pPr>
              <w:ind w:firstLine="0" w:firstLineChars="0"/>
              <w:rPr>
                <w:rFonts w:ascii="宋体" w:hAnsi="宋体"/>
                <w:sz w:val="21"/>
              </w:rPr>
            </w:pPr>
            <w:r>
              <w:rPr>
                <w:rFonts w:hint="eastAsia" w:ascii="宋体" w:hAnsi="宋体"/>
                <w:sz w:val="21"/>
              </w:rPr>
              <w:t>质量管理体系运行情况</w:t>
            </w:r>
          </w:p>
        </w:tc>
        <w:tc>
          <w:tcPr>
            <w:tcW w:w="4534" w:type="dxa"/>
            <w:gridSpan w:val="2"/>
            <w:vAlign w:val="center"/>
          </w:tcPr>
          <w:p w14:paraId="4834996B">
            <w:pPr>
              <w:ind w:firstLine="0" w:firstLineChars="0"/>
              <w:rPr>
                <w:rFonts w:ascii="宋体" w:hAnsi="宋体"/>
                <w:sz w:val="21"/>
              </w:rPr>
            </w:pPr>
            <w:r>
              <w:rPr>
                <w:rFonts w:hint="eastAsia" w:ascii="宋体" w:hAnsi="宋体"/>
                <w:sz w:val="21"/>
              </w:rPr>
              <w:t>现场施工组织机构、质量管理机构和质量控制系统责任人</w:t>
            </w:r>
          </w:p>
        </w:tc>
        <w:tc>
          <w:tcPr>
            <w:tcW w:w="966" w:type="dxa"/>
            <w:vAlign w:val="center"/>
          </w:tcPr>
          <w:p w14:paraId="24EE7637">
            <w:pPr>
              <w:ind w:firstLine="0" w:firstLineChars="0"/>
              <w:jc w:val="center"/>
              <w:rPr>
                <w:rFonts w:ascii="宋体" w:hAnsi="宋体"/>
                <w:sz w:val="21"/>
              </w:rPr>
            </w:pPr>
          </w:p>
        </w:tc>
        <w:tc>
          <w:tcPr>
            <w:tcW w:w="921" w:type="dxa"/>
            <w:vAlign w:val="center"/>
          </w:tcPr>
          <w:p w14:paraId="6B39D560">
            <w:pPr>
              <w:ind w:firstLine="0" w:firstLineChars="0"/>
              <w:jc w:val="center"/>
              <w:rPr>
                <w:rFonts w:ascii="宋体" w:hAnsi="宋体"/>
                <w:sz w:val="21"/>
              </w:rPr>
            </w:pPr>
          </w:p>
        </w:tc>
      </w:tr>
      <w:tr w14:paraId="666FE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4D677E2D">
            <w:pPr>
              <w:ind w:firstLine="0" w:firstLineChars="0"/>
              <w:jc w:val="center"/>
              <w:rPr>
                <w:rFonts w:ascii="宋体" w:hAnsi="宋体"/>
                <w:sz w:val="21"/>
              </w:rPr>
            </w:pPr>
            <w:r>
              <w:rPr>
                <w:rFonts w:hint="eastAsia" w:ascii="宋体" w:hAnsi="宋体"/>
                <w:sz w:val="21"/>
              </w:rPr>
              <w:t>47</w:t>
            </w:r>
          </w:p>
        </w:tc>
        <w:tc>
          <w:tcPr>
            <w:tcW w:w="1476" w:type="dxa"/>
            <w:gridSpan w:val="5"/>
            <w:vMerge w:val="continue"/>
            <w:vAlign w:val="center"/>
          </w:tcPr>
          <w:p w14:paraId="166050C7">
            <w:pPr>
              <w:ind w:firstLine="0" w:firstLineChars="0"/>
              <w:rPr>
                <w:rFonts w:ascii="宋体" w:hAnsi="宋体"/>
                <w:sz w:val="21"/>
              </w:rPr>
            </w:pPr>
          </w:p>
        </w:tc>
        <w:tc>
          <w:tcPr>
            <w:tcW w:w="4534" w:type="dxa"/>
            <w:gridSpan w:val="2"/>
            <w:vAlign w:val="center"/>
          </w:tcPr>
          <w:p w14:paraId="0807A043">
            <w:pPr>
              <w:ind w:firstLine="0" w:firstLineChars="0"/>
              <w:rPr>
                <w:rFonts w:ascii="宋体" w:hAnsi="宋体"/>
                <w:sz w:val="21"/>
              </w:rPr>
            </w:pPr>
            <w:r>
              <w:rPr>
                <w:rFonts w:hint="eastAsia" w:ascii="宋体" w:hAnsi="宋体"/>
                <w:sz w:val="21"/>
              </w:rPr>
              <w:t>现场作业人员的证件</w:t>
            </w:r>
          </w:p>
        </w:tc>
        <w:tc>
          <w:tcPr>
            <w:tcW w:w="966" w:type="dxa"/>
            <w:vAlign w:val="center"/>
          </w:tcPr>
          <w:p w14:paraId="279BE622">
            <w:pPr>
              <w:ind w:firstLine="0" w:firstLineChars="0"/>
              <w:jc w:val="center"/>
              <w:rPr>
                <w:rFonts w:ascii="宋体" w:hAnsi="宋体"/>
                <w:sz w:val="21"/>
              </w:rPr>
            </w:pPr>
          </w:p>
        </w:tc>
        <w:tc>
          <w:tcPr>
            <w:tcW w:w="921" w:type="dxa"/>
            <w:vAlign w:val="center"/>
          </w:tcPr>
          <w:p w14:paraId="22D87E3F">
            <w:pPr>
              <w:ind w:firstLine="0" w:firstLineChars="0"/>
              <w:jc w:val="center"/>
              <w:rPr>
                <w:rFonts w:ascii="宋体" w:hAnsi="宋体"/>
                <w:sz w:val="21"/>
              </w:rPr>
            </w:pPr>
          </w:p>
        </w:tc>
      </w:tr>
      <w:tr w14:paraId="5DC2E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EDD9F30">
            <w:pPr>
              <w:ind w:firstLine="0" w:firstLineChars="0"/>
              <w:jc w:val="center"/>
              <w:rPr>
                <w:rFonts w:ascii="宋体" w:hAnsi="宋体"/>
                <w:sz w:val="21"/>
              </w:rPr>
            </w:pPr>
            <w:r>
              <w:rPr>
                <w:rFonts w:hint="eastAsia" w:ascii="宋体" w:hAnsi="宋体"/>
                <w:sz w:val="21"/>
              </w:rPr>
              <w:t>48</w:t>
            </w:r>
          </w:p>
        </w:tc>
        <w:tc>
          <w:tcPr>
            <w:tcW w:w="1476" w:type="dxa"/>
            <w:gridSpan w:val="5"/>
            <w:vMerge w:val="continue"/>
            <w:vAlign w:val="center"/>
          </w:tcPr>
          <w:p w14:paraId="4730DF49">
            <w:pPr>
              <w:ind w:firstLine="0" w:firstLineChars="0"/>
              <w:jc w:val="center"/>
              <w:rPr>
                <w:rFonts w:ascii="宋体" w:hAnsi="宋体"/>
                <w:sz w:val="21"/>
              </w:rPr>
            </w:pPr>
          </w:p>
        </w:tc>
        <w:tc>
          <w:tcPr>
            <w:tcW w:w="4534" w:type="dxa"/>
            <w:gridSpan w:val="2"/>
            <w:vAlign w:val="center"/>
          </w:tcPr>
          <w:p w14:paraId="38F2CE42">
            <w:pPr>
              <w:ind w:firstLine="0" w:firstLineChars="0"/>
              <w:rPr>
                <w:rFonts w:ascii="宋体" w:hAnsi="宋体"/>
                <w:sz w:val="21"/>
              </w:rPr>
            </w:pPr>
            <w:r>
              <w:rPr>
                <w:rFonts w:hint="eastAsia" w:ascii="宋体" w:hAnsi="宋体"/>
                <w:sz w:val="21"/>
              </w:rPr>
              <w:t>施工过程中体系运转异常情况的处理</w:t>
            </w:r>
          </w:p>
        </w:tc>
        <w:tc>
          <w:tcPr>
            <w:tcW w:w="966" w:type="dxa"/>
            <w:vAlign w:val="center"/>
          </w:tcPr>
          <w:p w14:paraId="55DF928A">
            <w:pPr>
              <w:ind w:firstLine="0" w:firstLineChars="0"/>
              <w:jc w:val="center"/>
              <w:rPr>
                <w:rFonts w:ascii="宋体" w:hAnsi="宋体"/>
                <w:sz w:val="21"/>
              </w:rPr>
            </w:pPr>
          </w:p>
        </w:tc>
        <w:tc>
          <w:tcPr>
            <w:tcW w:w="921" w:type="dxa"/>
            <w:vAlign w:val="center"/>
          </w:tcPr>
          <w:p w14:paraId="7D05ACCB">
            <w:pPr>
              <w:ind w:firstLine="0" w:firstLineChars="0"/>
              <w:jc w:val="center"/>
              <w:rPr>
                <w:rFonts w:ascii="宋体" w:hAnsi="宋体"/>
                <w:sz w:val="21"/>
              </w:rPr>
            </w:pPr>
          </w:p>
        </w:tc>
      </w:tr>
      <w:tr w14:paraId="28DCD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1838133D">
            <w:pPr>
              <w:ind w:firstLine="0" w:firstLineChars="0"/>
              <w:jc w:val="center"/>
              <w:rPr>
                <w:rFonts w:ascii="宋体" w:hAnsi="宋体"/>
                <w:sz w:val="21"/>
              </w:rPr>
            </w:pPr>
            <w:r>
              <w:rPr>
                <w:rFonts w:hint="eastAsia" w:ascii="宋体" w:hAnsi="宋体"/>
                <w:sz w:val="21"/>
              </w:rPr>
              <w:t>49</w:t>
            </w:r>
          </w:p>
        </w:tc>
        <w:tc>
          <w:tcPr>
            <w:tcW w:w="1476" w:type="dxa"/>
            <w:gridSpan w:val="5"/>
            <w:vMerge w:val="continue"/>
            <w:vAlign w:val="center"/>
          </w:tcPr>
          <w:p w14:paraId="3A46C60E">
            <w:pPr>
              <w:ind w:firstLine="0" w:firstLineChars="0"/>
              <w:jc w:val="center"/>
              <w:rPr>
                <w:rFonts w:ascii="宋体" w:hAnsi="宋体"/>
                <w:sz w:val="21"/>
              </w:rPr>
            </w:pPr>
          </w:p>
        </w:tc>
        <w:tc>
          <w:tcPr>
            <w:tcW w:w="4534" w:type="dxa"/>
            <w:gridSpan w:val="2"/>
            <w:vAlign w:val="center"/>
          </w:tcPr>
          <w:p w14:paraId="4828D815">
            <w:pPr>
              <w:ind w:firstLine="0" w:firstLineChars="0"/>
              <w:rPr>
                <w:rFonts w:ascii="宋体" w:hAnsi="宋体"/>
                <w:sz w:val="21"/>
              </w:rPr>
            </w:pPr>
            <w:r>
              <w:rPr>
                <w:rFonts w:hint="eastAsia" w:ascii="宋体" w:hAnsi="宋体"/>
                <w:sz w:val="21"/>
              </w:rPr>
              <w:t>对监检机构或监检人员提出问题的处理和反馈情况</w:t>
            </w:r>
          </w:p>
        </w:tc>
        <w:tc>
          <w:tcPr>
            <w:tcW w:w="966" w:type="dxa"/>
            <w:vAlign w:val="center"/>
          </w:tcPr>
          <w:p w14:paraId="61F68507">
            <w:pPr>
              <w:ind w:firstLine="0" w:firstLineChars="0"/>
              <w:jc w:val="center"/>
              <w:rPr>
                <w:rFonts w:ascii="宋体" w:hAnsi="宋体"/>
                <w:sz w:val="21"/>
              </w:rPr>
            </w:pPr>
          </w:p>
        </w:tc>
        <w:tc>
          <w:tcPr>
            <w:tcW w:w="921" w:type="dxa"/>
            <w:vAlign w:val="center"/>
          </w:tcPr>
          <w:p w14:paraId="495A50DB">
            <w:pPr>
              <w:ind w:firstLine="0" w:firstLineChars="0"/>
              <w:jc w:val="center"/>
              <w:rPr>
                <w:rFonts w:ascii="宋体" w:hAnsi="宋体"/>
                <w:sz w:val="21"/>
              </w:rPr>
            </w:pPr>
          </w:p>
        </w:tc>
      </w:tr>
      <w:tr w14:paraId="23FC5A7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97" w:hRule="atLeast"/>
          <w:jc w:val="center"/>
        </w:trPr>
        <w:tc>
          <w:tcPr>
            <w:tcW w:w="4181" w:type="dxa"/>
            <w:gridSpan w:val="7"/>
            <w:tcBorders>
              <w:top w:val="single" w:color="auto" w:sz="12" w:space="0"/>
              <w:right w:val="single" w:color="auto" w:sz="4" w:space="0"/>
            </w:tcBorders>
          </w:tcPr>
          <w:p w14:paraId="3A3005A5">
            <w:pPr>
              <w:autoSpaceDE w:val="0"/>
              <w:autoSpaceDN w:val="0"/>
              <w:adjustRightInd w:val="0"/>
              <w:ind w:right="1540" w:rightChars="550" w:firstLine="0" w:firstLineChars="0"/>
              <w:rPr>
                <w:rFonts w:ascii="宋体" w:hAnsi="宋体"/>
                <w:sz w:val="21"/>
              </w:rPr>
            </w:pPr>
            <w:r>
              <w:rPr>
                <w:rFonts w:hint="eastAsia" w:ascii="宋体" w:hAnsi="宋体"/>
                <w:sz w:val="21"/>
              </w:rPr>
              <w:t>租赁单位（章）</w:t>
            </w:r>
          </w:p>
          <w:p w14:paraId="5F556574">
            <w:pPr>
              <w:autoSpaceDE w:val="0"/>
              <w:autoSpaceDN w:val="0"/>
              <w:adjustRightInd w:val="0"/>
              <w:ind w:right="1540" w:rightChars="550" w:firstLine="0" w:firstLineChars="0"/>
              <w:rPr>
                <w:rFonts w:ascii="宋体" w:hAnsi="宋体"/>
                <w:sz w:val="21"/>
              </w:rPr>
            </w:pPr>
          </w:p>
          <w:p w14:paraId="6A21FD29">
            <w:pPr>
              <w:autoSpaceDE w:val="0"/>
              <w:autoSpaceDN w:val="0"/>
              <w:adjustRightInd w:val="0"/>
              <w:ind w:right="1540" w:rightChars="550" w:firstLine="420"/>
              <w:jc w:val="center"/>
              <w:rPr>
                <w:rFonts w:ascii="宋体" w:hAnsi="宋体"/>
                <w:sz w:val="21"/>
              </w:rPr>
            </w:pPr>
            <w:r>
              <w:rPr>
                <w:rFonts w:hint="eastAsia" w:ascii="宋体" w:hAnsi="宋体"/>
                <w:sz w:val="21"/>
              </w:rPr>
              <w:t>租赁单位负责人：</w:t>
            </w:r>
          </w:p>
          <w:p w14:paraId="34FA0EEC">
            <w:pPr>
              <w:autoSpaceDE w:val="0"/>
              <w:autoSpaceDN w:val="0"/>
              <w:adjustRightInd w:val="0"/>
              <w:ind w:right="1540" w:rightChars="550" w:firstLine="0" w:firstLineChars="0"/>
              <w:rPr>
                <w:rFonts w:ascii="宋体" w:hAnsi="宋体"/>
                <w:sz w:val="21"/>
              </w:rPr>
            </w:pPr>
          </w:p>
          <w:p w14:paraId="781B4554">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c>
          <w:tcPr>
            <w:tcW w:w="4250" w:type="dxa"/>
            <w:gridSpan w:val="3"/>
            <w:tcBorders>
              <w:top w:val="single" w:color="auto" w:sz="12" w:space="0"/>
              <w:left w:val="single" w:color="auto" w:sz="4" w:space="0"/>
            </w:tcBorders>
          </w:tcPr>
          <w:p w14:paraId="493FA04D">
            <w:pPr>
              <w:autoSpaceDE w:val="0"/>
              <w:autoSpaceDN w:val="0"/>
              <w:adjustRightInd w:val="0"/>
              <w:ind w:right="1540" w:rightChars="550" w:firstLine="0" w:firstLineChars="0"/>
              <w:rPr>
                <w:rFonts w:ascii="宋体" w:hAnsi="宋体"/>
                <w:sz w:val="21"/>
              </w:rPr>
            </w:pPr>
            <w:r>
              <w:rPr>
                <w:rFonts w:hint="eastAsia" w:ascii="宋体" w:hAnsi="宋体"/>
                <w:sz w:val="21"/>
              </w:rPr>
              <w:t>安装单位（章）</w:t>
            </w:r>
          </w:p>
          <w:p w14:paraId="28F57C52">
            <w:pPr>
              <w:autoSpaceDE w:val="0"/>
              <w:autoSpaceDN w:val="0"/>
              <w:adjustRightInd w:val="0"/>
              <w:ind w:right="1540" w:rightChars="550" w:firstLine="0" w:firstLineChars="0"/>
              <w:rPr>
                <w:rFonts w:ascii="宋体" w:hAnsi="宋体"/>
                <w:sz w:val="21"/>
              </w:rPr>
            </w:pPr>
          </w:p>
          <w:p w14:paraId="6CAF212A">
            <w:pPr>
              <w:autoSpaceDE w:val="0"/>
              <w:autoSpaceDN w:val="0"/>
              <w:adjustRightInd w:val="0"/>
              <w:ind w:right="1540" w:rightChars="550" w:firstLine="0" w:firstLineChars="0"/>
              <w:rPr>
                <w:rFonts w:ascii="宋体" w:hAnsi="宋体"/>
                <w:sz w:val="21"/>
              </w:rPr>
            </w:pPr>
            <w:r>
              <w:rPr>
                <w:rFonts w:hint="eastAsia" w:ascii="宋体" w:hAnsi="宋体"/>
                <w:sz w:val="21"/>
              </w:rPr>
              <w:t>安装单位技术质量负责人：</w:t>
            </w:r>
          </w:p>
          <w:p w14:paraId="15983E1F">
            <w:pPr>
              <w:autoSpaceDE w:val="0"/>
              <w:autoSpaceDN w:val="0"/>
              <w:adjustRightInd w:val="0"/>
              <w:ind w:right="1540" w:rightChars="550" w:firstLine="0" w:firstLineChars="0"/>
              <w:rPr>
                <w:rFonts w:ascii="宋体" w:hAnsi="宋体"/>
                <w:sz w:val="21"/>
              </w:rPr>
            </w:pPr>
          </w:p>
          <w:p w14:paraId="0C93FA77">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r>
    </w:tbl>
    <w:p w14:paraId="232803D1">
      <w:pPr>
        <w:pStyle w:val="2"/>
        <w:ind w:right="1960"/>
      </w:pPr>
      <w:r>
        <w:rPr>
          <w:rFonts w:hint="eastAsia"/>
        </w:rPr>
        <w:t xml:space="preserve">      </w:t>
      </w:r>
      <w:bookmarkStart w:id="324" w:name="_Toc31725"/>
      <w:r>
        <w:rPr>
          <w:rFonts w:hint="eastAsia"/>
        </w:rPr>
        <w:t>第六章 XGT6015A-8S塔机拆除施工方案</w:t>
      </w:r>
      <w:bookmarkEnd w:id="278"/>
      <w:bookmarkEnd w:id="279"/>
      <w:bookmarkEnd w:id="280"/>
      <w:bookmarkEnd w:id="281"/>
      <w:bookmarkEnd w:id="282"/>
      <w:bookmarkEnd w:id="283"/>
      <w:bookmarkEnd w:id="284"/>
      <w:bookmarkEnd w:id="285"/>
      <w:bookmarkEnd w:id="286"/>
      <w:bookmarkEnd w:id="324"/>
      <w:bookmarkStart w:id="325" w:name="_Toc4778"/>
      <w:bookmarkStart w:id="326" w:name="_Toc1111"/>
      <w:bookmarkStart w:id="327" w:name="_Toc10966"/>
    </w:p>
    <w:p w14:paraId="51272850">
      <w:pPr>
        <w:pStyle w:val="3"/>
      </w:pPr>
      <w:bookmarkStart w:id="328" w:name="_Toc11673"/>
      <w:r>
        <w:rPr>
          <w:rFonts w:hint="eastAsia"/>
        </w:rPr>
        <w:t>6.1拆塔前的准备工作</w:t>
      </w:r>
      <w:bookmarkEnd w:id="328"/>
    </w:p>
    <w:bookmarkEnd w:id="325"/>
    <w:bookmarkEnd w:id="326"/>
    <w:bookmarkEnd w:id="327"/>
    <w:p w14:paraId="66427886">
      <w:pPr>
        <w:pStyle w:val="172"/>
        <w:ind w:firstLine="560"/>
        <w:rPr>
          <w:rFonts w:ascii="Times New Roman" w:hAnsi="Times New Roman" w:cs="Times New Roman"/>
          <w:szCs w:val="21"/>
        </w:rPr>
      </w:pPr>
      <w:r>
        <w:rPr>
          <w:rFonts w:hint="eastAsia" w:ascii="Times New Roman" w:hAnsi="Times New Roman" w:cs="Times New Roman"/>
          <w:szCs w:val="21"/>
        </w:rPr>
        <w:t>1、对施工现场进行清理，场地拉设安全警戒线。</w:t>
      </w:r>
    </w:p>
    <w:p w14:paraId="1F16A95D">
      <w:pPr>
        <w:pStyle w:val="172"/>
        <w:ind w:firstLine="560"/>
        <w:rPr>
          <w:rFonts w:ascii="Times New Roman" w:hAnsi="Times New Roman" w:cs="Times New Roman"/>
          <w:szCs w:val="21"/>
        </w:rPr>
      </w:pPr>
      <w:r>
        <w:rPr>
          <w:rFonts w:hint="eastAsia" w:ascii="Times New Roman" w:hAnsi="Times New Roman" w:cs="Times New Roman"/>
          <w:szCs w:val="21"/>
        </w:rPr>
        <w:t>2、由塔机安拆人员对塔机进行检查，检查内容如下：</w:t>
      </w:r>
    </w:p>
    <w:p w14:paraId="436C11DA">
      <w:pPr>
        <w:pStyle w:val="172"/>
        <w:ind w:firstLine="560"/>
        <w:rPr>
          <w:rFonts w:ascii="Times New Roman" w:hAnsi="Times New Roman" w:cs="Times New Roman"/>
          <w:szCs w:val="21"/>
        </w:rPr>
      </w:pPr>
      <w:r>
        <w:rPr>
          <w:rFonts w:hint="eastAsia" w:ascii="Times New Roman" w:hAnsi="Times New Roman" w:cs="Times New Roman"/>
          <w:szCs w:val="21"/>
        </w:rPr>
        <w:t>（1）钢结构件有无严重锈蚀变形开裂与脱焊；</w:t>
      </w:r>
    </w:p>
    <w:p w14:paraId="23F5B376">
      <w:pPr>
        <w:pStyle w:val="172"/>
        <w:ind w:firstLine="560"/>
        <w:rPr>
          <w:rFonts w:ascii="Times New Roman" w:hAnsi="Times New Roman" w:cs="Times New Roman"/>
          <w:szCs w:val="21"/>
        </w:rPr>
      </w:pPr>
      <w:r>
        <w:rPr>
          <w:rFonts w:hint="eastAsia" w:ascii="Times New Roman" w:hAnsi="Times New Roman" w:cs="Times New Roman"/>
          <w:szCs w:val="21"/>
        </w:rPr>
        <w:t>（2）钢丝绳是否牢固可靠，是否合乎要求，绳扎头是否可靠；</w:t>
      </w:r>
    </w:p>
    <w:p w14:paraId="23F2727C">
      <w:pPr>
        <w:pStyle w:val="172"/>
        <w:ind w:firstLine="560"/>
        <w:rPr>
          <w:rFonts w:ascii="Times New Roman" w:hAnsi="Times New Roman" w:cs="Times New Roman"/>
          <w:szCs w:val="21"/>
        </w:rPr>
      </w:pPr>
      <w:r>
        <w:rPr>
          <w:rFonts w:hint="eastAsia" w:ascii="Times New Roman" w:hAnsi="Times New Roman" w:cs="Times New Roman"/>
          <w:szCs w:val="21"/>
        </w:rPr>
        <w:t>（3）各部电路及电气元件是否正常；</w:t>
      </w:r>
    </w:p>
    <w:p w14:paraId="271ED6DD">
      <w:pPr>
        <w:pStyle w:val="172"/>
        <w:ind w:firstLine="560"/>
        <w:rPr>
          <w:rFonts w:ascii="Times New Roman" w:hAnsi="Times New Roman" w:cs="Times New Roman"/>
          <w:szCs w:val="21"/>
        </w:rPr>
      </w:pPr>
      <w:r>
        <w:rPr>
          <w:rFonts w:hint="eastAsia" w:ascii="Times New Roman" w:hAnsi="Times New Roman" w:cs="Times New Roman"/>
          <w:szCs w:val="21"/>
        </w:rPr>
        <w:t>（4）爬升机构导向轮是否转动灵活，与塔机间隙是否合乎要求；</w:t>
      </w:r>
    </w:p>
    <w:p w14:paraId="6525B1A0">
      <w:pPr>
        <w:pStyle w:val="172"/>
        <w:ind w:firstLine="560"/>
        <w:rPr>
          <w:rFonts w:ascii="Times New Roman" w:hAnsi="Times New Roman" w:cs="Times New Roman"/>
          <w:szCs w:val="21"/>
        </w:rPr>
      </w:pPr>
      <w:r>
        <w:rPr>
          <w:rFonts w:hint="eastAsia" w:ascii="Times New Roman" w:hAnsi="Times New Roman" w:cs="Times New Roman"/>
          <w:szCs w:val="21"/>
        </w:rPr>
        <w:t>（5）顶升液压装置是否正常；</w:t>
      </w:r>
    </w:p>
    <w:p w14:paraId="721C430E">
      <w:pPr>
        <w:pStyle w:val="172"/>
        <w:ind w:firstLine="560"/>
        <w:rPr>
          <w:rFonts w:ascii="Times New Roman" w:hAnsi="Times New Roman" w:cs="Times New Roman"/>
          <w:szCs w:val="21"/>
        </w:rPr>
      </w:pPr>
      <w:r>
        <w:rPr>
          <w:rFonts w:hint="eastAsia" w:ascii="Times New Roman" w:hAnsi="Times New Roman" w:cs="Times New Roman"/>
          <w:szCs w:val="21"/>
        </w:rPr>
        <w:t>（6）塔机拆除前应认真进行检修、保养，对变形件及时修复。</w:t>
      </w:r>
    </w:p>
    <w:p w14:paraId="41455A8F">
      <w:pPr>
        <w:pStyle w:val="172"/>
        <w:ind w:firstLine="560"/>
        <w:rPr>
          <w:rFonts w:ascii="Times New Roman" w:hAnsi="Times New Roman" w:cs="Times New Roman"/>
          <w:szCs w:val="21"/>
        </w:rPr>
      </w:pPr>
      <w:r>
        <w:rPr>
          <w:rFonts w:hint="eastAsia" w:ascii="Times New Roman" w:hAnsi="Times New Roman" w:cs="Times New Roman"/>
          <w:szCs w:val="21"/>
        </w:rPr>
        <w:t>3、按要求做好人员的组织工作。</w:t>
      </w:r>
    </w:p>
    <w:p w14:paraId="1CAFFE23">
      <w:pPr>
        <w:pStyle w:val="172"/>
        <w:ind w:firstLine="560"/>
        <w:rPr>
          <w:rFonts w:ascii="Times New Roman" w:hAnsi="Times New Roman" w:cs="Times New Roman"/>
          <w:szCs w:val="21"/>
        </w:rPr>
      </w:pPr>
      <w:r>
        <w:rPr>
          <w:rFonts w:hint="eastAsia" w:ascii="Times New Roman" w:hAnsi="Times New Roman" w:cs="Times New Roman"/>
          <w:szCs w:val="21"/>
        </w:rPr>
        <w:t>4、按要求做好常用工具、索具及材料的配备与检查验收。</w:t>
      </w:r>
    </w:p>
    <w:p w14:paraId="26B5448E">
      <w:pPr>
        <w:pStyle w:val="172"/>
        <w:ind w:firstLine="560"/>
        <w:rPr>
          <w:rFonts w:ascii="Times New Roman" w:hAnsi="Times New Roman" w:cs="Times New Roman"/>
          <w:szCs w:val="21"/>
        </w:rPr>
      </w:pPr>
      <w:r>
        <w:rPr>
          <w:rFonts w:hint="eastAsia" w:ascii="Times New Roman" w:hAnsi="Times New Roman" w:cs="Times New Roman"/>
          <w:szCs w:val="21"/>
        </w:rPr>
        <w:t>5、由项目部和安拆单位共同对全体作业人员进行安全技术交底。</w:t>
      </w:r>
    </w:p>
    <w:p w14:paraId="1313CC23">
      <w:pPr>
        <w:pStyle w:val="3"/>
      </w:pPr>
      <w:bookmarkStart w:id="329" w:name="_Toc8704"/>
      <w:bookmarkStart w:id="330" w:name="_Toc15278"/>
      <w:bookmarkStart w:id="331" w:name="_Toc32282"/>
      <w:bookmarkStart w:id="332" w:name="_Toc8180"/>
      <w:bookmarkStart w:id="333" w:name="_Toc16065"/>
      <w:bookmarkStart w:id="334" w:name="_Toc14795"/>
      <w:bookmarkStart w:id="335" w:name="_Toc13282"/>
      <w:bookmarkStart w:id="336" w:name="_Toc10898"/>
      <w:r>
        <w:rPr>
          <w:rFonts w:hint="eastAsia"/>
        </w:rPr>
        <w:t>6.2拆塔注意事项</w:t>
      </w:r>
      <w:bookmarkEnd w:id="329"/>
      <w:bookmarkEnd w:id="330"/>
      <w:bookmarkEnd w:id="331"/>
      <w:bookmarkEnd w:id="332"/>
      <w:bookmarkEnd w:id="333"/>
      <w:bookmarkEnd w:id="334"/>
      <w:bookmarkEnd w:id="335"/>
      <w:bookmarkEnd w:id="336"/>
    </w:p>
    <w:p w14:paraId="798B184D">
      <w:pPr>
        <w:ind w:firstLine="560"/>
        <w:jc w:val="left"/>
      </w:pPr>
      <w:bookmarkStart w:id="337" w:name="_Toc13438"/>
      <w:bookmarkStart w:id="338" w:name="_Toc13481"/>
      <w:r>
        <w:rPr>
          <w:rFonts w:hint="eastAsia"/>
        </w:rPr>
        <w:t>1.塔机拆塔之前，由于顶升机构长时间停止使用，应对各机构特别是对顶升机构进行保养和试运转。</w:t>
      </w:r>
    </w:p>
    <w:p w14:paraId="68304E03">
      <w:pPr>
        <w:ind w:firstLine="560"/>
        <w:jc w:val="left"/>
      </w:pPr>
      <w:r>
        <w:rPr>
          <w:rFonts w:hint="eastAsia"/>
        </w:rPr>
        <w:t>2.在试运转过程中，应该有目的对限位器回转机构的制动器等进行可靠性检查。</w:t>
      </w:r>
    </w:p>
    <w:p w14:paraId="202DB5AA">
      <w:pPr>
        <w:ind w:firstLine="560"/>
        <w:jc w:val="left"/>
      </w:pPr>
      <w:r>
        <w:rPr>
          <w:rFonts w:hint="eastAsia"/>
        </w:rPr>
        <w:t>3.塔机标准节拆除，下支座没有用销轴与塔身连接好前，严禁使用回转机构、牵引机构和起升机构。</w:t>
      </w:r>
    </w:p>
    <w:p w14:paraId="149EF5CE">
      <w:pPr>
        <w:ind w:firstLine="560"/>
        <w:jc w:val="left"/>
      </w:pPr>
      <w:r>
        <w:rPr>
          <w:rFonts w:hint="eastAsia"/>
        </w:rPr>
        <w:t>4.塔机拆卸对顶升机构来说是重载连续作业，应对顶升机构的主要受力件经常检查。</w:t>
      </w:r>
    </w:p>
    <w:p w14:paraId="31489868">
      <w:pPr>
        <w:ind w:firstLine="560"/>
        <w:jc w:val="left"/>
      </w:pPr>
      <w:r>
        <w:rPr>
          <w:rFonts w:hint="eastAsia"/>
        </w:rPr>
        <w:t>5.顶升机构工作时，所有的操作人员应集中精力观察各相对运动件的相对位置是否正常，是否有阻碍爬升架运动的物件。</w:t>
      </w:r>
    </w:p>
    <w:p w14:paraId="490BACF1">
      <w:pPr>
        <w:ind w:firstLine="560"/>
        <w:jc w:val="left"/>
      </w:pPr>
      <w:r>
        <w:rPr>
          <w:rFonts w:hint="eastAsia"/>
        </w:rPr>
        <w:t>6.拆塔时塔机最高处风速应低于 14m/s，由于拆塔时，建筑物已完工，工作场地受限制，应注意工作程序和吊装堆放位置，不可马虎大意。</w:t>
      </w:r>
    </w:p>
    <w:p w14:paraId="5FF66740">
      <w:pPr>
        <w:ind w:firstLine="560"/>
        <w:rPr>
          <w:color w:val="000000"/>
        </w:rPr>
      </w:pPr>
      <w:r>
        <w:rPr>
          <w:rFonts w:hint="eastAsia"/>
          <w:color w:val="000000"/>
        </w:rPr>
        <w:br w:type="page"/>
      </w:r>
    </w:p>
    <w:p w14:paraId="0AE3E9F4">
      <w:pPr>
        <w:pStyle w:val="3"/>
      </w:pPr>
      <w:bookmarkStart w:id="339" w:name="_Toc21304"/>
      <w:r>
        <w:rPr>
          <w:rFonts w:hint="eastAsia"/>
        </w:rPr>
        <w:t>6.3拆除总工序</w:t>
      </w:r>
      <w:bookmarkEnd w:id="337"/>
      <w:bookmarkEnd w:id="338"/>
      <w:bookmarkEnd w:id="339"/>
    </w:p>
    <w:p w14:paraId="6492F81A">
      <w:pPr>
        <w:ind w:firstLine="560"/>
        <w:jc w:val="left"/>
      </w:pPr>
      <w:bookmarkStart w:id="340" w:name="_Toc27391"/>
      <w:bookmarkStart w:id="341" w:name="_Toc3998"/>
      <w:r>
        <w:rPr>
          <w:rFonts w:hint="eastAsia"/>
        </w:rPr>
        <w:t>塔机拆卸是一项技术性很强的工作，尤其是塔身节、平衡重、平衡臂、起重臂等部件的拆卸，因此在塔机拆除过程中，应该严格按照拆除方案的拆除流程拆除，严禁违反操作程序，上塔机操作人员应该持证上岗。</w:t>
      </w:r>
    </w:p>
    <w:p w14:paraId="7544DBB4">
      <w:pPr>
        <w:ind w:firstLine="560"/>
        <w:jc w:val="left"/>
      </w:pPr>
      <w:r>
        <w:rPr>
          <w:rFonts w:hint="eastAsia"/>
        </w:rPr>
        <w:t>塔机拆除与塔机安装流程步骤相反，塔机拆除工艺流程：</w:t>
      </w:r>
    </w:p>
    <w:p w14:paraId="6DAD758F">
      <w:pPr>
        <w:ind w:firstLine="560"/>
        <w:jc w:val="left"/>
      </w:pPr>
      <w:r>
        <w:rPr>
          <w:rFonts w:hint="eastAsia"/>
        </w:rPr>
        <w:t>XGT6015A-8S塔机拆除流程：</w:t>
      </w:r>
    </w:p>
    <w:p w14:paraId="3283E1D1">
      <w:pPr>
        <w:ind w:firstLine="560"/>
        <w:jc w:val="left"/>
      </w:pPr>
      <w:r>
        <w:rPr>
          <w:rFonts w:hint="eastAsia"/>
        </w:rPr>
        <w:t>降低标准节→拆除平衡臂配重（留2块 3.2t 配重）→起重臂拆卸→拆卸剩余配重→平衡臂拆除→拆卸起重臂根节→拆卸回转总成→拆卸特殊节→拆卸爬升架及塔身节</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287"/>
    <w:bookmarkEnd w:id="288"/>
    <w:bookmarkEnd w:id="289"/>
    <w:bookmarkEnd w:id="290"/>
    <w:bookmarkEnd w:id="291"/>
    <w:bookmarkEnd w:id="292"/>
    <w:bookmarkEnd w:id="340"/>
    <w:bookmarkEnd w:id="341"/>
    <w:p w14:paraId="087AD3F0">
      <w:pPr>
        <w:pStyle w:val="3"/>
      </w:pPr>
      <w:bookmarkStart w:id="342" w:name="_Toc13014"/>
      <w:bookmarkStart w:id="343" w:name="_Toc21556"/>
      <w:bookmarkStart w:id="344" w:name="_Toc25248"/>
      <w:bookmarkStart w:id="345" w:name="_Toc13863"/>
      <w:bookmarkStart w:id="346" w:name="_Toc10757"/>
      <w:bookmarkStart w:id="347" w:name="_Toc11852"/>
      <w:bookmarkStart w:id="348" w:name="_Toc13892"/>
      <w:bookmarkStart w:id="349" w:name="_Toc14280"/>
      <w:bookmarkStart w:id="350" w:name="_Toc18850"/>
      <w:bookmarkStart w:id="351" w:name="_Toc87114080"/>
      <w:bookmarkStart w:id="352" w:name="_Toc8801"/>
      <w:bookmarkStart w:id="353" w:name="_Toc13467"/>
      <w:bookmarkStart w:id="354" w:name="_Toc24350"/>
      <w:bookmarkStart w:id="355" w:name="_Toc25126"/>
      <w:bookmarkStart w:id="356" w:name="_Toc31806"/>
      <w:bookmarkStart w:id="357" w:name="_Toc29964"/>
      <w:r>
        <w:rPr>
          <w:rFonts w:hint="eastAsia"/>
        </w:rPr>
        <w:t>6.4 拆塔</w:t>
      </w:r>
      <w:bookmarkEnd w:id="342"/>
      <w:bookmarkEnd w:id="343"/>
    </w:p>
    <w:p w14:paraId="6B215CD3">
      <w:pPr>
        <w:ind w:firstLine="560"/>
        <w:jc w:val="left"/>
      </w:pPr>
      <w:r>
        <w:rPr>
          <w:rFonts w:hint="eastAsia"/>
        </w:rPr>
        <w:t>将塔机降低至安装高度后（降塔时遇到附着先拆除附着在继续降塔），利用25t汽车吊将塔机按步骤拆除。</w:t>
      </w:r>
    </w:p>
    <w:p w14:paraId="79F30528">
      <w:pPr>
        <w:pStyle w:val="4"/>
        <w:spacing w:before="29" w:line="360" w:lineRule="auto"/>
        <w:ind w:right="159"/>
        <w:rPr>
          <w:rFonts w:ascii="黑体" w:hAnsi="黑体" w:cs="黑体"/>
          <w:bCs/>
          <w:color w:val="000000"/>
        </w:rPr>
      </w:pPr>
      <w:r>
        <w:rPr>
          <w:rFonts w:hint="eastAsia" w:ascii="黑体" w:hAnsi="黑体" w:cs="黑体"/>
          <w:bCs/>
          <w:color w:val="000000"/>
        </w:rPr>
        <w:t>6.4.1.降塔</w:t>
      </w:r>
    </w:p>
    <w:p w14:paraId="7B19CF21">
      <w:pPr>
        <w:pStyle w:val="11"/>
        <w:ind w:firstLine="560"/>
        <w:rPr>
          <w:rFonts w:hint="default"/>
        </w:rPr>
      </w:pPr>
      <w:r>
        <w:t xml:space="preserve">（1）将起重臂回转到引进方向（爬升架中有开口的一侧），使回转制动器处于制动状态，载重小车停在配平位置（与立塔顶升加节时载重小车的配平位置一致）。 </w:t>
      </w:r>
    </w:p>
    <w:p w14:paraId="282C3214">
      <w:pPr>
        <w:pStyle w:val="11"/>
        <w:ind w:firstLine="560"/>
        <w:rPr>
          <w:rFonts w:hint="default"/>
        </w:rPr>
      </w:pPr>
      <w:r>
        <w:t>（2）拆掉最上面塔身标准节与特殊节的连接螺栓，稍稍向上顶升，将引进轮按规定方向放至到标准节下方，并保证安全可靠；然后拆掉最上面的塔身标准节与下一节标准节的连接螺栓。</w:t>
      </w:r>
    </w:p>
    <w:p w14:paraId="428A044E">
      <w:pPr>
        <w:pStyle w:val="11"/>
        <w:ind w:firstLine="560"/>
        <w:rPr>
          <w:rFonts w:hint="default"/>
        </w:rPr>
      </w:pPr>
      <w:r>
        <w:t xml:space="preserve">（3）伸长顶升油缸，将顶升横梁顶在从上往下数第三个踏步的圆弧槽内，插好防脱销，将上部结构稍稍顶起，把特殊节与爬升架连接耳板销孔对正，打入销轴，并装好开口销。 </w:t>
      </w:r>
    </w:p>
    <w:p w14:paraId="43D3F269">
      <w:pPr>
        <w:pStyle w:val="11"/>
        <w:ind w:firstLine="560"/>
        <w:rPr>
          <w:rFonts w:hint="default"/>
        </w:rPr>
      </w:pPr>
      <w:r>
        <w:t xml:space="preserve">（4）拆掉最上面塔身标准节与特殊节的连接螺栓，稍稍向上顶升，并保证安全可靠；然后拆掉最上面的塔身标准节与下一节标准节的连接螺栓，并在四角安装上引进轮； </w:t>
      </w:r>
    </w:p>
    <w:p w14:paraId="35078A53">
      <w:pPr>
        <w:pStyle w:val="11"/>
        <w:ind w:firstLine="560"/>
        <w:rPr>
          <w:rFonts w:hint="default"/>
        </w:rPr>
      </w:pPr>
      <w:r>
        <w:t xml:space="preserve">（5）继续顶升至最上面标准节与下方标准节离开，把标准节推出引进横梁并支稳（推出时且不可用力过猛，以免标准节冲出引进梁而倾翻，造成事故）。 </w:t>
      </w:r>
    </w:p>
    <w:p w14:paraId="7D52665E">
      <w:pPr>
        <w:pStyle w:val="11"/>
        <w:ind w:firstLine="560"/>
        <w:rPr>
          <w:rFonts w:hint="default"/>
        </w:rPr>
      </w:pPr>
      <w: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5D2E2AA5">
      <w:pPr>
        <w:pStyle w:val="11"/>
        <w:ind w:firstLine="560"/>
        <w:rPr>
          <w:rFonts w:hint="default"/>
        </w:rPr>
      </w:pPr>
      <w:r>
        <w:t>（7）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4F26D794">
      <w:pPr>
        <w:pStyle w:val="11"/>
        <w:ind w:firstLine="560"/>
        <w:rPr>
          <w:rFonts w:hint="default"/>
        </w:rPr>
      </w:pPr>
      <w:r>
        <w:t xml:space="preserve">（8）将特殊节与塔身标准节之间用12颗高强螺栓紧固牢，用小车吊钩将标准节吊至地面。 </w:t>
      </w:r>
    </w:p>
    <w:p w14:paraId="2029283A">
      <w:pPr>
        <w:pStyle w:val="11"/>
        <w:ind w:firstLine="560"/>
        <w:rPr>
          <w:rFonts w:hint="default"/>
        </w:rPr>
      </w:pPr>
      <w:r>
        <w:t xml:space="preserve">（9）重复上述动作，将塔身标准节依次拆下。 </w:t>
      </w:r>
    </w:p>
    <w:p w14:paraId="65F8FC47">
      <w:pPr>
        <w:pStyle w:val="11"/>
        <w:ind w:firstLine="560"/>
        <w:rPr>
          <w:rFonts w:hint="default"/>
        </w:rPr>
      </w:pPr>
      <w:r>
        <w:t xml:space="preserve">注意：爬升架下落过程中，需用人工翻转挂靴，同时派专人看管顶升横梁和导轮，观察爬升架下降时有无被障碍物卡住的现象，以便爬升架能顺利下降，否则将造成受力不均，容易造成顶升故障。 </w:t>
      </w:r>
    </w:p>
    <w:p w14:paraId="1BF32D60">
      <w:pPr>
        <w:pStyle w:val="4"/>
        <w:spacing w:before="29" w:line="360" w:lineRule="auto"/>
        <w:ind w:right="159"/>
        <w:rPr>
          <w:rFonts w:ascii="黑体" w:hAnsi="黑体" w:cs="黑体"/>
          <w:bCs/>
          <w:color w:val="000000"/>
        </w:rPr>
      </w:pPr>
      <w:r>
        <w:rPr>
          <w:rFonts w:hint="eastAsia" w:ascii="黑体" w:hAnsi="黑体" w:cs="黑体"/>
          <w:bCs/>
          <w:color w:val="000000"/>
        </w:rPr>
        <w:t>6.4.2.拆除平衡重</w:t>
      </w:r>
    </w:p>
    <w:p w14:paraId="5B207FD5">
      <w:pPr>
        <w:ind w:firstLine="560"/>
        <w:jc w:val="left"/>
      </w:pPr>
      <w:r>
        <w:rPr>
          <w:rFonts w:hint="eastAsia"/>
        </w:rPr>
        <w:t>将载重小车固定在起重臂根部，借助25t汽车吊拆卸配重，拆配重顺序与装配重顺序相反。</w:t>
      </w:r>
    </w:p>
    <w:p w14:paraId="08D504EB">
      <w:pPr>
        <w:pStyle w:val="4"/>
        <w:spacing w:before="29" w:line="360" w:lineRule="auto"/>
        <w:ind w:right="159"/>
        <w:rPr>
          <w:rFonts w:ascii="黑体" w:hAnsi="黑体" w:cs="黑体"/>
          <w:bCs/>
          <w:color w:val="000000"/>
        </w:rPr>
      </w:pPr>
      <w:r>
        <w:rPr>
          <w:rFonts w:hint="eastAsia" w:ascii="黑体" w:hAnsi="黑体" w:cs="黑体"/>
          <w:bCs/>
          <w:color w:val="000000"/>
        </w:rPr>
        <w:t>6.4.3.起重臂拆除</w:t>
      </w:r>
    </w:p>
    <w:p w14:paraId="6F2A6C7B">
      <w:pPr>
        <w:ind w:firstLine="560"/>
        <w:jc w:val="left"/>
      </w:pPr>
      <w:r>
        <w:rPr>
          <w:rFonts w:hint="eastAsia"/>
        </w:rPr>
        <w:t>放下吊钩至地面，拆除起重钢丝绳与起重臂前端上的防扭装置，开动起升机构回收全部钢丝绳。然后将钢丝绳绑在安装起重臂的位置，吊起起重臂，使起重臂靠近塔顶拉杆，拆去起重臂拉杆与塔顶板的连接销轴，放下拉杆至起重臂上固定，拆去钢丝绳，拆掉起重臂与塔头的连接销轴，放下起重臂搁置在垫有枕木的支座上。</w:t>
      </w:r>
    </w:p>
    <w:p w14:paraId="4990A4F7">
      <w:pPr>
        <w:pStyle w:val="4"/>
        <w:spacing w:before="29" w:line="360" w:lineRule="auto"/>
        <w:ind w:right="159"/>
        <w:rPr>
          <w:rFonts w:ascii="黑体" w:hAnsi="黑体" w:cs="黑体"/>
          <w:bCs/>
          <w:color w:val="000000"/>
        </w:rPr>
      </w:pPr>
      <w:r>
        <w:rPr>
          <w:rFonts w:hint="eastAsia" w:ascii="黑体" w:hAnsi="黑体" w:cs="黑体"/>
          <w:bCs/>
          <w:color w:val="000000"/>
        </w:rPr>
        <w:t>6.4.4.平衡臂拆除</w:t>
      </w:r>
    </w:p>
    <w:p w14:paraId="4D15825A">
      <w:pPr>
        <w:ind w:firstLine="560"/>
        <w:jc w:val="left"/>
      </w:pPr>
      <w:r>
        <w:rPr>
          <w:rFonts w:hint="eastAsia"/>
        </w:rPr>
        <w:t>将配重全部吊下，然后通过平衡臂上的四个安装吊耳吊起平衡臂，使平衡臂拉杆处于放松状态，拆下拉杆连接销轴，然后拆掉平衡臂与塔帽的连接销轴，将平衡臂平稳放至地面上。</w:t>
      </w:r>
    </w:p>
    <w:p w14:paraId="4D36A2BE">
      <w:pPr>
        <w:pStyle w:val="4"/>
        <w:spacing w:before="29" w:line="360" w:lineRule="auto"/>
        <w:ind w:right="159"/>
        <w:rPr>
          <w:rFonts w:ascii="黑体" w:hAnsi="黑体" w:cs="黑体"/>
          <w:bCs/>
          <w:color w:val="000000"/>
        </w:rPr>
      </w:pPr>
      <w:r>
        <w:rPr>
          <w:rFonts w:hint="eastAsia" w:ascii="黑体" w:hAnsi="黑体" w:cs="黑体"/>
          <w:bCs/>
          <w:color w:val="000000"/>
        </w:rPr>
        <w:t>6.4.5.拆卸起重臂根节</w:t>
      </w:r>
    </w:p>
    <w:p w14:paraId="440E2A04">
      <w:pPr>
        <w:ind w:firstLine="560"/>
        <w:jc w:val="left"/>
      </w:pPr>
      <w:r>
        <w:rPr>
          <w:rFonts w:hint="eastAsia"/>
        </w:rPr>
        <w:t>拆起重臂根节前，先检查与相邻的组件之间是否还有电缆连接，拆掉起重臂根节与回转之间的销轴然后吊放至地面。</w:t>
      </w:r>
    </w:p>
    <w:p w14:paraId="6E6EB0DE">
      <w:pPr>
        <w:pStyle w:val="4"/>
        <w:spacing w:before="29" w:line="360" w:lineRule="auto"/>
        <w:ind w:right="159"/>
        <w:rPr>
          <w:rFonts w:ascii="黑体" w:hAnsi="黑体" w:cs="黑体"/>
          <w:bCs/>
          <w:color w:val="000000"/>
        </w:rPr>
      </w:pPr>
      <w:r>
        <w:rPr>
          <w:rFonts w:hint="eastAsia" w:ascii="黑体" w:hAnsi="黑体" w:cs="黑体"/>
          <w:bCs/>
          <w:color w:val="000000"/>
        </w:rPr>
        <w:t>6.4.6 拆掉回转塔身总成</w:t>
      </w:r>
    </w:p>
    <w:p w14:paraId="2784378D">
      <w:pPr>
        <w:ind w:firstLine="560"/>
        <w:jc w:val="left"/>
      </w:pPr>
      <w:r>
        <w:rPr>
          <w:rFonts w:hint="eastAsia"/>
        </w:rPr>
        <w:t>拆卸回转塔身与上支座的连接销轴，然后吊起卸下。</w:t>
      </w:r>
    </w:p>
    <w:p w14:paraId="1653DC4A">
      <w:pPr>
        <w:pStyle w:val="4"/>
        <w:spacing w:before="29" w:line="360" w:lineRule="auto"/>
        <w:ind w:right="159"/>
        <w:rPr>
          <w:rFonts w:ascii="黑体" w:hAnsi="黑体" w:cs="黑体"/>
          <w:bCs/>
          <w:color w:val="000000"/>
        </w:rPr>
      </w:pPr>
      <w:r>
        <w:rPr>
          <w:rFonts w:hint="eastAsia" w:ascii="黑体" w:hAnsi="黑体" w:cs="黑体"/>
          <w:bCs/>
          <w:color w:val="000000"/>
        </w:rPr>
        <w:t>6.4.7 拆掉回转总成</w:t>
      </w:r>
    </w:p>
    <w:p w14:paraId="2A36C1F9">
      <w:pPr>
        <w:ind w:firstLine="560"/>
        <w:jc w:val="left"/>
      </w:pPr>
      <w:r>
        <w:rPr>
          <w:rFonts w:hint="eastAsia"/>
        </w:rPr>
        <w:t>拆掉下支座与塔身的连接销轴，伸长顶升油缸，将顶升横梁顶在踏步的圆弧槽内并稍稍顶紧，拆掉下支座与爬升架的连接销轴，回缩顶升油缸，将爬升架的爬爪支承在塔身上，用吊索将回转总成吊起卸下。</w:t>
      </w:r>
    </w:p>
    <w:p w14:paraId="11BC450D">
      <w:pPr>
        <w:pStyle w:val="4"/>
        <w:spacing w:before="29" w:line="360" w:lineRule="auto"/>
        <w:ind w:right="159"/>
        <w:rPr>
          <w:rFonts w:ascii="黑体" w:hAnsi="黑体" w:cs="黑体"/>
          <w:bCs/>
          <w:color w:val="000000"/>
        </w:rPr>
      </w:pPr>
      <w:r>
        <w:rPr>
          <w:rFonts w:hint="eastAsia" w:ascii="黑体" w:hAnsi="黑体" w:cs="黑体"/>
          <w:bCs/>
          <w:color w:val="000000"/>
        </w:rPr>
        <w:t>6.4.8 拆掉特殊节</w:t>
      </w:r>
    </w:p>
    <w:p w14:paraId="7EB1C428">
      <w:pPr>
        <w:ind w:firstLine="560"/>
      </w:pPr>
      <w:r>
        <w:rPr>
          <w:rFonts w:hint="eastAsia"/>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04BF3AD4">
      <w:pPr>
        <w:pStyle w:val="4"/>
        <w:spacing w:before="29" w:line="360" w:lineRule="auto"/>
        <w:ind w:right="159"/>
        <w:rPr>
          <w:rFonts w:ascii="黑体" w:hAnsi="黑体" w:cs="黑体"/>
          <w:bCs/>
          <w:color w:val="000000"/>
        </w:rPr>
      </w:pPr>
      <w:r>
        <w:rPr>
          <w:rFonts w:hint="eastAsia" w:ascii="黑体" w:hAnsi="黑体" w:cs="黑体"/>
          <w:bCs/>
          <w:color w:val="000000"/>
        </w:rPr>
        <w:t>6.4.9 拆掉爬升架和塔身标准节</w:t>
      </w:r>
    </w:p>
    <w:p w14:paraId="37409A14">
      <w:pPr>
        <w:ind w:firstLine="560"/>
        <w:jc w:val="left"/>
      </w:pPr>
      <w:r>
        <w:rPr>
          <w:rFonts w:hint="eastAsia"/>
        </w:rPr>
        <w:t>吊起爬升架，缓缓沿标准节主弦杆吊出，放至地面然后拆除塔身节。</w:t>
      </w:r>
    </w:p>
    <w:p w14:paraId="4463BA8C">
      <w:pPr>
        <w:ind w:firstLine="562"/>
        <w:jc w:val="left"/>
        <w:rPr>
          <w:b/>
          <w:bCs/>
        </w:rPr>
      </w:pPr>
      <w:r>
        <w:rPr>
          <w:rFonts w:hint="eastAsia"/>
          <w:b/>
          <w:bCs/>
        </w:rPr>
        <w:t>注：塔机拆除后，由工程技术人员和专业维修人员检查受力结构件的金属疲劳，焊缝裂纹，结构变形等情况，检查塔机各零部件是否有损坏或碰伤。检查完毕后对缺陷隐患进行修复，在进行防锈刷漆处。</w:t>
      </w:r>
    </w:p>
    <w:p w14:paraId="40F85910">
      <w:pPr>
        <w:pStyle w:val="2"/>
      </w:pPr>
      <w:bookmarkStart w:id="358" w:name="_Toc5000"/>
      <w:r>
        <w:rPr>
          <w:rFonts w:hint="eastAsia"/>
        </w:rPr>
        <w:t>第七章 危险源辨识与分析</w:t>
      </w:r>
      <w:bookmarkEnd w:id="344"/>
      <w:bookmarkEnd w:id="345"/>
      <w:bookmarkEnd w:id="346"/>
      <w:bookmarkEnd w:id="347"/>
      <w:bookmarkEnd w:id="348"/>
      <w:bookmarkEnd w:id="349"/>
      <w:bookmarkEnd w:id="358"/>
    </w:p>
    <w:p w14:paraId="127D8A3D">
      <w:pPr>
        <w:ind w:firstLine="560"/>
        <w:rPr>
          <w:color w:val="000000"/>
        </w:rPr>
      </w:pPr>
      <w:r>
        <w:rPr>
          <w:rFonts w:hint="eastAsia"/>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752D0E50">
      <w:pPr>
        <w:pStyle w:val="3"/>
        <w:ind w:firstLine="562"/>
        <w:rPr>
          <w:color w:val="000000"/>
        </w:rPr>
      </w:pPr>
      <w:bookmarkStart w:id="359" w:name="_Toc7186"/>
      <w:bookmarkStart w:id="360" w:name="_Toc5705"/>
      <w:bookmarkStart w:id="361" w:name="_Toc16398"/>
      <w:bookmarkStart w:id="362" w:name="_Toc28112"/>
      <w:bookmarkStart w:id="363" w:name="_Toc15693"/>
      <w:bookmarkStart w:id="364" w:name="_Toc20001"/>
      <w:r>
        <w:rPr>
          <w:rFonts w:hint="eastAsia"/>
          <w:color w:val="000000"/>
        </w:rPr>
        <w:t>7.</w:t>
      </w:r>
      <w:r>
        <w:rPr>
          <w:color w:val="000000"/>
        </w:rPr>
        <w:t>1</w:t>
      </w:r>
      <w:r>
        <w:rPr>
          <w:rFonts w:hint="eastAsia"/>
          <w:color w:val="000000"/>
        </w:rPr>
        <w:t>危险因素辨识</w:t>
      </w:r>
      <w:bookmarkEnd w:id="359"/>
      <w:bookmarkEnd w:id="360"/>
      <w:bookmarkEnd w:id="361"/>
      <w:bookmarkEnd w:id="362"/>
      <w:bookmarkEnd w:id="363"/>
      <w:bookmarkEnd w:id="364"/>
    </w:p>
    <w:p w14:paraId="5C8B1031">
      <w:pPr>
        <w:pStyle w:val="122"/>
        <w:rPr>
          <w:rStyle w:val="123"/>
          <w:b/>
        </w:rPr>
      </w:pPr>
      <w:r>
        <w:rPr>
          <w:rStyle w:val="123"/>
          <w:rFonts w:hint="eastAsia"/>
          <w:b/>
        </w:rPr>
        <w:t>表7.</w:t>
      </w:r>
      <w:r>
        <w:rPr>
          <w:rStyle w:val="123"/>
          <w:b/>
        </w:rPr>
        <w:t>1-1</w:t>
      </w:r>
      <w:r>
        <w:rPr>
          <w:rStyle w:val="123"/>
          <w:rFonts w:hint="eastAsia"/>
          <w:b/>
        </w:rPr>
        <w:t>安全危险源普查清单</w:t>
      </w:r>
    </w:p>
    <w:tbl>
      <w:tblPr>
        <w:tblStyle w:val="40"/>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12"/>
        <w:gridCol w:w="3523"/>
        <w:gridCol w:w="3933"/>
      </w:tblGrid>
      <w:tr w14:paraId="03F5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14:paraId="5DF90ED3">
            <w:pPr>
              <w:pStyle w:val="143"/>
              <w:rPr>
                <w:rFonts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36BAAB7D">
            <w:pPr>
              <w:pStyle w:val="143"/>
              <w:rPr>
                <w:rFonts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3251B766">
            <w:pPr>
              <w:pStyle w:val="143"/>
              <w:rPr>
                <w:rFonts w:ascii="仿宋" w:hAnsi="仿宋"/>
                <w:color w:val="000000"/>
                <w:kern w:val="2"/>
                <w:sz w:val="24"/>
                <w:szCs w:val="24"/>
              </w:rPr>
            </w:pPr>
            <w:r>
              <w:rPr>
                <w:rFonts w:hint="eastAsia" w:ascii="仿宋" w:hAnsi="仿宋"/>
                <w:color w:val="000000"/>
                <w:kern w:val="2"/>
                <w:sz w:val="24"/>
                <w:szCs w:val="24"/>
              </w:rPr>
              <w:t>判断依据</w:t>
            </w:r>
          </w:p>
        </w:tc>
      </w:tr>
      <w:tr w14:paraId="2B75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14:paraId="7D5BB287">
            <w:pPr>
              <w:pStyle w:val="143"/>
              <w:rPr>
                <w:rFonts w:ascii="仿宋" w:hAnsi="仿宋"/>
                <w:color w:val="000000"/>
                <w:kern w:val="2"/>
                <w:sz w:val="24"/>
                <w:szCs w:val="24"/>
              </w:rPr>
            </w:pPr>
          </w:p>
        </w:tc>
        <w:tc>
          <w:tcPr>
            <w:tcW w:w="609" w:type="pct"/>
            <w:vMerge w:val="continue"/>
            <w:vAlign w:val="center"/>
          </w:tcPr>
          <w:p w14:paraId="41DCE95E">
            <w:pPr>
              <w:pStyle w:val="143"/>
              <w:rPr>
                <w:rFonts w:ascii="仿宋" w:hAnsi="仿宋"/>
                <w:color w:val="000000"/>
                <w:kern w:val="2"/>
                <w:sz w:val="24"/>
                <w:szCs w:val="24"/>
              </w:rPr>
            </w:pPr>
          </w:p>
        </w:tc>
        <w:tc>
          <w:tcPr>
            <w:tcW w:w="1930" w:type="pct"/>
            <w:vAlign w:val="center"/>
          </w:tcPr>
          <w:p w14:paraId="52F18C98">
            <w:pPr>
              <w:pStyle w:val="143"/>
              <w:rPr>
                <w:rFonts w:ascii="仿宋" w:hAnsi="仿宋"/>
                <w:color w:val="000000"/>
                <w:kern w:val="2"/>
                <w:sz w:val="24"/>
                <w:szCs w:val="24"/>
              </w:rPr>
            </w:pPr>
            <w:r>
              <w:rPr>
                <w:rFonts w:hint="eastAsia" w:ascii="仿宋" w:hAnsi="仿宋"/>
                <w:color w:val="000000"/>
                <w:kern w:val="2"/>
                <w:sz w:val="24"/>
                <w:szCs w:val="24"/>
              </w:rPr>
              <w:t>物的不安全状态</w:t>
            </w:r>
          </w:p>
        </w:tc>
        <w:tc>
          <w:tcPr>
            <w:tcW w:w="2155" w:type="pct"/>
            <w:vAlign w:val="center"/>
          </w:tcPr>
          <w:p w14:paraId="17AB8E12">
            <w:pPr>
              <w:pStyle w:val="143"/>
              <w:rPr>
                <w:rFonts w:ascii="仿宋" w:hAnsi="仿宋"/>
                <w:color w:val="000000"/>
                <w:kern w:val="2"/>
                <w:sz w:val="24"/>
                <w:szCs w:val="24"/>
              </w:rPr>
            </w:pPr>
            <w:r>
              <w:rPr>
                <w:rFonts w:hint="eastAsia" w:ascii="仿宋" w:hAnsi="仿宋"/>
                <w:color w:val="000000"/>
                <w:kern w:val="2"/>
                <w:sz w:val="24"/>
                <w:szCs w:val="24"/>
              </w:rPr>
              <w:t>人的不安全行为</w:t>
            </w:r>
          </w:p>
        </w:tc>
      </w:tr>
      <w:tr w14:paraId="73D5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86EB5D4">
            <w:pPr>
              <w:pStyle w:val="143"/>
              <w:rPr>
                <w:rFonts w:ascii="仿宋" w:hAnsi="仿宋"/>
                <w:color w:val="000000"/>
                <w:kern w:val="2"/>
                <w:sz w:val="24"/>
                <w:szCs w:val="24"/>
              </w:rPr>
            </w:pPr>
            <w:r>
              <w:rPr>
                <w:rFonts w:ascii="仿宋" w:hAnsi="仿宋"/>
                <w:color w:val="000000"/>
                <w:kern w:val="2"/>
                <w:sz w:val="24"/>
                <w:szCs w:val="24"/>
              </w:rPr>
              <w:t>1</w:t>
            </w:r>
          </w:p>
        </w:tc>
        <w:tc>
          <w:tcPr>
            <w:tcW w:w="609" w:type="pct"/>
            <w:vAlign w:val="center"/>
          </w:tcPr>
          <w:p w14:paraId="7A4282EB">
            <w:pPr>
              <w:pStyle w:val="143"/>
              <w:rPr>
                <w:rFonts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64A569B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38D513C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6165918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108C39F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6E98775E">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6A284BA7">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26EB4546">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5" w:type="pct"/>
            <w:vAlign w:val="center"/>
          </w:tcPr>
          <w:p w14:paraId="2ACD4EB8">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2151BCD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57C64F5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6DDE57CD">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05DB5135">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49C709F0">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275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0228312">
            <w:pPr>
              <w:pStyle w:val="143"/>
              <w:rPr>
                <w:rFonts w:ascii="仿宋" w:hAnsi="仿宋"/>
                <w:color w:val="000000"/>
                <w:kern w:val="2"/>
                <w:sz w:val="24"/>
                <w:szCs w:val="24"/>
              </w:rPr>
            </w:pPr>
            <w:r>
              <w:rPr>
                <w:rFonts w:ascii="仿宋" w:hAnsi="仿宋"/>
                <w:color w:val="000000"/>
                <w:kern w:val="2"/>
                <w:sz w:val="24"/>
                <w:szCs w:val="24"/>
              </w:rPr>
              <w:t>2</w:t>
            </w:r>
          </w:p>
        </w:tc>
        <w:tc>
          <w:tcPr>
            <w:tcW w:w="609" w:type="pct"/>
            <w:vAlign w:val="center"/>
          </w:tcPr>
          <w:p w14:paraId="570B173D">
            <w:pPr>
              <w:pStyle w:val="143"/>
              <w:rPr>
                <w:rFonts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5F8766D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6881EEB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5BB0F3A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5" w:type="pct"/>
            <w:vAlign w:val="center"/>
          </w:tcPr>
          <w:p w14:paraId="2E7FEE1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7CDE9AF5">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02EBB3B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21C7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32D8510E">
            <w:pPr>
              <w:pStyle w:val="143"/>
              <w:rPr>
                <w:rFonts w:ascii="仿宋" w:hAnsi="仿宋"/>
                <w:color w:val="000000"/>
                <w:kern w:val="2"/>
                <w:sz w:val="24"/>
                <w:szCs w:val="24"/>
              </w:rPr>
            </w:pPr>
            <w:r>
              <w:rPr>
                <w:rFonts w:ascii="仿宋" w:hAnsi="仿宋"/>
                <w:color w:val="000000"/>
                <w:kern w:val="2"/>
                <w:sz w:val="24"/>
                <w:szCs w:val="24"/>
              </w:rPr>
              <w:t>3</w:t>
            </w:r>
          </w:p>
        </w:tc>
        <w:tc>
          <w:tcPr>
            <w:tcW w:w="609" w:type="pct"/>
            <w:vAlign w:val="center"/>
          </w:tcPr>
          <w:p w14:paraId="2FAA4EEB">
            <w:pPr>
              <w:pStyle w:val="143"/>
              <w:rPr>
                <w:rFonts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33A25621">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75CEF1C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1F1E2534">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5" w:type="pct"/>
            <w:vAlign w:val="center"/>
          </w:tcPr>
          <w:p w14:paraId="6286017F">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49F45B8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3E67FD38">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366A298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4F5C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FB2D662">
            <w:pPr>
              <w:pStyle w:val="143"/>
              <w:rPr>
                <w:rFonts w:ascii="仿宋" w:hAnsi="仿宋"/>
                <w:color w:val="000000"/>
                <w:kern w:val="2"/>
                <w:sz w:val="24"/>
                <w:szCs w:val="24"/>
              </w:rPr>
            </w:pPr>
            <w:r>
              <w:rPr>
                <w:rFonts w:ascii="仿宋" w:hAnsi="仿宋"/>
                <w:color w:val="000000"/>
                <w:kern w:val="2"/>
                <w:sz w:val="24"/>
                <w:szCs w:val="24"/>
              </w:rPr>
              <w:t>4</w:t>
            </w:r>
          </w:p>
        </w:tc>
        <w:tc>
          <w:tcPr>
            <w:tcW w:w="609" w:type="pct"/>
            <w:vAlign w:val="center"/>
          </w:tcPr>
          <w:p w14:paraId="3AD76DCE">
            <w:pPr>
              <w:pStyle w:val="143"/>
              <w:rPr>
                <w:rFonts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759C499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07BFB97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、履带吊等设备、设施、工具、附件有缺陷；</w:t>
            </w:r>
          </w:p>
          <w:p w14:paraId="613BBAAA">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4B74E5D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5" w:type="pct"/>
            <w:vAlign w:val="center"/>
          </w:tcPr>
          <w:p w14:paraId="5EA18FD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771904A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15D5303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2EA6D5CB">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5164883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18CB6E8B">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58A2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D30CA69">
            <w:pPr>
              <w:pStyle w:val="143"/>
              <w:rPr>
                <w:rFonts w:ascii="仿宋" w:hAnsi="仿宋"/>
                <w:color w:val="000000"/>
                <w:kern w:val="2"/>
                <w:sz w:val="24"/>
                <w:szCs w:val="24"/>
              </w:rPr>
            </w:pPr>
            <w:r>
              <w:rPr>
                <w:rFonts w:ascii="仿宋" w:hAnsi="仿宋"/>
                <w:color w:val="000000"/>
                <w:kern w:val="2"/>
                <w:sz w:val="24"/>
                <w:szCs w:val="24"/>
              </w:rPr>
              <w:t>5</w:t>
            </w:r>
          </w:p>
        </w:tc>
        <w:tc>
          <w:tcPr>
            <w:tcW w:w="609" w:type="pct"/>
            <w:vAlign w:val="center"/>
          </w:tcPr>
          <w:p w14:paraId="43D1F0B7">
            <w:pPr>
              <w:pStyle w:val="143"/>
              <w:rPr>
                <w:rFonts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680C7CC3">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421B2E5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27CD8FD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14148C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73643F60">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67E030DF">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1EBFC38A">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5" w:type="pct"/>
            <w:vAlign w:val="center"/>
          </w:tcPr>
          <w:p w14:paraId="3DBD4785">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216D909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03517B9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67FF8EFF">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521DB47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2F43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AEC2683">
            <w:pPr>
              <w:pStyle w:val="143"/>
              <w:rPr>
                <w:rFonts w:ascii="仿宋" w:hAnsi="仿宋"/>
                <w:color w:val="000000"/>
                <w:kern w:val="2"/>
                <w:sz w:val="24"/>
                <w:szCs w:val="24"/>
              </w:rPr>
            </w:pPr>
            <w:r>
              <w:rPr>
                <w:rFonts w:ascii="仿宋" w:hAnsi="仿宋"/>
                <w:color w:val="000000"/>
                <w:kern w:val="2"/>
                <w:sz w:val="24"/>
                <w:szCs w:val="24"/>
              </w:rPr>
              <w:t>6</w:t>
            </w:r>
          </w:p>
        </w:tc>
        <w:tc>
          <w:tcPr>
            <w:tcW w:w="609" w:type="pct"/>
            <w:vAlign w:val="center"/>
          </w:tcPr>
          <w:p w14:paraId="308E5E56">
            <w:pPr>
              <w:pStyle w:val="143"/>
              <w:rPr>
                <w:rFonts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60C5CE8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1F91D1BD">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5" w:type="pct"/>
            <w:vAlign w:val="center"/>
          </w:tcPr>
          <w:p w14:paraId="38280352">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72143B7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0D39A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7724FF2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615D7AD8">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5A3E9E16">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426E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199AB09">
            <w:pPr>
              <w:pStyle w:val="143"/>
              <w:rPr>
                <w:rFonts w:ascii="仿宋" w:hAnsi="仿宋"/>
                <w:color w:val="000000"/>
                <w:kern w:val="2"/>
                <w:sz w:val="24"/>
                <w:szCs w:val="24"/>
              </w:rPr>
            </w:pPr>
            <w:r>
              <w:rPr>
                <w:rFonts w:ascii="仿宋" w:hAnsi="仿宋"/>
                <w:color w:val="000000"/>
                <w:kern w:val="2"/>
                <w:sz w:val="24"/>
                <w:szCs w:val="24"/>
              </w:rPr>
              <w:t>7</w:t>
            </w:r>
          </w:p>
        </w:tc>
        <w:tc>
          <w:tcPr>
            <w:tcW w:w="609" w:type="pct"/>
            <w:vAlign w:val="center"/>
          </w:tcPr>
          <w:p w14:paraId="0F435CAD">
            <w:pPr>
              <w:pStyle w:val="143"/>
              <w:rPr>
                <w:rFonts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26471B9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10FB0372">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08BFE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446A3A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5" w:type="pct"/>
            <w:vAlign w:val="center"/>
          </w:tcPr>
          <w:p w14:paraId="3A5662B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1F16A2C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1AF6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F8F9987">
            <w:pPr>
              <w:pStyle w:val="143"/>
              <w:rPr>
                <w:rFonts w:ascii="仿宋" w:hAnsi="仿宋"/>
                <w:color w:val="000000"/>
                <w:kern w:val="2"/>
                <w:sz w:val="24"/>
                <w:szCs w:val="24"/>
              </w:rPr>
            </w:pPr>
            <w:r>
              <w:rPr>
                <w:rFonts w:ascii="仿宋" w:hAnsi="仿宋"/>
                <w:color w:val="000000"/>
                <w:kern w:val="2"/>
                <w:sz w:val="24"/>
                <w:szCs w:val="24"/>
              </w:rPr>
              <w:t>8</w:t>
            </w:r>
          </w:p>
        </w:tc>
        <w:tc>
          <w:tcPr>
            <w:tcW w:w="609" w:type="pct"/>
            <w:vAlign w:val="center"/>
          </w:tcPr>
          <w:p w14:paraId="3301AB62">
            <w:pPr>
              <w:pStyle w:val="143"/>
              <w:rPr>
                <w:rFonts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6218922F">
            <w:pPr>
              <w:pStyle w:val="143"/>
              <w:jc w:val="left"/>
              <w:rPr>
                <w:rFonts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63AD0F21">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012A611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51DAC1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50416D5C">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790D4DDE">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0E7129A0">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265688DD">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60CD406E">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3D2D9401">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1893AE40">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74909674">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69E8CBBC">
            <w:pPr>
              <w:pStyle w:val="143"/>
              <w:jc w:val="left"/>
              <w:rPr>
                <w:rFonts w:ascii="仿宋" w:hAnsi="仿宋"/>
                <w:color w:val="000000"/>
                <w:kern w:val="2"/>
                <w:sz w:val="24"/>
                <w:szCs w:val="24"/>
              </w:rPr>
            </w:pPr>
            <w:r>
              <w:rPr>
                <w:rFonts w:hint="eastAsia" w:ascii="仿宋" w:hAnsi="仿宋"/>
                <w:color w:val="000000"/>
                <w:kern w:val="2"/>
                <w:sz w:val="24"/>
                <w:szCs w:val="24"/>
              </w:rPr>
              <w:t>示仪表有缺陷；</w:t>
            </w:r>
          </w:p>
          <w:p w14:paraId="22DCE53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0F51EA0A">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548C358F">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21EF8412">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7CAA673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3046065D">
            <w:pPr>
              <w:pStyle w:val="143"/>
              <w:jc w:val="left"/>
              <w:rPr>
                <w:rFonts w:ascii="仿宋" w:hAnsi="仿宋"/>
                <w:color w:val="000000"/>
                <w:kern w:val="2"/>
                <w:sz w:val="24"/>
                <w:szCs w:val="24"/>
              </w:rPr>
            </w:pPr>
          </w:p>
        </w:tc>
        <w:tc>
          <w:tcPr>
            <w:tcW w:w="2155" w:type="pct"/>
            <w:vAlign w:val="center"/>
          </w:tcPr>
          <w:p w14:paraId="096EFAE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019D011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7F404CAF">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60CADA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6132E819">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78FEE018">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64E7F0D4">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310ED573">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211F6DDA">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4DC60C33">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41CEEFB9">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3ACF54F7">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3EFB498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49403939">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3FE02B9B">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15F5A25E">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0B62A77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62BE9C33">
            <w:pPr>
              <w:pStyle w:val="143"/>
              <w:jc w:val="left"/>
              <w:rPr>
                <w:rFonts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457B3DEC">
            <w:pPr>
              <w:pStyle w:val="143"/>
              <w:jc w:val="left"/>
              <w:rPr>
                <w:rFonts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24036811">
            <w:pPr>
              <w:pStyle w:val="143"/>
              <w:jc w:val="left"/>
              <w:rPr>
                <w:rFonts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31BC2C25">
            <w:pPr>
              <w:pStyle w:val="143"/>
              <w:jc w:val="left"/>
              <w:rPr>
                <w:rFonts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74A94ABF">
      <w:pPr>
        <w:pStyle w:val="3"/>
        <w:ind w:firstLine="562"/>
        <w:rPr>
          <w:color w:val="000000"/>
        </w:rPr>
      </w:pPr>
      <w:bookmarkStart w:id="365" w:name="_Toc43"/>
      <w:bookmarkStart w:id="366" w:name="_Toc27456"/>
      <w:bookmarkStart w:id="367" w:name="_Toc24401"/>
      <w:bookmarkStart w:id="368" w:name="_Toc319"/>
      <w:bookmarkStart w:id="369" w:name="_Toc13299"/>
      <w:bookmarkStart w:id="370" w:name="_Toc13896"/>
      <w:r>
        <w:rPr>
          <w:rFonts w:hint="eastAsia"/>
          <w:color w:val="000000"/>
        </w:rPr>
        <w:t>7.</w:t>
      </w:r>
      <w:r>
        <w:rPr>
          <w:color w:val="000000"/>
        </w:rPr>
        <w:t>2</w:t>
      </w:r>
      <w:r>
        <w:rPr>
          <w:rFonts w:hint="eastAsia"/>
          <w:color w:val="000000"/>
        </w:rPr>
        <w:t>危险因素分析</w:t>
      </w:r>
      <w:bookmarkEnd w:id="365"/>
      <w:bookmarkEnd w:id="366"/>
      <w:bookmarkEnd w:id="367"/>
      <w:bookmarkEnd w:id="368"/>
      <w:bookmarkEnd w:id="369"/>
      <w:bookmarkEnd w:id="370"/>
    </w:p>
    <w:p w14:paraId="1DA56C9D">
      <w:pPr>
        <w:ind w:firstLine="560"/>
        <w:rPr>
          <w:color w:val="000000"/>
        </w:rPr>
      </w:pPr>
      <w:r>
        <w:rPr>
          <w:rFonts w:hint="eastAsia"/>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6E4473D0">
      <w:pPr>
        <w:ind w:firstLine="560"/>
        <w:rPr>
          <w:color w:val="000000"/>
        </w:rPr>
      </w:pPr>
      <w:r>
        <w:rPr>
          <w:rFonts w:hint="eastAsia"/>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531BD5EB">
      <w:pPr>
        <w:pStyle w:val="3"/>
        <w:ind w:firstLine="562"/>
        <w:rPr>
          <w:color w:val="000000"/>
        </w:rPr>
      </w:pPr>
      <w:bookmarkStart w:id="371" w:name="_Toc8308"/>
      <w:bookmarkStart w:id="372" w:name="_Toc6597"/>
      <w:bookmarkStart w:id="373" w:name="_Toc14735"/>
      <w:bookmarkStart w:id="374" w:name="_Toc10252"/>
      <w:bookmarkStart w:id="375" w:name="_Toc8314"/>
      <w:bookmarkStart w:id="376" w:name="_Toc28909"/>
      <w:r>
        <w:rPr>
          <w:rFonts w:hint="eastAsia"/>
          <w:color w:val="000000"/>
        </w:rPr>
        <w:t>7.</w:t>
      </w:r>
      <w:r>
        <w:rPr>
          <w:color w:val="000000"/>
        </w:rPr>
        <w:t>3</w:t>
      </w:r>
      <w:r>
        <w:rPr>
          <w:rFonts w:hint="eastAsia"/>
          <w:color w:val="000000"/>
        </w:rPr>
        <w:t>风险因素评估</w:t>
      </w:r>
      <w:bookmarkEnd w:id="371"/>
      <w:bookmarkEnd w:id="372"/>
      <w:bookmarkEnd w:id="373"/>
      <w:bookmarkEnd w:id="374"/>
      <w:bookmarkEnd w:id="375"/>
      <w:bookmarkEnd w:id="376"/>
    </w:p>
    <w:p w14:paraId="6DEA6CD0">
      <w:pPr>
        <w:ind w:firstLine="560"/>
        <w:rPr>
          <w:color w:val="000000"/>
          <w:szCs w:val="28"/>
        </w:rPr>
      </w:pPr>
      <w:r>
        <w:rPr>
          <w:rFonts w:hint="eastAsia"/>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555D5C99">
      <w:pPr>
        <w:ind w:firstLine="560"/>
        <w:rPr>
          <w:color w:val="000000"/>
          <w:szCs w:val="28"/>
        </w:rPr>
      </w:pPr>
      <w:r>
        <w:rPr>
          <w:rFonts w:hint="eastAsia"/>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79B64F4B">
      <w:pPr>
        <w:pStyle w:val="122"/>
        <w:rPr>
          <w:rStyle w:val="123"/>
          <w:b/>
        </w:rPr>
      </w:pPr>
      <w:bookmarkStart w:id="377" w:name="_Toc21941"/>
      <w:bookmarkStart w:id="378" w:name="_Toc4595"/>
      <w:bookmarkStart w:id="379" w:name="_Toc11905"/>
      <w:r>
        <w:rPr>
          <w:rStyle w:val="123"/>
          <w:rFonts w:hint="eastAsia"/>
          <w:b/>
        </w:rPr>
        <w:t>表7.3-1事故发生的可能性（L）</w:t>
      </w:r>
      <w:bookmarkEnd w:id="377"/>
      <w:bookmarkEnd w:id="378"/>
      <w:bookmarkEnd w:id="379"/>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4BD6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20CD7CC">
            <w:pPr>
              <w:pStyle w:val="143"/>
              <w:outlineLvl w:val="3"/>
              <w:rPr>
                <w:color w:val="000000"/>
                <w:kern w:val="2"/>
                <w:sz w:val="21"/>
              </w:rPr>
            </w:pPr>
            <w:r>
              <w:rPr>
                <w:rFonts w:hint="eastAsia"/>
                <w:color w:val="000000"/>
                <w:kern w:val="2"/>
                <w:sz w:val="21"/>
              </w:rPr>
              <w:t>分数值</w:t>
            </w:r>
          </w:p>
        </w:tc>
        <w:tc>
          <w:tcPr>
            <w:tcW w:w="2536" w:type="pct"/>
            <w:vAlign w:val="center"/>
          </w:tcPr>
          <w:p w14:paraId="21BF8826">
            <w:pPr>
              <w:pStyle w:val="143"/>
              <w:outlineLvl w:val="3"/>
              <w:rPr>
                <w:color w:val="000000"/>
                <w:kern w:val="2"/>
                <w:sz w:val="21"/>
              </w:rPr>
            </w:pPr>
            <w:r>
              <w:rPr>
                <w:rFonts w:hint="eastAsia"/>
                <w:color w:val="000000"/>
                <w:kern w:val="2"/>
                <w:sz w:val="21"/>
              </w:rPr>
              <w:t>事故发生的可能性</w:t>
            </w:r>
          </w:p>
        </w:tc>
      </w:tr>
      <w:tr w14:paraId="46EA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8A86EC">
            <w:pPr>
              <w:pStyle w:val="143"/>
              <w:outlineLvl w:val="3"/>
              <w:rPr>
                <w:color w:val="000000"/>
                <w:kern w:val="2"/>
                <w:sz w:val="21"/>
              </w:rPr>
            </w:pPr>
            <w:r>
              <w:rPr>
                <w:rFonts w:hint="eastAsia"/>
                <w:color w:val="000000"/>
                <w:kern w:val="2"/>
                <w:sz w:val="21"/>
              </w:rPr>
              <w:t>10</w:t>
            </w:r>
          </w:p>
        </w:tc>
        <w:tc>
          <w:tcPr>
            <w:tcW w:w="2536" w:type="pct"/>
            <w:vAlign w:val="center"/>
          </w:tcPr>
          <w:p w14:paraId="7366B996">
            <w:pPr>
              <w:pStyle w:val="143"/>
              <w:outlineLvl w:val="3"/>
              <w:rPr>
                <w:color w:val="000000"/>
                <w:kern w:val="2"/>
                <w:sz w:val="21"/>
              </w:rPr>
            </w:pPr>
            <w:r>
              <w:rPr>
                <w:rFonts w:hint="eastAsia"/>
                <w:color w:val="000000"/>
                <w:kern w:val="2"/>
                <w:sz w:val="21"/>
              </w:rPr>
              <w:t>完全可以预料</w:t>
            </w:r>
          </w:p>
        </w:tc>
      </w:tr>
      <w:tr w14:paraId="3D0C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554868C">
            <w:pPr>
              <w:pStyle w:val="143"/>
              <w:outlineLvl w:val="3"/>
              <w:rPr>
                <w:color w:val="000000"/>
                <w:kern w:val="2"/>
                <w:sz w:val="21"/>
              </w:rPr>
            </w:pPr>
            <w:r>
              <w:rPr>
                <w:rFonts w:hint="eastAsia"/>
                <w:color w:val="000000"/>
                <w:kern w:val="2"/>
                <w:sz w:val="21"/>
              </w:rPr>
              <w:t>6</w:t>
            </w:r>
          </w:p>
        </w:tc>
        <w:tc>
          <w:tcPr>
            <w:tcW w:w="2536" w:type="pct"/>
            <w:vAlign w:val="center"/>
          </w:tcPr>
          <w:p w14:paraId="06BA8852">
            <w:pPr>
              <w:pStyle w:val="143"/>
              <w:outlineLvl w:val="3"/>
              <w:rPr>
                <w:color w:val="000000"/>
                <w:kern w:val="2"/>
                <w:sz w:val="21"/>
              </w:rPr>
            </w:pPr>
            <w:r>
              <w:rPr>
                <w:rFonts w:hint="eastAsia"/>
                <w:color w:val="000000"/>
                <w:kern w:val="2"/>
                <w:sz w:val="21"/>
              </w:rPr>
              <w:t>相当可能</w:t>
            </w:r>
          </w:p>
        </w:tc>
      </w:tr>
      <w:tr w14:paraId="122E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1F15838">
            <w:pPr>
              <w:pStyle w:val="143"/>
              <w:outlineLvl w:val="3"/>
              <w:rPr>
                <w:color w:val="000000"/>
                <w:kern w:val="2"/>
                <w:sz w:val="21"/>
              </w:rPr>
            </w:pPr>
            <w:r>
              <w:rPr>
                <w:rFonts w:hint="eastAsia"/>
                <w:color w:val="000000"/>
                <w:kern w:val="2"/>
                <w:sz w:val="21"/>
              </w:rPr>
              <w:t>3</w:t>
            </w:r>
          </w:p>
        </w:tc>
        <w:tc>
          <w:tcPr>
            <w:tcW w:w="2536" w:type="pct"/>
            <w:vAlign w:val="center"/>
          </w:tcPr>
          <w:p w14:paraId="42D2204E">
            <w:pPr>
              <w:pStyle w:val="143"/>
              <w:outlineLvl w:val="3"/>
              <w:rPr>
                <w:color w:val="000000"/>
                <w:kern w:val="2"/>
                <w:sz w:val="21"/>
              </w:rPr>
            </w:pPr>
            <w:r>
              <w:rPr>
                <w:rFonts w:hint="eastAsia"/>
                <w:color w:val="000000"/>
                <w:kern w:val="2"/>
                <w:sz w:val="21"/>
              </w:rPr>
              <w:t>可能，但不经常</w:t>
            </w:r>
          </w:p>
        </w:tc>
      </w:tr>
      <w:tr w14:paraId="77A9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A202B5">
            <w:pPr>
              <w:pStyle w:val="143"/>
              <w:outlineLvl w:val="3"/>
              <w:rPr>
                <w:color w:val="000000"/>
                <w:kern w:val="2"/>
                <w:sz w:val="21"/>
              </w:rPr>
            </w:pPr>
            <w:r>
              <w:rPr>
                <w:rFonts w:hint="eastAsia"/>
                <w:color w:val="000000"/>
                <w:kern w:val="2"/>
                <w:sz w:val="21"/>
              </w:rPr>
              <w:t>1</w:t>
            </w:r>
          </w:p>
        </w:tc>
        <w:tc>
          <w:tcPr>
            <w:tcW w:w="2536" w:type="pct"/>
            <w:vAlign w:val="center"/>
          </w:tcPr>
          <w:p w14:paraId="784E874F">
            <w:pPr>
              <w:pStyle w:val="143"/>
              <w:outlineLvl w:val="3"/>
              <w:rPr>
                <w:color w:val="000000"/>
                <w:kern w:val="2"/>
                <w:sz w:val="21"/>
              </w:rPr>
            </w:pPr>
            <w:r>
              <w:rPr>
                <w:rFonts w:hint="eastAsia"/>
                <w:color w:val="000000"/>
                <w:kern w:val="2"/>
                <w:sz w:val="21"/>
              </w:rPr>
              <w:t>可能相信小，完全意外</w:t>
            </w:r>
          </w:p>
        </w:tc>
      </w:tr>
      <w:tr w14:paraId="22CF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81051E9">
            <w:pPr>
              <w:pStyle w:val="143"/>
              <w:outlineLvl w:val="3"/>
              <w:rPr>
                <w:color w:val="000000"/>
                <w:kern w:val="2"/>
                <w:sz w:val="21"/>
              </w:rPr>
            </w:pPr>
            <w:r>
              <w:rPr>
                <w:rFonts w:hint="eastAsia"/>
                <w:color w:val="000000"/>
                <w:kern w:val="2"/>
                <w:sz w:val="21"/>
              </w:rPr>
              <w:t>0.5</w:t>
            </w:r>
          </w:p>
        </w:tc>
        <w:tc>
          <w:tcPr>
            <w:tcW w:w="2536" w:type="pct"/>
            <w:vAlign w:val="center"/>
          </w:tcPr>
          <w:p w14:paraId="352335AE">
            <w:pPr>
              <w:pStyle w:val="143"/>
              <w:outlineLvl w:val="3"/>
              <w:rPr>
                <w:color w:val="000000"/>
                <w:kern w:val="2"/>
                <w:sz w:val="21"/>
              </w:rPr>
            </w:pPr>
            <w:r>
              <w:rPr>
                <w:rFonts w:hint="eastAsia"/>
                <w:color w:val="000000"/>
                <w:kern w:val="2"/>
                <w:sz w:val="21"/>
              </w:rPr>
              <w:t>很不可能，可以设想</w:t>
            </w:r>
          </w:p>
        </w:tc>
      </w:tr>
      <w:tr w14:paraId="2BA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0EA1D1D">
            <w:pPr>
              <w:pStyle w:val="143"/>
              <w:outlineLvl w:val="3"/>
              <w:rPr>
                <w:color w:val="000000"/>
                <w:kern w:val="2"/>
                <w:sz w:val="21"/>
              </w:rPr>
            </w:pPr>
            <w:r>
              <w:rPr>
                <w:rFonts w:hint="eastAsia"/>
                <w:color w:val="000000"/>
                <w:kern w:val="2"/>
                <w:sz w:val="21"/>
              </w:rPr>
              <w:t>0.2</w:t>
            </w:r>
          </w:p>
        </w:tc>
        <w:tc>
          <w:tcPr>
            <w:tcW w:w="2536" w:type="pct"/>
            <w:vAlign w:val="center"/>
          </w:tcPr>
          <w:p w14:paraId="306B9E61">
            <w:pPr>
              <w:pStyle w:val="143"/>
              <w:outlineLvl w:val="3"/>
              <w:rPr>
                <w:color w:val="000000"/>
                <w:kern w:val="2"/>
                <w:sz w:val="21"/>
              </w:rPr>
            </w:pPr>
            <w:r>
              <w:rPr>
                <w:rFonts w:hint="eastAsia"/>
                <w:color w:val="000000"/>
                <w:kern w:val="2"/>
                <w:sz w:val="21"/>
              </w:rPr>
              <w:t>极不可能</w:t>
            </w:r>
          </w:p>
        </w:tc>
      </w:tr>
      <w:tr w14:paraId="36B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BEE8310">
            <w:pPr>
              <w:pStyle w:val="143"/>
              <w:outlineLvl w:val="3"/>
              <w:rPr>
                <w:color w:val="000000"/>
                <w:kern w:val="2"/>
                <w:sz w:val="21"/>
              </w:rPr>
            </w:pPr>
            <w:r>
              <w:rPr>
                <w:rFonts w:hint="eastAsia"/>
                <w:color w:val="000000"/>
                <w:kern w:val="2"/>
                <w:sz w:val="21"/>
              </w:rPr>
              <w:t>0.1</w:t>
            </w:r>
          </w:p>
        </w:tc>
        <w:tc>
          <w:tcPr>
            <w:tcW w:w="2536" w:type="pct"/>
            <w:vAlign w:val="center"/>
          </w:tcPr>
          <w:p w14:paraId="6826E227">
            <w:pPr>
              <w:pStyle w:val="143"/>
              <w:outlineLvl w:val="3"/>
              <w:rPr>
                <w:color w:val="000000"/>
                <w:kern w:val="2"/>
                <w:sz w:val="21"/>
              </w:rPr>
            </w:pPr>
            <w:r>
              <w:rPr>
                <w:rFonts w:hint="eastAsia"/>
                <w:color w:val="000000"/>
                <w:kern w:val="2"/>
                <w:sz w:val="21"/>
              </w:rPr>
              <w:t>实际不可能</w:t>
            </w:r>
          </w:p>
        </w:tc>
      </w:tr>
    </w:tbl>
    <w:p w14:paraId="519F4F25">
      <w:pPr>
        <w:pStyle w:val="122"/>
        <w:rPr>
          <w:rStyle w:val="123"/>
          <w:b/>
        </w:rPr>
      </w:pPr>
      <w:r>
        <w:rPr>
          <w:rStyle w:val="123"/>
          <w:rFonts w:hint="eastAsia"/>
          <w:b/>
        </w:rPr>
        <w:t>表7.</w:t>
      </w:r>
      <w:r>
        <w:rPr>
          <w:rStyle w:val="123"/>
          <w:b/>
        </w:rPr>
        <w:t>3-2</w:t>
      </w:r>
      <w:r>
        <w:rPr>
          <w:rStyle w:val="123"/>
          <w:rFonts w:hint="eastAsia"/>
          <w:b/>
        </w:rPr>
        <w:t>暴露于危险环境的频繁程度（</w:t>
      </w:r>
      <w:r>
        <w:rPr>
          <w:rStyle w:val="123"/>
          <w:b/>
        </w:rPr>
        <w:t>E</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0816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7AC30EE">
            <w:pPr>
              <w:pStyle w:val="143"/>
              <w:outlineLvl w:val="3"/>
              <w:rPr>
                <w:color w:val="000000"/>
                <w:kern w:val="2"/>
                <w:sz w:val="21"/>
              </w:rPr>
            </w:pPr>
            <w:r>
              <w:rPr>
                <w:rFonts w:hint="eastAsia"/>
                <w:color w:val="000000"/>
                <w:kern w:val="2"/>
                <w:sz w:val="21"/>
              </w:rPr>
              <w:t>分数值</w:t>
            </w:r>
          </w:p>
        </w:tc>
        <w:tc>
          <w:tcPr>
            <w:tcW w:w="2536" w:type="pct"/>
            <w:vAlign w:val="center"/>
          </w:tcPr>
          <w:p w14:paraId="53DE0947">
            <w:pPr>
              <w:pStyle w:val="143"/>
              <w:outlineLvl w:val="3"/>
              <w:rPr>
                <w:color w:val="000000"/>
                <w:kern w:val="2"/>
                <w:sz w:val="21"/>
              </w:rPr>
            </w:pPr>
            <w:r>
              <w:rPr>
                <w:rFonts w:hint="eastAsia"/>
                <w:color w:val="000000"/>
                <w:kern w:val="2"/>
                <w:sz w:val="21"/>
              </w:rPr>
              <w:t>暴露于危险环境的频繁程度</w:t>
            </w:r>
          </w:p>
        </w:tc>
      </w:tr>
      <w:tr w14:paraId="0DDF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FED07B7">
            <w:pPr>
              <w:pStyle w:val="143"/>
              <w:outlineLvl w:val="3"/>
              <w:rPr>
                <w:color w:val="000000"/>
                <w:kern w:val="2"/>
                <w:sz w:val="21"/>
              </w:rPr>
            </w:pPr>
            <w:r>
              <w:rPr>
                <w:rFonts w:hint="eastAsia"/>
                <w:color w:val="000000"/>
                <w:kern w:val="2"/>
                <w:sz w:val="21"/>
              </w:rPr>
              <w:t>10</w:t>
            </w:r>
          </w:p>
        </w:tc>
        <w:tc>
          <w:tcPr>
            <w:tcW w:w="2536" w:type="pct"/>
            <w:vAlign w:val="center"/>
          </w:tcPr>
          <w:p w14:paraId="734DE1E0">
            <w:pPr>
              <w:pStyle w:val="143"/>
              <w:outlineLvl w:val="3"/>
              <w:rPr>
                <w:color w:val="000000"/>
                <w:kern w:val="2"/>
                <w:sz w:val="21"/>
              </w:rPr>
            </w:pPr>
            <w:r>
              <w:rPr>
                <w:rFonts w:hint="eastAsia"/>
                <w:color w:val="000000"/>
                <w:kern w:val="2"/>
                <w:sz w:val="21"/>
              </w:rPr>
              <w:t>连续暴露</w:t>
            </w:r>
          </w:p>
        </w:tc>
      </w:tr>
      <w:tr w14:paraId="3C74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A6EDA2B">
            <w:pPr>
              <w:pStyle w:val="143"/>
              <w:outlineLvl w:val="3"/>
              <w:rPr>
                <w:color w:val="000000"/>
                <w:kern w:val="2"/>
                <w:sz w:val="21"/>
              </w:rPr>
            </w:pPr>
            <w:r>
              <w:rPr>
                <w:rFonts w:hint="eastAsia"/>
                <w:color w:val="000000"/>
                <w:kern w:val="2"/>
                <w:sz w:val="21"/>
              </w:rPr>
              <w:t>6</w:t>
            </w:r>
          </w:p>
        </w:tc>
        <w:tc>
          <w:tcPr>
            <w:tcW w:w="2536" w:type="pct"/>
            <w:vAlign w:val="center"/>
          </w:tcPr>
          <w:p w14:paraId="19B47EE3">
            <w:pPr>
              <w:pStyle w:val="143"/>
              <w:outlineLvl w:val="3"/>
              <w:rPr>
                <w:color w:val="000000"/>
                <w:kern w:val="2"/>
                <w:sz w:val="21"/>
              </w:rPr>
            </w:pPr>
            <w:r>
              <w:rPr>
                <w:rFonts w:hint="eastAsia"/>
                <w:color w:val="000000"/>
                <w:kern w:val="2"/>
                <w:sz w:val="21"/>
              </w:rPr>
              <w:t>每天工作时间内暴露</w:t>
            </w:r>
          </w:p>
        </w:tc>
      </w:tr>
      <w:tr w14:paraId="32D9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D6F0872">
            <w:pPr>
              <w:pStyle w:val="143"/>
              <w:outlineLvl w:val="3"/>
              <w:rPr>
                <w:color w:val="000000"/>
                <w:kern w:val="2"/>
                <w:sz w:val="21"/>
              </w:rPr>
            </w:pPr>
            <w:r>
              <w:rPr>
                <w:rFonts w:hint="eastAsia"/>
                <w:color w:val="000000"/>
                <w:kern w:val="2"/>
                <w:sz w:val="21"/>
              </w:rPr>
              <w:t>3</w:t>
            </w:r>
          </w:p>
        </w:tc>
        <w:tc>
          <w:tcPr>
            <w:tcW w:w="2536" w:type="pct"/>
            <w:vAlign w:val="center"/>
          </w:tcPr>
          <w:p w14:paraId="07A3D2C3">
            <w:pPr>
              <w:pStyle w:val="143"/>
              <w:outlineLvl w:val="3"/>
              <w:rPr>
                <w:color w:val="000000"/>
                <w:kern w:val="2"/>
                <w:sz w:val="21"/>
              </w:rPr>
            </w:pPr>
            <w:r>
              <w:rPr>
                <w:rFonts w:hint="eastAsia"/>
                <w:color w:val="000000"/>
                <w:kern w:val="2"/>
                <w:sz w:val="21"/>
              </w:rPr>
              <w:t>每周一次或偶然暴露</w:t>
            </w:r>
          </w:p>
        </w:tc>
      </w:tr>
      <w:tr w14:paraId="5B9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161BA78">
            <w:pPr>
              <w:pStyle w:val="143"/>
              <w:outlineLvl w:val="3"/>
              <w:rPr>
                <w:color w:val="000000"/>
                <w:kern w:val="2"/>
                <w:sz w:val="21"/>
              </w:rPr>
            </w:pPr>
            <w:r>
              <w:rPr>
                <w:rFonts w:hint="eastAsia"/>
                <w:color w:val="000000"/>
                <w:kern w:val="2"/>
                <w:sz w:val="21"/>
              </w:rPr>
              <w:t>2</w:t>
            </w:r>
          </w:p>
        </w:tc>
        <w:tc>
          <w:tcPr>
            <w:tcW w:w="2536" w:type="pct"/>
            <w:vAlign w:val="center"/>
          </w:tcPr>
          <w:p w14:paraId="2D3B6BB5">
            <w:pPr>
              <w:pStyle w:val="143"/>
              <w:outlineLvl w:val="3"/>
              <w:rPr>
                <w:color w:val="000000"/>
                <w:kern w:val="2"/>
                <w:sz w:val="21"/>
              </w:rPr>
            </w:pPr>
            <w:r>
              <w:rPr>
                <w:rFonts w:hint="eastAsia"/>
                <w:color w:val="000000"/>
                <w:kern w:val="2"/>
                <w:sz w:val="21"/>
              </w:rPr>
              <w:t>每月一次暴露</w:t>
            </w:r>
          </w:p>
        </w:tc>
      </w:tr>
      <w:tr w14:paraId="7BA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95449CC">
            <w:pPr>
              <w:pStyle w:val="143"/>
              <w:outlineLvl w:val="3"/>
              <w:rPr>
                <w:color w:val="000000"/>
                <w:kern w:val="2"/>
                <w:sz w:val="21"/>
              </w:rPr>
            </w:pPr>
            <w:r>
              <w:rPr>
                <w:rFonts w:hint="eastAsia"/>
                <w:color w:val="000000"/>
                <w:kern w:val="2"/>
                <w:sz w:val="21"/>
              </w:rPr>
              <w:t>1</w:t>
            </w:r>
          </w:p>
        </w:tc>
        <w:tc>
          <w:tcPr>
            <w:tcW w:w="2536" w:type="pct"/>
            <w:vAlign w:val="center"/>
          </w:tcPr>
          <w:p w14:paraId="519FD453">
            <w:pPr>
              <w:pStyle w:val="143"/>
              <w:outlineLvl w:val="3"/>
              <w:rPr>
                <w:color w:val="000000"/>
                <w:kern w:val="2"/>
                <w:sz w:val="21"/>
              </w:rPr>
            </w:pPr>
            <w:r>
              <w:rPr>
                <w:rFonts w:hint="eastAsia"/>
                <w:color w:val="000000"/>
                <w:kern w:val="2"/>
                <w:sz w:val="21"/>
              </w:rPr>
              <w:t>每年几次暴露</w:t>
            </w:r>
          </w:p>
        </w:tc>
      </w:tr>
      <w:tr w14:paraId="19BB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87206E">
            <w:pPr>
              <w:pStyle w:val="143"/>
              <w:outlineLvl w:val="3"/>
              <w:rPr>
                <w:color w:val="000000"/>
                <w:kern w:val="2"/>
                <w:sz w:val="21"/>
              </w:rPr>
            </w:pPr>
            <w:r>
              <w:rPr>
                <w:rFonts w:hint="eastAsia"/>
                <w:color w:val="000000"/>
                <w:kern w:val="2"/>
                <w:sz w:val="21"/>
              </w:rPr>
              <w:t>0.5</w:t>
            </w:r>
          </w:p>
        </w:tc>
        <w:tc>
          <w:tcPr>
            <w:tcW w:w="2536" w:type="pct"/>
            <w:vAlign w:val="center"/>
          </w:tcPr>
          <w:p w14:paraId="72F41AF6">
            <w:pPr>
              <w:pStyle w:val="143"/>
              <w:outlineLvl w:val="3"/>
              <w:rPr>
                <w:color w:val="000000"/>
                <w:kern w:val="2"/>
                <w:sz w:val="21"/>
              </w:rPr>
            </w:pPr>
            <w:r>
              <w:rPr>
                <w:rFonts w:hint="eastAsia"/>
                <w:color w:val="000000"/>
                <w:kern w:val="2"/>
                <w:sz w:val="21"/>
              </w:rPr>
              <w:t>非常罕见暴露</w:t>
            </w:r>
          </w:p>
        </w:tc>
      </w:tr>
    </w:tbl>
    <w:p w14:paraId="413BED8C">
      <w:pPr>
        <w:pStyle w:val="122"/>
        <w:rPr>
          <w:rStyle w:val="123"/>
          <w:b/>
        </w:rPr>
      </w:pPr>
      <w:r>
        <w:rPr>
          <w:rStyle w:val="123"/>
          <w:rFonts w:hint="eastAsia"/>
          <w:b/>
        </w:rPr>
        <w:t>表7.</w:t>
      </w:r>
      <w:r>
        <w:rPr>
          <w:rStyle w:val="123"/>
          <w:b/>
        </w:rPr>
        <w:t>3-3</w:t>
      </w:r>
      <w:r>
        <w:rPr>
          <w:rStyle w:val="123"/>
          <w:rFonts w:hint="eastAsia"/>
          <w:b/>
        </w:rPr>
        <w:t>发生事故产生的后果（</w:t>
      </w:r>
      <w:r>
        <w:rPr>
          <w:rStyle w:val="123"/>
          <w:b/>
        </w:rPr>
        <w:t>C</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601D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314DEF0">
            <w:pPr>
              <w:pStyle w:val="143"/>
              <w:outlineLvl w:val="3"/>
              <w:rPr>
                <w:color w:val="000000"/>
                <w:kern w:val="2"/>
                <w:sz w:val="21"/>
              </w:rPr>
            </w:pPr>
            <w:r>
              <w:rPr>
                <w:rFonts w:hint="eastAsia"/>
                <w:color w:val="000000"/>
                <w:kern w:val="2"/>
                <w:sz w:val="21"/>
              </w:rPr>
              <w:t>分数值</w:t>
            </w:r>
          </w:p>
        </w:tc>
        <w:tc>
          <w:tcPr>
            <w:tcW w:w="2536" w:type="pct"/>
            <w:vAlign w:val="center"/>
          </w:tcPr>
          <w:p w14:paraId="42B9772D">
            <w:pPr>
              <w:pStyle w:val="143"/>
              <w:outlineLvl w:val="3"/>
              <w:rPr>
                <w:color w:val="000000"/>
                <w:kern w:val="2"/>
                <w:sz w:val="21"/>
              </w:rPr>
            </w:pPr>
            <w:r>
              <w:rPr>
                <w:rFonts w:hint="eastAsia"/>
                <w:color w:val="000000"/>
                <w:kern w:val="2"/>
                <w:sz w:val="21"/>
              </w:rPr>
              <w:t>发生事故产生的后果</w:t>
            </w:r>
          </w:p>
        </w:tc>
      </w:tr>
      <w:tr w14:paraId="5243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4190026">
            <w:pPr>
              <w:pStyle w:val="143"/>
              <w:outlineLvl w:val="3"/>
              <w:rPr>
                <w:color w:val="000000"/>
                <w:kern w:val="2"/>
                <w:sz w:val="21"/>
              </w:rPr>
            </w:pPr>
            <w:r>
              <w:rPr>
                <w:rFonts w:hint="eastAsia"/>
                <w:color w:val="000000"/>
                <w:kern w:val="2"/>
                <w:sz w:val="21"/>
              </w:rPr>
              <w:t>100</w:t>
            </w:r>
          </w:p>
        </w:tc>
        <w:tc>
          <w:tcPr>
            <w:tcW w:w="2536" w:type="pct"/>
            <w:vAlign w:val="center"/>
          </w:tcPr>
          <w:p w14:paraId="7E27A724">
            <w:pPr>
              <w:pStyle w:val="143"/>
              <w:outlineLvl w:val="3"/>
              <w:rPr>
                <w:color w:val="000000"/>
                <w:kern w:val="2"/>
                <w:sz w:val="21"/>
              </w:rPr>
            </w:pPr>
            <w:r>
              <w:rPr>
                <w:rFonts w:hint="eastAsia"/>
                <w:color w:val="000000"/>
                <w:kern w:val="2"/>
                <w:sz w:val="21"/>
              </w:rPr>
              <w:t>10人以上死亡</w:t>
            </w:r>
          </w:p>
        </w:tc>
      </w:tr>
      <w:tr w14:paraId="3C60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50C901E">
            <w:pPr>
              <w:pStyle w:val="143"/>
              <w:outlineLvl w:val="3"/>
              <w:rPr>
                <w:color w:val="000000"/>
                <w:kern w:val="2"/>
                <w:sz w:val="21"/>
              </w:rPr>
            </w:pPr>
            <w:r>
              <w:rPr>
                <w:rFonts w:hint="eastAsia"/>
                <w:color w:val="000000"/>
                <w:kern w:val="2"/>
                <w:sz w:val="21"/>
              </w:rPr>
              <w:t>40</w:t>
            </w:r>
          </w:p>
        </w:tc>
        <w:tc>
          <w:tcPr>
            <w:tcW w:w="2536" w:type="pct"/>
            <w:vAlign w:val="center"/>
          </w:tcPr>
          <w:p w14:paraId="1E018BE4">
            <w:pPr>
              <w:pStyle w:val="143"/>
              <w:outlineLvl w:val="3"/>
              <w:rPr>
                <w:color w:val="000000"/>
                <w:kern w:val="2"/>
                <w:sz w:val="21"/>
              </w:rPr>
            </w:pPr>
            <w:r>
              <w:rPr>
                <w:rFonts w:hint="eastAsia"/>
                <w:color w:val="000000"/>
                <w:kern w:val="2"/>
                <w:sz w:val="21"/>
              </w:rPr>
              <w:t>2~9人死亡</w:t>
            </w:r>
          </w:p>
        </w:tc>
      </w:tr>
      <w:tr w14:paraId="00CF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CD3525D">
            <w:pPr>
              <w:pStyle w:val="143"/>
              <w:outlineLvl w:val="3"/>
              <w:rPr>
                <w:color w:val="000000"/>
                <w:kern w:val="2"/>
                <w:sz w:val="21"/>
              </w:rPr>
            </w:pPr>
            <w:r>
              <w:rPr>
                <w:rFonts w:hint="eastAsia"/>
                <w:color w:val="000000"/>
                <w:kern w:val="2"/>
                <w:sz w:val="21"/>
              </w:rPr>
              <w:t>15</w:t>
            </w:r>
          </w:p>
        </w:tc>
        <w:tc>
          <w:tcPr>
            <w:tcW w:w="2536" w:type="pct"/>
            <w:vAlign w:val="center"/>
          </w:tcPr>
          <w:p w14:paraId="320B913A">
            <w:pPr>
              <w:pStyle w:val="143"/>
              <w:outlineLvl w:val="3"/>
              <w:rPr>
                <w:color w:val="000000"/>
                <w:kern w:val="2"/>
                <w:sz w:val="21"/>
              </w:rPr>
            </w:pPr>
            <w:r>
              <w:rPr>
                <w:rFonts w:hint="eastAsia"/>
                <w:color w:val="000000"/>
                <w:kern w:val="2"/>
                <w:sz w:val="21"/>
              </w:rPr>
              <w:t>非常严重，1人死亡</w:t>
            </w:r>
          </w:p>
        </w:tc>
      </w:tr>
      <w:tr w14:paraId="1412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87B5900">
            <w:pPr>
              <w:pStyle w:val="143"/>
              <w:outlineLvl w:val="3"/>
              <w:rPr>
                <w:color w:val="000000"/>
                <w:kern w:val="2"/>
                <w:sz w:val="21"/>
              </w:rPr>
            </w:pPr>
            <w:r>
              <w:rPr>
                <w:rFonts w:hint="eastAsia"/>
                <w:color w:val="000000"/>
                <w:kern w:val="2"/>
                <w:sz w:val="21"/>
              </w:rPr>
              <w:t>7</w:t>
            </w:r>
          </w:p>
        </w:tc>
        <w:tc>
          <w:tcPr>
            <w:tcW w:w="2536" w:type="pct"/>
            <w:vAlign w:val="center"/>
          </w:tcPr>
          <w:p w14:paraId="1F12173D">
            <w:pPr>
              <w:pStyle w:val="143"/>
              <w:outlineLvl w:val="3"/>
              <w:rPr>
                <w:color w:val="000000"/>
                <w:kern w:val="2"/>
                <w:sz w:val="21"/>
              </w:rPr>
            </w:pPr>
            <w:r>
              <w:rPr>
                <w:rFonts w:hint="eastAsia"/>
                <w:color w:val="000000"/>
                <w:kern w:val="2"/>
                <w:sz w:val="21"/>
              </w:rPr>
              <w:t>重大，伤残</w:t>
            </w:r>
          </w:p>
        </w:tc>
      </w:tr>
      <w:tr w14:paraId="4FBE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E2DFF46">
            <w:pPr>
              <w:pStyle w:val="143"/>
              <w:outlineLvl w:val="3"/>
              <w:rPr>
                <w:color w:val="000000"/>
                <w:kern w:val="2"/>
                <w:sz w:val="21"/>
              </w:rPr>
            </w:pPr>
            <w:r>
              <w:rPr>
                <w:rFonts w:hint="eastAsia"/>
                <w:color w:val="000000"/>
                <w:kern w:val="2"/>
                <w:sz w:val="21"/>
              </w:rPr>
              <w:t>3</w:t>
            </w:r>
          </w:p>
        </w:tc>
        <w:tc>
          <w:tcPr>
            <w:tcW w:w="2536" w:type="pct"/>
            <w:vAlign w:val="center"/>
          </w:tcPr>
          <w:p w14:paraId="65A6EC25">
            <w:pPr>
              <w:pStyle w:val="143"/>
              <w:outlineLvl w:val="3"/>
              <w:rPr>
                <w:color w:val="000000"/>
                <w:kern w:val="2"/>
                <w:sz w:val="21"/>
              </w:rPr>
            </w:pPr>
            <w:r>
              <w:rPr>
                <w:rFonts w:hint="eastAsia"/>
                <w:color w:val="000000"/>
                <w:kern w:val="2"/>
                <w:sz w:val="21"/>
              </w:rPr>
              <w:t>严重，重伤</w:t>
            </w:r>
          </w:p>
        </w:tc>
      </w:tr>
      <w:tr w14:paraId="16E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C56059F">
            <w:pPr>
              <w:pStyle w:val="143"/>
              <w:outlineLvl w:val="3"/>
              <w:rPr>
                <w:color w:val="000000"/>
                <w:kern w:val="2"/>
                <w:sz w:val="21"/>
              </w:rPr>
            </w:pPr>
            <w:r>
              <w:rPr>
                <w:rFonts w:hint="eastAsia"/>
                <w:color w:val="000000"/>
                <w:kern w:val="2"/>
                <w:sz w:val="21"/>
              </w:rPr>
              <w:t>1</w:t>
            </w:r>
          </w:p>
        </w:tc>
        <w:tc>
          <w:tcPr>
            <w:tcW w:w="2536" w:type="pct"/>
            <w:vAlign w:val="center"/>
          </w:tcPr>
          <w:p w14:paraId="1B2288CB">
            <w:pPr>
              <w:pStyle w:val="143"/>
              <w:outlineLvl w:val="3"/>
              <w:rPr>
                <w:color w:val="000000"/>
                <w:kern w:val="2"/>
                <w:sz w:val="21"/>
              </w:rPr>
            </w:pPr>
            <w:r>
              <w:rPr>
                <w:rFonts w:hint="eastAsia"/>
                <w:color w:val="000000"/>
                <w:kern w:val="2"/>
                <w:sz w:val="21"/>
              </w:rPr>
              <w:t>轻伤（引人注意，需要救护）</w:t>
            </w:r>
          </w:p>
        </w:tc>
      </w:tr>
    </w:tbl>
    <w:p w14:paraId="27AFE6EB">
      <w:pPr>
        <w:pStyle w:val="122"/>
        <w:rPr>
          <w:rStyle w:val="123"/>
          <w:b/>
        </w:rPr>
      </w:pPr>
      <w:r>
        <w:rPr>
          <w:rStyle w:val="123"/>
          <w:rFonts w:hint="eastAsia"/>
          <w:b/>
        </w:rPr>
        <w:t>表7.</w:t>
      </w:r>
      <w:r>
        <w:rPr>
          <w:rStyle w:val="123"/>
          <w:b/>
        </w:rPr>
        <w:t>3-4</w:t>
      </w:r>
      <w:r>
        <w:rPr>
          <w:rStyle w:val="123"/>
          <w:rFonts w:hint="eastAsia"/>
          <w:b/>
        </w:rPr>
        <w:t>风险等级划分（</w:t>
      </w:r>
      <w:r>
        <w:rPr>
          <w:rStyle w:val="123"/>
          <w:b/>
        </w:rPr>
        <w:t>D</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3A1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23AA030">
            <w:pPr>
              <w:pStyle w:val="143"/>
              <w:outlineLvl w:val="3"/>
              <w:rPr>
                <w:rStyle w:val="99"/>
                <w:rFonts w:hAnsi="Times New Roman" w:eastAsia="宋体"/>
                <w:color w:val="000000"/>
                <w:kern w:val="2"/>
                <w:sz w:val="21"/>
              </w:rPr>
            </w:pPr>
            <w:r>
              <w:rPr>
                <w:rStyle w:val="99"/>
                <w:rFonts w:hint="eastAsia" w:hAnsi="Times New Roman"/>
                <w:color w:val="000000"/>
                <w:kern w:val="2"/>
              </w:rPr>
              <w:t>D值</w:t>
            </w:r>
          </w:p>
        </w:tc>
        <w:tc>
          <w:tcPr>
            <w:tcW w:w="1286" w:type="pct"/>
            <w:vAlign w:val="center"/>
          </w:tcPr>
          <w:p w14:paraId="3E200A9C">
            <w:pPr>
              <w:pStyle w:val="143"/>
              <w:outlineLvl w:val="3"/>
              <w:rPr>
                <w:rStyle w:val="99"/>
                <w:rFonts w:hAnsi="Times New Roman" w:eastAsia="宋体"/>
                <w:color w:val="000000"/>
                <w:kern w:val="2"/>
                <w:sz w:val="21"/>
              </w:rPr>
            </w:pPr>
            <w:r>
              <w:rPr>
                <w:rStyle w:val="99"/>
                <w:rFonts w:hint="eastAsia" w:hAnsi="Times New Roman"/>
                <w:color w:val="000000"/>
                <w:kern w:val="2"/>
              </w:rPr>
              <w:t>风险程度</w:t>
            </w:r>
          </w:p>
        </w:tc>
        <w:tc>
          <w:tcPr>
            <w:tcW w:w="1250" w:type="pct"/>
            <w:vAlign w:val="center"/>
          </w:tcPr>
          <w:p w14:paraId="6E43CCD9">
            <w:pPr>
              <w:pStyle w:val="143"/>
              <w:outlineLvl w:val="3"/>
              <w:rPr>
                <w:rStyle w:val="99"/>
                <w:rFonts w:hAnsi="Times New Roman" w:eastAsia="宋体"/>
                <w:color w:val="000000"/>
                <w:kern w:val="2"/>
                <w:sz w:val="21"/>
              </w:rPr>
            </w:pPr>
            <w:r>
              <w:rPr>
                <w:rStyle w:val="99"/>
                <w:rFonts w:hint="eastAsia" w:hAnsi="Times New Roman"/>
                <w:color w:val="000000"/>
                <w:kern w:val="2"/>
              </w:rPr>
              <w:t>风险等级</w:t>
            </w:r>
          </w:p>
        </w:tc>
      </w:tr>
      <w:tr w14:paraId="53F8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029F3A9">
            <w:pPr>
              <w:pStyle w:val="143"/>
              <w:outlineLvl w:val="3"/>
              <w:rPr>
                <w:rStyle w:val="99"/>
                <w:rFonts w:hAnsi="Times New Roman" w:eastAsia="宋体"/>
                <w:color w:val="000000"/>
                <w:kern w:val="2"/>
                <w:sz w:val="21"/>
              </w:rPr>
            </w:pPr>
            <w:r>
              <w:rPr>
                <w:rStyle w:val="99"/>
                <w:rFonts w:hint="eastAsia" w:hAnsi="Times New Roman"/>
                <w:color w:val="000000"/>
                <w:kern w:val="2"/>
              </w:rPr>
              <w:t>＞320</w:t>
            </w:r>
          </w:p>
        </w:tc>
        <w:tc>
          <w:tcPr>
            <w:tcW w:w="1286" w:type="pct"/>
            <w:vAlign w:val="center"/>
          </w:tcPr>
          <w:p w14:paraId="347547A7">
            <w:pPr>
              <w:pStyle w:val="143"/>
              <w:outlineLvl w:val="3"/>
              <w:rPr>
                <w:rStyle w:val="99"/>
                <w:rFonts w:hAnsi="Times New Roman" w:eastAsia="宋体"/>
                <w:color w:val="000000"/>
                <w:kern w:val="2"/>
                <w:sz w:val="21"/>
              </w:rPr>
            </w:pPr>
            <w:r>
              <w:rPr>
                <w:rStyle w:val="99"/>
                <w:rFonts w:hint="eastAsia" w:hAnsi="Times New Roman"/>
                <w:color w:val="000000"/>
                <w:kern w:val="2"/>
              </w:rPr>
              <w:t>极其危险</w:t>
            </w:r>
          </w:p>
        </w:tc>
        <w:tc>
          <w:tcPr>
            <w:tcW w:w="1250" w:type="pct"/>
            <w:vAlign w:val="center"/>
          </w:tcPr>
          <w:p w14:paraId="124AA06C">
            <w:pPr>
              <w:pStyle w:val="143"/>
              <w:outlineLvl w:val="3"/>
              <w:rPr>
                <w:rStyle w:val="99"/>
                <w:rFonts w:hAnsi="Times New Roman" w:eastAsia="宋体"/>
                <w:color w:val="000000"/>
                <w:kern w:val="2"/>
                <w:sz w:val="21"/>
              </w:rPr>
            </w:pPr>
            <w:r>
              <w:rPr>
                <w:rStyle w:val="99"/>
                <w:rFonts w:hAnsi="Times New Roman"/>
                <w:color w:val="000000"/>
                <w:kern w:val="2"/>
              </w:rPr>
              <w:t>5</w:t>
            </w:r>
          </w:p>
        </w:tc>
      </w:tr>
      <w:tr w14:paraId="5BA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25CF821">
            <w:pPr>
              <w:pStyle w:val="143"/>
              <w:outlineLvl w:val="3"/>
              <w:rPr>
                <w:rStyle w:val="99"/>
                <w:rFonts w:hAnsi="Times New Roman" w:eastAsia="宋体"/>
                <w:color w:val="000000"/>
                <w:kern w:val="2"/>
                <w:sz w:val="21"/>
              </w:rPr>
            </w:pPr>
            <w:r>
              <w:rPr>
                <w:rStyle w:val="99"/>
                <w:rFonts w:hAnsi="Times New Roman"/>
                <w:color w:val="000000"/>
                <w:kern w:val="2"/>
              </w:rPr>
              <w:t>160-320</w:t>
            </w:r>
          </w:p>
        </w:tc>
        <w:tc>
          <w:tcPr>
            <w:tcW w:w="1286" w:type="pct"/>
            <w:vAlign w:val="center"/>
          </w:tcPr>
          <w:p w14:paraId="13A7C722">
            <w:pPr>
              <w:pStyle w:val="143"/>
              <w:outlineLvl w:val="3"/>
              <w:rPr>
                <w:rStyle w:val="99"/>
                <w:rFonts w:hAnsi="Times New Roman" w:eastAsia="宋体"/>
                <w:color w:val="000000"/>
                <w:kern w:val="2"/>
                <w:sz w:val="21"/>
              </w:rPr>
            </w:pPr>
            <w:r>
              <w:rPr>
                <w:rStyle w:val="99"/>
                <w:rFonts w:hint="eastAsia" w:hAnsi="Times New Roman"/>
                <w:color w:val="000000"/>
                <w:kern w:val="2"/>
              </w:rPr>
              <w:t>高度危险</w:t>
            </w:r>
          </w:p>
        </w:tc>
        <w:tc>
          <w:tcPr>
            <w:tcW w:w="1250" w:type="pct"/>
            <w:vAlign w:val="center"/>
          </w:tcPr>
          <w:p w14:paraId="268F1F39">
            <w:pPr>
              <w:pStyle w:val="143"/>
              <w:outlineLvl w:val="3"/>
              <w:rPr>
                <w:rStyle w:val="99"/>
                <w:rFonts w:hAnsi="Times New Roman" w:eastAsia="宋体"/>
                <w:color w:val="000000"/>
                <w:kern w:val="2"/>
                <w:sz w:val="21"/>
              </w:rPr>
            </w:pPr>
            <w:r>
              <w:rPr>
                <w:rStyle w:val="99"/>
                <w:rFonts w:hAnsi="Times New Roman"/>
                <w:color w:val="000000"/>
                <w:kern w:val="2"/>
              </w:rPr>
              <w:t>4</w:t>
            </w:r>
          </w:p>
        </w:tc>
      </w:tr>
      <w:tr w14:paraId="296D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B025115">
            <w:pPr>
              <w:pStyle w:val="143"/>
              <w:outlineLvl w:val="3"/>
              <w:rPr>
                <w:rStyle w:val="99"/>
                <w:rFonts w:hAnsi="Times New Roman" w:eastAsia="宋体"/>
                <w:color w:val="000000"/>
                <w:kern w:val="2"/>
                <w:sz w:val="21"/>
              </w:rPr>
            </w:pPr>
            <w:r>
              <w:rPr>
                <w:rStyle w:val="99"/>
                <w:rFonts w:hAnsi="Times New Roman"/>
                <w:color w:val="000000"/>
                <w:kern w:val="2"/>
              </w:rPr>
              <w:t>70-160</w:t>
            </w:r>
          </w:p>
        </w:tc>
        <w:tc>
          <w:tcPr>
            <w:tcW w:w="1286" w:type="pct"/>
            <w:vAlign w:val="center"/>
          </w:tcPr>
          <w:p w14:paraId="12ED6474">
            <w:pPr>
              <w:pStyle w:val="143"/>
              <w:outlineLvl w:val="3"/>
              <w:rPr>
                <w:rStyle w:val="99"/>
                <w:rFonts w:hAnsi="Times New Roman" w:eastAsia="宋体"/>
                <w:color w:val="000000"/>
                <w:kern w:val="2"/>
                <w:sz w:val="21"/>
              </w:rPr>
            </w:pPr>
            <w:r>
              <w:rPr>
                <w:rStyle w:val="99"/>
                <w:rFonts w:hint="eastAsia" w:hAnsi="Times New Roman"/>
                <w:color w:val="000000"/>
                <w:kern w:val="2"/>
              </w:rPr>
              <w:t>显著危险</w:t>
            </w:r>
          </w:p>
        </w:tc>
        <w:tc>
          <w:tcPr>
            <w:tcW w:w="1250" w:type="pct"/>
            <w:vAlign w:val="center"/>
          </w:tcPr>
          <w:p w14:paraId="3833771B">
            <w:pPr>
              <w:pStyle w:val="143"/>
              <w:outlineLvl w:val="3"/>
              <w:rPr>
                <w:rStyle w:val="99"/>
                <w:rFonts w:hAnsi="Times New Roman" w:eastAsia="宋体"/>
                <w:color w:val="000000"/>
                <w:kern w:val="2"/>
                <w:sz w:val="21"/>
              </w:rPr>
            </w:pPr>
            <w:r>
              <w:rPr>
                <w:rStyle w:val="99"/>
                <w:rFonts w:hAnsi="Times New Roman"/>
                <w:color w:val="000000"/>
                <w:kern w:val="2"/>
              </w:rPr>
              <w:t>3</w:t>
            </w:r>
          </w:p>
        </w:tc>
      </w:tr>
      <w:tr w14:paraId="75CF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790943F">
            <w:pPr>
              <w:pStyle w:val="143"/>
              <w:outlineLvl w:val="3"/>
              <w:rPr>
                <w:rStyle w:val="99"/>
                <w:rFonts w:hAnsi="Times New Roman" w:eastAsia="宋体"/>
                <w:color w:val="000000"/>
                <w:kern w:val="2"/>
                <w:sz w:val="21"/>
              </w:rPr>
            </w:pPr>
            <w:r>
              <w:rPr>
                <w:rStyle w:val="99"/>
                <w:rFonts w:hAnsi="Times New Roman"/>
                <w:color w:val="000000"/>
                <w:kern w:val="2"/>
              </w:rPr>
              <w:t>20-70</w:t>
            </w:r>
          </w:p>
        </w:tc>
        <w:tc>
          <w:tcPr>
            <w:tcW w:w="1286" w:type="pct"/>
            <w:vAlign w:val="center"/>
          </w:tcPr>
          <w:p w14:paraId="6094202F">
            <w:pPr>
              <w:pStyle w:val="143"/>
              <w:outlineLvl w:val="3"/>
              <w:rPr>
                <w:rStyle w:val="99"/>
                <w:rFonts w:hAnsi="Times New Roman" w:eastAsia="宋体"/>
                <w:color w:val="000000"/>
                <w:kern w:val="2"/>
                <w:sz w:val="21"/>
              </w:rPr>
            </w:pPr>
            <w:r>
              <w:rPr>
                <w:rStyle w:val="99"/>
                <w:rFonts w:hint="eastAsia" w:hAnsi="Times New Roman"/>
                <w:color w:val="000000"/>
                <w:kern w:val="2"/>
              </w:rPr>
              <w:t>一般危险</w:t>
            </w:r>
          </w:p>
        </w:tc>
        <w:tc>
          <w:tcPr>
            <w:tcW w:w="1250" w:type="pct"/>
            <w:vAlign w:val="center"/>
          </w:tcPr>
          <w:p w14:paraId="2DA3891C">
            <w:pPr>
              <w:pStyle w:val="143"/>
              <w:outlineLvl w:val="3"/>
              <w:rPr>
                <w:rStyle w:val="99"/>
                <w:rFonts w:hAnsi="Times New Roman" w:eastAsia="宋体"/>
                <w:color w:val="000000"/>
                <w:kern w:val="2"/>
                <w:sz w:val="21"/>
              </w:rPr>
            </w:pPr>
            <w:r>
              <w:rPr>
                <w:rStyle w:val="99"/>
                <w:rFonts w:hAnsi="Times New Roman"/>
                <w:color w:val="000000"/>
                <w:kern w:val="2"/>
              </w:rPr>
              <w:t>2</w:t>
            </w:r>
          </w:p>
        </w:tc>
      </w:tr>
      <w:tr w14:paraId="390A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055D47A">
            <w:pPr>
              <w:pStyle w:val="143"/>
              <w:outlineLvl w:val="3"/>
              <w:rPr>
                <w:rStyle w:val="99"/>
                <w:rFonts w:hAnsi="Times New Roman" w:eastAsia="宋体"/>
                <w:color w:val="000000"/>
                <w:kern w:val="2"/>
                <w:sz w:val="21"/>
              </w:rPr>
            </w:pPr>
            <w:r>
              <w:rPr>
                <w:rStyle w:val="99"/>
                <w:rFonts w:hint="eastAsia" w:hAnsi="Times New Roman"/>
                <w:color w:val="000000"/>
                <w:kern w:val="2"/>
              </w:rPr>
              <w:t>＜20</w:t>
            </w:r>
          </w:p>
        </w:tc>
        <w:tc>
          <w:tcPr>
            <w:tcW w:w="1286" w:type="pct"/>
            <w:vAlign w:val="center"/>
          </w:tcPr>
          <w:p w14:paraId="37C52F9A">
            <w:pPr>
              <w:pStyle w:val="143"/>
              <w:outlineLvl w:val="3"/>
              <w:rPr>
                <w:rStyle w:val="99"/>
                <w:rFonts w:hAnsi="Times New Roman" w:eastAsia="宋体"/>
                <w:color w:val="000000"/>
                <w:kern w:val="2"/>
                <w:sz w:val="21"/>
              </w:rPr>
            </w:pPr>
            <w:r>
              <w:rPr>
                <w:rStyle w:val="99"/>
                <w:rFonts w:hint="eastAsia" w:hAnsi="Times New Roman"/>
                <w:color w:val="000000"/>
                <w:kern w:val="2"/>
              </w:rPr>
              <w:t>稍有危险</w:t>
            </w:r>
          </w:p>
        </w:tc>
        <w:tc>
          <w:tcPr>
            <w:tcW w:w="1250" w:type="pct"/>
            <w:vAlign w:val="center"/>
          </w:tcPr>
          <w:p w14:paraId="22BFF446">
            <w:pPr>
              <w:pStyle w:val="143"/>
              <w:outlineLvl w:val="3"/>
              <w:rPr>
                <w:rStyle w:val="99"/>
                <w:rFonts w:hAnsi="Times New Roman" w:eastAsia="宋体"/>
                <w:color w:val="000000"/>
                <w:kern w:val="2"/>
                <w:sz w:val="21"/>
              </w:rPr>
            </w:pPr>
            <w:r>
              <w:rPr>
                <w:rStyle w:val="99"/>
                <w:rFonts w:hAnsi="Times New Roman"/>
                <w:color w:val="000000"/>
                <w:kern w:val="2"/>
              </w:rPr>
              <w:t>1</w:t>
            </w:r>
          </w:p>
        </w:tc>
      </w:tr>
    </w:tbl>
    <w:p w14:paraId="72317BF2">
      <w:pPr>
        <w:pStyle w:val="122"/>
        <w:rPr>
          <w:rStyle w:val="123"/>
          <w:b/>
        </w:rPr>
      </w:pPr>
      <w:r>
        <w:rPr>
          <w:rStyle w:val="123"/>
          <w:rFonts w:hint="eastAsia"/>
          <w:b/>
        </w:rPr>
        <w:t>表7.</w:t>
      </w:r>
      <w:r>
        <w:rPr>
          <w:rStyle w:val="123"/>
          <w:b/>
        </w:rPr>
        <w:t>3-6</w:t>
      </w:r>
      <w:r>
        <w:rPr>
          <w:rStyle w:val="123"/>
          <w:rFonts w:hint="eastAsia"/>
          <w:b/>
        </w:rPr>
        <w:t>风险评估表</w:t>
      </w:r>
    </w:p>
    <w:tbl>
      <w:tblPr>
        <w:tblStyle w:val="40"/>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0BA91A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6F6CF5A9">
            <w:pPr>
              <w:pStyle w:val="167"/>
              <w:rPr>
                <w:rFonts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42195340">
            <w:pPr>
              <w:pStyle w:val="167"/>
              <w:rPr>
                <w:rFonts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609B85A8">
            <w:pPr>
              <w:pStyle w:val="167"/>
              <w:rPr>
                <w:rFonts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49635BD7">
            <w:pPr>
              <w:pStyle w:val="167"/>
              <w:rPr>
                <w:rFonts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03C730D5">
            <w:pPr>
              <w:pStyle w:val="167"/>
              <w:rPr>
                <w:rFonts w:ascii="仿宋" w:hAnsi="仿宋" w:eastAsia="仿宋"/>
                <w:sz w:val="24"/>
                <w:szCs w:val="24"/>
              </w:rPr>
            </w:pPr>
            <w:r>
              <w:rPr>
                <w:rFonts w:hint="eastAsia" w:ascii="仿宋" w:hAnsi="仿宋" w:eastAsia="仿宋"/>
                <w:sz w:val="24"/>
                <w:szCs w:val="24"/>
              </w:rPr>
              <w:t>风险等级</w:t>
            </w:r>
          </w:p>
        </w:tc>
      </w:tr>
      <w:tr w14:paraId="71CB44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15DC5B3">
            <w:pPr>
              <w:pStyle w:val="167"/>
              <w:rPr>
                <w:rFonts w:ascii="仿宋" w:hAnsi="仿宋" w:eastAsia="仿宋"/>
                <w:sz w:val="24"/>
                <w:szCs w:val="24"/>
              </w:rPr>
            </w:pPr>
          </w:p>
        </w:tc>
        <w:tc>
          <w:tcPr>
            <w:tcW w:w="2440" w:type="dxa"/>
            <w:vMerge w:val="continue"/>
            <w:vAlign w:val="center"/>
          </w:tcPr>
          <w:p w14:paraId="35765B50">
            <w:pPr>
              <w:pStyle w:val="167"/>
              <w:rPr>
                <w:rFonts w:ascii="仿宋" w:hAnsi="仿宋" w:eastAsia="仿宋"/>
                <w:sz w:val="24"/>
                <w:szCs w:val="24"/>
              </w:rPr>
            </w:pPr>
          </w:p>
        </w:tc>
        <w:tc>
          <w:tcPr>
            <w:tcW w:w="1549" w:type="dxa"/>
            <w:vMerge w:val="continue"/>
            <w:vAlign w:val="center"/>
          </w:tcPr>
          <w:p w14:paraId="1899EC7F">
            <w:pPr>
              <w:pStyle w:val="167"/>
              <w:rPr>
                <w:rFonts w:ascii="仿宋" w:hAnsi="仿宋" w:eastAsia="仿宋"/>
                <w:sz w:val="24"/>
                <w:szCs w:val="24"/>
              </w:rPr>
            </w:pPr>
          </w:p>
        </w:tc>
        <w:tc>
          <w:tcPr>
            <w:tcW w:w="657" w:type="dxa"/>
            <w:vAlign w:val="center"/>
          </w:tcPr>
          <w:p w14:paraId="64129535">
            <w:pPr>
              <w:pStyle w:val="167"/>
              <w:rPr>
                <w:rFonts w:ascii="仿宋" w:hAnsi="仿宋" w:eastAsia="仿宋"/>
                <w:sz w:val="24"/>
                <w:szCs w:val="24"/>
              </w:rPr>
            </w:pPr>
            <w:r>
              <w:rPr>
                <w:rFonts w:ascii="仿宋" w:hAnsi="仿宋" w:eastAsia="仿宋"/>
                <w:sz w:val="24"/>
                <w:szCs w:val="24"/>
              </w:rPr>
              <w:t>L</w:t>
            </w:r>
          </w:p>
        </w:tc>
        <w:tc>
          <w:tcPr>
            <w:tcW w:w="705" w:type="dxa"/>
            <w:vAlign w:val="center"/>
          </w:tcPr>
          <w:p w14:paraId="37F300A0">
            <w:pPr>
              <w:pStyle w:val="167"/>
              <w:rPr>
                <w:rFonts w:ascii="仿宋" w:hAnsi="仿宋" w:eastAsia="仿宋"/>
                <w:sz w:val="24"/>
                <w:szCs w:val="24"/>
              </w:rPr>
            </w:pPr>
            <w:r>
              <w:rPr>
                <w:rFonts w:ascii="仿宋" w:hAnsi="仿宋" w:eastAsia="仿宋"/>
                <w:sz w:val="24"/>
                <w:szCs w:val="24"/>
              </w:rPr>
              <w:t>E</w:t>
            </w:r>
          </w:p>
        </w:tc>
        <w:tc>
          <w:tcPr>
            <w:tcW w:w="705" w:type="dxa"/>
            <w:vAlign w:val="center"/>
          </w:tcPr>
          <w:p w14:paraId="006BC2F6">
            <w:pPr>
              <w:pStyle w:val="167"/>
              <w:rPr>
                <w:rFonts w:ascii="仿宋" w:hAnsi="仿宋" w:eastAsia="仿宋"/>
                <w:sz w:val="24"/>
                <w:szCs w:val="24"/>
              </w:rPr>
            </w:pPr>
            <w:r>
              <w:rPr>
                <w:rFonts w:ascii="仿宋" w:hAnsi="仿宋" w:eastAsia="仿宋"/>
                <w:sz w:val="24"/>
                <w:szCs w:val="24"/>
              </w:rPr>
              <w:t>C</w:t>
            </w:r>
          </w:p>
        </w:tc>
        <w:tc>
          <w:tcPr>
            <w:tcW w:w="1374" w:type="dxa"/>
            <w:vAlign w:val="center"/>
          </w:tcPr>
          <w:p w14:paraId="4122F9C2">
            <w:pPr>
              <w:pStyle w:val="167"/>
              <w:rPr>
                <w:rFonts w:ascii="仿宋" w:hAnsi="仿宋" w:eastAsia="仿宋"/>
                <w:sz w:val="24"/>
                <w:szCs w:val="24"/>
              </w:rPr>
            </w:pPr>
            <w:r>
              <w:rPr>
                <w:rFonts w:ascii="仿宋" w:hAnsi="仿宋" w:eastAsia="仿宋"/>
                <w:sz w:val="24"/>
                <w:szCs w:val="24"/>
              </w:rPr>
              <w:t>D=LEC</w:t>
            </w:r>
          </w:p>
        </w:tc>
        <w:tc>
          <w:tcPr>
            <w:tcW w:w="1060" w:type="dxa"/>
            <w:vMerge w:val="continue"/>
            <w:vAlign w:val="center"/>
          </w:tcPr>
          <w:p w14:paraId="75D46FA0">
            <w:pPr>
              <w:pStyle w:val="167"/>
              <w:rPr>
                <w:rFonts w:ascii="仿宋" w:hAnsi="仿宋" w:eastAsia="仿宋"/>
                <w:sz w:val="24"/>
                <w:szCs w:val="24"/>
              </w:rPr>
            </w:pPr>
          </w:p>
        </w:tc>
      </w:tr>
      <w:tr w14:paraId="3C8D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E1D8FF4">
            <w:pPr>
              <w:pStyle w:val="167"/>
              <w:rPr>
                <w:rFonts w:ascii="仿宋" w:hAnsi="仿宋" w:eastAsia="仿宋"/>
                <w:sz w:val="24"/>
                <w:szCs w:val="24"/>
              </w:rPr>
            </w:pPr>
            <w:r>
              <w:rPr>
                <w:rFonts w:ascii="仿宋" w:hAnsi="仿宋" w:eastAsia="仿宋"/>
                <w:sz w:val="24"/>
                <w:szCs w:val="24"/>
              </w:rPr>
              <w:t>1</w:t>
            </w:r>
          </w:p>
        </w:tc>
        <w:tc>
          <w:tcPr>
            <w:tcW w:w="2440" w:type="dxa"/>
            <w:vMerge w:val="restart"/>
            <w:vAlign w:val="center"/>
          </w:tcPr>
          <w:p w14:paraId="6F2849FF">
            <w:pPr>
              <w:pStyle w:val="167"/>
              <w:rPr>
                <w:rFonts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77ABAAFA">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0FCB3607">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1E4721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33FA14D4">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BFDEA81">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771A070A">
            <w:pPr>
              <w:pStyle w:val="167"/>
              <w:rPr>
                <w:rFonts w:ascii="仿宋" w:hAnsi="仿宋" w:eastAsia="仿宋"/>
                <w:color w:val="000000"/>
                <w:sz w:val="24"/>
                <w:szCs w:val="24"/>
              </w:rPr>
            </w:pPr>
            <w:r>
              <w:rPr>
                <w:rFonts w:ascii="仿宋" w:hAnsi="仿宋" w:eastAsia="仿宋"/>
                <w:color w:val="000000"/>
                <w:sz w:val="24"/>
                <w:szCs w:val="24"/>
              </w:rPr>
              <w:t>3</w:t>
            </w:r>
          </w:p>
        </w:tc>
      </w:tr>
      <w:tr w14:paraId="3A02A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8B7B326">
            <w:pPr>
              <w:pStyle w:val="167"/>
              <w:rPr>
                <w:rFonts w:ascii="仿宋" w:hAnsi="仿宋" w:eastAsia="仿宋"/>
                <w:sz w:val="24"/>
                <w:szCs w:val="24"/>
              </w:rPr>
            </w:pPr>
            <w:r>
              <w:rPr>
                <w:rFonts w:ascii="仿宋" w:hAnsi="仿宋" w:eastAsia="仿宋"/>
                <w:sz w:val="24"/>
                <w:szCs w:val="24"/>
              </w:rPr>
              <w:t>2</w:t>
            </w:r>
          </w:p>
        </w:tc>
        <w:tc>
          <w:tcPr>
            <w:tcW w:w="2440" w:type="dxa"/>
            <w:vMerge w:val="continue"/>
            <w:vAlign w:val="center"/>
          </w:tcPr>
          <w:p w14:paraId="0A605E1F">
            <w:pPr>
              <w:pStyle w:val="167"/>
              <w:rPr>
                <w:rFonts w:ascii="仿宋" w:hAnsi="仿宋" w:eastAsia="仿宋"/>
                <w:sz w:val="24"/>
                <w:szCs w:val="24"/>
              </w:rPr>
            </w:pPr>
          </w:p>
        </w:tc>
        <w:tc>
          <w:tcPr>
            <w:tcW w:w="1549" w:type="dxa"/>
            <w:vAlign w:val="center"/>
          </w:tcPr>
          <w:p w14:paraId="2E079046">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73368C1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EA862B0">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CDEACD0">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5988E37">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894A820">
            <w:pPr>
              <w:pStyle w:val="167"/>
              <w:rPr>
                <w:rFonts w:ascii="仿宋" w:hAnsi="仿宋" w:eastAsia="仿宋"/>
                <w:color w:val="000000"/>
                <w:sz w:val="24"/>
                <w:szCs w:val="24"/>
              </w:rPr>
            </w:pPr>
            <w:r>
              <w:rPr>
                <w:rFonts w:ascii="仿宋" w:hAnsi="仿宋" w:eastAsia="仿宋"/>
                <w:color w:val="000000"/>
                <w:sz w:val="24"/>
                <w:szCs w:val="24"/>
              </w:rPr>
              <w:t>3</w:t>
            </w:r>
          </w:p>
        </w:tc>
      </w:tr>
      <w:tr w14:paraId="6F502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3ABA112">
            <w:pPr>
              <w:pStyle w:val="167"/>
              <w:rPr>
                <w:rFonts w:ascii="仿宋" w:hAnsi="仿宋" w:eastAsia="仿宋"/>
                <w:sz w:val="24"/>
                <w:szCs w:val="24"/>
              </w:rPr>
            </w:pPr>
            <w:r>
              <w:rPr>
                <w:rFonts w:ascii="仿宋" w:hAnsi="仿宋" w:eastAsia="仿宋"/>
                <w:sz w:val="24"/>
                <w:szCs w:val="24"/>
              </w:rPr>
              <w:t>3</w:t>
            </w:r>
          </w:p>
        </w:tc>
        <w:tc>
          <w:tcPr>
            <w:tcW w:w="2440" w:type="dxa"/>
            <w:vMerge w:val="continue"/>
            <w:vAlign w:val="center"/>
          </w:tcPr>
          <w:p w14:paraId="3A4EE14B">
            <w:pPr>
              <w:pStyle w:val="167"/>
              <w:rPr>
                <w:rFonts w:ascii="仿宋" w:hAnsi="仿宋" w:eastAsia="仿宋"/>
                <w:sz w:val="24"/>
                <w:szCs w:val="24"/>
              </w:rPr>
            </w:pPr>
          </w:p>
        </w:tc>
        <w:tc>
          <w:tcPr>
            <w:tcW w:w="1549" w:type="dxa"/>
            <w:vAlign w:val="center"/>
          </w:tcPr>
          <w:p w14:paraId="7F25C519">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67073B87">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B83962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224A738">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32FE0A3">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0EC9D07E">
            <w:pPr>
              <w:pStyle w:val="167"/>
              <w:rPr>
                <w:rFonts w:ascii="仿宋" w:hAnsi="仿宋" w:eastAsia="仿宋"/>
                <w:color w:val="000000"/>
                <w:sz w:val="24"/>
                <w:szCs w:val="24"/>
              </w:rPr>
            </w:pPr>
            <w:r>
              <w:rPr>
                <w:rFonts w:ascii="仿宋" w:hAnsi="仿宋" w:eastAsia="仿宋"/>
                <w:color w:val="000000"/>
                <w:sz w:val="24"/>
                <w:szCs w:val="24"/>
              </w:rPr>
              <w:t>2</w:t>
            </w:r>
          </w:p>
        </w:tc>
      </w:tr>
      <w:tr w14:paraId="4BA6C8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20ACA66">
            <w:pPr>
              <w:pStyle w:val="167"/>
              <w:rPr>
                <w:rFonts w:ascii="仿宋" w:hAnsi="仿宋" w:eastAsia="仿宋"/>
                <w:sz w:val="24"/>
                <w:szCs w:val="24"/>
              </w:rPr>
            </w:pPr>
            <w:r>
              <w:rPr>
                <w:rFonts w:ascii="仿宋" w:hAnsi="仿宋" w:eastAsia="仿宋"/>
                <w:sz w:val="24"/>
                <w:szCs w:val="24"/>
              </w:rPr>
              <w:t>4</w:t>
            </w:r>
          </w:p>
        </w:tc>
        <w:tc>
          <w:tcPr>
            <w:tcW w:w="2440" w:type="dxa"/>
            <w:vMerge w:val="continue"/>
            <w:vAlign w:val="center"/>
          </w:tcPr>
          <w:p w14:paraId="2303AF28">
            <w:pPr>
              <w:pStyle w:val="167"/>
              <w:rPr>
                <w:rFonts w:ascii="仿宋" w:hAnsi="仿宋" w:eastAsia="仿宋"/>
                <w:sz w:val="24"/>
                <w:szCs w:val="24"/>
              </w:rPr>
            </w:pPr>
          </w:p>
        </w:tc>
        <w:tc>
          <w:tcPr>
            <w:tcW w:w="1549" w:type="dxa"/>
            <w:vAlign w:val="center"/>
          </w:tcPr>
          <w:p w14:paraId="5F634DFF">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7FB41FE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C37D85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572BD0C">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5DCB477B">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5A821685">
            <w:pPr>
              <w:pStyle w:val="167"/>
              <w:rPr>
                <w:rFonts w:ascii="仿宋" w:hAnsi="仿宋" w:eastAsia="仿宋"/>
                <w:color w:val="000000"/>
                <w:sz w:val="24"/>
                <w:szCs w:val="24"/>
              </w:rPr>
            </w:pPr>
            <w:r>
              <w:rPr>
                <w:rFonts w:ascii="仿宋" w:hAnsi="仿宋" w:eastAsia="仿宋"/>
                <w:color w:val="000000"/>
                <w:sz w:val="24"/>
                <w:szCs w:val="24"/>
              </w:rPr>
              <w:t>3</w:t>
            </w:r>
          </w:p>
        </w:tc>
      </w:tr>
      <w:tr w14:paraId="761B6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85A5AB6">
            <w:pPr>
              <w:pStyle w:val="167"/>
              <w:rPr>
                <w:rFonts w:ascii="仿宋" w:hAnsi="仿宋" w:eastAsia="仿宋"/>
                <w:sz w:val="24"/>
                <w:szCs w:val="24"/>
              </w:rPr>
            </w:pPr>
            <w:r>
              <w:rPr>
                <w:rFonts w:ascii="仿宋" w:hAnsi="仿宋" w:eastAsia="仿宋"/>
                <w:sz w:val="24"/>
                <w:szCs w:val="24"/>
              </w:rPr>
              <w:t>5</w:t>
            </w:r>
          </w:p>
        </w:tc>
        <w:tc>
          <w:tcPr>
            <w:tcW w:w="2440" w:type="dxa"/>
            <w:vMerge w:val="continue"/>
            <w:vAlign w:val="center"/>
          </w:tcPr>
          <w:p w14:paraId="1D56D555">
            <w:pPr>
              <w:pStyle w:val="167"/>
              <w:rPr>
                <w:rFonts w:ascii="仿宋" w:hAnsi="仿宋" w:eastAsia="仿宋"/>
                <w:sz w:val="24"/>
                <w:szCs w:val="24"/>
              </w:rPr>
            </w:pPr>
          </w:p>
        </w:tc>
        <w:tc>
          <w:tcPr>
            <w:tcW w:w="1549" w:type="dxa"/>
            <w:vAlign w:val="center"/>
          </w:tcPr>
          <w:p w14:paraId="2742CFDC">
            <w:pPr>
              <w:pStyle w:val="167"/>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492CE451">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5A3FD682">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E15265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6C6C039C">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06D36020">
            <w:pPr>
              <w:pStyle w:val="167"/>
              <w:rPr>
                <w:rFonts w:ascii="仿宋" w:hAnsi="仿宋" w:eastAsia="仿宋"/>
                <w:color w:val="000000"/>
                <w:sz w:val="24"/>
                <w:szCs w:val="24"/>
              </w:rPr>
            </w:pPr>
            <w:r>
              <w:rPr>
                <w:rFonts w:ascii="仿宋" w:hAnsi="仿宋" w:eastAsia="仿宋"/>
                <w:color w:val="000000"/>
                <w:sz w:val="24"/>
                <w:szCs w:val="24"/>
              </w:rPr>
              <w:t>1</w:t>
            </w:r>
          </w:p>
        </w:tc>
      </w:tr>
      <w:tr w14:paraId="046AD1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452AC27">
            <w:pPr>
              <w:pStyle w:val="167"/>
              <w:rPr>
                <w:rFonts w:ascii="仿宋" w:hAnsi="仿宋" w:eastAsia="仿宋"/>
                <w:sz w:val="24"/>
                <w:szCs w:val="24"/>
              </w:rPr>
            </w:pPr>
            <w:r>
              <w:rPr>
                <w:rFonts w:ascii="仿宋" w:hAnsi="仿宋" w:eastAsia="仿宋"/>
                <w:sz w:val="24"/>
                <w:szCs w:val="24"/>
              </w:rPr>
              <w:t>6</w:t>
            </w:r>
          </w:p>
        </w:tc>
        <w:tc>
          <w:tcPr>
            <w:tcW w:w="2440" w:type="dxa"/>
            <w:vMerge w:val="continue"/>
            <w:vAlign w:val="center"/>
          </w:tcPr>
          <w:p w14:paraId="42A316A1">
            <w:pPr>
              <w:pStyle w:val="167"/>
              <w:rPr>
                <w:rFonts w:ascii="仿宋" w:hAnsi="仿宋" w:eastAsia="仿宋"/>
                <w:sz w:val="24"/>
                <w:szCs w:val="24"/>
              </w:rPr>
            </w:pPr>
          </w:p>
        </w:tc>
        <w:tc>
          <w:tcPr>
            <w:tcW w:w="1549" w:type="dxa"/>
            <w:vAlign w:val="center"/>
          </w:tcPr>
          <w:p w14:paraId="05A7FCC1">
            <w:pPr>
              <w:pStyle w:val="167"/>
              <w:jc w:val="left"/>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1898188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DF2F26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C49313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EF17A0B">
            <w:pPr>
              <w:pStyle w:val="167"/>
              <w:rPr>
                <w:rFonts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40E3F640">
            <w:pPr>
              <w:pStyle w:val="167"/>
              <w:rPr>
                <w:rFonts w:ascii="仿宋" w:hAnsi="仿宋" w:eastAsia="仿宋"/>
                <w:color w:val="000000"/>
                <w:sz w:val="24"/>
                <w:szCs w:val="24"/>
              </w:rPr>
            </w:pPr>
            <w:r>
              <w:rPr>
                <w:rFonts w:ascii="仿宋" w:hAnsi="仿宋" w:eastAsia="仿宋"/>
                <w:color w:val="000000"/>
                <w:sz w:val="24"/>
                <w:szCs w:val="24"/>
              </w:rPr>
              <w:t>2</w:t>
            </w:r>
          </w:p>
        </w:tc>
      </w:tr>
      <w:tr w14:paraId="5AA943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0F932A2">
            <w:pPr>
              <w:pStyle w:val="167"/>
              <w:rPr>
                <w:rFonts w:ascii="仿宋" w:hAnsi="仿宋" w:eastAsia="仿宋"/>
                <w:sz w:val="24"/>
                <w:szCs w:val="24"/>
              </w:rPr>
            </w:pPr>
            <w:r>
              <w:rPr>
                <w:rFonts w:ascii="仿宋" w:hAnsi="仿宋" w:eastAsia="仿宋"/>
                <w:sz w:val="24"/>
                <w:szCs w:val="24"/>
              </w:rPr>
              <w:t>7</w:t>
            </w:r>
          </w:p>
        </w:tc>
        <w:tc>
          <w:tcPr>
            <w:tcW w:w="2440" w:type="dxa"/>
            <w:vMerge w:val="restart"/>
            <w:vAlign w:val="center"/>
          </w:tcPr>
          <w:p w14:paraId="43183137">
            <w:pPr>
              <w:pStyle w:val="167"/>
              <w:rPr>
                <w:rFonts w:ascii="仿宋" w:hAnsi="仿宋" w:eastAsia="仿宋"/>
                <w:sz w:val="24"/>
                <w:szCs w:val="24"/>
              </w:rPr>
            </w:pPr>
            <w:r>
              <w:rPr>
                <w:rFonts w:hint="eastAsia" w:ascii="仿宋" w:hAnsi="仿宋" w:eastAsia="仿宋"/>
                <w:sz w:val="24"/>
                <w:szCs w:val="24"/>
              </w:rPr>
              <w:t>立体交叉作业</w:t>
            </w:r>
          </w:p>
        </w:tc>
        <w:tc>
          <w:tcPr>
            <w:tcW w:w="1549" w:type="dxa"/>
            <w:vAlign w:val="center"/>
          </w:tcPr>
          <w:p w14:paraId="1224E5F2">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2C963C06">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A89741F">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63876BF">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5F303AAD">
            <w:pPr>
              <w:pStyle w:val="167"/>
              <w:rPr>
                <w:rFonts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5847EF04">
            <w:pPr>
              <w:pStyle w:val="167"/>
              <w:rPr>
                <w:rFonts w:ascii="仿宋" w:hAnsi="仿宋" w:eastAsia="仿宋"/>
                <w:color w:val="000000"/>
                <w:sz w:val="24"/>
                <w:szCs w:val="24"/>
              </w:rPr>
            </w:pPr>
            <w:r>
              <w:rPr>
                <w:rFonts w:ascii="仿宋" w:hAnsi="仿宋" w:eastAsia="仿宋"/>
                <w:color w:val="000000"/>
                <w:sz w:val="24"/>
                <w:szCs w:val="24"/>
              </w:rPr>
              <w:t>2</w:t>
            </w:r>
          </w:p>
        </w:tc>
      </w:tr>
      <w:tr w14:paraId="5F0FD6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A7EE27B">
            <w:pPr>
              <w:pStyle w:val="167"/>
              <w:rPr>
                <w:rFonts w:ascii="仿宋" w:hAnsi="仿宋" w:eastAsia="仿宋"/>
                <w:sz w:val="24"/>
                <w:szCs w:val="24"/>
              </w:rPr>
            </w:pPr>
            <w:r>
              <w:rPr>
                <w:rFonts w:ascii="仿宋" w:hAnsi="仿宋" w:eastAsia="仿宋"/>
                <w:sz w:val="24"/>
                <w:szCs w:val="24"/>
              </w:rPr>
              <w:t>8</w:t>
            </w:r>
          </w:p>
        </w:tc>
        <w:tc>
          <w:tcPr>
            <w:tcW w:w="2440" w:type="dxa"/>
            <w:vMerge w:val="continue"/>
            <w:vAlign w:val="center"/>
          </w:tcPr>
          <w:p w14:paraId="60C35376">
            <w:pPr>
              <w:pStyle w:val="167"/>
              <w:rPr>
                <w:rFonts w:ascii="仿宋" w:hAnsi="仿宋" w:eastAsia="仿宋"/>
                <w:sz w:val="24"/>
                <w:szCs w:val="24"/>
              </w:rPr>
            </w:pPr>
          </w:p>
        </w:tc>
        <w:tc>
          <w:tcPr>
            <w:tcW w:w="1549" w:type="dxa"/>
            <w:vAlign w:val="center"/>
          </w:tcPr>
          <w:p w14:paraId="4065BA59">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19AAB21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47DDF76">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BF28EEE">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3620ADE">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3347A849">
            <w:pPr>
              <w:pStyle w:val="167"/>
              <w:rPr>
                <w:rFonts w:ascii="仿宋" w:hAnsi="仿宋" w:eastAsia="仿宋"/>
                <w:color w:val="000000"/>
                <w:sz w:val="24"/>
                <w:szCs w:val="24"/>
              </w:rPr>
            </w:pPr>
            <w:r>
              <w:rPr>
                <w:rFonts w:ascii="仿宋" w:hAnsi="仿宋" w:eastAsia="仿宋"/>
                <w:color w:val="000000"/>
                <w:sz w:val="24"/>
                <w:szCs w:val="24"/>
              </w:rPr>
              <w:t>3</w:t>
            </w:r>
          </w:p>
        </w:tc>
      </w:tr>
      <w:tr w14:paraId="2B4B58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DB25D55">
            <w:pPr>
              <w:pStyle w:val="167"/>
              <w:rPr>
                <w:rFonts w:ascii="仿宋" w:hAnsi="仿宋" w:eastAsia="仿宋"/>
                <w:sz w:val="24"/>
                <w:szCs w:val="24"/>
              </w:rPr>
            </w:pPr>
            <w:r>
              <w:rPr>
                <w:rFonts w:ascii="仿宋" w:hAnsi="仿宋" w:eastAsia="仿宋"/>
                <w:sz w:val="24"/>
                <w:szCs w:val="24"/>
              </w:rPr>
              <w:t>9</w:t>
            </w:r>
          </w:p>
        </w:tc>
        <w:tc>
          <w:tcPr>
            <w:tcW w:w="2440" w:type="dxa"/>
            <w:vMerge w:val="restart"/>
            <w:vAlign w:val="center"/>
          </w:tcPr>
          <w:p w14:paraId="3EB3748C">
            <w:pPr>
              <w:pStyle w:val="167"/>
              <w:rPr>
                <w:rFonts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058B03A4">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411769D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A435C74">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453EACB3">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07431B6">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54A3CF0F">
            <w:pPr>
              <w:pStyle w:val="167"/>
              <w:rPr>
                <w:rFonts w:ascii="仿宋" w:hAnsi="仿宋" w:eastAsia="仿宋"/>
                <w:color w:val="000000"/>
                <w:sz w:val="24"/>
                <w:szCs w:val="24"/>
              </w:rPr>
            </w:pPr>
            <w:r>
              <w:rPr>
                <w:rFonts w:ascii="仿宋" w:hAnsi="仿宋" w:eastAsia="仿宋"/>
                <w:color w:val="000000"/>
                <w:sz w:val="24"/>
                <w:szCs w:val="24"/>
              </w:rPr>
              <w:t>3</w:t>
            </w:r>
          </w:p>
        </w:tc>
      </w:tr>
      <w:tr w14:paraId="6FDD28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4866FDE">
            <w:pPr>
              <w:pStyle w:val="167"/>
              <w:rPr>
                <w:rFonts w:ascii="仿宋" w:hAnsi="仿宋" w:eastAsia="仿宋"/>
                <w:sz w:val="24"/>
                <w:szCs w:val="24"/>
              </w:rPr>
            </w:pPr>
            <w:r>
              <w:rPr>
                <w:rFonts w:ascii="仿宋" w:hAnsi="仿宋" w:eastAsia="仿宋"/>
                <w:sz w:val="24"/>
                <w:szCs w:val="24"/>
              </w:rPr>
              <w:t>10</w:t>
            </w:r>
          </w:p>
        </w:tc>
        <w:tc>
          <w:tcPr>
            <w:tcW w:w="2440" w:type="dxa"/>
            <w:vMerge w:val="continue"/>
            <w:vAlign w:val="center"/>
          </w:tcPr>
          <w:p w14:paraId="347E437C">
            <w:pPr>
              <w:pStyle w:val="167"/>
              <w:rPr>
                <w:rFonts w:ascii="仿宋" w:hAnsi="仿宋" w:eastAsia="仿宋"/>
                <w:sz w:val="24"/>
                <w:szCs w:val="24"/>
              </w:rPr>
            </w:pPr>
          </w:p>
        </w:tc>
        <w:tc>
          <w:tcPr>
            <w:tcW w:w="1549" w:type="dxa"/>
            <w:vAlign w:val="center"/>
          </w:tcPr>
          <w:p w14:paraId="6AEFA97C">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0745F828">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24DBE9F">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B96940F">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ABAC30F">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69DA1ED1">
            <w:pPr>
              <w:pStyle w:val="167"/>
              <w:rPr>
                <w:rFonts w:ascii="仿宋" w:hAnsi="仿宋" w:eastAsia="仿宋"/>
                <w:color w:val="000000"/>
                <w:sz w:val="24"/>
                <w:szCs w:val="24"/>
              </w:rPr>
            </w:pPr>
            <w:r>
              <w:rPr>
                <w:rFonts w:ascii="仿宋" w:hAnsi="仿宋" w:eastAsia="仿宋"/>
                <w:color w:val="000000"/>
                <w:sz w:val="24"/>
                <w:szCs w:val="24"/>
              </w:rPr>
              <w:t>2</w:t>
            </w:r>
          </w:p>
        </w:tc>
      </w:tr>
      <w:tr w14:paraId="42BAC4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5DB715">
            <w:pPr>
              <w:pStyle w:val="167"/>
              <w:rPr>
                <w:rFonts w:ascii="仿宋" w:hAnsi="仿宋" w:eastAsia="仿宋"/>
                <w:sz w:val="24"/>
                <w:szCs w:val="24"/>
              </w:rPr>
            </w:pPr>
            <w:r>
              <w:rPr>
                <w:rFonts w:ascii="仿宋" w:hAnsi="仿宋" w:eastAsia="仿宋"/>
                <w:sz w:val="24"/>
                <w:szCs w:val="24"/>
              </w:rPr>
              <w:t>11</w:t>
            </w:r>
          </w:p>
        </w:tc>
        <w:tc>
          <w:tcPr>
            <w:tcW w:w="2440" w:type="dxa"/>
            <w:vMerge w:val="continue"/>
            <w:vAlign w:val="center"/>
          </w:tcPr>
          <w:p w14:paraId="30454B1D">
            <w:pPr>
              <w:pStyle w:val="167"/>
              <w:rPr>
                <w:rFonts w:ascii="仿宋" w:hAnsi="仿宋" w:eastAsia="仿宋"/>
                <w:sz w:val="24"/>
                <w:szCs w:val="24"/>
              </w:rPr>
            </w:pPr>
          </w:p>
        </w:tc>
        <w:tc>
          <w:tcPr>
            <w:tcW w:w="1549" w:type="dxa"/>
            <w:vAlign w:val="center"/>
          </w:tcPr>
          <w:p w14:paraId="6D5F70FF">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017EE23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BB85FDE">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B42C15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7AFFBEA7">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404218B6">
            <w:pPr>
              <w:pStyle w:val="167"/>
              <w:rPr>
                <w:rFonts w:ascii="仿宋" w:hAnsi="仿宋" w:eastAsia="仿宋"/>
                <w:color w:val="000000"/>
                <w:sz w:val="24"/>
                <w:szCs w:val="24"/>
              </w:rPr>
            </w:pPr>
            <w:r>
              <w:rPr>
                <w:rFonts w:ascii="仿宋" w:hAnsi="仿宋" w:eastAsia="仿宋"/>
                <w:color w:val="000000"/>
                <w:sz w:val="24"/>
                <w:szCs w:val="24"/>
              </w:rPr>
              <w:t>3</w:t>
            </w:r>
          </w:p>
        </w:tc>
      </w:tr>
      <w:tr w14:paraId="4CECBA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0A8590">
            <w:pPr>
              <w:pStyle w:val="167"/>
              <w:rPr>
                <w:rFonts w:ascii="仿宋" w:hAnsi="仿宋" w:eastAsia="仿宋"/>
                <w:sz w:val="24"/>
                <w:szCs w:val="24"/>
              </w:rPr>
            </w:pPr>
            <w:r>
              <w:rPr>
                <w:rFonts w:ascii="仿宋" w:hAnsi="仿宋" w:eastAsia="仿宋"/>
                <w:sz w:val="24"/>
                <w:szCs w:val="24"/>
              </w:rPr>
              <w:t>12</w:t>
            </w:r>
          </w:p>
        </w:tc>
        <w:tc>
          <w:tcPr>
            <w:tcW w:w="2440" w:type="dxa"/>
            <w:vMerge w:val="continue"/>
            <w:vAlign w:val="center"/>
          </w:tcPr>
          <w:p w14:paraId="38B29DE2">
            <w:pPr>
              <w:pStyle w:val="167"/>
              <w:rPr>
                <w:rFonts w:ascii="仿宋" w:hAnsi="仿宋" w:eastAsia="仿宋"/>
                <w:sz w:val="24"/>
                <w:szCs w:val="24"/>
              </w:rPr>
            </w:pPr>
          </w:p>
        </w:tc>
        <w:tc>
          <w:tcPr>
            <w:tcW w:w="1549" w:type="dxa"/>
            <w:vAlign w:val="center"/>
          </w:tcPr>
          <w:p w14:paraId="375FC643">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7045C60A">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3FCB5555">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769586B3">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15D85A6">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5BDD1EA0">
            <w:pPr>
              <w:pStyle w:val="167"/>
              <w:rPr>
                <w:rFonts w:ascii="仿宋" w:hAnsi="仿宋" w:eastAsia="仿宋"/>
                <w:color w:val="000000"/>
                <w:sz w:val="24"/>
                <w:szCs w:val="24"/>
              </w:rPr>
            </w:pPr>
            <w:r>
              <w:rPr>
                <w:rFonts w:ascii="仿宋" w:hAnsi="仿宋" w:eastAsia="仿宋"/>
                <w:color w:val="000000"/>
                <w:sz w:val="24"/>
                <w:szCs w:val="24"/>
              </w:rPr>
              <w:t>3</w:t>
            </w:r>
          </w:p>
        </w:tc>
      </w:tr>
      <w:tr w14:paraId="3CFF61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0BB2980">
            <w:pPr>
              <w:pStyle w:val="167"/>
              <w:rPr>
                <w:rFonts w:ascii="仿宋" w:hAnsi="仿宋" w:eastAsia="仿宋"/>
                <w:sz w:val="24"/>
                <w:szCs w:val="24"/>
              </w:rPr>
            </w:pPr>
            <w:r>
              <w:rPr>
                <w:rFonts w:ascii="仿宋" w:hAnsi="仿宋" w:eastAsia="仿宋"/>
                <w:sz w:val="24"/>
                <w:szCs w:val="24"/>
              </w:rPr>
              <w:t>13</w:t>
            </w:r>
          </w:p>
        </w:tc>
        <w:tc>
          <w:tcPr>
            <w:tcW w:w="2440" w:type="dxa"/>
            <w:vMerge w:val="continue"/>
            <w:vAlign w:val="center"/>
          </w:tcPr>
          <w:p w14:paraId="1733D00B">
            <w:pPr>
              <w:pStyle w:val="167"/>
              <w:rPr>
                <w:rFonts w:ascii="仿宋" w:hAnsi="仿宋" w:eastAsia="仿宋"/>
                <w:sz w:val="24"/>
                <w:szCs w:val="24"/>
              </w:rPr>
            </w:pPr>
          </w:p>
        </w:tc>
        <w:tc>
          <w:tcPr>
            <w:tcW w:w="1549" w:type="dxa"/>
            <w:vAlign w:val="center"/>
          </w:tcPr>
          <w:p w14:paraId="39C106D8">
            <w:pPr>
              <w:pStyle w:val="167"/>
              <w:jc w:val="left"/>
              <w:rPr>
                <w:rFonts w:ascii="仿宋" w:hAnsi="仿宋" w:eastAsia="仿宋"/>
                <w:sz w:val="24"/>
                <w:szCs w:val="24"/>
              </w:rPr>
            </w:pPr>
            <w:r>
              <w:rPr>
                <w:rFonts w:hint="eastAsia" w:ascii="仿宋" w:hAnsi="仿宋" w:eastAsia="仿宋"/>
                <w:sz w:val="24"/>
                <w:szCs w:val="24"/>
              </w:rPr>
              <w:t>5、其他伤害</w:t>
            </w:r>
          </w:p>
        </w:tc>
        <w:tc>
          <w:tcPr>
            <w:tcW w:w="657" w:type="dxa"/>
            <w:vAlign w:val="center"/>
          </w:tcPr>
          <w:p w14:paraId="3D3065E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4C35706">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4EE227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4EAC6221">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463D6959">
            <w:pPr>
              <w:pStyle w:val="167"/>
              <w:rPr>
                <w:rFonts w:ascii="仿宋" w:hAnsi="仿宋" w:eastAsia="仿宋"/>
                <w:color w:val="000000"/>
                <w:sz w:val="24"/>
                <w:szCs w:val="24"/>
              </w:rPr>
            </w:pPr>
            <w:r>
              <w:rPr>
                <w:rFonts w:ascii="仿宋" w:hAnsi="仿宋" w:eastAsia="仿宋"/>
                <w:color w:val="000000"/>
                <w:sz w:val="24"/>
                <w:szCs w:val="24"/>
              </w:rPr>
              <w:t>1</w:t>
            </w:r>
          </w:p>
        </w:tc>
      </w:tr>
    </w:tbl>
    <w:p w14:paraId="2C507531">
      <w:pPr>
        <w:pStyle w:val="167"/>
        <w:rPr>
          <w:highlight w:val="yellow"/>
        </w:rPr>
      </w:pPr>
    </w:p>
    <w:p w14:paraId="25AC9246">
      <w:pPr>
        <w:ind w:firstLine="560"/>
      </w:pPr>
      <w:r>
        <w:rPr>
          <w:rFonts w:hint="eastAsia"/>
        </w:rPr>
        <w:t>根据以上分析，高处坠落、起重伤害、坍塌的D值在70～160之间，属于3级风险源，属显著危险，应采取有效措施，予以重点控制。</w:t>
      </w:r>
    </w:p>
    <w:p w14:paraId="6874471E">
      <w:pPr>
        <w:ind w:firstLine="560"/>
      </w:pPr>
      <w:r>
        <w:rPr>
          <w:rFonts w:hint="eastAsia"/>
        </w:rPr>
        <w:t>物体打击、机械伤害、触电、火灾爆炸的D值在20～70之间，属于一般风险源，比较危险，需要注意，用项目部现有制度进行预防和控制。</w:t>
      </w:r>
    </w:p>
    <w:p w14:paraId="4FD932DF">
      <w:pPr>
        <w:ind w:firstLine="560"/>
      </w:pPr>
      <w:r>
        <w:rPr>
          <w:rFonts w:hint="eastAsia"/>
        </w:rPr>
        <w:t>车辆伤害、中毒窒息和其他伤害的D值小于20，属Ⅰ级风险源，稍有危险，利用项目部现有制度进行预防和控制即可。</w:t>
      </w:r>
    </w:p>
    <w:p w14:paraId="5A818135">
      <w:pPr>
        <w:ind w:firstLine="0" w:firstLineChars="0"/>
      </w:pPr>
    </w:p>
    <w:p w14:paraId="3546B32F">
      <w:pPr>
        <w:pStyle w:val="2"/>
      </w:pPr>
      <w:bookmarkStart w:id="380" w:name="_Toc24360"/>
      <w:bookmarkStart w:id="381" w:name="_Toc6301"/>
      <w:bookmarkStart w:id="382" w:name="_Toc9448"/>
      <w:bookmarkStart w:id="383" w:name="_Toc17296"/>
      <w:bookmarkStart w:id="384" w:name="_Toc8938"/>
      <w:bookmarkStart w:id="385" w:name="_Toc14087"/>
      <w:bookmarkStart w:id="386" w:name="_Toc30432"/>
      <w:r>
        <w:rPr>
          <w:rFonts w:hint="eastAsia"/>
        </w:rPr>
        <w:t>第八章 施工安全技术保障措施</w:t>
      </w:r>
      <w:bookmarkEnd w:id="380"/>
      <w:bookmarkEnd w:id="381"/>
      <w:bookmarkEnd w:id="382"/>
      <w:bookmarkEnd w:id="383"/>
      <w:bookmarkEnd w:id="384"/>
      <w:bookmarkEnd w:id="385"/>
      <w:bookmarkEnd w:id="386"/>
    </w:p>
    <w:p w14:paraId="7454DF3F">
      <w:pPr>
        <w:pStyle w:val="3"/>
        <w:spacing w:before="120" w:after="120"/>
        <w:rPr>
          <w:color w:val="171717"/>
        </w:rPr>
      </w:pPr>
      <w:bookmarkStart w:id="387" w:name="_Toc7888"/>
      <w:bookmarkStart w:id="388" w:name="_Toc15696"/>
      <w:bookmarkStart w:id="389" w:name="_Toc3117"/>
      <w:bookmarkStart w:id="390" w:name="_Toc16384"/>
      <w:bookmarkStart w:id="391" w:name="_Toc15664"/>
      <w:bookmarkStart w:id="392" w:name="_Toc24284"/>
      <w:bookmarkStart w:id="393" w:name="_Toc24025"/>
      <w:bookmarkStart w:id="394" w:name="_Toc29854"/>
      <w:bookmarkStart w:id="395" w:name="_Toc21970"/>
      <w:r>
        <w:rPr>
          <w:rFonts w:hint="eastAsia"/>
          <w:color w:val="171717"/>
        </w:rPr>
        <w:t>8.1健康</w:t>
      </w:r>
      <w:bookmarkEnd w:id="387"/>
      <w:bookmarkEnd w:id="388"/>
      <w:bookmarkEnd w:id="389"/>
      <w:bookmarkEnd w:id="390"/>
      <w:bookmarkEnd w:id="391"/>
      <w:bookmarkEnd w:id="392"/>
      <w:bookmarkEnd w:id="393"/>
      <w:bookmarkEnd w:id="394"/>
      <w:bookmarkEnd w:id="395"/>
    </w:p>
    <w:p w14:paraId="77057788">
      <w:pPr>
        <w:pStyle w:val="4"/>
      </w:pPr>
      <w:r>
        <w:rPr>
          <w:rFonts w:hint="eastAsia"/>
        </w:rPr>
        <w:t>8.</w:t>
      </w:r>
      <w:r>
        <w:t xml:space="preserve">1.1 </w:t>
      </w:r>
      <w:r>
        <w:rPr>
          <w:rFonts w:hint="eastAsia"/>
        </w:rPr>
        <w:t>健康管理目标</w:t>
      </w:r>
    </w:p>
    <w:p w14:paraId="27C7A228">
      <w:pPr>
        <w:ind w:firstLine="560"/>
        <w:rPr>
          <w:rFonts w:ascii="宋体" w:hAnsi="宋体"/>
          <w:color w:val="171717"/>
        </w:rPr>
      </w:pPr>
      <w:r>
        <w:rPr>
          <w:rFonts w:hint="eastAsia" w:ascii="宋体" w:hAnsi="宋体"/>
          <w:color w:val="171717"/>
        </w:rPr>
        <w:t>1、不发生轻伤以上的人身伤害事故。</w:t>
      </w:r>
    </w:p>
    <w:p w14:paraId="30A494DA">
      <w:pPr>
        <w:ind w:firstLine="560"/>
        <w:rPr>
          <w:rFonts w:ascii="宋体" w:hAnsi="宋体"/>
          <w:color w:val="171717"/>
        </w:rPr>
      </w:pPr>
      <w:r>
        <w:rPr>
          <w:rFonts w:hint="eastAsia" w:ascii="宋体" w:hAnsi="宋体"/>
          <w:color w:val="171717"/>
        </w:rPr>
        <w:t>2、不发生因天气原因造成的中暑现象。</w:t>
      </w:r>
    </w:p>
    <w:p w14:paraId="34EF2B24">
      <w:pPr>
        <w:ind w:firstLine="560"/>
        <w:rPr>
          <w:rFonts w:ascii="宋体" w:hAnsi="宋体"/>
          <w:color w:val="171717"/>
        </w:rPr>
      </w:pPr>
      <w:r>
        <w:rPr>
          <w:rFonts w:hint="eastAsia" w:ascii="宋体" w:hAnsi="宋体"/>
          <w:color w:val="171717"/>
        </w:rPr>
        <w:t>3、不发生施工过程中的职业病伤害。</w:t>
      </w:r>
    </w:p>
    <w:p w14:paraId="5656C38B">
      <w:pPr>
        <w:pStyle w:val="4"/>
      </w:pPr>
      <w:r>
        <w:rPr>
          <w:rFonts w:hint="eastAsia"/>
        </w:rPr>
        <w:t>8.</w:t>
      </w:r>
      <w:r>
        <w:t xml:space="preserve">1.2 </w:t>
      </w:r>
      <w:r>
        <w:rPr>
          <w:rFonts w:hint="eastAsia"/>
        </w:rPr>
        <w:t>健康管理措施</w:t>
      </w:r>
    </w:p>
    <w:p w14:paraId="59987F90">
      <w:pPr>
        <w:ind w:firstLine="560"/>
        <w:rPr>
          <w:rFonts w:ascii="宋体" w:hAnsi="宋体"/>
          <w:color w:val="171717"/>
        </w:rPr>
      </w:pPr>
      <w:r>
        <w:rPr>
          <w:rFonts w:hint="eastAsia" w:ascii="宋体" w:hAnsi="宋体"/>
          <w:color w:val="171717"/>
        </w:rPr>
        <w:t>1、施工前应检查确保每个施工人员均投保了意外伤害保险。</w:t>
      </w:r>
    </w:p>
    <w:p w14:paraId="4A62AFDF">
      <w:pPr>
        <w:ind w:firstLine="560"/>
        <w:rPr>
          <w:rFonts w:ascii="宋体" w:hAnsi="宋体"/>
          <w:color w:val="171717"/>
        </w:rPr>
      </w:pPr>
      <w:r>
        <w:rPr>
          <w:rFonts w:hint="eastAsia" w:ascii="宋体" w:hAnsi="宋体"/>
          <w:color w:val="171717"/>
        </w:rPr>
        <w:t>2、入场前施工人员应进行体验，确保每个人都没有不能进行高空作业的职业病。</w:t>
      </w:r>
    </w:p>
    <w:p w14:paraId="4701E1D1">
      <w:pPr>
        <w:ind w:firstLine="560"/>
        <w:rPr>
          <w:rFonts w:ascii="宋体" w:hAnsi="宋体"/>
          <w:color w:val="171717"/>
        </w:rPr>
      </w:pPr>
      <w:r>
        <w:rPr>
          <w:rFonts w:hint="eastAsia" w:ascii="宋体" w:hAnsi="宋体"/>
          <w:color w:val="171717"/>
        </w:rPr>
        <w:t>3、每日施工前检查施工人员身体状况，身体不适者严禁进行安装作业。</w:t>
      </w:r>
    </w:p>
    <w:p w14:paraId="2E40E6AB">
      <w:pPr>
        <w:ind w:firstLine="560"/>
        <w:rPr>
          <w:rFonts w:ascii="宋体" w:hAnsi="宋体"/>
          <w:color w:val="171717"/>
        </w:rPr>
      </w:pPr>
      <w:r>
        <w:rPr>
          <w:rFonts w:hint="eastAsia" w:ascii="宋体" w:hAnsi="宋体"/>
          <w:color w:val="171717"/>
        </w:rPr>
        <w:t>4、冬季施工注意防寒保暖，防止冻伤。</w:t>
      </w:r>
    </w:p>
    <w:p w14:paraId="0ADDFC80">
      <w:pPr>
        <w:ind w:firstLine="560"/>
        <w:rPr>
          <w:rFonts w:ascii="宋体" w:hAnsi="宋体"/>
          <w:color w:val="171717"/>
        </w:rPr>
      </w:pPr>
      <w:r>
        <w:rPr>
          <w:rFonts w:hint="eastAsia" w:ascii="宋体" w:hAnsi="宋体"/>
          <w:color w:val="171717"/>
        </w:rPr>
        <w:t>5、检查确认每位施工人员都配备足够的劳动防护用品，以杜绝施工过程中的人身伤害及高处坠落事故发生。</w:t>
      </w:r>
    </w:p>
    <w:p w14:paraId="012C6DD4">
      <w:pPr>
        <w:ind w:firstLine="560"/>
        <w:rPr>
          <w:rFonts w:ascii="宋体" w:hAnsi="宋体"/>
          <w:color w:val="171717"/>
        </w:rPr>
      </w:pPr>
      <w:r>
        <w:rPr>
          <w:rFonts w:hint="eastAsia" w:ascii="宋体" w:hAnsi="宋体"/>
          <w:color w:val="171717"/>
        </w:rPr>
        <w:t>6、配备常用救急药箱。</w:t>
      </w:r>
    </w:p>
    <w:p w14:paraId="207E21C1">
      <w:pPr>
        <w:pStyle w:val="3"/>
        <w:spacing w:before="120" w:after="120"/>
      </w:pPr>
      <w:bookmarkStart w:id="396" w:name="_Toc32172"/>
      <w:bookmarkStart w:id="397" w:name="_Toc22950"/>
      <w:bookmarkStart w:id="398" w:name="_Toc19090"/>
      <w:bookmarkStart w:id="399" w:name="_Toc2328"/>
      <w:bookmarkStart w:id="400" w:name="_Toc29506"/>
      <w:bookmarkStart w:id="401" w:name="_Toc15726"/>
      <w:bookmarkStart w:id="402" w:name="_Toc12490"/>
      <w:bookmarkStart w:id="403" w:name="_Toc28494"/>
      <w:r>
        <w:rPr>
          <w:rFonts w:hint="eastAsia"/>
          <w:color w:val="171717"/>
        </w:rPr>
        <w:t>8.2环境</w:t>
      </w:r>
      <w:bookmarkEnd w:id="396"/>
      <w:bookmarkEnd w:id="397"/>
      <w:bookmarkEnd w:id="398"/>
      <w:bookmarkEnd w:id="399"/>
      <w:bookmarkEnd w:id="400"/>
      <w:bookmarkEnd w:id="401"/>
      <w:bookmarkEnd w:id="402"/>
      <w:bookmarkEnd w:id="403"/>
    </w:p>
    <w:p w14:paraId="21E1A463">
      <w:pPr>
        <w:pStyle w:val="4"/>
      </w:pPr>
      <w:r>
        <w:rPr>
          <w:rFonts w:hint="eastAsia"/>
        </w:rPr>
        <w:t>8.</w:t>
      </w:r>
      <w:r>
        <w:t>2.1</w:t>
      </w:r>
      <w:r>
        <w:rPr>
          <w:rFonts w:hint="eastAsia"/>
        </w:rPr>
        <w:t>环境管理目标</w:t>
      </w:r>
    </w:p>
    <w:p w14:paraId="686C1C94">
      <w:pPr>
        <w:ind w:firstLine="560"/>
        <w:rPr>
          <w:rFonts w:ascii="宋体" w:hAnsi="宋体"/>
          <w:color w:val="171717"/>
        </w:rPr>
      </w:pPr>
      <w:r>
        <w:rPr>
          <w:rFonts w:hint="eastAsia" w:ascii="宋体" w:hAnsi="宋体"/>
          <w:color w:val="171717"/>
        </w:rPr>
        <w:t>1、施工现场固体废弃物分类收集安全处置。</w:t>
      </w:r>
    </w:p>
    <w:p w14:paraId="16913B36">
      <w:pPr>
        <w:ind w:firstLine="560"/>
        <w:rPr>
          <w:rFonts w:ascii="宋体" w:hAnsi="宋体"/>
          <w:color w:val="171717"/>
        </w:rPr>
      </w:pPr>
      <w:r>
        <w:rPr>
          <w:rFonts w:hint="eastAsia" w:ascii="宋体" w:hAnsi="宋体"/>
          <w:color w:val="171717"/>
        </w:rPr>
        <w:t>2、施工现场噪声达标排放。</w:t>
      </w:r>
    </w:p>
    <w:p w14:paraId="5C9955E4">
      <w:pPr>
        <w:ind w:firstLine="560"/>
        <w:rPr>
          <w:rFonts w:ascii="宋体" w:hAnsi="宋体"/>
          <w:color w:val="171717"/>
        </w:rPr>
      </w:pPr>
      <w:r>
        <w:rPr>
          <w:rFonts w:hint="eastAsia" w:ascii="宋体" w:hAnsi="宋体"/>
          <w:color w:val="171717"/>
        </w:rPr>
        <w:t>3、相关方无环境问题投诉。</w:t>
      </w:r>
    </w:p>
    <w:p w14:paraId="0180EC6A">
      <w:pPr>
        <w:pStyle w:val="4"/>
      </w:pPr>
      <w:r>
        <w:rPr>
          <w:rFonts w:hint="eastAsia"/>
        </w:rPr>
        <w:t>8.</w:t>
      </w:r>
      <w:r>
        <w:t xml:space="preserve">2.2 </w:t>
      </w:r>
      <w:r>
        <w:rPr>
          <w:rFonts w:hint="eastAsia"/>
        </w:rPr>
        <w:t>环境管理措施</w:t>
      </w:r>
    </w:p>
    <w:p w14:paraId="49FA5727">
      <w:pPr>
        <w:ind w:firstLine="560"/>
        <w:rPr>
          <w:rFonts w:ascii="宋体" w:hAnsi="宋体"/>
          <w:color w:val="171717"/>
        </w:rPr>
      </w:pPr>
      <w:r>
        <w:rPr>
          <w:rFonts w:hint="eastAsia" w:ascii="宋体" w:hAnsi="宋体"/>
          <w:color w:val="171717"/>
        </w:rPr>
        <w:t>1、噪声：安装过程中使用的机械设备必须是低噪声设备，施工过程中也应避免噪声污染。</w:t>
      </w:r>
    </w:p>
    <w:p w14:paraId="23EE594C">
      <w:pPr>
        <w:ind w:firstLine="560"/>
        <w:rPr>
          <w:rFonts w:ascii="宋体" w:hAnsi="宋体"/>
          <w:color w:val="171717"/>
        </w:rPr>
      </w:pPr>
      <w:r>
        <w:rPr>
          <w:rFonts w:hint="eastAsia" w:ascii="宋体" w:hAnsi="宋体"/>
          <w:color w:val="171717"/>
        </w:rPr>
        <w:t>2、垃圾：安装过程中产生的生活垃圾和生产垃圾要分类堆放，并及时清理，特别是饭盒等生活垃圾一定要归类处理，严禁随意丢弃。</w:t>
      </w:r>
    </w:p>
    <w:p w14:paraId="09E48DA8">
      <w:pPr>
        <w:ind w:firstLine="560"/>
        <w:rPr>
          <w:rFonts w:ascii="宋体" w:hAnsi="宋体"/>
          <w:color w:val="171717"/>
        </w:rPr>
      </w:pPr>
      <w:r>
        <w:rPr>
          <w:rFonts w:hint="eastAsia" w:ascii="宋体" w:hAnsi="宋体"/>
          <w:color w:val="171717"/>
        </w:rPr>
        <w:t>3、污水：不得在施工现场排放生产、生活污水。</w:t>
      </w:r>
    </w:p>
    <w:p w14:paraId="201B1FBA">
      <w:pPr>
        <w:ind w:firstLine="560"/>
        <w:rPr>
          <w:rFonts w:ascii="宋体" w:hAnsi="宋体"/>
          <w:color w:val="171717"/>
        </w:rPr>
      </w:pPr>
      <w:r>
        <w:rPr>
          <w:rFonts w:hint="eastAsia" w:ascii="宋体" w:hAnsi="宋体"/>
          <w:color w:val="171717"/>
        </w:rPr>
        <w:t>4、危险化学品：油漆、机油等应在指定地点存放，并配置相应的消防措施。</w:t>
      </w:r>
    </w:p>
    <w:p w14:paraId="4B9CF72A">
      <w:pPr>
        <w:ind w:firstLine="560"/>
        <w:rPr>
          <w:rFonts w:ascii="宋体" w:hAnsi="宋体"/>
          <w:color w:val="171717"/>
        </w:rPr>
      </w:pPr>
      <w:r>
        <w:rPr>
          <w:rFonts w:hint="eastAsia" w:ascii="宋体" w:hAnsi="宋体"/>
          <w:color w:val="171717"/>
        </w:rPr>
        <w:t>5、对氧气和乙炔气体的贮存、使用，应确保安全可靠，考虑安全间距，按安全规程操作，配备足够数量的消防器材。</w:t>
      </w:r>
    </w:p>
    <w:p w14:paraId="5FC2E2DE">
      <w:pPr>
        <w:ind w:firstLine="560"/>
        <w:rPr>
          <w:rFonts w:ascii="宋体" w:hAnsi="宋体"/>
          <w:color w:val="171717"/>
        </w:rPr>
      </w:pPr>
      <w:r>
        <w:rPr>
          <w:rFonts w:hint="eastAsia" w:ascii="宋体" w:hAnsi="宋体"/>
          <w:color w:val="171717"/>
        </w:rPr>
        <w:t>6、含油棉纱、手套、废机油应集中收集，按规定统一处置；严格控制设备漏油，防止对土壤污染。</w:t>
      </w:r>
    </w:p>
    <w:p w14:paraId="52864BF8">
      <w:pPr>
        <w:ind w:firstLine="560"/>
        <w:rPr>
          <w:rFonts w:ascii="宋体" w:hAnsi="宋体"/>
          <w:color w:val="171717"/>
        </w:rPr>
      </w:pPr>
      <w:r>
        <w:rPr>
          <w:rFonts w:hint="eastAsia" w:ascii="宋体" w:hAnsi="宋体"/>
          <w:color w:val="171717"/>
        </w:rPr>
        <w:t>7、防止电气线路老化引起火灾，加强安全检查。</w:t>
      </w:r>
    </w:p>
    <w:p w14:paraId="051D4376">
      <w:pPr>
        <w:pStyle w:val="4"/>
        <w:rPr>
          <w:rFonts w:ascii="宋体" w:hAnsi="宋体" w:cs="宋体"/>
          <w:bCs/>
          <w:szCs w:val="21"/>
        </w:rPr>
      </w:pPr>
      <w:r>
        <w:rPr>
          <w:rFonts w:hint="eastAsia"/>
        </w:rPr>
        <w:t>8.</w:t>
      </w:r>
      <w:r>
        <w:t>2.</w:t>
      </w:r>
      <w:r>
        <w:rPr>
          <w:rFonts w:hint="eastAsia"/>
        </w:rPr>
        <w:t>3</w:t>
      </w:r>
      <w:r>
        <w:rPr>
          <w:rFonts w:hint="eastAsia" w:ascii="宋体" w:hAnsi="宋体" w:cs="宋体"/>
          <w:bCs/>
          <w:szCs w:val="21"/>
        </w:rPr>
        <w:t>环水保突发事件应急处置措施</w:t>
      </w:r>
    </w:p>
    <w:p w14:paraId="4EB1BB97">
      <w:pPr>
        <w:numPr>
          <w:ilvl w:val="0"/>
          <w:numId w:val="6"/>
        </w:numPr>
        <w:ind w:firstLineChars="0"/>
      </w:pPr>
      <w:r>
        <w:rPr>
          <w:rFonts w:hint="eastAsia"/>
        </w:rPr>
        <w:t>吸入：如果大量吸入，立即转移到新鲜空气充足的地方。</w:t>
      </w:r>
    </w:p>
    <w:p w14:paraId="137672C4">
      <w:pPr>
        <w:numPr>
          <w:ilvl w:val="0"/>
          <w:numId w:val="6"/>
        </w:numPr>
        <w:ind w:firstLineChars="0"/>
      </w:pPr>
      <w:r>
        <w:rPr>
          <w:rFonts w:hint="eastAsia"/>
        </w:rPr>
        <w:t>吞食：在医护人员指导下催吐，不要给意识不清的人吃东西。</w:t>
      </w:r>
    </w:p>
    <w:p w14:paraId="421D73B0">
      <w:pPr>
        <w:numPr>
          <w:ilvl w:val="0"/>
          <w:numId w:val="6"/>
        </w:numPr>
        <w:ind w:firstLineChars="0"/>
      </w:pPr>
      <w:r>
        <w:rPr>
          <w:rFonts w:hint="eastAsia"/>
        </w:rPr>
        <w:t>皮肤接触：如果接触，立即用肥皂和大量清水冲洗至少15分钟。眼睛接触：立即用清水冲洗至少15分钟。</w:t>
      </w:r>
    </w:p>
    <w:p w14:paraId="7EEC0066">
      <w:pPr>
        <w:numPr>
          <w:ilvl w:val="0"/>
          <w:numId w:val="6"/>
        </w:numPr>
        <w:ind w:firstLineChars="0"/>
      </w:pPr>
      <w:r>
        <w:rPr>
          <w:rFonts w:hint="eastAsia"/>
        </w:rPr>
        <w:t>事故现场设立警戒区域，设珞警戒标识及注意事项。</w:t>
      </w:r>
    </w:p>
    <w:p w14:paraId="3ED8449D">
      <w:pPr>
        <w:numPr>
          <w:ilvl w:val="0"/>
          <w:numId w:val="6"/>
        </w:numPr>
        <w:ind w:firstLineChars="0"/>
      </w:pPr>
      <w:r>
        <w:rPr>
          <w:rFonts w:hint="eastAsia"/>
        </w:rPr>
        <w:t>进入事故现场救援的人员应做好统一标识区分。</w:t>
      </w:r>
    </w:p>
    <w:p w14:paraId="09CD02BF">
      <w:pPr>
        <w:numPr>
          <w:ilvl w:val="0"/>
          <w:numId w:val="6"/>
        </w:numPr>
        <w:ind w:firstLineChars="0"/>
      </w:pPr>
      <w:r>
        <w:rPr>
          <w:rFonts w:hint="eastAsia"/>
        </w:rPr>
        <w:t>事故单位应当无条件配合现场指挥的工作，提供必要的协助。</w:t>
      </w:r>
    </w:p>
    <w:p w14:paraId="18EF0659">
      <w:pPr>
        <w:numPr>
          <w:ilvl w:val="0"/>
          <w:numId w:val="6"/>
        </w:numPr>
        <w:ind w:firstLineChars="0"/>
      </w:pPr>
      <w:r>
        <w:rPr>
          <w:rFonts w:hint="eastAsia"/>
        </w:rPr>
        <w:t>事故产生的危险废物必须到环保部门办理《危险废物转移许可证》，并委托有资质的处丽单位进行合法安全处理。</w:t>
      </w:r>
    </w:p>
    <w:p w14:paraId="24D33736">
      <w:pPr>
        <w:numPr>
          <w:ilvl w:val="0"/>
          <w:numId w:val="6"/>
        </w:numPr>
        <w:ind w:firstLineChars="0"/>
      </w:pPr>
      <w:r>
        <w:rPr>
          <w:rFonts w:hint="eastAsia"/>
        </w:rPr>
        <w:t>废物处理完成后，对周围土壤、水质进行环境监测。</w:t>
      </w:r>
    </w:p>
    <w:p w14:paraId="55F9D2E8">
      <w:pPr>
        <w:pStyle w:val="3"/>
        <w:spacing w:before="120" w:after="120"/>
        <w:rPr>
          <w:color w:val="171717"/>
        </w:rPr>
      </w:pPr>
      <w:bookmarkStart w:id="404" w:name="_Toc6732"/>
      <w:bookmarkStart w:id="405" w:name="_Toc21956"/>
      <w:bookmarkStart w:id="406" w:name="_Toc3227"/>
      <w:bookmarkStart w:id="407" w:name="_Toc29475"/>
      <w:bookmarkStart w:id="408" w:name="_Toc533610110"/>
      <w:bookmarkStart w:id="409" w:name="_Toc14249"/>
      <w:bookmarkStart w:id="410" w:name="_Toc326854326"/>
      <w:bookmarkStart w:id="411" w:name="_Toc25431"/>
      <w:bookmarkStart w:id="412" w:name="_Toc3911"/>
      <w:bookmarkStart w:id="413" w:name="_Toc29387"/>
      <w:bookmarkStart w:id="414" w:name="_Toc26350"/>
      <w:bookmarkStart w:id="415" w:name="_Toc9705"/>
      <w:bookmarkStart w:id="416" w:name="_Toc18290"/>
      <w:r>
        <w:rPr>
          <w:rFonts w:hint="eastAsia"/>
          <w:color w:val="171717"/>
        </w:rPr>
        <w:t>8.3 安全</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6C1CE246">
      <w:pPr>
        <w:pStyle w:val="4"/>
      </w:pPr>
      <w:r>
        <w:rPr>
          <w:rFonts w:hint="eastAsia"/>
        </w:rPr>
        <w:t>8.</w:t>
      </w:r>
      <w:r>
        <w:t xml:space="preserve">3.1 </w:t>
      </w:r>
      <w:r>
        <w:rPr>
          <w:rFonts w:hint="eastAsia"/>
        </w:rPr>
        <w:t>安全管理控制指标</w:t>
      </w:r>
    </w:p>
    <w:p w14:paraId="2B218906">
      <w:pPr>
        <w:ind w:firstLine="560"/>
        <w:rPr>
          <w:rFonts w:ascii="宋体" w:hAnsi="宋体"/>
          <w:color w:val="171717"/>
        </w:rPr>
      </w:pPr>
      <w:r>
        <w:rPr>
          <w:rFonts w:hint="eastAsia" w:ascii="宋体" w:hAnsi="宋体"/>
          <w:color w:val="171717"/>
        </w:rPr>
        <w:t>1、特种作业人员持证上岗率</w:t>
      </w:r>
      <w:r>
        <w:rPr>
          <w:rFonts w:ascii="宋体" w:hAnsi="宋体"/>
          <w:color w:val="171717"/>
        </w:rPr>
        <w:t>100%</w:t>
      </w:r>
      <w:r>
        <w:rPr>
          <w:rFonts w:hint="eastAsia" w:ascii="宋体" w:hAnsi="宋体"/>
          <w:color w:val="171717"/>
        </w:rPr>
        <w:t>。</w:t>
      </w:r>
    </w:p>
    <w:p w14:paraId="40926CBE">
      <w:pPr>
        <w:ind w:firstLine="560"/>
        <w:rPr>
          <w:rFonts w:ascii="宋体" w:hAnsi="宋体"/>
          <w:color w:val="171717"/>
        </w:rPr>
      </w:pPr>
      <w:r>
        <w:rPr>
          <w:rFonts w:hint="eastAsia" w:ascii="宋体" w:hAnsi="宋体"/>
          <w:color w:val="171717"/>
        </w:rPr>
        <w:t>2、安全防护用品正确配备率</w:t>
      </w:r>
      <w:r>
        <w:rPr>
          <w:rFonts w:ascii="宋体" w:hAnsi="宋体"/>
          <w:color w:val="171717"/>
        </w:rPr>
        <w:t>100%</w:t>
      </w:r>
      <w:r>
        <w:rPr>
          <w:rFonts w:hint="eastAsia" w:ascii="宋体" w:hAnsi="宋体"/>
          <w:color w:val="171717"/>
        </w:rPr>
        <w:t>。</w:t>
      </w:r>
    </w:p>
    <w:p w14:paraId="4C628C64">
      <w:pPr>
        <w:ind w:firstLine="560"/>
        <w:rPr>
          <w:rFonts w:ascii="宋体" w:hAnsi="宋体"/>
          <w:color w:val="171717"/>
        </w:rPr>
      </w:pPr>
      <w:r>
        <w:rPr>
          <w:rFonts w:hint="eastAsia" w:ascii="宋体" w:hAnsi="宋体"/>
          <w:color w:val="171717"/>
        </w:rPr>
        <w:t>3、无高空坠落事故、触电事故、起重设备坍塌事故及重伤事故的发生。</w:t>
      </w:r>
    </w:p>
    <w:p w14:paraId="7BB0AA39">
      <w:pPr>
        <w:pStyle w:val="4"/>
      </w:pPr>
      <w:r>
        <w:rPr>
          <w:rFonts w:hint="eastAsia"/>
        </w:rPr>
        <w:t>8.</w:t>
      </w:r>
      <w:r>
        <w:t xml:space="preserve">3.2 </w:t>
      </w:r>
      <w:r>
        <w:rPr>
          <w:rFonts w:hint="eastAsia"/>
        </w:rPr>
        <w:t>安全管理措施</w:t>
      </w:r>
    </w:p>
    <w:p w14:paraId="437F3B00">
      <w:pPr>
        <w:ind w:firstLine="560"/>
        <w:rPr>
          <w:rFonts w:ascii="宋体" w:hAnsi="宋体"/>
          <w:color w:val="171717"/>
        </w:rPr>
      </w:pPr>
      <w:r>
        <w:rPr>
          <w:rFonts w:hint="eastAsia" w:ascii="宋体" w:hAnsi="宋体"/>
          <w:color w:val="171717"/>
        </w:rPr>
        <w:t>1、塔吊安装操作和指挥人员必须经过技术和安全培训，每一个作业人员必须熟悉说明书，熟知施工程序和塔机基本性能。</w:t>
      </w:r>
    </w:p>
    <w:p w14:paraId="0307573B">
      <w:pPr>
        <w:ind w:firstLine="560"/>
        <w:rPr>
          <w:rFonts w:ascii="宋体" w:hAnsi="宋体"/>
          <w:color w:val="171717"/>
        </w:rPr>
      </w:pPr>
      <w:r>
        <w:rPr>
          <w:rFonts w:hint="eastAsia" w:ascii="宋体" w:hAnsi="宋体"/>
          <w:color w:val="171717"/>
        </w:rPr>
        <w:t>2、现场作业人员必须持省市劳动部门颁发的有效特殊工种上岗操作证件，确保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4BAA18F2">
      <w:pPr>
        <w:ind w:firstLine="560"/>
        <w:rPr>
          <w:rFonts w:ascii="宋体" w:hAnsi="宋体"/>
          <w:color w:val="171717"/>
        </w:rPr>
      </w:pPr>
      <w:r>
        <w:rPr>
          <w:rFonts w:hint="eastAsia" w:ascii="宋体" w:hAnsi="宋体"/>
          <w:color w:val="171717"/>
        </w:rPr>
        <w:t>3、安装作业由专人指挥，参加作业人员应听从现场指挥人员统一指挥，严格按安装方案中的分工执行。</w:t>
      </w:r>
    </w:p>
    <w:p w14:paraId="578BE3B1">
      <w:pPr>
        <w:ind w:firstLine="560"/>
        <w:rPr>
          <w:rFonts w:ascii="宋体" w:hAnsi="宋体"/>
          <w:color w:val="171717"/>
        </w:rPr>
      </w:pPr>
      <w:r>
        <w:rPr>
          <w:rFonts w:hint="eastAsia" w:ascii="宋体" w:hAnsi="宋体"/>
          <w:color w:val="171717"/>
        </w:rPr>
        <w:t>4、所有作业人员应接受三级安全教育，在作业前，必须接受安全技术交底工作，明确分工，确定指挥信号及统一口令。</w:t>
      </w:r>
    </w:p>
    <w:p w14:paraId="2CAADDBC">
      <w:pPr>
        <w:ind w:firstLine="560"/>
        <w:rPr>
          <w:rFonts w:ascii="宋体" w:hAnsi="宋体"/>
          <w:color w:val="171717"/>
        </w:rPr>
      </w:pPr>
      <w:r>
        <w:rPr>
          <w:rFonts w:hint="eastAsia" w:ascii="宋体" w:hAnsi="宋体"/>
          <w:color w:val="171717"/>
        </w:rPr>
        <w:t>5、安装前检验电气设备是否安全可靠。</w:t>
      </w:r>
    </w:p>
    <w:p w14:paraId="3209465F">
      <w:pPr>
        <w:ind w:firstLine="560"/>
        <w:rPr>
          <w:rFonts w:ascii="宋体" w:hAnsi="宋体"/>
          <w:color w:val="171717"/>
        </w:rPr>
      </w:pPr>
      <w:r>
        <w:rPr>
          <w:rFonts w:hint="eastAsia" w:ascii="宋体" w:hAnsi="宋体"/>
          <w:color w:val="171717"/>
        </w:rPr>
        <w:t>6、检验钢丝绳及吊索、吊具、履带吊站位地基是否符合要求。</w:t>
      </w:r>
    </w:p>
    <w:p w14:paraId="28DD7285">
      <w:pPr>
        <w:ind w:firstLine="560"/>
        <w:rPr>
          <w:rFonts w:ascii="宋体" w:hAnsi="宋体"/>
          <w:color w:val="171717"/>
        </w:rPr>
      </w:pPr>
      <w:r>
        <w:rPr>
          <w:rFonts w:hint="eastAsia" w:ascii="宋体" w:hAnsi="宋体"/>
          <w:color w:val="171717"/>
        </w:rPr>
        <w:t>7、吊点选择应牢固可靠，起吊保持平稳。</w:t>
      </w:r>
    </w:p>
    <w:p w14:paraId="527F2125">
      <w:pPr>
        <w:ind w:firstLine="560"/>
        <w:rPr>
          <w:rFonts w:ascii="宋体" w:hAnsi="宋体"/>
          <w:color w:val="171717"/>
        </w:rPr>
      </w:pPr>
      <w:r>
        <w:rPr>
          <w:rFonts w:hint="eastAsia" w:ascii="宋体" w:hAnsi="宋体"/>
          <w:color w:val="171717"/>
        </w:rPr>
        <w:t>8、安装起吊过程中，吊物下严禁站人，高空作业戴好安全帽，挂系好安全带，扣好保险钩，穿安全防滑胶鞋，同时必须将工具螺栓等物放置系挂牢靠，严防高空坠落。</w:t>
      </w:r>
    </w:p>
    <w:p w14:paraId="7227778F">
      <w:pPr>
        <w:ind w:firstLine="560"/>
        <w:rPr>
          <w:rFonts w:ascii="宋体" w:hAnsi="宋体"/>
          <w:color w:val="171717"/>
        </w:rPr>
      </w:pPr>
      <w:r>
        <w:rPr>
          <w:rFonts w:hint="eastAsia" w:ascii="宋体" w:hAnsi="宋体"/>
          <w:color w:val="171717"/>
        </w:rPr>
        <w:t>9、临边作业区域要搭设围栏，防止施工过程中人员从边坡滚落。</w:t>
      </w:r>
    </w:p>
    <w:p w14:paraId="6F229119">
      <w:pPr>
        <w:ind w:firstLine="560"/>
        <w:rPr>
          <w:rFonts w:ascii="宋体" w:hAnsi="宋体"/>
          <w:color w:val="171717"/>
        </w:rPr>
      </w:pPr>
      <w:r>
        <w:rPr>
          <w:rFonts w:hint="eastAsia" w:ascii="宋体" w:hAnsi="宋体"/>
          <w:color w:val="171717"/>
        </w:rPr>
        <w:t>10严禁酒后上岗，作业时不得打闹、玩笑，不得向地面抛物件。</w:t>
      </w:r>
    </w:p>
    <w:p w14:paraId="1C255881">
      <w:pPr>
        <w:ind w:firstLine="560"/>
        <w:rPr>
          <w:rFonts w:ascii="宋体" w:hAnsi="宋体"/>
          <w:color w:val="171717"/>
        </w:rPr>
      </w:pPr>
      <w:r>
        <w:rPr>
          <w:rFonts w:hint="eastAsia" w:ascii="宋体" w:hAnsi="宋体"/>
          <w:color w:val="171717"/>
        </w:rPr>
        <w:t>11、作业前，塔机安装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5FC12068">
      <w:pPr>
        <w:ind w:firstLine="560"/>
        <w:rPr>
          <w:rFonts w:ascii="宋体" w:hAnsi="宋体"/>
          <w:color w:val="171717"/>
        </w:rPr>
      </w:pPr>
      <w:r>
        <w:rPr>
          <w:rFonts w:hint="eastAsia" w:ascii="宋体" w:hAnsi="宋体"/>
          <w:color w:val="171717"/>
        </w:rPr>
        <w:t>12、夜间作业照明应充足，看不清楚不得作业。</w:t>
      </w:r>
    </w:p>
    <w:p w14:paraId="0F0523EE">
      <w:pPr>
        <w:ind w:firstLine="560"/>
        <w:rPr>
          <w:rFonts w:ascii="宋体" w:hAnsi="宋体"/>
          <w:color w:val="171717"/>
        </w:rPr>
      </w:pPr>
      <w:r>
        <w:rPr>
          <w:rFonts w:hint="eastAsia" w:ascii="宋体" w:hAnsi="宋体"/>
          <w:color w:val="171717"/>
        </w:rPr>
        <w:t>13、所有参加作业人员必须遵守施工现场各项安全规定和本工种安全操作规程。</w:t>
      </w:r>
    </w:p>
    <w:p w14:paraId="53401563">
      <w:pPr>
        <w:ind w:firstLine="560"/>
        <w:rPr>
          <w:rFonts w:ascii="宋体" w:hAnsi="宋体"/>
          <w:color w:val="171717"/>
        </w:rPr>
      </w:pPr>
      <w:r>
        <w:rPr>
          <w:rFonts w:hint="eastAsia" w:ascii="宋体" w:hAnsi="宋体"/>
          <w:color w:val="171717"/>
        </w:rPr>
        <w:t>14、作业前，明确分工，指定专人统一指挥，并在作业范围设明显的安全标志及警戒线，并派专人看护，严禁非塔吊装拆工作人员进入施工区。</w:t>
      </w:r>
    </w:p>
    <w:p w14:paraId="5C814C15">
      <w:pPr>
        <w:ind w:firstLine="560"/>
        <w:rPr>
          <w:rFonts w:ascii="宋体" w:hAnsi="宋体"/>
          <w:color w:val="171717"/>
        </w:rPr>
      </w:pPr>
      <w:r>
        <w:rPr>
          <w:rFonts w:hint="eastAsia" w:ascii="宋体" w:hAnsi="宋体"/>
          <w:color w:val="171717"/>
        </w:rPr>
        <w:t>15、塔机顶升作业过程中，严禁回转起重臂。标准节连接销及其他连接销必须规范。</w:t>
      </w:r>
    </w:p>
    <w:p w14:paraId="6750A8A7">
      <w:pPr>
        <w:ind w:firstLine="560"/>
        <w:rPr>
          <w:rFonts w:ascii="宋体" w:hAnsi="宋体"/>
          <w:color w:val="171717"/>
        </w:rPr>
      </w:pPr>
      <w:r>
        <w:rPr>
          <w:rFonts w:hint="eastAsia" w:ascii="宋体" w:hAnsi="宋体"/>
          <w:color w:val="171717"/>
        </w:rPr>
        <w:t>16、安装和顶升作业必须明确油泵操作人员和作业观察人员，没有明确指令任何人均不可随意操作。</w:t>
      </w:r>
    </w:p>
    <w:p w14:paraId="1C630582">
      <w:pPr>
        <w:ind w:firstLine="560"/>
        <w:rPr>
          <w:rFonts w:ascii="宋体" w:hAnsi="宋体"/>
          <w:color w:val="171717"/>
        </w:rPr>
      </w:pPr>
      <w:r>
        <w:rPr>
          <w:rFonts w:hint="eastAsia" w:ascii="宋体" w:hAnsi="宋体"/>
          <w:color w:val="171717"/>
        </w:rPr>
        <w:t>17、吊装作业时由专人负责指挥，严格遵守“十不吊”规定，严禁乱指挥。</w:t>
      </w:r>
    </w:p>
    <w:p w14:paraId="1DD702DA">
      <w:pPr>
        <w:ind w:firstLine="560"/>
        <w:rPr>
          <w:rFonts w:ascii="宋体" w:hAnsi="宋体"/>
          <w:color w:val="171717"/>
        </w:rPr>
      </w:pPr>
      <w:r>
        <w:rPr>
          <w:rFonts w:hint="eastAsia" w:ascii="宋体" w:hAnsi="宋体"/>
          <w:color w:val="171717"/>
        </w:rPr>
        <w:t>18、安装和顶升人员必须正确使用规定的安全防护用具（安全帽、安全带、劳保鞋），并正确佩带。</w:t>
      </w:r>
    </w:p>
    <w:p w14:paraId="5C9528A1">
      <w:pPr>
        <w:ind w:firstLine="560"/>
        <w:rPr>
          <w:rFonts w:ascii="宋体" w:hAnsi="宋体"/>
          <w:color w:val="171717"/>
        </w:rPr>
      </w:pPr>
      <w:r>
        <w:rPr>
          <w:rFonts w:hint="eastAsia" w:ascii="宋体" w:hAnsi="宋体"/>
          <w:color w:val="171717"/>
        </w:rPr>
        <w:t>19、作业前，施工工长必须熟悉现场，注意运输中塔机部件与现场的电线、管线碰触问题。</w:t>
      </w:r>
    </w:p>
    <w:p w14:paraId="6144949C">
      <w:pPr>
        <w:ind w:firstLine="560"/>
        <w:rPr>
          <w:rFonts w:ascii="宋体" w:hAnsi="宋体"/>
          <w:color w:val="171717"/>
        </w:rPr>
      </w:pPr>
      <w:r>
        <w:rPr>
          <w:rFonts w:hint="eastAsia" w:ascii="宋体" w:hAnsi="宋体"/>
          <w:color w:val="171717"/>
        </w:rPr>
        <w:t>20、必须安装漏电保护器，作业前接地电阻测试应合格。</w:t>
      </w:r>
    </w:p>
    <w:p w14:paraId="1F0602A2">
      <w:pPr>
        <w:ind w:firstLine="560"/>
        <w:rPr>
          <w:rFonts w:ascii="宋体" w:hAnsi="宋体"/>
          <w:color w:val="171717"/>
        </w:rPr>
      </w:pPr>
      <w:r>
        <w:rPr>
          <w:rFonts w:hint="eastAsia" w:ascii="宋体" w:hAnsi="宋体"/>
          <w:color w:val="171717"/>
        </w:rPr>
        <w:t>21、作业时所有工具和连接件必须系挂在身上或放到工具袋内，严防物品坠落，严禁向下抛掷。</w:t>
      </w:r>
    </w:p>
    <w:p w14:paraId="449FD226">
      <w:pPr>
        <w:ind w:firstLine="560"/>
        <w:rPr>
          <w:rFonts w:ascii="宋体" w:hAnsi="宋体"/>
          <w:color w:val="171717"/>
        </w:rPr>
      </w:pPr>
      <w:r>
        <w:rPr>
          <w:rFonts w:hint="eastAsia" w:ascii="宋体" w:hAnsi="宋体"/>
          <w:color w:val="171717"/>
        </w:rPr>
        <w:t>22、施工负责人对塔吊运输、安装过程进行检查，及时制止并纠正违章操作行为，防止事故发生。</w:t>
      </w:r>
    </w:p>
    <w:p w14:paraId="424DD8B7">
      <w:pPr>
        <w:ind w:firstLine="560"/>
        <w:rPr>
          <w:rFonts w:ascii="宋体" w:hAnsi="宋体"/>
          <w:color w:val="171717"/>
        </w:rPr>
      </w:pPr>
      <w:r>
        <w:rPr>
          <w:rFonts w:hint="eastAsia" w:ascii="宋体" w:hAnsi="宋体"/>
          <w:color w:val="171717"/>
        </w:rPr>
        <w:t>23、驾驶室必须配备灭火器、对讲机。</w:t>
      </w:r>
    </w:p>
    <w:p w14:paraId="3F7FC750">
      <w:pPr>
        <w:ind w:firstLine="560"/>
        <w:rPr>
          <w:rFonts w:ascii="宋体" w:hAnsi="宋体"/>
          <w:color w:val="171717"/>
        </w:rPr>
      </w:pPr>
      <w:r>
        <w:rPr>
          <w:rFonts w:hint="eastAsia" w:ascii="宋体" w:hAnsi="宋体"/>
          <w:color w:val="171717"/>
        </w:rPr>
        <w:t>24、五级以上大风及较大雨天禁止作业。</w:t>
      </w:r>
    </w:p>
    <w:p w14:paraId="240E11F2">
      <w:pPr>
        <w:pStyle w:val="11"/>
        <w:ind w:firstLine="560"/>
        <w:rPr>
          <w:rFonts w:hint="default"/>
        </w:rPr>
      </w:pPr>
      <w:r>
        <w:rPr>
          <w:rFonts w:hAnsi="宋体"/>
          <w:color w:val="171717"/>
        </w:rPr>
        <w:t>25、</w:t>
      </w:r>
      <w:r>
        <w:rPr>
          <w:rFonts w:cs="宋体"/>
          <w:kern w:val="0"/>
          <w:szCs w:val="21"/>
        </w:rPr>
        <w:t>安装作业人员需随身携带工具包，移动时需将工具收纳至工具包内。大锤需有防滑措施。</w:t>
      </w:r>
    </w:p>
    <w:p w14:paraId="4AD32823">
      <w:pPr>
        <w:pStyle w:val="3"/>
        <w:spacing w:before="120" w:after="120"/>
        <w:rPr>
          <w:color w:val="171717"/>
        </w:rPr>
      </w:pPr>
      <w:bookmarkStart w:id="417" w:name="_Toc28627"/>
      <w:bookmarkStart w:id="418" w:name="_Toc11211"/>
      <w:bookmarkStart w:id="419" w:name="_Toc20367"/>
      <w:bookmarkStart w:id="420" w:name="_Toc27814"/>
      <w:bookmarkStart w:id="421" w:name="_Toc13237"/>
      <w:bookmarkStart w:id="422" w:name="_Toc174"/>
      <w:bookmarkStart w:id="423" w:name="_Toc14743"/>
      <w:bookmarkStart w:id="424" w:name="_Toc26734"/>
      <w:r>
        <w:rPr>
          <w:rFonts w:hint="eastAsia"/>
          <w:color w:val="171717"/>
        </w:rPr>
        <w:t>8.4质量监测与监控</w:t>
      </w:r>
      <w:bookmarkEnd w:id="417"/>
      <w:bookmarkEnd w:id="418"/>
      <w:bookmarkEnd w:id="419"/>
      <w:bookmarkEnd w:id="420"/>
      <w:bookmarkEnd w:id="421"/>
      <w:bookmarkEnd w:id="422"/>
      <w:bookmarkEnd w:id="423"/>
      <w:bookmarkEnd w:id="424"/>
    </w:p>
    <w:p w14:paraId="21B79B89">
      <w:pPr>
        <w:ind w:firstLine="560"/>
        <w:rPr>
          <w:rFonts w:ascii="宋体" w:hAnsi="宋体"/>
          <w:color w:val="171717"/>
        </w:rPr>
      </w:pPr>
      <w:r>
        <w:rPr>
          <w:rFonts w:hint="eastAsia" w:ascii="宋体" w:hAnsi="宋体"/>
          <w:color w:val="171717"/>
        </w:rPr>
        <w:t>安装完成后和项目部相关人员和安装负责人按下表进行安装质量监测监控</w:t>
      </w:r>
    </w:p>
    <w:p w14:paraId="1BD6A1ED">
      <w:pPr>
        <w:ind w:firstLine="560"/>
        <w:rPr>
          <w:rFonts w:ascii="宋体" w:hAnsi="宋体"/>
          <w:color w:val="171717"/>
        </w:rPr>
      </w:pPr>
      <w:r>
        <w:rPr>
          <w:rFonts w:ascii="宋体" w:hAnsi="宋体"/>
          <w:color w:val="171717"/>
        </w:rPr>
        <w:t>1</w:t>
      </w:r>
      <w:r>
        <w:rPr>
          <w:rFonts w:hint="eastAsia" w:ascii="宋体" w:hAnsi="宋体"/>
          <w:color w:val="171717"/>
        </w:rPr>
        <w:t>、监测监控单位和人员</w:t>
      </w:r>
    </w:p>
    <w:p w14:paraId="140EBBB2">
      <w:pPr>
        <w:ind w:firstLine="560"/>
        <w:rPr>
          <w:rFonts w:ascii="宋体" w:hAnsi="宋体"/>
          <w:color w:val="171717"/>
        </w:rPr>
      </w:pPr>
      <w:r>
        <w:rPr>
          <w:rFonts w:hint="eastAsia" w:ascii="宋体" w:hAnsi="宋体"/>
          <w:color w:val="171717"/>
        </w:rPr>
        <w:t>监测监控小组应由安质部、工程部部及机械部等相关技术监督部门组成，负责对整个安装施工过程的监督，以保证塔机的安装质量。</w:t>
      </w:r>
    </w:p>
    <w:p w14:paraId="144350CB">
      <w:pPr>
        <w:ind w:firstLine="560"/>
        <w:rPr>
          <w:rFonts w:ascii="宋体" w:hAnsi="宋体"/>
          <w:color w:val="171717"/>
        </w:rPr>
      </w:pPr>
      <w:r>
        <w:rPr>
          <w:rFonts w:ascii="宋体" w:hAnsi="宋体"/>
          <w:color w:val="171717"/>
        </w:rPr>
        <w:t>2</w:t>
      </w:r>
      <w:r>
        <w:rPr>
          <w:rFonts w:hint="eastAsia" w:ascii="宋体" w:hAnsi="宋体"/>
          <w:color w:val="171717"/>
        </w:rPr>
        <w:t>、监测监控管理目标</w:t>
      </w:r>
    </w:p>
    <w:p w14:paraId="757F26E7">
      <w:pPr>
        <w:ind w:firstLine="560"/>
        <w:rPr>
          <w:rFonts w:ascii="宋体" w:hAnsi="宋体"/>
          <w:color w:val="171717"/>
        </w:rPr>
      </w:pPr>
      <w:r>
        <w:rPr>
          <w:rFonts w:hint="eastAsia" w:ascii="宋体" w:hAnsi="宋体"/>
          <w:color w:val="171717"/>
        </w:rPr>
        <w:t>施工工艺执行率</w:t>
      </w:r>
      <w:r>
        <w:rPr>
          <w:rFonts w:ascii="宋体" w:hAnsi="宋体"/>
          <w:color w:val="171717"/>
        </w:rPr>
        <w:t>100%</w:t>
      </w:r>
      <w:r>
        <w:rPr>
          <w:rFonts w:hint="eastAsia" w:ascii="宋体" w:hAnsi="宋体"/>
          <w:color w:val="171717"/>
        </w:rPr>
        <w:t>。</w:t>
      </w:r>
    </w:p>
    <w:p w14:paraId="2A045DBC">
      <w:pPr>
        <w:ind w:firstLine="560"/>
        <w:rPr>
          <w:rFonts w:ascii="宋体" w:hAnsi="宋体"/>
          <w:color w:val="171717"/>
        </w:rPr>
      </w:pPr>
      <w:r>
        <w:rPr>
          <w:rFonts w:hint="eastAsia" w:ascii="宋体" w:hAnsi="宋体"/>
          <w:color w:val="171717"/>
        </w:rPr>
        <w:t>工程竣工一次验收合格率</w:t>
      </w:r>
      <w:r>
        <w:rPr>
          <w:rFonts w:ascii="宋体" w:hAnsi="宋体"/>
          <w:color w:val="171717"/>
        </w:rPr>
        <w:t>100%</w:t>
      </w:r>
      <w:r>
        <w:rPr>
          <w:rFonts w:hint="eastAsia" w:ascii="宋体" w:hAnsi="宋体"/>
          <w:color w:val="171717"/>
        </w:rPr>
        <w:t>。</w:t>
      </w:r>
    </w:p>
    <w:p w14:paraId="048CCBD8">
      <w:pPr>
        <w:ind w:firstLine="560"/>
        <w:rPr>
          <w:rFonts w:ascii="宋体" w:hAnsi="宋体"/>
          <w:color w:val="171717"/>
        </w:rPr>
      </w:pPr>
      <w:r>
        <w:rPr>
          <w:rFonts w:hint="eastAsia" w:ascii="宋体" w:hAnsi="宋体"/>
          <w:color w:val="171717"/>
        </w:rPr>
        <w:t>确保设备安全无故障运行，现场服务满意率</w:t>
      </w:r>
      <w:r>
        <w:rPr>
          <w:rFonts w:ascii="宋体" w:hAnsi="宋体"/>
          <w:color w:val="171717"/>
        </w:rPr>
        <w:t>100%</w:t>
      </w:r>
      <w:r>
        <w:rPr>
          <w:rFonts w:hint="eastAsia" w:ascii="宋体" w:hAnsi="宋体"/>
          <w:color w:val="171717"/>
        </w:rPr>
        <w:t>。</w:t>
      </w:r>
    </w:p>
    <w:p w14:paraId="2874C914">
      <w:pPr>
        <w:ind w:firstLine="560"/>
        <w:rPr>
          <w:rFonts w:ascii="宋体" w:hAnsi="宋体"/>
          <w:color w:val="171717"/>
        </w:rPr>
      </w:pPr>
      <w:r>
        <w:rPr>
          <w:rFonts w:ascii="宋体" w:hAnsi="宋体"/>
          <w:color w:val="171717"/>
        </w:rPr>
        <w:t>3</w:t>
      </w:r>
      <w:r>
        <w:rPr>
          <w:rFonts w:hint="eastAsia" w:ascii="宋体" w:hAnsi="宋体"/>
          <w:color w:val="171717"/>
        </w:rPr>
        <w:t>、监测监控管理措施</w:t>
      </w:r>
    </w:p>
    <w:p w14:paraId="2352D32B">
      <w:pPr>
        <w:ind w:firstLine="560"/>
        <w:rPr>
          <w:rFonts w:ascii="宋体" w:hAnsi="宋体"/>
          <w:color w:val="171717"/>
        </w:rPr>
      </w:pPr>
      <w:r>
        <w:rPr>
          <w:rFonts w:hint="eastAsia" w:ascii="宋体" w:hAnsi="宋体"/>
          <w:color w:val="171717"/>
        </w:rPr>
        <w:t>塔机进场时必须经质保、安全、技术等相关部门验收合格，方可进行安装。</w:t>
      </w:r>
    </w:p>
    <w:p w14:paraId="3B7BD65D">
      <w:pPr>
        <w:ind w:firstLine="560"/>
        <w:rPr>
          <w:rFonts w:ascii="宋体" w:hAnsi="宋体"/>
          <w:color w:val="171717"/>
        </w:rPr>
      </w:pPr>
      <w:r>
        <w:rPr>
          <w:rFonts w:hint="eastAsia" w:ascii="宋体" w:hAnsi="宋体"/>
          <w:color w:val="171717"/>
        </w:rPr>
        <w:t>塔机进场后必须提交各部件出厂合格证，整机第三方检验证明等质保文件。</w:t>
      </w:r>
    </w:p>
    <w:p w14:paraId="18DB7B0A">
      <w:pPr>
        <w:ind w:firstLine="560"/>
        <w:rPr>
          <w:rFonts w:ascii="宋体" w:hAnsi="宋体"/>
          <w:color w:val="171717"/>
        </w:rPr>
      </w:pPr>
      <w:r>
        <w:rPr>
          <w:rFonts w:hint="eastAsia" w:ascii="宋体" w:hAnsi="宋体"/>
          <w:color w:val="171717"/>
        </w:rPr>
        <w:t>塔机安装的每一个步骤均应有机械化施工分公司质保人员见证验收，验收合格后方可进行下一步的安装工作。</w:t>
      </w:r>
    </w:p>
    <w:p w14:paraId="370BEC86">
      <w:pPr>
        <w:ind w:firstLine="560"/>
        <w:rPr>
          <w:rFonts w:ascii="宋体" w:hAnsi="宋体"/>
          <w:color w:val="171717"/>
        </w:rPr>
      </w:pPr>
      <w:r>
        <w:rPr>
          <w:rFonts w:hint="eastAsia" w:ascii="宋体" w:hAnsi="宋体"/>
          <w:color w:val="171717"/>
        </w:rPr>
        <w:t>塔机的安装工作必须严格按照安装技术方案来执行。</w:t>
      </w:r>
    </w:p>
    <w:p w14:paraId="5F7DABDE">
      <w:pPr>
        <w:ind w:firstLine="560"/>
        <w:rPr>
          <w:rFonts w:ascii="宋体" w:hAnsi="宋体"/>
          <w:color w:val="171717"/>
        </w:rPr>
      </w:pPr>
      <w:r>
        <w:rPr>
          <w:rFonts w:hint="eastAsia" w:ascii="宋体" w:hAnsi="宋体"/>
          <w:color w:val="171717"/>
        </w:rPr>
        <w:t>安拆施工技术人员编制出的安拆施工方案，必须履行审批手续，经项目部审核、监理单位批准后实施。</w:t>
      </w:r>
    </w:p>
    <w:p w14:paraId="73373FA8">
      <w:pPr>
        <w:ind w:firstLine="560"/>
        <w:rPr>
          <w:rFonts w:ascii="宋体" w:hAnsi="宋体"/>
          <w:color w:val="171717"/>
        </w:rPr>
      </w:pPr>
      <w:r>
        <w:rPr>
          <w:rFonts w:hint="eastAsia" w:ascii="宋体" w:hAnsi="宋体"/>
          <w:color w:val="171717"/>
        </w:rPr>
        <w:t>安装工序做好自检，安装完毕应根据《安装质量验收制度》要求做好调试、检查各机构运转正常、安全装置和各安全限位齐全、灵敏、可靠，</w:t>
      </w:r>
      <w:r>
        <w:rPr>
          <w:rFonts w:hint="eastAsia" w:ascii="宋体" w:hAnsi="宋体"/>
          <w:color w:val="1E1C11"/>
        </w:rPr>
        <w:t>做好安装检查验收记录。</w:t>
      </w:r>
    </w:p>
    <w:p w14:paraId="29921255">
      <w:pPr>
        <w:ind w:firstLine="560"/>
        <w:rPr>
          <w:rFonts w:ascii="宋体" w:hAnsi="宋体"/>
          <w:color w:val="171717"/>
        </w:rPr>
      </w:pPr>
      <w:r>
        <w:rPr>
          <w:rFonts w:hint="eastAsia" w:ascii="宋体" w:hAnsi="宋体"/>
          <w:color w:val="171717"/>
        </w:rPr>
        <w:t>吊安装工长负责贯彻执行每道作业程序，确保施工工艺执行率</w:t>
      </w:r>
      <w:r>
        <w:rPr>
          <w:rFonts w:ascii="宋体" w:hAnsi="宋体"/>
          <w:color w:val="171717"/>
        </w:rPr>
        <w:t>100%</w:t>
      </w:r>
      <w:r>
        <w:rPr>
          <w:rFonts w:hint="eastAsia" w:ascii="宋体" w:hAnsi="宋体"/>
          <w:color w:val="171717"/>
        </w:rPr>
        <w:t>。</w:t>
      </w:r>
    </w:p>
    <w:p w14:paraId="63D61BEC">
      <w:pPr>
        <w:ind w:firstLine="560"/>
        <w:rPr>
          <w:rFonts w:ascii="宋体" w:hAnsi="宋体"/>
          <w:color w:val="171717"/>
        </w:rPr>
      </w:pPr>
      <w:r>
        <w:rPr>
          <w:rFonts w:hint="eastAsia" w:ascii="宋体" w:hAnsi="宋体"/>
          <w:color w:val="171717"/>
        </w:rPr>
        <w:t>安拆单位负责塔机基础的施工质量，项目部配合塔吊安装过程中垂直度进行测量和记录。</w:t>
      </w:r>
    </w:p>
    <w:p w14:paraId="27FA0CCB">
      <w:pPr>
        <w:ind w:firstLine="560"/>
        <w:rPr>
          <w:rFonts w:ascii="宋体" w:hAnsi="宋体"/>
          <w:color w:val="171717"/>
        </w:rPr>
      </w:pPr>
      <w:r>
        <w:rPr>
          <w:rFonts w:hint="eastAsia" w:ascii="宋体" w:hAnsi="宋体"/>
          <w:color w:val="171717"/>
        </w:rPr>
        <w:t>实施对施工设备、工具、索具每日安全检查、维护保养，确保设备安全无故障运行。</w:t>
      </w:r>
    </w:p>
    <w:p w14:paraId="3EC99C57">
      <w:pPr>
        <w:ind w:firstLine="560"/>
        <w:rPr>
          <w:rFonts w:ascii="宋体" w:hAnsi="宋体"/>
          <w:color w:val="171717"/>
        </w:rPr>
      </w:pPr>
      <w:r>
        <w:rPr>
          <w:rFonts w:hint="eastAsia" w:ascii="宋体" w:hAnsi="宋体"/>
          <w:color w:val="171717"/>
        </w:rPr>
        <w:t>设备安装完毕，必须经安全检查部门检验合格，或所有缺陷均整改合格，取得安全使用合格证后，才能移交使用。</w:t>
      </w:r>
    </w:p>
    <w:p w14:paraId="577F9237">
      <w:pPr>
        <w:ind w:firstLine="560"/>
        <w:rPr>
          <w:rFonts w:ascii="宋体" w:hAnsi="宋体"/>
          <w:color w:val="171717"/>
        </w:rPr>
      </w:pPr>
      <w:r>
        <w:rPr>
          <w:rFonts w:hint="eastAsia" w:ascii="宋体" w:hAnsi="宋体"/>
          <w:color w:val="171717"/>
        </w:rPr>
        <w:t>施工服务人员、维修人员严格执行劳动纪律，保持良好的服务态度，虚心听取建设单位意见，确保服务质量满足客户要求。</w:t>
      </w:r>
    </w:p>
    <w:p w14:paraId="5419354D">
      <w:pPr>
        <w:ind w:firstLine="560"/>
        <w:rPr>
          <w:rFonts w:ascii="宋体" w:hAnsi="宋体"/>
          <w:color w:val="171717"/>
        </w:rPr>
      </w:pPr>
      <w:r>
        <w:rPr>
          <w:rFonts w:ascii="宋体" w:hAnsi="宋体"/>
          <w:color w:val="171717"/>
        </w:rPr>
        <w:t>4</w:t>
      </w:r>
      <w:r>
        <w:rPr>
          <w:rFonts w:hint="eastAsia" w:ascii="宋体" w:hAnsi="宋体"/>
          <w:color w:val="171717"/>
        </w:rPr>
        <w:t>、垂直度测量措施</w:t>
      </w:r>
    </w:p>
    <w:p w14:paraId="661EA556">
      <w:pPr>
        <w:ind w:firstLine="560"/>
      </w:pPr>
      <w:r>
        <w:rPr>
          <w:rFonts w:hint="eastAsia" w:ascii="宋体" w:hAnsi="宋体"/>
          <w:color w:val="171717"/>
        </w:rPr>
        <w:t>侧向垂直度在最大独立安装高度、空载状态、臂架相对于塔身</w:t>
      </w:r>
      <w:r>
        <w:rPr>
          <w:rFonts w:ascii="宋体" w:hAnsi="宋体"/>
          <w:color w:val="171717"/>
        </w:rPr>
        <w:t>0</w:t>
      </w:r>
      <w:r>
        <w:rPr>
          <w:rFonts w:hint="eastAsia" w:ascii="宋体" w:hAnsi="宋体"/>
          <w:color w:val="171717"/>
        </w:rPr>
        <w:t>°和</w:t>
      </w:r>
      <w:r>
        <w:rPr>
          <w:rFonts w:ascii="宋体" w:hAnsi="宋体"/>
          <w:color w:val="171717"/>
        </w:rPr>
        <w:t>90</w:t>
      </w:r>
      <w:r>
        <w:rPr>
          <w:rFonts w:hint="eastAsia" w:ascii="宋体" w:hAnsi="宋体"/>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color w:val="171717"/>
        </w:rPr>
        <w:t>4/1000</w:t>
      </w:r>
      <w:r>
        <w:rPr>
          <w:rFonts w:hint="eastAsia" w:ascii="宋体" w:hAnsi="宋体"/>
          <w:color w:val="171717"/>
        </w:rPr>
        <w:t>；</w:t>
      </w:r>
    </w:p>
    <w:p w14:paraId="40B9B054">
      <w:pPr>
        <w:pStyle w:val="2"/>
        <w:rPr>
          <w:color w:val="000000"/>
        </w:rPr>
      </w:pPr>
      <w:bookmarkStart w:id="425" w:name="_Toc9689"/>
      <w:bookmarkStart w:id="426" w:name="_Toc32609"/>
      <w:bookmarkStart w:id="427" w:name="_Toc16563"/>
      <w:bookmarkStart w:id="428" w:name="_Toc14047"/>
      <w:bookmarkStart w:id="429" w:name="_Toc30554"/>
      <w:bookmarkStart w:id="430" w:name="_Toc6494"/>
      <w:bookmarkStart w:id="431" w:name="_Toc13254"/>
      <w:r>
        <w:rPr>
          <w:rFonts w:hint="eastAsia"/>
          <w:color w:val="000000"/>
        </w:rPr>
        <w:t>第九章 安全管理措施</w:t>
      </w:r>
      <w:bookmarkEnd w:id="350"/>
      <w:bookmarkEnd w:id="351"/>
      <w:bookmarkEnd w:id="352"/>
      <w:bookmarkEnd w:id="353"/>
      <w:bookmarkEnd w:id="354"/>
      <w:bookmarkEnd w:id="355"/>
      <w:bookmarkEnd w:id="356"/>
      <w:bookmarkEnd w:id="357"/>
      <w:bookmarkEnd w:id="425"/>
      <w:bookmarkEnd w:id="426"/>
      <w:bookmarkEnd w:id="427"/>
      <w:bookmarkEnd w:id="428"/>
      <w:bookmarkEnd w:id="429"/>
      <w:bookmarkEnd w:id="430"/>
      <w:bookmarkEnd w:id="431"/>
    </w:p>
    <w:p w14:paraId="2EAE696C">
      <w:pPr>
        <w:pStyle w:val="3"/>
        <w:rPr>
          <w:color w:val="000000"/>
        </w:rPr>
      </w:pPr>
      <w:bookmarkStart w:id="432" w:name="_Toc24020"/>
      <w:bookmarkStart w:id="433" w:name="_Toc13990"/>
      <w:bookmarkStart w:id="434" w:name="_Toc20054"/>
      <w:bookmarkStart w:id="435" w:name="_Toc87114081"/>
      <w:bookmarkStart w:id="436" w:name="_Toc1159"/>
      <w:bookmarkStart w:id="437" w:name="_Toc10342"/>
      <w:bookmarkStart w:id="438" w:name="_Toc11936"/>
      <w:bookmarkStart w:id="439" w:name="_Toc7305"/>
      <w:bookmarkStart w:id="440" w:name="_Toc6010"/>
      <w:bookmarkStart w:id="441" w:name="_Toc4288"/>
      <w:bookmarkStart w:id="442" w:name="_Toc5695"/>
      <w:bookmarkStart w:id="443" w:name="_Toc22032"/>
      <w:bookmarkStart w:id="444" w:name="_Toc28976"/>
      <w:bookmarkStart w:id="445" w:name="_Toc10746"/>
      <w:bookmarkStart w:id="446" w:name="_Toc18379"/>
      <w:r>
        <w:rPr>
          <w:rFonts w:hint="eastAsia"/>
          <w:color w:val="000000"/>
        </w:rPr>
        <w:t>9.</w:t>
      </w:r>
      <w:r>
        <w:rPr>
          <w:color w:val="000000"/>
        </w:rPr>
        <w:t xml:space="preserve">1 </w:t>
      </w:r>
      <w:r>
        <w:rPr>
          <w:rFonts w:hint="eastAsia"/>
          <w:color w:val="000000"/>
        </w:rPr>
        <w:t>安全保证措施</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0F2514">
      <w:pPr>
        <w:pStyle w:val="4"/>
      </w:pPr>
      <w:r>
        <w:rPr>
          <w:rFonts w:hint="eastAsia"/>
        </w:rPr>
        <w:t>9.</w:t>
      </w:r>
      <w:r>
        <w:t>1</w:t>
      </w:r>
      <w:r>
        <w:rPr>
          <w:rFonts w:hint="eastAsia"/>
        </w:rPr>
        <w:t>.1安全管理目标</w:t>
      </w:r>
    </w:p>
    <w:p w14:paraId="040E7019">
      <w:pPr>
        <w:ind w:firstLine="560"/>
      </w:pPr>
      <w:r>
        <w:rPr>
          <w:rFonts w:hint="eastAsia"/>
        </w:rPr>
        <w:t>杜绝一般事故，确保零死亡。无责任事故。无重大安全隐患。不得因施工对周边环境、建筑、设施等造成破坏。无刑事案件发生。</w:t>
      </w:r>
    </w:p>
    <w:p w14:paraId="38EF1E10">
      <w:pPr>
        <w:pStyle w:val="4"/>
      </w:pPr>
      <w:r>
        <w:rPr>
          <w:rFonts w:hint="eastAsia"/>
        </w:rPr>
        <w:t>9.1.2 组织机构</w:t>
      </w:r>
    </w:p>
    <w:p w14:paraId="48612161">
      <w:pPr>
        <w:ind w:firstLine="560"/>
        <w:rPr>
          <w:color w:val="000000"/>
        </w:rPr>
      </w:pPr>
      <w:r>
        <w:rPr>
          <w:rFonts w:hint="eastAsia"/>
          <w:color w:val="000000"/>
        </w:rPr>
        <w:t>项目经理部成立以项目经理为组长，安全总监、总工程师、副经理、总经济师为副组长，职能部门负责人为组员的安全管理领导小组。项目部设置安环部，配备专职安全工程师，专门负责本单位日常安全生产监督管理工作。</w:t>
      </w:r>
    </w:p>
    <w:p w14:paraId="514A70B6">
      <w:pPr>
        <w:spacing w:line="240" w:lineRule="auto"/>
        <w:ind w:firstLine="0" w:firstLineChars="0"/>
        <w:jc w:val="center"/>
        <w:rPr>
          <w:color w:val="000000"/>
        </w:rPr>
      </w:pPr>
      <w:r>
        <w:rPr>
          <w:color w:val="000000"/>
        </w:rPr>
        <w:drawing>
          <wp:inline distT="0" distB="0" distL="114300" distR="114300">
            <wp:extent cx="4145280" cy="4037330"/>
            <wp:effectExtent l="0" t="0" r="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6"/>
                    <a:stretch>
                      <a:fillRect/>
                    </a:stretch>
                  </pic:blipFill>
                  <pic:spPr>
                    <a:xfrm>
                      <a:off x="0" y="0"/>
                      <a:ext cx="4145280" cy="4037330"/>
                    </a:xfrm>
                    <a:prstGeom prst="rect">
                      <a:avLst/>
                    </a:prstGeom>
                    <a:noFill/>
                    <a:ln>
                      <a:noFill/>
                    </a:ln>
                  </pic:spPr>
                </pic:pic>
              </a:graphicData>
            </a:graphic>
          </wp:inline>
        </w:drawing>
      </w:r>
    </w:p>
    <w:p w14:paraId="2FD2D43A">
      <w:pPr>
        <w:pStyle w:val="122"/>
        <w:rPr>
          <w:rStyle w:val="123"/>
          <w:b/>
        </w:rPr>
      </w:pPr>
      <w:r>
        <w:rPr>
          <w:rStyle w:val="123"/>
          <w:rFonts w:hint="eastAsia"/>
          <w:b/>
        </w:rPr>
        <w:t>图9.</w:t>
      </w:r>
      <w:r>
        <w:rPr>
          <w:rStyle w:val="123"/>
          <w:b/>
        </w:rPr>
        <w:t xml:space="preserve">1-1 </w:t>
      </w:r>
      <w:r>
        <w:rPr>
          <w:rStyle w:val="123"/>
          <w:rFonts w:hint="eastAsia"/>
          <w:b/>
        </w:rPr>
        <w:t>安全管理组织机构框图</w:t>
      </w:r>
    </w:p>
    <w:p w14:paraId="4624944E">
      <w:pPr>
        <w:pStyle w:val="4"/>
      </w:pPr>
      <w:r>
        <w:rPr>
          <w:rFonts w:hint="eastAsia"/>
        </w:rPr>
        <w:t>9.1.</w:t>
      </w:r>
      <w:r>
        <w:t>3</w:t>
      </w:r>
      <w:r>
        <w:rPr>
          <w:rFonts w:hint="eastAsia"/>
        </w:rPr>
        <w:t xml:space="preserve"> 保证体系</w:t>
      </w:r>
    </w:p>
    <w:p w14:paraId="045A4902">
      <w:pPr>
        <w:ind w:firstLine="560"/>
        <w:rPr>
          <w:color w:val="000000"/>
        </w:rPr>
      </w:pPr>
      <w:r>
        <w:rPr>
          <w:rFonts w:hint="eastAsia"/>
          <w:color w:val="000000"/>
        </w:rPr>
        <w:t>施工安全目标保证体系如下图:</w:t>
      </w:r>
    </w:p>
    <w:p w14:paraId="16AF8EF2">
      <w:pPr>
        <w:spacing w:line="240" w:lineRule="auto"/>
        <w:ind w:firstLine="0" w:firstLineChars="0"/>
        <w:jc w:val="center"/>
        <w:rPr>
          <w:rFonts w:cs="仿宋"/>
          <w:color w:val="000000"/>
          <w:sz w:val="18"/>
        </w:rPr>
      </w:pPr>
      <w:r>
        <w:rPr>
          <w:rFonts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67"/>
                    <a:stretch>
                      <a:fillRect/>
                    </a:stretch>
                  </pic:blipFill>
                  <pic:spPr>
                    <a:xfrm>
                      <a:off x="0" y="0"/>
                      <a:ext cx="5725160" cy="6306820"/>
                    </a:xfrm>
                    <a:prstGeom prst="rect">
                      <a:avLst/>
                    </a:prstGeom>
                    <a:noFill/>
                    <a:ln>
                      <a:noFill/>
                    </a:ln>
                  </pic:spPr>
                </pic:pic>
              </a:graphicData>
            </a:graphic>
          </wp:inline>
        </w:drawing>
      </w:r>
    </w:p>
    <w:p w14:paraId="680B9CBF">
      <w:pPr>
        <w:pStyle w:val="122"/>
        <w:spacing w:before="29" w:line="360" w:lineRule="auto"/>
        <w:ind w:right="159"/>
        <w:rPr>
          <w:rStyle w:val="123"/>
          <w:b/>
        </w:rPr>
      </w:pPr>
      <w:bookmarkStart w:id="447" w:name="_Toc25451"/>
      <w:bookmarkStart w:id="448" w:name="_Toc4879"/>
      <w:bookmarkStart w:id="449" w:name="_Toc27540"/>
      <w:r>
        <w:rPr>
          <w:rStyle w:val="123"/>
          <w:rFonts w:hint="eastAsia"/>
          <w:b/>
        </w:rPr>
        <w:t>图9.1-2 安全生产保证体系框图</w:t>
      </w:r>
      <w:bookmarkEnd w:id="447"/>
      <w:bookmarkEnd w:id="448"/>
      <w:bookmarkEnd w:id="449"/>
    </w:p>
    <w:p w14:paraId="20894C7E">
      <w:pPr>
        <w:pStyle w:val="3"/>
        <w:spacing w:before="120" w:after="120"/>
      </w:pPr>
      <w:bookmarkStart w:id="450" w:name="_Toc17725"/>
      <w:bookmarkStart w:id="451" w:name="_Toc10569"/>
      <w:bookmarkStart w:id="452" w:name="_Toc5351"/>
      <w:bookmarkStart w:id="453" w:name="_Toc26307"/>
      <w:bookmarkStart w:id="454" w:name="_Toc31815"/>
      <w:bookmarkStart w:id="455" w:name="_Toc20533"/>
      <w:bookmarkStart w:id="456" w:name="_Toc14256"/>
      <w:bookmarkStart w:id="457" w:name="_Toc511375423"/>
      <w:bookmarkStart w:id="458" w:name="_Toc96868107"/>
      <w:bookmarkStart w:id="459" w:name="_Toc16185041"/>
      <w:r>
        <w:rPr>
          <w:rFonts w:hint="eastAsia" w:ascii="Times New Roman" w:hAnsi="Times New Roman"/>
        </w:rPr>
        <w:t>9.2危险源安全监控措施</w:t>
      </w:r>
      <w:bookmarkEnd w:id="450"/>
      <w:bookmarkEnd w:id="451"/>
      <w:bookmarkEnd w:id="452"/>
      <w:bookmarkEnd w:id="453"/>
      <w:bookmarkEnd w:id="454"/>
      <w:bookmarkEnd w:id="455"/>
      <w:bookmarkEnd w:id="456"/>
    </w:p>
    <w:p w14:paraId="4E482FFA">
      <w:pPr>
        <w:pStyle w:val="4"/>
      </w:pPr>
      <w:r>
        <w:rPr>
          <w:rFonts w:hint="eastAsia"/>
        </w:rPr>
        <w:t>9.2.1高处坠落安全控制措施</w:t>
      </w:r>
    </w:p>
    <w:p w14:paraId="4265581F">
      <w:pPr>
        <w:ind w:firstLine="560"/>
        <w:rPr>
          <w:szCs w:val="22"/>
        </w:rPr>
      </w:pPr>
      <w:r>
        <w:rPr>
          <w:rFonts w:hint="eastAsia"/>
          <w:szCs w:val="22"/>
        </w:rPr>
        <w:t>1、一般控制措施</w:t>
      </w:r>
    </w:p>
    <w:p w14:paraId="44F26FFC">
      <w:pPr>
        <w:ind w:firstLine="560"/>
      </w:pPr>
      <w:r>
        <w:rPr>
          <w:rFonts w:hint="eastAsia"/>
        </w:rPr>
        <w:t>（1）从事登高作业人员，必须进行体格检查，检查不合格不得从事高空作业。</w:t>
      </w:r>
    </w:p>
    <w:p w14:paraId="23BEDE68">
      <w:pPr>
        <w:ind w:firstLine="560"/>
      </w:pPr>
      <w:r>
        <w:rPr>
          <w:rFonts w:hint="eastAsia"/>
        </w:rPr>
        <w:t>（2）定期对个人安全防护用品、安全帽、安全带、防滑鞋的检查。</w:t>
      </w:r>
    </w:p>
    <w:p w14:paraId="6C66F6AC">
      <w:pPr>
        <w:ind w:firstLine="560"/>
      </w:pPr>
      <w:r>
        <w:rPr>
          <w:rFonts w:hint="eastAsia"/>
        </w:rPr>
        <w:t>（3）每日上岗前，必须对高处作业安全防护设施逐一加以检查，发现有松动、变形、损坏或脱落等现象，立即修理完善。</w:t>
      </w:r>
    </w:p>
    <w:p w14:paraId="45121BD8">
      <w:pPr>
        <w:ind w:firstLine="560"/>
      </w:pPr>
      <w:r>
        <w:rPr>
          <w:rFonts w:hint="eastAsia"/>
        </w:rPr>
        <w:t>（4）对高处作业的安全防护设施，做好安全监控，发现有缺陷和隐患时必须及时解决。</w:t>
      </w:r>
    </w:p>
    <w:p w14:paraId="62C314F1">
      <w:pPr>
        <w:ind w:firstLine="560"/>
      </w:pPr>
      <w:r>
        <w:rPr>
          <w:rFonts w:hint="eastAsia"/>
        </w:rPr>
        <w:t>（5）在没有安全防护设施时，禁止在高处支架操作平台上支撑、挑架或未固定的构件上行走或作业。高处作业与地面的联系，必须采用通讯装置，并设专人负责。</w:t>
      </w:r>
    </w:p>
    <w:p w14:paraId="71075BD5">
      <w:pPr>
        <w:ind w:firstLine="560"/>
      </w:pPr>
      <w:r>
        <w:rPr>
          <w:rFonts w:hint="eastAsia"/>
        </w:rPr>
        <w:t>（6）高处作业施工临边防护均采用标准1.2m防护栏杆，18cm高踢脚板。</w:t>
      </w:r>
    </w:p>
    <w:p w14:paraId="425AE501">
      <w:pPr>
        <w:ind w:firstLine="560"/>
      </w:pPr>
      <w:r>
        <w:rPr>
          <w:rFonts w:hint="eastAsia"/>
        </w:rPr>
        <w:t>2、施工现场高处坠落控制措施</w:t>
      </w:r>
    </w:p>
    <w:p w14:paraId="34101D1F">
      <w:pPr>
        <w:ind w:firstLine="560"/>
      </w:pPr>
      <w:r>
        <w:rPr>
          <w:rFonts w:hint="eastAsia"/>
        </w:rPr>
        <w:t>（1）塔机施工人员必须穿防滑鞋，危险部位作业必须系好安全带。</w:t>
      </w:r>
    </w:p>
    <w:p w14:paraId="693A0C38">
      <w:pPr>
        <w:ind w:firstLine="560"/>
      </w:pPr>
      <w:r>
        <w:rPr>
          <w:rFonts w:hint="eastAsia"/>
        </w:rPr>
        <w:t>（2）夜间工作必须有足够的照明灯光。</w:t>
      </w:r>
    </w:p>
    <w:p w14:paraId="72F3B800">
      <w:pPr>
        <w:ind w:firstLine="560"/>
      </w:pPr>
      <w:r>
        <w:rPr>
          <w:rFonts w:hint="eastAsia"/>
        </w:rPr>
        <w:t>（3）安装期间一律禁止饮酒。</w:t>
      </w:r>
    </w:p>
    <w:p w14:paraId="0AE6DB47">
      <w:pPr>
        <w:ind w:firstLine="560"/>
      </w:pPr>
      <w:r>
        <w:rPr>
          <w:rFonts w:hint="eastAsia"/>
        </w:rPr>
        <w:t>（4）所有作业吊车必须严格遵守安全操作规程。</w:t>
      </w:r>
    </w:p>
    <w:p w14:paraId="5576EF42">
      <w:pPr>
        <w:ind w:firstLine="560"/>
      </w:pPr>
      <w:r>
        <w:rPr>
          <w:rFonts w:hint="eastAsia"/>
        </w:rPr>
        <w:t>（5）工作中集中精力，不得随意开玩笑和打闹。</w:t>
      </w:r>
    </w:p>
    <w:p w14:paraId="4EC5A738">
      <w:pPr>
        <w:ind w:firstLine="560"/>
      </w:pPr>
      <w:r>
        <w:rPr>
          <w:rFonts w:hint="eastAsia"/>
        </w:rPr>
        <w:t>（6）凡大雨、大雪、大雾、大风（风力六级以上）等天气禁止安装塔吊。</w:t>
      </w:r>
    </w:p>
    <w:p w14:paraId="0FACECEF">
      <w:pPr>
        <w:pStyle w:val="11"/>
        <w:ind w:firstLine="560"/>
        <w:rPr>
          <w:rFonts w:hint="default"/>
        </w:rPr>
      </w:pPr>
      <w:r>
        <w:t>（7）</w:t>
      </w:r>
      <w:r>
        <w:rPr>
          <w:rFonts w:cs="宋体"/>
          <w:kern w:val="0"/>
          <w:szCs w:val="21"/>
        </w:rPr>
        <w:t>销轴时安装人员应站站塔机平台上，挂好安全带。</w:t>
      </w:r>
    </w:p>
    <w:p w14:paraId="780A3B47">
      <w:pPr>
        <w:pStyle w:val="4"/>
      </w:pPr>
      <w:r>
        <w:rPr>
          <w:rFonts w:hint="eastAsia"/>
        </w:rPr>
        <w:t>9.2.</w:t>
      </w:r>
      <w:r>
        <w:t>2</w:t>
      </w:r>
      <w:r>
        <w:rPr>
          <w:rFonts w:hint="eastAsia"/>
        </w:rPr>
        <w:t xml:space="preserve"> 起重伤害安全控制措施</w:t>
      </w:r>
    </w:p>
    <w:p w14:paraId="3B91044F">
      <w:pPr>
        <w:ind w:firstLine="560"/>
      </w:pPr>
      <w:r>
        <w:rPr>
          <w:rFonts w:hint="eastAsia"/>
        </w:rPr>
        <w:t>1、严格执行机械管理要求，性能不满足要求</w:t>
      </w:r>
      <w:r>
        <w:t>、</w:t>
      </w:r>
      <w:r>
        <w:rPr>
          <w:rFonts w:hint="eastAsia"/>
        </w:rPr>
        <w:t>状态差、车辆和操作人员证件不齐或无效的严禁进场。</w:t>
      </w:r>
    </w:p>
    <w:p w14:paraId="455F2BBB">
      <w:pPr>
        <w:ind w:firstLine="560"/>
      </w:pPr>
      <w:r>
        <w:rPr>
          <w:rFonts w:hint="eastAsia"/>
        </w:rPr>
        <w:t>2、起重机司机、起重指挥等操作人员必须正确佩戴防护用品。</w:t>
      </w:r>
    </w:p>
    <w:p w14:paraId="6F1D8763">
      <w:pPr>
        <w:ind w:firstLine="560"/>
      </w:pPr>
      <w:r>
        <w:rPr>
          <w:rFonts w:hint="eastAsia"/>
        </w:rPr>
        <w:t>3、起重吊装作业应设警戒区域，设置警示标牌，安排专人统一指挥，严禁闲杂人员进入吊装施工现场。</w:t>
      </w:r>
    </w:p>
    <w:p w14:paraId="5ADFD4BA">
      <w:pPr>
        <w:ind w:firstLine="560"/>
      </w:pPr>
      <w:r>
        <w:rPr>
          <w:rFonts w:hint="eastAsia"/>
        </w:rPr>
        <w:t>4、吊装作业如遇到停电或其他特殊情况，应将重物落在地面，不得悬在空中。</w:t>
      </w:r>
    </w:p>
    <w:p w14:paraId="57F0D5D6">
      <w:pPr>
        <w:ind w:firstLine="560"/>
      </w:pPr>
      <w:r>
        <w:rPr>
          <w:rFonts w:hint="eastAsia"/>
        </w:rPr>
        <w:t>5、大雨、大雾及风力六级以上（含六级）等恶劣天气，必须停止露天起重吊装作业。</w:t>
      </w:r>
    </w:p>
    <w:p w14:paraId="4D484CA8">
      <w:pPr>
        <w:ind w:firstLine="560"/>
      </w:pPr>
      <w:r>
        <w:rPr>
          <w:rFonts w:hint="eastAsia"/>
        </w:rPr>
        <w:t>7、严格遵守起重安全操作规程及“十不吊”要求，严禁违章操作、违章指挥。</w:t>
      </w:r>
    </w:p>
    <w:p w14:paraId="69B1A1AB">
      <w:pPr>
        <w:pStyle w:val="4"/>
      </w:pPr>
      <w:r>
        <w:rPr>
          <w:rFonts w:hint="eastAsia"/>
        </w:rPr>
        <w:t>9.2.</w:t>
      </w:r>
      <w:r>
        <w:t xml:space="preserve">3 </w:t>
      </w:r>
      <w:r>
        <w:rPr>
          <w:rFonts w:hint="eastAsia"/>
        </w:rPr>
        <w:t>预防坍塌安全控制措施</w:t>
      </w:r>
    </w:p>
    <w:p w14:paraId="5E9418C0">
      <w:pPr>
        <w:ind w:firstLine="560"/>
        <w:rPr>
          <w:szCs w:val="22"/>
        </w:rPr>
      </w:pPr>
      <w:r>
        <w:rPr>
          <w:rFonts w:hint="eastAsia"/>
          <w:szCs w:val="22"/>
        </w:rPr>
        <w:t>1、 一般控制措施</w:t>
      </w:r>
    </w:p>
    <w:p w14:paraId="728672B6">
      <w:pPr>
        <w:ind w:firstLine="560"/>
      </w:pPr>
      <w:r>
        <w:rPr>
          <w:rFonts w:hint="eastAsia"/>
        </w:rPr>
        <w:t>（1）在塔式起重机的塔吊顶及机臂架上设置爆闪警示灯及其他警示标志。</w:t>
      </w:r>
    </w:p>
    <w:p w14:paraId="2AEB9EB7">
      <w:pPr>
        <w:ind w:firstLine="560"/>
      </w:pPr>
      <w:r>
        <w:rPr>
          <w:rFonts w:hint="eastAsia"/>
        </w:rPr>
        <w:t>（2）塔式起重机安装时其自由高度严禁超过设计要求</w:t>
      </w:r>
    </w:p>
    <w:p w14:paraId="2C3489DB">
      <w:pPr>
        <w:ind w:firstLine="560"/>
        <w:rPr>
          <w:szCs w:val="22"/>
        </w:rPr>
      </w:pPr>
      <w:r>
        <w:rPr>
          <w:rFonts w:hint="eastAsia"/>
          <w:szCs w:val="22"/>
        </w:rPr>
        <w:t>2、施工现场防止坍塌控制措施</w:t>
      </w:r>
    </w:p>
    <w:p w14:paraId="769952F3">
      <w:pPr>
        <w:ind w:firstLine="560"/>
      </w:pPr>
      <w:r>
        <w:rPr>
          <w:rFonts w:hint="eastAsia"/>
        </w:rPr>
        <w:t>（1）各类施工机械距基坑（槽）、边坡和基础桩孔的距离， 应 根据设备重量、基坑（槽）、边坡和基础桩的支护、土质情况确定， 并不得小于 1.5m。</w:t>
      </w:r>
    </w:p>
    <w:p w14:paraId="73101D8C">
      <w:pPr>
        <w:ind w:firstLine="560"/>
      </w:pPr>
      <w:r>
        <w:rPr>
          <w:rFonts w:hint="eastAsia"/>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C4A8C01">
      <w:pPr>
        <w:ind w:firstLine="560"/>
      </w:pPr>
      <w:r>
        <w:rPr>
          <w:rFonts w:hint="eastAsia"/>
        </w:rPr>
        <w:t>（3）检查钢丝绳、卸夹、吊钩、吊索等，严格执行钢丝绳的磨损规定，发现绳股断裂、纤维芯损坏或者钢芯断裂而造成绳径显著减小、笼状畸变、严重扭结等问题立即更换，杜绝事故发生。</w:t>
      </w:r>
    </w:p>
    <w:p w14:paraId="62E9DDD9">
      <w:pPr>
        <w:ind w:firstLine="560"/>
      </w:pPr>
      <w:r>
        <w:rPr>
          <w:rFonts w:hint="eastAsia"/>
        </w:rPr>
        <w:t>（4）定期用扳手检查标准节连接螺栓紧固。</w:t>
      </w:r>
    </w:p>
    <w:p w14:paraId="40F0C5B8">
      <w:pPr>
        <w:ind w:firstLine="560"/>
      </w:pPr>
      <w:r>
        <w:rPr>
          <w:rFonts w:hint="eastAsia"/>
        </w:rPr>
        <w:t>（5）定期对限位器进行试验，并调试确认灵敏后作业。</w:t>
      </w:r>
    </w:p>
    <w:p w14:paraId="6FDDEF4B">
      <w:pPr>
        <w:ind w:firstLine="560"/>
      </w:pPr>
      <w:bookmarkStart w:id="460" w:name="_Toc5122"/>
      <w:bookmarkStart w:id="461" w:name="_Toc533610116"/>
      <w:bookmarkStart w:id="462" w:name="_Toc3197"/>
      <w:bookmarkStart w:id="463" w:name="_Toc6070"/>
      <w:bookmarkStart w:id="464" w:name="_Toc529200610"/>
      <w:bookmarkStart w:id="465" w:name="_Toc2425"/>
      <w:bookmarkStart w:id="466" w:name="_Toc26093"/>
      <w:r>
        <w:rPr>
          <w:rFonts w:hint="eastAsia"/>
        </w:rPr>
        <w:t>一般风险源控制措施</w:t>
      </w:r>
      <w:bookmarkEnd w:id="460"/>
      <w:bookmarkEnd w:id="461"/>
      <w:bookmarkEnd w:id="462"/>
      <w:bookmarkEnd w:id="463"/>
      <w:bookmarkEnd w:id="464"/>
      <w:bookmarkEnd w:id="465"/>
      <w:bookmarkEnd w:id="466"/>
    </w:p>
    <w:p w14:paraId="30320D14">
      <w:pPr>
        <w:ind w:firstLine="560"/>
      </w:pPr>
      <w:r>
        <w:rPr>
          <w:rFonts w:hint="eastAsia"/>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0B2C836C">
      <w:pPr>
        <w:pStyle w:val="4"/>
      </w:pPr>
      <w:r>
        <w:rPr>
          <w:rFonts w:hint="eastAsia"/>
        </w:rPr>
        <w:t>9.2.4 常规安全控制措施</w:t>
      </w:r>
    </w:p>
    <w:p w14:paraId="45BA80D4">
      <w:pPr>
        <w:ind w:firstLine="560"/>
      </w:pPr>
      <w:r>
        <w:rPr>
          <w:rFonts w:hint="eastAsia"/>
        </w:rPr>
        <w:t>1、严格按照有关安全生产的各项规定组织施工，做到安全生产，文明施工，必须认真贯彻“安全第一、预防为主、综合治理”的方针。</w:t>
      </w:r>
    </w:p>
    <w:p w14:paraId="1EED2081">
      <w:pPr>
        <w:ind w:firstLine="560"/>
      </w:pPr>
      <w:r>
        <w:rPr>
          <w:rFonts w:hint="eastAsia"/>
        </w:rPr>
        <w:t>2、操作人员必须持证上岗，对新进场的工人进行安全生产的教育和培训，方准许其进入操作岗位。</w:t>
      </w:r>
    </w:p>
    <w:p w14:paraId="0A04C664">
      <w:pPr>
        <w:ind w:firstLine="560"/>
      </w:pPr>
      <w:r>
        <w:rPr>
          <w:rFonts w:hint="eastAsia"/>
        </w:rPr>
        <w:t>3、施工现场设立安全警示标志和守卫人员，闲杂人员一律不得进入施工现场参观、逗留，施工现场严禁嬉戏打闹。</w:t>
      </w:r>
    </w:p>
    <w:p w14:paraId="743B8F6A">
      <w:pPr>
        <w:ind w:firstLine="560"/>
      </w:pPr>
      <w:r>
        <w:rPr>
          <w:rFonts w:hint="eastAsia"/>
        </w:rPr>
        <w:t>4、施工操作人员进入现场时必须正确佩戴安全帽。</w:t>
      </w:r>
    </w:p>
    <w:p w14:paraId="2BF9D257">
      <w:pPr>
        <w:ind w:firstLine="560"/>
      </w:pPr>
      <w:r>
        <w:rPr>
          <w:rFonts w:hint="eastAsia"/>
        </w:rPr>
        <w:t>5、各工种严格执行相应的操作规程，不得违章作业。严格执行交接班制度。</w:t>
      </w:r>
    </w:p>
    <w:p w14:paraId="2A071EC3">
      <w:pPr>
        <w:ind w:firstLine="560"/>
      </w:pPr>
      <w:r>
        <w:rPr>
          <w:rFonts w:hint="eastAsia"/>
        </w:rPr>
        <w:t>6、现场施工为多工种协调作业，必须统一指挥，信号明确，通讯迅达，指令正确。各操作人员在意图不明时严禁进行作业，发现问题应及时向上级反映。</w:t>
      </w:r>
    </w:p>
    <w:p w14:paraId="6E33D96E">
      <w:pPr>
        <w:ind w:firstLine="560"/>
      </w:pPr>
      <w:r>
        <w:rPr>
          <w:rFonts w:hint="eastAsia"/>
        </w:rPr>
        <w:t>7、大风、大雨和浓雾天气必须停止吊装作业；夜间作业必须有良好的照明设施，否则不得夜间作业。</w:t>
      </w:r>
    </w:p>
    <w:p w14:paraId="562952D0">
      <w:pPr>
        <w:ind w:firstLine="560"/>
      </w:pPr>
      <w:r>
        <w:rPr>
          <w:rFonts w:hint="eastAsia"/>
        </w:rPr>
        <w:t>8、每天上下班时对劳动用品、机械设备及机具、吊具、索具等进行检查，确保用具在完好的情况下进行施工，消除隐患，确保安全施工。</w:t>
      </w:r>
    </w:p>
    <w:p w14:paraId="0A5AC72A">
      <w:pPr>
        <w:pStyle w:val="4"/>
      </w:pPr>
      <w:r>
        <w:rPr>
          <w:rFonts w:hint="eastAsia"/>
        </w:rPr>
        <w:t>9.2.5物体打击安全控制措施</w:t>
      </w:r>
    </w:p>
    <w:p w14:paraId="57974251">
      <w:pPr>
        <w:ind w:firstLine="560"/>
      </w:pPr>
      <w:r>
        <w:rPr>
          <w:rFonts w:hint="eastAsia"/>
        </w:rPr>
        <w:t>1、塔机结构件吊装过程中必须专人指挥，统一管理。</w:t>
      </w:r>
    </w:p>
    <w:p w14:paraId="60D7EFC5">
      <w:pPr>
        <w:ind w:firstLine="560"/>
      </w:pPr>
      <w:r>
        <w:rPr>
          <w:rFonts w:hint="eastAsia"/>
        </w:rPr>
        <w:t>2、高处施工作业人员必须配备工具袋并按要求正确佩戴使用个体安全防护用品，防止个人物品从高处掉落。</w:t>
      </w:r>
    </w:p>
    <w:p w14:paraId="57164A4E">
      <w:pPr>
        <w:ind w:firstLine="560"/>
      </w:pPr>
      <w:r>
        <w:rPr>
          <w:rFonts w:hint="eastAsia"/>
        </w:rPr>
        <w:t>3、尽量避免交叉作业，无法避开交叉作业时，应设置安全防护措施，防止发生物体打击事故。</w:t>
      </w:r>
    </w:p>
    <w:p w14:paraId="0D2D8834">
      <w:pPr>
        <w:ind w:firstLine="560"/>
        <w:rPr>
          <w:rFonts w:ascii="宋体" w:hAnsi="宋体" w:cs="宋体"/>
        </w:rPr>
      </w:pPr>
      <w:r>
        <w:rPr>
          <w:rFonts w:hint="eastAsia" w:ascii="宋体" w:hAnsi="宋体" w:cs="宋体"/>
        </w:rPr>
        <w:t>4、加强安全检查，高处临边严禁堆放物件，施工作业时严禁上下抛掷物件。</w:t>
      </w:r>
    </w:p>
    <w:p w14:paraId="26CEDBA7">
      <w:pPr>
        <w:ind w:firstLine="560"/>
        <w:rPr>
          <w:rFonts w:ascii="宋体" w:hAnsi="宋体" w:cs="宋体"/>
        </w:rPr>
      </w:pPr>
      <w:r>
        <w:rPr>
          <w:rFonts w:hint="eastAsia" w:ascii="宋体" w:hAnsi="宋体" w:cs="宋体"/>
        </w:rPr>
        <w:t>5、高空临边作业做好安全防护，护栏高度达到1.2m，设置踢脚板，防止物件掉落；高空操作范围全封闭，通道及操作平台满铺脚手板，设置防滑条。</w:t>
      </w:r>
    </w:p>
    <w:p w14:paraId="68CD6850">
      <w:pPr>
        <w:ind w:firstLine="560"/>
        <w:rPr>
          <w:rFonts w:ascii="宋体" w:hAnsi="宋体" w:cs="宋体"/>
        </w:rPr>
      </w:pPr>
      <w:r>
        <w:rPr>
          <w:rFonts w:hint="eastAsia" w:ascii="宋体" w:hAnsi="宋体" w:cs="宋体"/>
        </w:rPr>
        <w:t>6、大型结构安装、拆除等高空操作时设置临时警戒区，下方人员撤离并拉设警戒线。安装、拆除完成后及时清理现场，做到工完料尽场地清。</w:t>
      </w:r>
    </w:p>
    <w:p w14:paraId="2B27AC51">
      <w:pPr>
        <w:pStyle w:val="4"/>
      </w:pPr>
      <w:r>
        <w:rPr>
          <w:rFonts w:hint="eastAsia"/>
        </w:rPr>
        <w:t>9.2.6机械伤害安全控制措施</w:t>
      </w:r>
    </w:p>
    <w:p w14:paraId="2C0A5E71">
      <w:pPr>
        <w:ind w:firstLine="560"/>
      </w:pPr>
      <w:r>
        <w:rPr>
          <w:rFonts w:hint="eastAsia"/>
        </w:rPr>
        <w:t>1、操作人员须经安全教育培训，考核合格取得操作证后方可持证上岗作业。</w:t>
      </w:r>
    </w:p>
    <w:p w14:paraId="24D5E5AD">
      <w:pPr>
        <w:ind w:firstLine="560"/>
      </w:pPr>
      <w:r>
        <w:t>2、</w:t>
      </w:r>
      <w:r>
        <w:rPr>
          <w:rFonts w:hint="eastAsia"/>
        </w:rPr>
        <w:t>特种设备安装、拆除必须由具备资质的专业化公司进行，并且使用前或使用后一个月内到当地部门登记备案。</w:t>
      </w:r>
    </w:p>
    <w:p w14:paraId="3CD8E268">
      <w:pPr>
        <w:ind w:firstLine="560"/>
      </w:pPr>
      <w:r>
        <w:rPr>
          <w:rFonts w:hint="eastAsia"/>
        </w:rPr>
        <w:t>3、操作人员要严格按照机械设备安全操作规程作业，并且佩戴使用必要的安全防护用品。</w:t>
      </w:r>
    </w:p>
    <w:p w14:paraId="67729156">
      <w:pPr>
        <w:ind w:firstLine="560"/>
      </w:pPr>
      <w:r>
        <w:rPr>
          <w:rFonts w:hint="eastAsia"/>
        </w:rPr>
        <w:t>4、要定期对机械设备进行保养和维护，做好维修保养记录保证机械性能良好。</w:t>
      </w:r>
    </w:p>
    <w:p w14:paraId="313E7D1D">
      <w:pPr>
        <w:ind w:firstLine="560"/>
      </w:pPr>
      <w:r>
        <w:rPr>
          <w:rFonts w:hint="eastAsia"/>
        </w:rPr>
        <w:t>5、极端恶劣天气来临前以及过后要全面对机械设备进行检查和维修。</w:t>
      </w:r>
    </w:p>
    <w:p w14:paraId="45529874">
      <w:pPr>
        <w:ind w:firstLine="560"/>
      </w:pPr>
      <w:r>
        <w:rPr>
          <w:rFonts w:hint="eastAsia"/>
        </w:rPr>
        <w:t>6、机械设备零部件必须符合设计及安全技术规范、标准要求。</w:t>
      </w:r>
    </w:p>
    <w:p w14:paraId="0CAF6898">
      <w:pPr>
        <w:ind w:firstLine="560"/>
      </w:pPr>
      <w:r>
        <w:rPr>
          <w:rFonts w:hint="eastAsia"/>
        </w:rPr>
        <w:t>7、机械设备电气装置必须符合安全要求。</w:t>
      </w:r>
    </w:p>
    <w:p w14:paraId="404C4983">
      <w:pPr>
        <w:ind w:firstLine="560"/>
      </w:pPr>
      <w:r>
        <w:rPr>
          <w:rFonts w:hint="eastAsia"/>
        </w:rPr>
        <w:t>8、机械设备应根据有关安全要求，装设合理、可靠的安全装置，保证不影响机械设备安全使用。</w:t>
      </w:r>
    </w:p>
    <w:p w14:paraId="49AD0C91">
      <w:pPr>
        <w:ind w:firstLine="560"/>
      </w:pPr>
      <w:r>
        <w:rPr>
          <w:rFonts w:hint="eastAsia"/>
        </w:rPr>
        <w:t>9、操作人员必须正确使用安全装置，不得随意破坏或拆除安全装置；</w:t>
      </w:r>
    </w:p>
    <w:p w14:paraId="0EC7F8AF">
      <w:pPr>
        <w:ind w:firstLine="560"/>
      </w:pPr>
      <w:r>
        <w:rPr>
          <w:rFonts w:hint="eastAsia"/>
        </w:rPr>
        <w:t>10、操作人员在机械设备运行前，必须按规定进行安全检查，严禁机械设备带病运行。</w:t>
      </w:r>
    </w:p>
    <w:p w14:paraId="289C1B88">
      <w:pPr>
        <w:pStyle w:val="4"/>
      </w:pPr>
      <w:r>
        <w:rPr>
          <w:rFonts w:hint="eastAsia"/>
        </w:rPr>
        <w:t>9.2.7 施工用电安全控制措施</w:t>
      </w:r>
    </w:p>
    <w:p w14:paraId="07D8EE9A">
      <w:pPr>
        <w:ind w:firstLine="560"/>
      </w:pPr>
      <w:r>
        <w:rPr>
          <w:rFonts w:hint="eastAsia"/>
        </w:rPr>
        <w:t>1、严格执行《施工现场临时用电安全技术规范》（JGJ</w:t>
      </w:r>
      <w:r>
        <w:t xml:space="preserve"> 46-2005</w:t>
      </w:r>
      <w:r>
        <w:rPr>
          <w:rFonts w:hint="eastAsia"/>
        </w:rPr>
        <w:t>）中的规定，并做好临时用电施工设计和安全用电技术措施的编制。</w:t>
      </w:r>
    </w:p>
    <w:p w14:paraId="28463448">
      <w:pPr>
        <w:ind w:firstLine="560"/>
      </w:pPr>
      <w:r>
        <w:rPr>
          <w:rFonts w:hint="eastAsia"/>
        </w:rPr>
        <w:t>2、施工用电必须符合“三相五线制”的要求，按“一机、一闸、一漏、一锁”和“动力线照明用电严禁搭接的规定落实”并设置醒目的警示标志。</w:t>
      </w:r>
    </w:p>
    <w:p w14:paraId="285079B0">
      <w:pPr>
        <w:ind w:firstLine="560"/>
      </w:pPr>
      <w:r>
        <w:rPr>
          <w:rFonts w:hint="eastAsia"/>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2590C03">
      <w:pPr>
        <w:ind w:firstLine="560"/>
      </w:pPr>
      <w:r>
        <w:rPr>
          <w:rFonts w:hint="eastAsia"/>
        </w:rPr>
        <w:t>4、做好临时用电维修制度，加强日常和定期维修工作，及时发现和消除隐患，并建立维修工作记录，记载维修时间、地点、设备、内容、技术措施、处理结果、维修人员、验收人员等。</w:t>
      </w:r>
    </w:p>
    <w:p w14:paraId="1D2E95F9">
      <w:pPr>
        <w:ind w:firstLine="560"/>
      </w:pPr>
      <w:r>
        <w:rPr>
          <w:rFonts w:hint="eastAsia"/>
        </w:rPr>
        <w:t>5、建立安全用电责任制，对临时用电工程各部位的操作、监护、维修分片、分块、分机落实到人，并辅以必要的严惩。</w:t>
      </w:r>
    </w:p>
    <w:p w14:paraId="1F3C44DB">
      <w:pPr>
        <w:ind w:firstLine="560"/>
      </w:pPr>
      <w:r>
        <w:rPr>
          <w:rFonts w:hint="eastAsia"/>
        </w:rPr>
        <w:t>6、建立安全教育和培训制度；定期对专业电工和各类用电人员进行用电安全教育和培训，凡上岗人员必须持有劳动部门核发的上岗证书，严禁无证上岗。</w:t>
      </w:r>
    </w:p>
    <w:p w14:paraId="662A3F67">
      <w:pPr>
        <w:ind w:firstLine="560"/>
      </w:pPr>
      <w:r>
        <w:rPr>
          <w:rFonts w:hint="eastAsia"/>
        </w:rPr>
        <w:t>7、电气操作人员要认真执行规范，正确连接电线，电线要完好无损，有良好的绝缘外皮。电线要压牢、压实，各种开关触头要压接牢固，多股导线要用端子与设备安装，以防加大电阻引起火灾。</w:t>
      </w:r>
    </w:p>
    <w:p w14:paraId="7DCF34F2">
      <w:pPr>
        <w:ind w:firstLine="560"/>
      </w:pPr>
      <w:r>
        <w:rPr>
          <w:rFonts w:hint="eastAsia"/>
        </w:rPr>
        <w:t>8、配电箱、开关箱内严禁存放杂物及易燃物体，并派专人负责定期清扫。</w:t>
      </w:r>
    </w:p>
    <w:p w14:paraId="112F22A6">
      <w:pPr>
        <w:ind w:firstLine="560"/>
      </w:pPr>
      <w:r>
        <w:rPr>
          <w:rFonts w:hint="eastAsia"/>
        </w:rPr>
        <w:t>9、临时用电维修时必须执行两人制度，一人在总控制柜值守并悬挂“维修中”警示牌，另一人在现场进行维修作业。</w:t>
      </w:r>
    </w:p>
    <w:p w14:paraId="58510229">
      <w:pPr>
        <w:ind w:firstLine="560"/>
      </w:pPr>
      <w:r>
        <w:rPr>
          <w:rFonts w:hint="eastAsia"/>
        </w:rPr>
        <w:t>10、施工现场变压器必须采用全封闭，二级配电柜采用隔离防护并做防水防触电漏电。三级配电距离现场用电设备不宜太远防止出现电线损坏漏电。</w:t>
      </w:r>
    </w:p>
    <w:p w14:paraId="36CCC027">
      <w:pPr>
        <w:pStyle w:val="4"/>
      </w:pPr>
      <w:r>
        <w:rPr>
          <w:rFonts w:hint="eastAsia"/>
        </w:rPr>
        <w:t>9.2.8 车辆伤害安全控制措施</w:t>
      </w:r>
    </w:p>
    <w:p w14:paraId="67F4692A">
      <w:pPr>
        <w:ind w:firstLine="560"/>
      </w:pPr>
      <w:r>
        <w:t>1</w:t>
      </w:r>
      <w:r>
        <w:rPr>
          <w:rFonts w:hint="eastAsia"/>
        </w:rPr>
        <w:t>车辆驾驶人员及车辆必须证件齐全并在有效时间内，车辆必须车检。</w:t>
      </w:r>
    </w:p>
    <w:p w14:paraId="267357A9">
      <w:pPr>
        <w:ind w:firstLine="560"/>
      </w:pPr>
      <w:r>
        <w:rPr>
          <w:rFonts w:hint="eastAsia"/>
        </w:rPr>
        <w:t>2、物机部、安环部、综合办公室制定车辆管理办法并督促落实车辆管理办法</w:t>
      </w:r>
    </w:p>
    <w:p w14:paraId="31F6BB59">
      <w:pPr>
        <w:ind w:firstLine="560"/>
      </w:pPr>
      <w:r>
        <w:rPr>
          <w:rFonts w:hint="eastAsia"/>
        </w:rPr>
        <w:t>3、驾驶员应严格执行项目有关安全规定，每天出车前应对车辆进行“三检”，对车辆进行安全性能方面的全面检查，并作好记录，杜绝病车上路。不得驾驶安全设施不全或者有安全隐患的机动车，确保行车安全。</w:t>
      </w:r>
    </w:p>
    <w:p w14:paraId="617E0DB6">
      <w:pPr>
        <w:ind w:firstLine="560"/>
      </w:pPr>
      <w:r>
        <w:rPr>
          <w:rFonts w:hint="eastAsia"/>
        </w:rPr>
        <w:t>4、现场施工区域道路上应在显眼、清晰的位置按规定设置限速交通标志、警示标志或者安全防护设施。在交叉路口、上下坡、转弯处、出入口等位置设置醒目标识。在便道两侧设置反光贴保证夜间行车安全。</w:t>
      </w:r>
    </w:p>
    <w:p w14:paraId="3BE0EACA">
      <w:pPr>
        <w:ind w:firstLine="560"/>
      </w:pPr>
      <w:r>
        <w:rPr>
          <w:rFonts w:hint="eastAsia"/>
        </w:rPr>
        <w:t>5、冬季、雨季做好防滑措施及警示标志，保证车辆行驶安全。</w:t>
      </w:r>
    </w:p>
    <w:p w14:paraId="3E9C21E6">
      <w:pPr>
        <w:ind w:firstLine="560"/>
      </w:pPr>
      <w:r>
        <w:rPr>
          <w:rFonts w:hint="eastAsia"/>
        </w:rPr>
        <w:t>6、机动车在保证安全的情况下，在施工便道行驶时，车速不得超过每小时15公里，汽车吊车行驶速度不超过每小时5公里。</w:t>
      </w:r>
    </w:p>
    <w:p w14:paraId="06CD3838">
      <w:pPr>
        <w:ind w:firstLine="560"/>
      </w:pPr>
      <w:r>
        <w:t>7</w:t>
      </w:r>
      <w:r>
        <w:rPr>
          <w:rFonts w:hint="eastAsia"/>
        </w:rPr>
        <w:t>、生产现场使用的车辆，如机械运输车、吊车、装载车等机械车辆，车辆驾驶人员定岗、定人、定则。并定期做好体检。</w:t>
      </w:r>
    </w:p>
    <w:bookmarkEnd w:id="457"/>
    <w:bookmarkEnd w:id="458"/>
    <w:bookmarkEnd w:id="459"/>
    <w:p w14:paraId="09F270A6">
      <w:pPr>
        <w:pStyle w:val="3"/>
        <w:rPr>
          <w:color w:val="000000"/>
        </w:rPr>
      </w:pPr>
      <w:bookmarkStart w:id="467" w:name="_Toc24088"/>
      <w:bookmarkStart w:id="468" w:name="_Toc21634"/>
      <w:bookmarkStart w:id="469" w:name="_Toc943"/>
      <w:bookmarkStart w:id="470" w:name="_Toc9016"/>
      <w:bookmarkStart w:id="471" w:name="_Toc14932"/>
      <w:bookmarkStart w:id="472" w:name="_Toc25745"/>
      <w:bookmarkStart w:id="473" w:name="_Toc308"/>
      <w:r>
        <w:rPr>
          <w:rFonts w:hint="eastAsia"/>
          <w:color w:val="000000"/>
        </w:rPr>
        <w:t>9.3 施工安全保证措施</w:t>
      </w:r>
      <w:bookmarkEnd w:id="467"/>
      <w:bookmarkEnd w:id="468"/>
      <w:bookmarkEnd w:id="469"/>
      <w:bookmarkEnd w:id="470"/>
      <w:bookmarkEnd w:id="471"/>
      <w:bookmarkEnd w:id="472"/>
      <w:bookmarkEnd w:id="473"/>
    </w:p>
    <w:p w14:paraId="34D83B8A">
      <w:pPr>
        <w:pStyle w:val="4"/>
        <w:rPr>
          <w:color w:val="000000"/>
        </w:rPr>
      </w:pPr>
      <w:r>
        <w:rPr>
          <w:rFonts w:hint="eastAsia"/>
          <w:color w:val="000000"/>
        </w:rPr>
        <w:t>9.</w:t>
      </w:r>
      <w:r>
        <w:rPr>
          <w:color w:val="000000"/>
        </w:rPr>
        <w:t xml:space="preserve">3.1 </w:t>
      </w:r>
      <w:r>
        <w:rPr>
          <w:rFonts w:hint="eastAsia"/>
          <w:color w:val="000000"/>
        </w:rPr>
        <w:t>组织保证</w:t>
      </w:r>
    </w:p>
    <w:p w14:paraId="6670EF8D">
      <w:pPr>
        <w:ind w:firstLine="560"/>
        <w:rPr>
          <w:color w:val="000000"/>
        </w:rPr>
      </w:pPr>
      <w:r>
        <w:rPr>
          <w:rFonts w:hint="eastAsia"/>
          <w:color w:val="000000"/>
        </w:rPr>
        <w:t>1、建立安全保证体系组织机构，成立以项目经理为组长，安全总监、总工程师、副经理、总经济师为副组长，职能部门负责人为组员的安全领导小组。</w:t>
      </w:r>
    </w:p>
    <w:p w14:paraId="15A2ECEF">
      <w:pPr>
        <w:ind w:firstLine="560"/>
        <w:rPr>
          <w:color w:val="000000"/>
        </w:rPr>
      </w:pPr>
      <w:r>
        <w:rPr>
          <w:rFonts w:hint="eastAsia"/>
          <w:color w:val="000000"/>
        </w:rPr>
        <w:t>2、安全领导小组成立办公室，下设在项目部安全环保部，领导小组成员在施工期间，应保持手机通讯24小时畅通。</w:t>
      </w:r>
    </w:p>
    <w:p w14:paraId="26685834">
      <w:pPr>
        <w:ind w:firstLine="560"/>
        <w:rPr>
          <w:color w:val="000000"/>
        </w:rPr>
      </w:pPr>
      <w:r>
        <w:rPr>
          <w:rFonts w:hint="eastAsia"/>
          <w:color w:val="000000"/>
        </w:rPr>
        <w:t>3、健全自上而下、层层落实的安全管理体系，安全环保部配备足够的专职安全管理人员。</w:t>
      </w:r>
    </w:p>
    <w:p w14:paraId="0C0C9265">
      <w:pPr>
        <w:ind w:firstLine="560"/>
        <w:rPr>
          <w:color w:val="000000"/>
        </w:rPr>
      </w:pPr>
      <w:r>
        <w:rPr>
          <w:rFonts w:hint="eastAsia"/>
          <w:color w:val="000000"/>
        </w:rPr>
        <w:t>4、作业队配兼职安全员、群安员，建立各级网络，做到“专管成线，群管成片”。</w:t>
      </w:r>
    </w:p>
    <w:p w14:paraId="5958D574">
      <w:pPr>
        <w:pStyle w:val="4"/>
        <w:rPr>
          <w:color w:val="000000"/>
        </w:rPr>
      </w:pPr>
      <w:r>
        <w:rPr>
          <w:rFonts w:hint="eastAsia"/>
          <w:color w:val="000000"/>
        </w:rPr>
        <w:t>9.</w:t>
      </w:r>
      <w:r>
        <w:rPr>
          <w:color w:val="000000"/>
        </w:rPr>
        <w:t xml:space="preserve">3.2 </w:t>
      </w:r>
      <w:r>
        <w:rPr>
          <w:rFonts w:hint="eastAsia"/>
          <w:color w:val="000000"/>
        </w:rPr>
        <w:t>制度保证</w:t>
      </w:r>
    </w:p>
    <w:p w14:paraId="400195C9">
      <w:pPr>
        <w:ind w:firstLine="560"/>
        <w:rPr>
          <w:color w:val="000000"/>
        </w:rPr>
      </w:pPr>
      <w:r>
        <w:rPr>
          <w:rFonts w:hint="eastAsia"/>
          <w:color w:val="000000"/>
        </w:rPr>
        <w:t>1、安全检查制度</w:t>
      </w:r>
    </w:p>
    <w:p w14:paraId="17DC2746">
      <w:pPr>
        <w:ind w:firstLine="560"/>
        <w:rPr>
          <w:color w:val="000000"/>
        </w:rPr>
      </w:pPr>
      <w:r>
        <w:rPr>
          <w:rFonts w:hint="eastAsia"/>
          <w:color w:val="000000"/>
        </w:rPr>
        <w:t>（1）定期安全检查制度</w:t>
      </w:r>
    </w:p>
    <w:p w14:paraId="73DB6771">
      <w:pPr>
        <w:ind w:firstLine="560"/>
        <w:rPr>
          <w:color w:val="000000"/>
        </w:rPr>
      </w:pPr>
      <w:r>
        <w:rPr>
          <w:rFonts w:hint="eastAsia"/>
          <w:color w:val="000000"/>
        </w:rPr>
        <w:t>项目部每旬进行定期安全大检查，同时根据实际情况进行不定期安全检查或专项安全检查。</w:t>
      </w:r>
    </w:p>
    <w:p w14:paraId="431C5109">
      <w:pPr>
        <w:ind w:firstLine="560"/>
        <w:rPr>
          <w:color w:val="000000"/>
        </w:rPr>
      </w:pPr>
      <w:r>
        <w:rPr>
          <w:rFonts w:hint="eastAsia"/>
          <w:color w:val="000000"/>
        </w:rPr>
        <w:t>定期安全大检查由项目经理主持，安全环保部组织，安全生产领导小组成员及其他有关人员参加，检查人员在项目部会议室准时集合，根据检查范围进行分组检查。</w:t>
      </w:r>
    </w:p>
    <w:p w14:paraId="305DB132">
      <w:pPr>
        <w:ind w:firstLine="560"/>
        <w:rPr>
          <w:color w:val="000000"/>
        </w:rPr>
      </w:pPr>
      <w:r>
        <w:rPr>
          <w:rFonts w:hint="eastAsia"/>
          <w:color w:val="000000"/>
        </w:rPr>
        <w:t>（2）经常性安全检查</w:t>
      </w:r>
    </w:p>
    <w:p w14:paraId="1563865C">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各作业班组长负责组织开展班前、班后、岗位安全检查并保留检查记录，项目部安全环保部将定期对活动开展情况进行检查。</w:t>
      </w:r>
    </w:p>
    <w:p w14:paraId="26263DEE">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作业工序转换时安全检查。此项检查活动由安全员或现场技术人员实施，并将检查情况记入工程施工日志备查。</w:t>
      </w:r>
    </w:p>
    <w:p w14:paraId="2422AA6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各级安全员日常巡回安全检查。此项检查活动由专兼职安全员实施，并每天记录巡查日志。</w:t>
      </w:r>
    </w:p>
    <w:p w14:paraId="60EF19B0">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各级管理人员在检查生产的同时检查安全施工。</w:t>
      </w:r>
    </w:p>
    <w:p w14:paraId="4FB95598">
      <w:pPr>
        <w:ind w:firstLine="560"/>
        <w:rPr>
          <w:color w:val="000000"/>
        </w:rPr>
      </w:pPr>
      <w:r>
        <w:rPr>
          <w:rFonts w:hint="eastAsia"/>
          <w:color w:val="000000"/>
        </w:rPr>
        <w:t>（3）专项安全生产检查</w:t>
      </w:r>
    </w:p>
    <w:p w14:paraId="14158E33">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特殊气候条件下施工专项施工安全检查，包括雨（雷）季、大风等。</w:t>
      </w:r>
    </w:p>
    <w:p w14:paraId="19FCF62C">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节假日前后专项安全生产检查。</w:t>
      </w:r>
    </w:p>
    <w:p w14:paraId="187CBFF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临时停工后复工前专项安全生产检查。</w:t>
      </w:r>
    </w:p>
    <w:p w14:paraId="04DC3EBF">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大型吊装前、大型结构体系转换前、特种设备、大型临时设备设施投入使用前专项安全生产检查。</w:t>
      </w:r>
    </w:p>
    <w:p w14:paraId="105FCFB9">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上级要求的专项安全生产检查。</w:t>
      </w:r>
    </w:p>
    <w:p w14:paraId="46B0B7BC">
      <w:pPr>
        <w:ind w:firstLine="560"/>
        <w:rPr>
          <w:color w:val="000000"/>
        </w:rPr>
      </w:pPr>
      <w:r>
        <w:rPr>
          <w:rFonts w:hint="eastAsia"/>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048584BD">
      <w:pPr>
        <w:ind w:firstLine="560"/>
        <w:rPr>
          <w:color w:val="000000"/>
        </w:rPr>
      </w:pPr>
      <w:r>
        <w:rPr>
          <w:rFonts w:hint="eastAsia"/>
          <w:color w:val="000000"/>
        </w:rPr>
        <w:t>2、安全教育制度</w:t>
      </w:r>
    </w:p>
    <w:p w14:paraId="1141E72F">
      <w:pPr>
        <w:ind w:firstLine="560"/>
        <w:rPr>
          <w:color w:val="000000"/>
        </w:rPr>
      </w:pPr>
      <w:r>
        <w:rPr>
          <w:rFonts w:hint="eastAsia"/>
          <w:color w:val="000000"/>
          <w:lang w:val="zh-CN"/>
        </w:rPr>
        <w:t>（1）</w:t>
      </w:r>
      <w:r>
        <w:rPr>
          <w:rFonts w:hint="eastAsia"/>
          <w:color w:val="000000"/>
        </w:rPr>
        <w:t>项目部应对全体员工及参加项目所属各项工程施工的生产人员进行上岗前安全培训，并进行考核。</w:t>
      </w:r>
    </w:p>
    <w:p w14:paraId="284EA31C">
      <w:pPr>
        <w:ind w:firstLine="560"/>
        <w:rPr>
          <w:color w:val="000000"/>
        </w:rPr>
      </w:pPr>
      <w:r>
        <w:rPr>
          <w:rFonts w:hint="eastAsia"/>
          <w:color w:val="000000"/>
          <w:lang w:val="zh-CN"/>
        </w:rPr>
        <w:t>（2）</w:t>
      </w:r>
      <w:r>
        <w:rPr>
          <w:rFonts w:hint="eastAsia"/>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6BD42304">
      <w:pPr>
        <w:ind w:firstLine="560"/>
        <w:rPr>
          <w:color w:val="000000"/>
        </w:rPr>
      </w:pPr>
      <w:r>
        <w:rPr>
          <w:rFonts w:hint="eastAsia"/>
          <w:color w:val="000000"/>
          <w:lang w:val="zh-CN"/>
        </w:rPr>
        <w:t>（3）</w:t>
      </w:r>
      <w:r>
        <w:rPr>
          <w:rFonts w:hint="eastAsia"/>
          <w:color w:val="000000"/>
        </w:rPr>
        <w:t>未经安全生产培训、考核合格的从业人员，不得上岗或参与项目所属工程项目的施工生产。</w:t>
      </w:r>
    </w:p>
    <w:p w14:paraId="445032FC">
      <w:pPr>
        <w:ind w:firstLine="560"/>
        <w:rPr>
          <w:color w:val="000000"/>
        </w:rPr>
      </w:pPr>
      <w:r>
        <w:rPr>
          <w:rFonts w:hint="eastAsia"/>
          <w:color w:val="000000"/>
          <w:lang w:val="zh-CN"/>
        </w:rPr>
        <w:t>（4）</w:t>
      </w:r>
      <w:r>
        <w:rPr>
          <w:rFonts w:hint="eastAsia"/>
          <w:color w:val="000000"/>
        </w:rPr>
        <w:t>项目部经理和专职安全生产管理人员应积极参加公司、业主组织的安全生产再培训。</w:t>
      </w:r>
    </w:p>
    <w:p w14:paraId="53C0C1FD">
      <w:pPr>
        <w:ind w:firstLine="560"/>
        <w:rPr>
          <w:color w:val="000000"/>
        </w:rPr>
      </w:pPr>
      <w:r>
        <w:rPr>
          <w:rFonts w:hint="eastAsia"/>
          <w:color w:val="000000"/>
          <w:lang w:val="zh-CN"/>
        </w:rPr>
        <w:t>（5）</w:t>
      </w:r>
      <w:r>
        <w:rPr>
          <w:rFonts w:hint="eastAsia"/>
          <w:color w:val="000000"/>
        </w:rPr>
        <w:t>特种作业人员，必须按照国家有关法律、法规的规定接受专门的安全培训，经省、市级劳动安全部门考核合格，取得特种作业操作资格证书后，方可上岗作业。</w:t>
      </w:r>
    </w:p>
    <w:p w14:paraId="24DEFBF3">
      <w:pPr>
        <w:ind w:firstLine="560"/>
        <w:rPr>
          <w:color w:val="000000"/>
        </w:rPr>
      </w:pPr>
      <w:r>
        <w:rPr>
          <w:rFonts w:hint="eastAsia"/>
          <w:color w:val="000000"/>
          <w:lang w:val="zh-CN"/>
        </w:rPr>
        <w:t>（6）</w:t>
      </w:r>
      <w:r>
        <w:rPr>
          <w:rFonts w:hint="eastAsia"/>
          <w:color w:val="000000"/>
        </w:rPr>
        <w:t>实施新工艺、新技术或者使用新设备、新材料时，应当对有关作业人员重新进行有针对性的安全培训。</w:t>
      </w:r>
    </w:p>
    <w:p w14:paraId="1974687B">
      <w:pPr>
        <w:ind w:firstLine="560"/>
        <w:rPr>
          <w:color w:val="000000"/>
        </w:rPr>
      </w:pPr>
      <w:r>
        <w:rPr>
          <w:rFonts w:hint="eastAsia"/>
          <w:color w:val="000000"/>
        </w:rPr>
        <w:t>3、特种作业人员管理制度</w:t>
      </w:r>
    </w:p>
    <w:p w14:paraId="21D8E9F0">
      <w:pPr>
        <w:ind w:firstLine="560"/>
        <w:rPr>
          <w:color w:val="000000"/>
        </w:rPr>
      </w:pPr>
      <w:r>
        <w:rPr>
          <w:rFonts w:hint="eastAsia"/>
          <w:color w:val="000000"/>
          <w:lang w:val="zh-CN"/>
        </w:rPr>
        <w:t>（1）</w:t>
      </w:r>
      <w:r>
        <w:rPr>
          <w:rFonts w:hint="eastAsia"/>
          <w:color w:val="000000"/>
        </w:rPr>
        <w:t>特种作业人员（包括电工、焊工、起重工、场内机动车司机等），质量技术监督部门或建设行政主管部门组织的安全技术培训，经教育、考核、复验，考核合格取得合格证，获取操作证者方准上岗作业。</w:t>
      </w:r>
    </w:p>
    <w:p w14:paraId="199358F5">
      <w:pPr>
        <w:ind w:firstLine="560"/>
        <w:rPr>
          <w:color w:val="000000"/>
        </w:rPr>
      </w:pPr>
      <w:r>
        <w:rPr>
          <w:rFonts w:hint="eastAsia"/>
          <w:color w:val="000000"/>
          <w:lang w:val="zh-CN"/>
        </w:rPr>
        <w:t>（2）</w:t>
      </w:r>
      <w:r>
        <w:rPr>
          <w:rFonts w:hint="eastAsia"/>
          <w:color w:val="000000"/>
        </w:rPr>
        <w:t>取得操作证的特种作业人员，应定期进行复审，未按期复审或复审不合格者，其操作证自行失效，该特种工不准上岗作业。</w:t>
      </w:r>
    </w:p>
    <w:p w14:paraId="44C86E65">
      <w:pPr>
        <w:ind w:firstLine="560"/>
        <w:rPr>
          <w:color w:val="000000"/>
        </w:rPr>
      </w:pPr>
      <w:r>
        <w:rPr>
          <w:rFonts w:hint="eastAsia"/>
          <w:color w:val="000000"/>
        </w:rPr>
        <w:t>4、特种设备管理制度</w:t>
      </w:r>
    </w:p>
    <w:p w14:paraId="583FE5CB">
      <w:pPr>
        <w:ind w:firstLine="560"/>
        <w:rPr>
          <w:color w:val="000000"/>
        </w:rPr>
      </w:pPr>
      <w:r>
        <w:rPr>
          <w:rFonts w:hint="eastAsia"/>
          <w:color w:val="000000"/>
          <w:lang w:val="zh-CN"/>
        </w:rPr>
        <w:t>（1）</w:t>
      </w:r>
      <w:r>
        <w:rPr>
          <w:rFonts w:hint="eastAsia"/>
          <w:color w:val="000000"/>
        </w:rPr>
        <w:t>项目部设备物资部必须严格执行《中华人民共和国特种设备安全法》规定，保证特种设备的安全使用，并明确管理人员及每台设备的安全责任人。</w:t>
      </w:r>
    </w:p>
    <w:p w14:paraId="265F7311">
      <w:pPr>
        <w:ind w:firstLine="560"/>
        <w:rPr>
          <w:color w:val="000000"/>
        </w:rPr>
      </w:pPr>
      <w:r>
        <w:rPr>
          <w:rFonts w:hint="eastAsia"/>
          <w:color w:val="000000"/>
          <w:lang w:val="zh-CN"/>
        </w:rPr>
        <w:t>（2）</w:t>
      </w:r>
      <w:r>
        <w:rPr>
          <w:rFonts w:hint="eastAsia"/>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36CE103E">
      <w:pPr>
        <w:ind w:firstLine="560"/>
        <w:rPr>
          <w:color w:val="000000"/>
        </w:rPr>
      </w:pPr>
      <w:r>
        <w:rPr>
          <w:rFonts w:hint="eastAsia"/>
          <w:color w:val="000000"/>
          <w:lang w:val="zh-CN"/>
        </w:rPr>
        <w:t>（3）</w:t>
      </w:r>
      <w:r>
        <w:rPr>
          <w:rFonts w:hint="eastAsia"/>
          <w:color w:val="000000"/>
        </w:rPr>
        <w:t>进场特种设备应经国家特种设备安全监督管理部门检验检测合格后方可投入使用。</w:t>
      </w:r>
    </w:p>
    <w:p w14:paraId="1A51F5CA">
      <w:pPr>
        <w:ind w:firstLine="560"/>
        <w:rPr>
          <w:color w:val="000000"/>
        </w:rPr>
      </w:pPr>
      <w:r>
        <w:rPr>
          <w:rFonts w:hint="eastAsia"/>
          <w:color w:val="000000"/>
          <w:lang w:val="zh-CN"/>
        </w:rPr>
        <w:t>（4）</w:t>
      </w:r>
      <w:r>
        <w:rPr>
          <w:rFonts w:hint="eastAsia"/>
          <w:color w:val="000000"/>
        </w:rPr>
        <w:t>使用单位至少每月进行一次自行检查，对查出的问题必须及时处理，并按技术规范作定期检验。</w:t>
      </w:r>
    </w:p>
    <w:p w14:paraId="554F0300">
      <w:pPr>
        <w:ind w:firstLine="560"/>
        <w:rPr>
          <w:color w:val="000000"/>
        </w:rPr>
      </w:pPr>
      <w:r>
        <w:rPr>
          <w:rFonts w:hint="eastAsia"/>
          <w:color w:val="000000"/>
          <w:lang w:val="zh-CN"/>
        </w:rPr>
        <w:t>（5）</w:t>
      </w:r>
      <w:r>
        <w:rPr>
          <w:rFonts w:hint="eastAsia"/>
          <w:color w:val="000000"/>
        </w:rPr>
        <w:t>特种设备使用单位负责日常保养和维护工作并做好记录。</w:t>
      </w:r>
    </w:p>
    <w:p w14:paraId="5332EED1">
      <w:pPr>
        <w:ind w:firstLine="560"/>
        <w:rPr>
          <w:color w:val="000000"/>
        </w:rPr>
      </w:pPr>
      <w:r>
        <w:rPr>
          <w:rFonts w:hint="eastAsia"/>
          <w:color w:val="000000"/>
          <w:lang w:val="zh-CN"/>
        </w:rPr>
        <w:t>（6）</w:t>
      </w:r>
      <w:r>
        <w:rPr>
          <w:rFonts w:hint="eastAsia"/>
          <w:color w:val="000000"/>
        </w:rPr>
        <w:t>凡需持证操作的设备必须执行定人、定机、定岗位的“三定”制度。</w:t>
      </w:r>
    </w:p>
    <w:p w14:paraId="64009D44">
      <w:pPr>
        <w:ind w:firstLine="560"/>
        <w:rPr>
          <w:color w:val="000000"/>
        </w:rPr>
      </w:pPr>
      <w:r>
        <w:rPr>
          <w:rFonts w:hint="eastAsia"/>
          <w:color w:val="000000"/>
          <w:lang w:val="zh-CN"/>
        </w:rPr>
        <w:t>（7）</w:t>
      </w:r>
      <w:r>
        <w:rPr>
          <w:rFonts w:hint="eastAsia"/>
          <w:color w:val="000000"/>
        </w:rPr>
        <w:t>特种设备的操作人员必须持证上岗，严格执行特种设备的安全操作规程。</w:t>
      </w:r>
    </w:p>
    <w:p w14:paraId="069E35A3">
      <w:pPr>
        <w:ind w:firstLine="560"/>
        <w:rPr>
          <w:color w:val="000000"/>
        </w:rPr>
      </w:pPr>
      <w:r>
        <w:rPr>
          <w:rFonts w:hint="eastAsia"/>
          <w:color w:val="000000"/>
          <w:lang w:val="zh-CN"/>
        </w:rPr>
        <w:t>（8）</w:t>
      </w:r>
      <w:r>
        <w:rPr>
          <w:rFonts w:hint="eastAsia"/>
          <w:color w:val="000000"/>
        </w:rPr>
        <w:t>特种设备管理人员须持证上岗，方可从事相应管理工作。</w:t>
      </w:r>
    </w:p>
    <w:p w14:paraId="7E7C7252">
      <w:pPr>
        <w:ind w:firstLine="560"/>
        <w:rPr>
          <w:color w:val="000000"/>
        </w:rPr>
      </w:pPr>
      <w:r>
        <w:rPr>
          <w:rFonts w:hint="eastAsia"/>
          <w:color w:val="000000"/>
          <w:lang w:val="zh-CN"/>
        </w:rPr>
        <w:t>（9）</w:t>
      </w:r>
      <w:r>
        <w:rPr>
          <w:rFonts w:hint="eastAsia"/>
          <w:color w:val="000000"/>
        </w:rPr>
        <w:t>特种设备须在显著位置设置标识牌。</w:t>
      </w:r>
    </w:p>
    <w:p w14:paraId="073AB844">
      <w:pPr>
        <w:ind w:firstLine="560"/>
        <w:rPr>
          <w:color w:val="000000"/>
        </w:rPr>
      </w:pPr>
      <w:r>
        <w:rPr>
          <w:rFonts w:hint="eastAsia"/>
          <w:color w:val="000000"/>
        </w:rPr>
        <w:t>5、安全生产例会制度</w:t>
      </w:r>
    </w:p>
    <w:p w14:paraId="72BBC192">
      <w:pPr>
        <w:ind w:firstLine="560"/>
        <w:rPr>
          <w:color w:val="000000"/>
        </w:rPr>
      </w:pPr>
      <w:r>
        <w:rPr>
          <w:rFonts w:hint="eastAsia"/>
          <w:color w:val="000000"/>
          <w:lang w:val="zh-CN"/>
        </w:rPr>
        <w:t>（1）</w:t>
      </w:r>
      <w:r>
        <w:rPr>
          <w:rFonts w:hint="eastAsia"/>
          <w:color w:val="000000"/>
        </w:rPr>
        <w:t>项目部每月召开一次安全生产例会，根据情况，可以增加安全生产例会次数，或者召开专项安全生产例会。</w:t>
      </w:r>
    </w:p>
    <w:p w14:paraId="27FDF913">
      <w:pPr>
        <w:ind w:firstLine="560"/>
        <w:rPr>
          <w:color w:val="000000"/>
        </w:rPr>
      </w:pPr>
      <w:r>
        <w:rPr>
          <w:rFonts w:hint="eastAsia"/>
          <w:color w:val="000000"/>
          <w:lang w:val="zh-CN"/>
        </w:rPr>
        <w:t>（2）</w:t>
      </w:r>
      <w:r>
        <w:rPr>
          <w:rFonts w:hint="eastAsia"/>
          <w:color w:val="000000"/>
        </w:rPr>
        <w:t>安全生产例会由主管生产的副经理或安全总监召集并主持。一般在月度安全生产检查后及时召开，可以和生产例会同时召开。</w:t>
      </w:r>
    </w:p>
    <w:p w14:paraId="55490B45">
      <w:pPr>
        <w:ind w:firstLine="560"/>
        <w:rPr>
          <w:color w:val="000000"/>
        </w:rPr>
      </w:pPr>
      <w:r>
        <w:rPr>
          <w:rFonts w:hint="eastAsia"/>
          <w:color w:val="000000"/>
          <w:lang w:val="zh-CN"/>
        </w:rPr>
        <w:t>（3）</w:t>
      </w:r>
      <w:r>
        <w:rPr>
          <w:rFonts w:hint="eastAsia"/>
          <w:color w:val="000000"/>
        </w:rPr>
        <w:t>项目部安全生产领导小组成员、各工区经理和技术负责人、专职安全管理人员、安全保卫负责人、各劳务协作单位负责人、租赁机械设备单位管理人员应参加安全生产例会。</w:t>
      </w:r>
    </w:p>
    <w:p w14:paraId="6E4226D6">
      <w:pPr>
        <w:ind w:firstLine="560"/>
        <w:rPr>
          <w:color w:val="000000"/>
        </w:rPr>
      </w:pPr>
      <w:r>
        <w:rPr>
          <w:rFonts w:hint="eastAsia"/>
          <w:color w:val="000000"/>
          <w:lang w:val="zh-CN"/>
        </w:rPr>
        <w:t>（4）</w:t>
      </w:r>
      <w:r>
        <w:rPr>
          <w:rFonts w:hint="eastAsia"/>
          <w:color w:val="000000"/>
        </w:rPr>
        <w:t>项目部月度安全生产例会议程包括：</w:t>
      </w:r>
    </w:p>
    <w:p w14:paraId="7AD8D899">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汇报上月项目部安全生产管理工作总体情况及安全生产大检查及日常安全巡查发现的情况。</w:t>
      </w:r>
    </w:p>
    <w:p w14:paraId="6BFA6555">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上月项目部发生的生产安全事故分析。</w:t>
      </w:r>
    </w:p>
    <w:p w14:paraId="000E628C">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项目部目前安全生产状况及当前需要做好的工作。</w:t>
      </w:r>
    </w:p>
    <w:p w14:paraId="42E7414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国家、上级机关关于安全生产工作的新法律、规章制度和相关要求的学习通报。</w:t>
      </w:r>
    </w:p>
    <w:p w14:paraId="3CC0A913">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分析确定下月项目部安全生产工作重点，确定安全生产重点监控部位。</w:t>
      </w:r>
    </w:p>
    <w:p w14:paraId="46230250">
      <w:pPr>
        <w:ind w:firstLine="560"/>
        <w:rPr>
          <w:color w:val="000000"/>
        </w:rPr>
      </w:pPr>
      <w:r>
        <w:rPr>
          <w:color w:val="000000"/>
        </w:rPr>
        <w:fldChar w:fldCharType="begin"/>
      </w:r>
      <w:r>
        <w:rPr>
          <w:rFonts w:hint="eastAsia"/>
          <w:color w:val="000000"/>
        </w:rPr>
        <w:instrText xml:space="preserve">= 6 \* GB3</w:instrText>
      </w:r>
      <w:r>
        <w:rPr>
          <w:color w:val="000000"/>
        </w:rPr>
        <w:fldChar w:fldCharType="separate"/>
      </w:r>
      <w:r>
        <w:rPr>
          <w:rFonts w:hint="eastAsia"/>
          <w:color w:val="000000"/>
        </w:rPr>
        <w:t>⑥</w:t>
      </w:r>
      <w:r>
        <w:rPr>
          <w:color w:val="000000"/>
        </w:rPr>
        <w:fldChar w:fldCharType="end"/>
      </w:r>
      <w:r>
        <w:rPr>
          <w:rFonts w:hint="eastAsia"/>
          <w:color w:val="000000"/>
        </w:rPr>
        <w:t>落实相关安全生产问题的解决方案和责任部门或人员。</w:t>
      </w:r>
    </w:p>
    <w:p w14:paraId="481C8AAF">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其他需要解决的安全生产相关问题。</w:t>
      </w:r>
    </w:p>
    <w:p w14:paraId="0A012A54">
      <w:pPr>
        <w:ind w:firstLine="560"/>
        <w:rPr>
          <w:color w:val="000000"/>
        </w:rPr>
      </w:pPr>
      <w:r>
        <w:rPr>
          <w:rFonts w:hint="eastAsia"/>
          <w:color w:val="000000"/>
          <w:lang w:val="zh-CN"/>
        </w:rPr>
        <w:t>（5）</w:t>
      </w:r>
      <w:r>
        <w:rPr>
          <w:rFonts w:hint="eastAsia"/>
          <w:color w:val="000000"/>
        </w:rPr>
        <w:t>安全生产例会的内容要记录清楚，必要时要形成会议记要，会议形成的各项决议、有关部门和人员必须认真落实，安全环保部、质量管理部负责监督。</w:t>
      </w:r>
    </w:p>
    <w:p w14:paraId="69C18851">
      <w:pPr>
        <w:ind w:firstLine="560"/>
        <w:rPr>
          <w:color w:val="000000"/>
        </w:rPr>
      </w:pPr>
      <w:r>
        <w:rPr>
          <w:rFonts w:hint="eastAsia"/>
          <w:color w:val="000000"/>
          <w:lang w:val="zh-CN"/>
        </w:rPr>
        <w:t>（6）</w:t>
      </w:r>
      <w:r>
        <w:rPr>
          <w:rFonts w:hint="eastAsia"/>
          <w:color w:val="000000"/>
        </w:rPr>
        <w:t>安全生产例会会议记录由安全环保部、质量管理部记录并保存。</w:t>
      </w:r>
    </w:p>
    <w:p w14:paraId="40978748">
      <w:pPr>
        <w:ind w:firstLine="560"/>
        <w:rPr>
          <w:color w:val="000000"/>
        </w:rPr>
      </w:pPr>
      <w:r>
        <w:rPr>
          <w:rFonts w:hint="eastAsia"/>
          <w:color w:val="000000"/>
        </w:rPr>
        <w:t>6、职业健康管理制度</w:t>
      </w:r>
    </w:p>
    <w:p w14:paraId="102DB8AA">
      <w:pPr>
        <w:ind w:firstLine="560"/>
        <w:rPr>
          <w:color w:val="000000"/>
        </w:rPr>
      </w:pPr>
      <w:r>
        <w:rPr>
          <w:rFonts w:hint="eastAsia"/>
          <w:color w:val="000000"/>
          <w:lang w:val="zh-CN"/>
        </w:rPr>
        <w:t>（1）</w:t>
      </w:r>
      <w:r>
        <w:rPr>
          <w:rFonts w:hint="eastAsia"/>
          <w:color w:val="000000"/>
        </w:rPr>
        <w:t>劳动保护措施</w:t>
      </w:r>
    </w:p>
    <w:p w14:paraId="45120DA0">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1 \* GB3</w:instrText>
      </w:r>
      <w:r>
        <w:rPr>
          <w:rFonts w:ascii="宋体" w:hAnsi="宋体" w:eastAsia="宋体" w:cs="宋体"/>
          <w:color w:val="000000"/>
        </w:rPr>
        <w:fldChar w:fldCharType="separate"/>
      </w:r>
      <w:r>
        <w:rPr>
          <w:rFonts w:hint="eastAsia" w:ascii="宋体" w:hAnsi="宋体" w:eastAsia="宋体" w:cs="宋体"/>
          <w:color w:val="000000"/>
        </w:rPr>
        <w:t>①</w:t>
      </w:r>
      <w:r>
        <w:rPr>
          <w:rFonts w:ascii="宋体" w:hAnsi="宋体" w:eastAsia="宋体" w:cs="宋体"/>
          <w:color w:val="000000"/>
        </w:rPr>
        <w:fldChar w:fldCharType="end"/>
      </w:r>
      <w:r>
        <w:rPr>
          <w:rFonts w:hint="eastAsia"/>
          <w:color w:val="000000"/>
        </w:rPr>
        <w:t xml:space="preserve">接触粉尘、有毒有害气体等有害、危险施工环境的作业职工，按有关规定发放个人劳动保护用品，并监督检查使用情况，以确保正常使用。  </w:t>
      </w:r>
    </w:p>
    <w:p w14:paraId="60A191FC">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2 \* GB3</w:instrText>
      </w:r>
      <w:r>
        <w:rPr>
          <w:rFonts w:ascii="宋体" w:hAnsi="宋体" w:eastAsia="宋体" w:cs="宋体"/>
          <w:color w:val="000000"/>
        </w:rPr>
        <w:fldChar w:fldCharType="separate"/>
      </w:r>
      <w:r>
        <w:rPr>
          <w:rFonts w:hint="eastAsia" w:ascii="宋体" w:hAnsi="宋体" w:eastAsia="宋体" w:cs="宋体"/>
          <w:color w:val="000000"/>
        </w:rPr>
        <w:t>②</w:t>
      </w:r>
      <w:r>
        <w:rPr>
          <w:rFonts w:ascii="宋体" w:hAnsi="宋体" w:eastAsia="宋体" w:cs="宋体"/>
          <w:color w:val="000000"/>
        </w:rPr>
        <w:fldChar w:fldCharType="end"/>
      </w:r>
      <w:r>
        <w:rPr>
          <w:rFonts w:hint="eastAsia"/>
          <w:color w:val="000000"/>
        </w:rPr>
        <w:t xml:space="preserve">加强机械保养，减少施工机械不正常运转造成的噪音。 </w:t>
      </w:r>
    </w:p>
    <w:p w14:paraId="316A48BD">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对于噪音超标的机械设备，采用消音器降低噪音。</w:t>
      </w:r>
    </w:p>
    <w:p w14:paraId="55754C7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对经常接触有噪音的职工，加强个人防护，佩带耳塞消除影响。</w:t>
      </w:r>
    </w:p>
    <w:p w14:paraId="1003F203">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5 \* GB3</w:instrText>
      </w:r>
      <w:r>
        <w:rPr>
          <w:rFonts w:ascii="宋体" w:hAnsi="宋体" w:eastAsia="宋体" w:cs="宋体"/>
          <w:color w:val="000000"/>
        </w:rPr>
        <w:fldChar w:fldCharType="separate"/>
      </w:r>
      <w:r>
        <w:rPr>
          <w:rFonts w:hint="eastAsia" w:ascii="宋体" w:hAnsi="宋体" w:eastAsia="宋体" w:cs="宋体"/>
          <w:color w:val="000000"/>
        </w:rPr>
        <w:t>⑤</w:t>
      </w:r>
      <w:r>
        <w:rPr>
          <w:rFonts w:ascii="宋体" w:hAnsi="宋体" w:eastAsia="宋体" w:cs="宋体"/>
          <w:color w:val="000000"/>
        </w:rPr>
        <w:fldChar w:fldCharType="end"/>
      </w:r>
      <w:r>
        <w:rPr>
          <w:rFonts w:hint="eastAsia"/>
          <w:color w:val="000000"/>
        </w:rPr>
        <w:t>按照劳动法的要求，做好本工程的劳动、保护装备工作，根据每个工种的人数以及劳动性质，由物机部门负责采购，配备充足而且必要的劳动保护用品。同时加强行政管理，落实劳动保护措施。</w:t>
      </w:r>
    </w:p>
    <w:p w14:paraId="02682314">
      <w:pPr>
        <w:ind w:firstLine="560"/>
        <w:rPr>
          <w:color w:val="000000"/>
        </w:rPr>
      </w:pPr>
      <w:r>
        <w:rPr>
          <w:rFonts w:cs="仿宋"/>
          <w:color w:val="000000"/>
        </w:rPr>
        <w:fldChar w:fldCharType="begin"/>
      </w:r>
      <w:r>
        <w:rPr>
          <w:rFonts w:hint="eastAsia" w:cs="仿宋"/>
          <w:color w:val="000000"/>
        </w:rPr>
        <w:instrText xml:space="preserve">= 6 \* GB3</w:instrText>
      </w:r>
      <w:r>
        <w:rPr>
          <w:rFonts w:cs="仿宋"/>
          <w:color w:val="000000"/>
        </w:rPr>
        <w:fldChar w:fldCharType="separate"/>
      </w:r>
      <w:r>
        <w:rPr>
          <w:rFonts w:hint="eastAsia" w:cs="仿宋"/>
          <w:color w:val="000000"/>
        </w:rPr>
        <w:t>⑥</w:t>
      </w:r>
      <w:r>
        <w:rPr>
          <w:rFonts w:cs="仿宋"/>
          <w:color w:val="000000"/>
        </w:rPr>
        <w:fldChar w:fldCharType="end"/>
      </w:r>
      <w:r>
        <w:rPr>
          <w:rFonts w:hint="eastAsia"/>
          <w:color w:val="000000"/>
        </w:rPr>
        <w:t>现场电焊作业人员，必须佩戴好护目镜。</w:t>
      </w:r>
    </w:p>
    <w:p w14:paraId="70165C67">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劳动保护装备要符合以下要求：</w:t>
      </w:r>
    </w:p>
    <w:p w14:paraId="24E3C6B8">
      <w:pPr>
        <w:ind w:firstLine="560"/>
        <w:rPr>
          <w:color w:val="000000"/>
        </w:rPr>
      </w:pPr>
      <w:r>
        <w:rPr>
          <w:color w:val="000000"/>
        </w:rPr>
        <w:t>1</w:t>
      </w:r>
      <w:r>
        <w:rPr>
          <w:rFonts w:hint="eastAsia"/>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514B4F98">
      <w:pPr>
        <w:ind w:firstLine="560"/>
        <w:rPr>
          <w:color w:val="000000"/>
        </w:rPr>
      </w:pPr>
      <w:r>
        <w:rPr>
          <w:rFonts w:ascii="宋体" w:hAnsi="宋体" w:eastAsia="宋体" w:cs="宋体"/>
          <w:color w:val="000000"/>
        </w:rPr>
        <w:t>2</w:t>
      </w:r>
      <w:r>
        <w:rPr>
          <w:rFonts w:hint="eastAsia" w:ascii="宋体" w:hAnsi="宋体" w:eastAsia="宋体" w:cs="宋体"/>
          <w:color w:val="000000"/>
        </w:rPr>
        <w:t>）</w:t>
      </w:r>
      <w:r>
        <w:rPr>
          <w:rFonts w:hint="eastAsia"/>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51395063">
      <w:pPr>
        <w:ind w:firstLine="560"/>
        <w:rPr>
          <w:color w:val="000000"/>
        </w:rPr>
      </w:pPr>
      <w:r>
        <w:rPr>
          <w:rFonts w:hint="eastAsia"/>
          <w:color w:val="000000"/>
          <w:lang w:val="zh-CN"/>
        </w:rPr>
        <w:t>（2）</w:t>
      </w:r>
      <w:r>
        <w:rPr>
          <w:rFonts w:hint="eastAsia"/>
          <w:color w:val="000000"/>
        </w:rPr>
        <w:t xml:space="preserve">医疗保障措施  </w:t>
      </w:r>
    </w:p>
    <w:p w14:paraId="1ECDBB76">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559D5B02">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10B93DF6">
      <w:pPr>
        <w:ind w:firstLine="560"/>
        <w:rPr>
          <w:color w:val="000000"/>
        </w:rPr>
      </w:pPr>
      <w:r>
        <w:rPr>
          <w:rFonts w:hint="eastAsia"/>
          <w:color w:val="000000"/>
        </w:rPr>
        <w:t>9、疫情防控安全保障措施</w:t>
      </w:r>
    </w:p>
    <w:p w14:paraId="2D8ABEDD">
      <w:pPr>
        <w:ind w:firstLine="560"/>
        <w:rPr>
          <w:color w:val="000000"/>
        </w:rPr>
      </w:pPr>
      <w:r>
        <w:rPr>
          <w:rFonts w:hint="eastAsia"/>
          <w:color w:val="000000"/>
          <w:lang w:val="zh-CN"/>
        </w:rPr>
        <w:t>（1）</w:t>
      </w:r>
      <w:r>
        <w:rPr>
          <w:rFonts w:hint="eastAsia"/>
          <w:color w:val="000000"/>
        </w:rPr>
        <w:t>进场人员管理</w:t>
      </w:r>
    </w:p>
    <w:p w14:paraId="3EC8FC7A">
      <w:pPr>
        <w:ind w:firstLine="560"/>
        <w:rPr>
          <w:color w:val="000000"/>
        </w:rPr>
      </w:pPr>
      <w:r>
        <w:rPr>
          <w:rFonts w:hint="eastAsia"/>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3F8AA624">
      <w:pPr>
        <w:ind w:firstLine="560"/>
        <w:rPr>
          <w:color w:val="000000"/>
        </w:rPr>
      </w:pPr>
      <w:r>
        <w:rPr>
          <w:rFonts w:hint="eastAsia"/>
          <w:color w:val="000000"/>
          <w:lang w:val="zh-CN"/>
        </w:rPr>
        <w:t>（2）</w:t>
      </w:r>
      <w:r>
        <w:rPr>
          <w:rFonts w:hint="eastAsia"/>
          <w:color w:val="000000"/>
        </w:rPr>
        <w:t>防疫消杀管理</w:t>
      </w:r>
    </w:p>
    <w:p w14:paraId="45149A67">
      <w:pPr>
        <w:ind w:firstLine="560"/>
        <w:rPr>
          <w:color w:val="000000"/>
        </w:rPr>
      </w:pPr>
      <w:r>
        <w:rPr>
          <w:color w:val="000000"/>
        </w:rPr>
        <w:t>1</w:t>
      </w:r>
      <w:r>
        <w:rPr>
          <w:rFonts w:hint="eastAsia"/>
          <w:color w:val="000000"/>
        </w:rPr>
        <w:t>）常态化管控期间，各部门、各单位每天早晨和中午上班后，请注意用消毒湿巾对办公时可能接触的物体表面进入擦拭（包括但不限于桌椅、电脑键盘、手机、文件夹、杯/茶具）。</w:t>
      </w:r>
    </w:p>
    <w:p w14:paraId="42744DC4">
      <w:pPr>
        <w:ind w:firstLine="560"/>
        <w:rPr>
          <w:color w:val="000000"/>
        </w:rPr>
      </w:pPr>
      <w:r>
        <w:rPr>
          <w:color w:val="000000"/>
        </w:rPr>
        <w:t>2</w:t>
      </w:r>
      <w:r>
        <w:rPr>
          <w:rFonts w:hint="eastAsia"/>
          <w:color w:val="000000"/>
        </w:rPr>
        <w:t>）公共区域消毒作业，由办公室安排相关人员组织实施并做好记录。包括食堂、卫生间、会议室、办公楼等聚集性地方，做到全方位、无死角消杀。</w:t>
      </w:r>
    </w:p>
    <w:p w14:paraId="02D824B5">
      <w:pPr>
        <w:ind w:firstLine="560"/>
        <w:rPr>
          <w:color w:val="000000"/>
        </w:rPr>
      </w:pPr>
      <w:r>
        <w:rPr>
          <w:rFonts w:hint="eastAsia"/>
          <w:color w:val="000000"/>
          <w:lang w:val="zh-CN"/>
        </w:rPr>
        <w:t>（3）</w:t>
      </w:r>
      <w:r>
        <w:rPr>
          <w:rFonts w:hint="eastAsia"/>
          <w:color w:val="000000"/>
        </w:rPr>
        <w:t>施工现场管控</w:t>
      </w:r>
    </w:p>
    <w:p w14:paraId="3904F8B0">
      <w:pPr>
        <w:ind w:firstLine="560"/>
        <w:rPr>
          <w:color w:val="000000"/>
        </w:rPr>
      </w:pPr>
      <w:r>
        <w:rPr>
          <w:rFonts w:hint="eastAsia"/>
          <w:color w:val="000000"/>
        </w:rPr>
        <w:t>必须储备充足的口罩、酒精、消毒液、防护服等物资，疫情防控工作小组要实时掌控物资储备情况，及时补充。</w:t>
      </w:r>
    </w:p>
    <w:p w14:paraId="0EC555FA">
      <w:pPr>
        <w:ind w:firstLine="560"/>
        <w:rPr>
          <w:color w:val="000000"/>
        </w:rPr>
      </w:pPr>
      <w:r>
        <w:rPr>
          <w:rFonts w:hint="eastAsia"/>
          <w:color w:val="000000"/>
          <w:lang w:val="zh-CN"/>
        </w:rPr>
        <w:t>（4）</w:t>
      </w:r>
      <w:r>
        <w:rPr>
          <w:rFonts w:hint="eastAsia"/>
          <w:color w:val="000000"/>
        </w:rPr>
        <w:t>教育培训</w:t>
      </w:r>
    </w:p>
    <w:p w14:paraId="438020BA">
      <w:pPr>
        <w:ind w:firstLine="560"/>
        <w:rPr>
          <w:color w:val="000000"/>
        </w:rPr>
      </w:pPr>
      <w:r>
        <w:rPr>
          <w:rFonts w:hint="eastAsia"/>
          <w:color w:val="000000"/>
        </w:rPr>
        <w:t>1）将新冠疫情防控教育纳入到每日岗前安全教育，创新教育和交底方式，减少人员聚集。</w:t>
      </w:r>
    </w:p>
    <w:p w14:paraId="25744F4C">
      <w:pPr>
        <w:ind w:firstLine="560"/>
        <w:rPr>
          <w:color w:val="000000"/>
        </w:rPr>
      </w:pPr>
      <w:r>
        <w:rPr>
          <w:rFonts w:hint="eastAsia"/>
          <w:color w:val="000000"/>
        </w:rPr>
        <w:t>2）指导从业人员注意个人卫生，保持勤洗手、多饮水，保持宿舍卫生整洁，多通风。</w:t>
      </w:r>
    </w:p>
    <w:p w14:paraId="7A12D446">
      <w:pPr>
        <w:pStyle w:val="3"/>
        <w:keepLines w:val="0"/>
        <w:widowControl/>
        <w:spacing w:beforeAutospacing="1" w:afterAutospacing="1"/>
        <w:rPr>
          <w:rFonts w:ascii="Times New Roman" w:hAnsi="Times New Roman"/>
          <w:color w:val="000000"/>
        </w:rPr>
      </w:pPr>
      <w:bookmarkStart w:id="474" w:name="_Toc12160"/>
      <w:bookmarkStart w:id="475" w:name="_Toc30343"/>
      <w:bookmarkStart w:id="476" w:name="_Toc32679"/>
      <w:bookmarkStart w:id="477" w:name="_Toc20956"/>
      <w:bookmarkStart w:id="478" w:name="_Toc2392"/>
      <w:bookmarkStart w:id="479" w:name="_Toc29315"/>
      <w:bookmarkStart w:id="480" w:name="_Toc12630"/>
      <w:bookmarkStart w:id="481" w:name="_Toc8948"/>
      <w:bookmarkStart w:id="482" w:name="_Toc14949"/>
      <w:bookmarkStart w:id="483" w:name="_Toc16910"/>
      <w:bookmarkStart w:id="484" w:name="_Toc31375"/>
      <w:bookmarkStart w:id="485" w:name="_Toc30170"/>
      <w:bookmarkStart w:id="486" w:name="_Toc87114083"/>
      <w:bookmarkStart w:id="487" w:name="_Toc12043"/>
      <w:bookmarkStart w:id="488" w:name="_Toc28071"/>
      <w:r>
        <w:rPr>
          <w:rFonts w:hint="eastAsia"/>
          <w:color w:val="000000"/>
        </w:rPr>
        <w:t>9.4</w:t>
      </w:r>
      <w:r>
        <w:rPr>
          <w:color w:val="000000"/>
        </w:rPr>
        <w:t xml:space="preserve"> 高处作业及临边防护安全技术措施</w:t>
      </w:r>
      <w:bookmarkEnd w:id="474"/>
      <w:bookmarkEnd w:id="475"/>
      <w:bookmarkEnd w:id="476"/>
      <w:bookmarkEnd w:id="477"/>
      <w:bookmarkEnd w:id="478"/>
      <w:bookmarkEnd w:id="479"/>
    </w:p>
    <w:p w14:paraId="3F666E13">
      <w:pPr>
        <w:ind w:firstLine="560"/>
        <w:rPr>
          <w:color w:val="000000"/>
        </w:rPr>
      </w:pPr>
      <w:r>
        <w:rPr>
          <w:color w:val="000000"/>
        </w:rPr>
        <w:t>1．施工前,要对操作者进行安全交底，落实安全技术措施和人身防护用品，未经落实不得进行施工</w:t>
      </w:r>
      <w:r>
        <w:rPr>
          <w:rFonts w:hint="eastAsia"/>
          <w:color w:val="000000"/>
        </w:rPr>
        <w:t>。</w:t>
      </w:r>
    </w:p>
    <w:p w14:paraId="5799B76D">
      <w:pPr>
        <w:ind w:firstLine="560"/>
        <w:rPr>
          <w:color w:val="000000"/>
        </w:rPr>
      </w:pPr>
      <w:r>
        <w:rPr>
          <w:color w:val="000000"/>
        </w:rPr>
        <w:t>2．高空作业中的工具设备和电气设施，必须在施工前加以检查，确认其完好，方能使用</w:t>
      </w:r>
      <w:r>
        <w:rPr>
          <w:rFonts w:hint="eastAsia"/>
          <w:color w:val="000000"/>
        </w:rPr>
        <w:t>。</w:t>
      </w:r>
    </w:p>
    <w:p w14:paraId="3F1EB959">
      <w:pPr>
        <w:ind w:firstLine="560"/>
        <w:rPr>
          <w:color w:val="000000"/>
        </w:rPr>
      </w:pPr>
      <w:r>
        <w:rPr>
          <w:color w:val="000000"/>
        </w:rPr>
        <w:t>3．攀登和悬空高处作业人员以及搭设高处作业安全设施人员,必须经过专业技术培训考试合格持证上岗.高处作业人员必须佩带安全带</w:t>
      </w:r>
      <w:r>
        <w:rPr>
          <w:rFonts w:hint="eastAsia"/>
          <w:color w:val="000000"/>
        </w:rPr>
        <w:t>。</w:t>
      </w:r>
    </w:p>
    <w:p w14:paraId="18B962A0">
      <w:pPr>
        <w:ind w:firstLine="560"/>
        <w:rPr>
          <w:color w:val="000000"/>
        </w:rPr>
      </w:pPr>
      <w:r>
        <w:rPr>
          <w:color w:val="000000"/>
        </w:rPr>
        <w:t>4．施工现场使用的防高处坠落安全防护用品，必须是经国家质量鉴定、审验手续的合格产品</w:t>
      </w:r>
      <w:r>
        <w:rPr>
          <w:rFonts w:hint="eastAsia"/>
          <w:color w:val="000000"/>
        </w:rPr>
        <w:t>。</w:t>
      </w:r>
    </w:p>
    <w:p w14:paraId="1B095F0E">
      <w:pPr>
        <w:ind w:firstLine="560"/>
        <w:rPr>
          <w:color w:val="000000"/>
        </w:rPr>
      </w:pPr>
      <w:r>
        <w:rPr>
          <w:color w:val="000000"/>
        </w:rPr>
        <w:t xml:space="preserve">5．高处作业平台四周围应有防护栏,并挂密目网防护，平台底部设置18cm挡脚板，平台设爬梯供工作人员上下。 </w:t>
      </w:r>
    </w:p>
    <w:p w14:paraId="51906823">
      <w:pPr>
        <w:ind w:firstLine="560"/>
        <w:rPr>
          <w:color w:val="000000"/>
        </w:rPr>
      </w:pPr>
      <w:r>
        <w:rPr>
          <w:color w:val="000000"/>
        </w:rPr>
        <w:t xml:space="preserve">6．在交叉作业时,不允许在上下同一垂直区域内进行作业，下层作业时应在上层物体落地区域外作业。 </w:t>
      </w:r>
    </w:p>
    <w:p w14:paraId="2BF7EE91">
      <w:pPr>
        <w:ind w:firstLine="560"/>
        <w:rPr>
          <w:color w:val="000000"/>
        </w:rPr>
      </w:pPr>
      <w:r>
        <w:rPr>
          <w:color w:val="000000"/>
        </w:rPr>
        <w:t>7．临边防护必须超出作业面1</w:t>
      </w:r>
      <w:r>
        <w:rPr>
          <w:rFonts w:hint="eastAsia"/>
          <w:color w:val="000000"/>
        </w:rPr>
        <w:t>.</w:t>
      </w:r>
      <w:r>
        <w:rPr>
          <w:color w:val="000000"/>
        </w:rPr>
        <w:t>2m,作业人员必须按规定系挂安全带。临边作业必须设防护栏杆（要求0</w:t>
      </w:r>
      <w:r>
        <w:rPr>
          <w:rFonts w:hint="eastAsia"/>
          <w:color w:val="000000"/>
        </w:rPr>
        <w:t>.</w:t>
      </w:r>
      <w:r>
        <w:rPr>
          <w:color w:val="000000"/>
        </w:rPr>
        <w:t xml:space="preserve">6m、1.2m各设一道)。 </w:t>
      </w:r>
    </w:p>
    <w:p w14:paraId="61880112">
      <w:pPr>
        <w:ind w:firstLine="560"/>
        <w:rPr>
          <w:color w:val="000000"/>
        </w:rPr>
      </w:pPr>
      <w:r>
        <w:rPr>
          <w:color w:val="000000"/>
        </w:rPr>
        <w:t xml:space="preserve">8．高处作业中所用的物料应该堆放平稳,不可置放在临边或洞口附近，也不可妨碍通行和装卸。 </w:t>
      </w:r>
    </w:p>
    <w:p w14:paraId="399E0BEC">
      <w:pPr>
        <w:ind w:firstLine="560"/>
        <w:rPr>
          <w:color w:val="000000"/>
        </w:rPr>
      </w:pPr>
      <w:r>
        <w:rPr>
          <w:color w:val="000000"/>
        </w:rPr>
        <w:t xml:space="preserve">9．现场操作人员上下楼时必须走专门的通道,不得在非规定的通道进行攀登,更不得任意利用吊车臂等施工设备进行攀登。 </w:t>
      </w:r>
    </w:p>
    <w:p w14:paraId="7F3C244A">
      <w:pPr>
        <w:ind w:firstLine="560"/>
        <w:rPr>
          <w:color w:val="000000"/>
        </w:rPr>
      </w:pPr>
      <w:r>
        <w:rPr>
          <w:color w:val="000000"/>
        </w:rPr>
        <w:t>10．对脚手架的搭设、拆除，安全网的支挂,安全带的使用，”四口”、”五临边"的防护要进行量化检查验收，合格后方准施工</w:t>
      </w:r>
      <w:r>
        <w:rPr>
          <w:rFonts w:hint="eastAsia"/>
          <w:color w:val="000000"/>
        </w:rPr>
        <w:t>。</w:t>
      </w:r>
    </w:p>
    <w:p w14:paraId="414916A1">
      <w:pPr>
        <w:ind w:firstLine="560"/>
        <w:rPr>
          <w:color w:val="000000"/>
        </w:rPr>
      </w:pPr>
      <w:r>
        <w:rPr>
          <w:color w:val="000000"/>
        </w:rPr>
        <w:t xml:space="preserve">11．冬季进行高处作业,要用可靠的防滑、防寒和防冻措施。 </w:t>
      </w:r>
    </w:p>
    <w:p w14:paraId="2BF6001F">
      <w:pPr>
        <w:ind w:firstLine="560"/>
        <w:rPr>
          <w:color w:val="000000"/>
        </w:rPr>
      </w:pPr>
      <w:r>
        <w:rPr>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176F72BE">
      <w:pPr>
        <w:pStyle w:val="3"/>
        <w:rPr>
          <w:color w:val="000000"/>
        </w:rPr>
      </w:pPr>
      <w:bookmarkStart w:id="489" w:name="_Toc18276"/>
      <w:bookmarkStart w:id="490" w:name="_Toc8552"/>
      <w:bookmarkStart w:id="491" w:name="_Toc24035"/>
      <w:bookmarkStart w:id="492" w:name="_Toc23912"/>
      <w:bookmarkStart w:id="493" w:name="_Toc3683"/>
      <w:bookmarkStart w:id="494" w:name="_Toc10398"/>
      <w:r>
        <w:rPr>
          <w:rFonts w:hint="eastAsia"/>
          <w:color w:val="000000"/>
        </w:rPr>
        <w:t>9.5绿色施工保证措施</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Start w:id="495" w:name="_Toc54548765"/>
    </w:p>
    <w:p w14:paraId="29918F75">
      <w:pPr>
        <w:pStyle w:val="122"/>
        <w:rPr>
          <w:rStyle w:val="123"/>
          <w:b/>
        </w:rPr>
      </w:pPr>
      <w:r>
        <w:rPr>
          <w:rStyle w:val="123"/>
          <w:rFonts w:hint="eastAsia"/>
          <w:b/>
        </w:rPr>
        <w:t>表9.5</w:t>
      </w:r>
      <w:r>
        <w:rPr>
          <w:rStyle w:val="123"/>
          <w:b/>
        </w:rPr>
        <w:t>-1</w:t>
      </w:r>
      <w:r>
        <w:rPr>
          <w:rStyle w:val="123"/>
          <w:rFonts w:hint="eastAsia"/>
          <w:b/>
        </w:rPr>
        <w:t>环境敏感因素分析及防控措施表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44AE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50394A54">
            <w:pPr>
              <w:pStyle w:val="143"/>
              <w:rPr>
                <w:rFonts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40E555A7">
            <w:pPr>
              <w:pStyle w:val="143"/>
              <w:rPr>
                <w:rFonts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3913B90A">
            <w:pPr>
              <w:pStyle w:val="143"/>
              <w:rPr>
                <w:rFonts w:ascii="仿宋" w:hAnsi="仿宋"/>
                <w:color w:val="000000"/>
                <w:kern w:val="2"/>
                <w:sz w:val="24"/>
                <w:szCs w:val="24"/>
              </w:rPr>
            </w:pPr>
            <w:r>
              <w:rPr>
                <w:rFonts w:hint="eastAsia" w:ascii="仿宋" w:hAnsi="仿宋"/>
                <w:color w:val="000000"/>
                <w:kern w:val="2"/>
                <w:sz w:val="24"/>
                <w:szCs w:val="24"/>
              </w:rPr>
              <w:t>防控措施</w:t>
            </w:r>
          </w:p>
        </w:tc>
      </w:tr>
      <w:tr w14:paraId="15A72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791DB84C">
            <w:pPr>
              <w:pStyle w:val="143"/>
              <w:rPr>
                <w:rFonts w:ascii="仿宋" w:hAnsi="仿宋"/>
                <w:color w:val="000000"/>
                <w:kern w:val="2"/>
                <w:sz w:val="24"/>
                <w:szCs w:val="24"/>
              </w:rPr>
            </w:pPr>
            <w:r>
              <w:rPr>
                <w:rFonts w:ascii="仿宋" w:hAnsi="仿宋"/>
                <w:color w:val="000000"/>
                <w:kern w:val="2"/>
                <w:sz w:val="24"/>
                <w:szCs w:val="24"/>
              </w:rPr>
              <w:t>1</w:t>
            </w:r>
          </w:p>
        </w:tc>
        <w:tc>
          <w:tcPr>
            <w:tcW w:w="815" w:type="pct"/>
            <w:vAlign w:val="center"/>
          </w:tcPr>
          <w:p w14:paraId="04342C3B">
            <w:pPr>
              <w:pStyle w:val="143"/>
              <w:rPr>
                <w:rFonts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60918735">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49FCE9CC">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06A22662">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hint="eastAsia"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61882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88E8F65">
            <w:pPr>
              <w:pStyle w:val="143"/>
              <w:rPr>
                <w:rFonts w:ascii="仿宋" w:hAnsi="仿宋"/>
                <w:color w:val="000000"/>
                <w:kern w:val="2"/>
                <w:sz w:val="24"/>
                <w:szCs w:val="24"/>
              </w:rPr>
            </w:pPr>
            <w:r>
              <w:rPr>
                <w:rFonts w:ascii="仿宋" w:hAnsi="仿宋"/>
                <w:color w:val="000000"/>
                <w:kern w:val="2"/>
                <w:sz w:val="24"/>
                <w:szCs w:val="24"/>
              </w:rPr>
              <w:t>2</w:t>
            </w:r>
          </w:p>
        </w:tc>
        <w:tc>
          <w:tcPr>
            <w:tcW w:w="815" w:type="pct"/>
            <w:vAlign w:val="center"/>
          </w:tcPr>
          <w:p w14:paraId="20200257">
            <w:pPr>
              <w:pStyle w:val="143"/>
              <w:rPr>
                <w:rFonts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0706859F">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1 \* GB2</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施工机械定期检修检查，防止漏油凿出污染；</w:t>
            </w:r>
          </w:p>
          <w:p w14:paraId="2040D937">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2 \* GB2</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所有的油品或危险的化学品，污染物品必须有防止泄露和防污染的措施；</w:t>
            </w:r>
          </w:p>
          <w:p w14:paraId="72D9CC26">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4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⑷</w:t>
            </w:r>
            <w:r>
              <w:rPr>
                <w:rFonts w:hint="eastAsia" w:ascii="仿宋" w:hAnsi="仿宋"/>
                <w:color w:val="000000"/>
                <w:kern w:val="2"/>
                <w:sz w:val="24"/>
                <w:szCs w:val="24"/>
              </w:rPr>
              <w:fldChar w:fldCharType="end"/>
            </w:r>
            <w:r>
              <w:rPr>
                <w:rFonts w:hint="eastAsia" w:ascii="仿宋" w:hAnsi="仿宋"/>
                <w:color w:val="000000"/>
                <w:kern w:val="2"/>
                <w:sz w:val="24"/>
                <w:szCs w:val="24"/>
              </w:rPr>
              <w:t>所有使用和存储油品的部位都必须要有防止溢油的围油托盘围挡；</w:t>
            </w:r>
          </w:p>
          <w:p w14:paraId="2879BE59">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5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⑸</w:t>
            </w:r>
            <w:r>
              <w:rPr>
                <w:rFonts w:hint="eastAsia" w:ascii="仿宋" w:hAnsi="仿宋"/>
                <w:color w:val="000000"/>
                <w:kern w:val="2"/>
                <w:sz w:val="24"/>
                <w:szCs w:val="24"/>
              </w:rPr>
              <w:fldChar w:fldCharType="end"/>
            </w:r>
            <w:r>
              <w:rPr>
                <w:rFonts w:hint="eastAsia" w:ascii="仿宋" w:hAnsi="仿宋"/>
                <w:color w:val="000000"/>
                <w:kern w:val="2"/>
                <w:sz w:val="24"/>
                <w:szCs w:val="24"/>
              </w:rPr>
              <w:t>所有设备都必须配备溢油应急物品，如围油索，吸油毡、干沙等。</w:t>
            </w:r>
          </w:p>
        </w:tc>
      </w:tr>
      <w:tr w14:paraId="4AFF6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096130A">
            <w:pPr>
              <w:pStyle w:val="143"/>
              <w:rPr>
                <w:rFonts w:ascii="仿宋" w:hAnsi="仿宋"/>
                <w:color w:val="000000"/>
                <w:kern w:val="2"/>
                <w:sz w:val="24"/>
                <w:szCs w:val="24"/>
              </w:rPr>
            </w:pPr>
            <w:r>
              <w:rPr>
                <w:rFonts w:ascii="仿宋" w:hAnsi="仿宋"/>
                <w:color w:val="000000"/>
                <w:kern w:val="2"/>
                <w:sz w:val="24"/>
                <w:szCs w:val="24"/>
              </w:rPr>
              <w:t>3</w:t>
            </w:r>
          </w:p>
        </w:tc>
        <w:tc>
          <w:tcPr>
            <w:tcW w:w="815" w:type="pct"/>
            <w:vAlign w:val="center"/>
          </w:tcPr>
          <w:p w14:paraId="58652B0B">
            <w:pPr>
              <w:pStyle w:val="143"/>
              <w:rPr>
                <w:rFonts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3C31189E">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428A3426">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4D66A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3DE04F3">
            <w:pPr>
              <w:pStyle w:val="143"/>
              <w:rPr>
                <w:rFonts w:ascii="仿宋" w:hAnsi="仿宋"/>
                <w:color w:val="000000"/>
                <w:kern w:val="2"/>
                <w:sz w:val="24"/>
                <w:szCs w:val="24"/>
              </w:rPr>
            </w:pPr>
            <w:r>
              <w:rPr>
                <w:rFonts w:ascii="仿宋" w:hAnsi="仿宋"/>
                <w:color w:val="000000"/>
                <w:kern w:val="2"/>
                <w:sz w:val="24"/>
                <w:szCs w:val="24"/>
              </w:rPr>
              <w:t>5</w:t>
            </w:r>
          </w:p>
        </w:tc>
        <w:tc>
          <w:tcPr>
            <w:tcW w:w="815" w:type="pct"/>
            <w:vAlign w:val="center"/>
          </w:tcPr>
          <w:p w14:paraId="3770C1C8">
            <w:pPr>
              <w:pStyle w:val="143"/>
              <w:rPr>
                <w:rFonts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7BC6F7E2">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1B209E54">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495"/>
    </w:tbl>
    <w:p w14:paraId="7740F787">
      <w:pPr>
        <w:pStyle w:val="3"/>
      </w:pPr>
      <w:bookmarkStart w:id="496" w:name="_Toc17506"/>
      <w:bookmarkStart w:id="497" w:name="_Toc13220"/>
      <w:bookmarkStart w:id="498" w:name="_Toc7696"/>
      <w:bookmarkStart w:id="499" w:name="_Toc22151"/>
      <w:bookmarkStart w:id="500" w:name="_Toc7261"/>
      <w:bookmarkStart w:id="501" w:name="_Toc30252"/>
      <w:bookmarkStart w:id="502" w:name="_Toc27508"/>
      <w:bookmarkStart w:id="503" w:name="_Toc1328"/>
      <w:bookmarkStart w:id="504" w:name="_Toc3116"/>
      <w:bookmarkStart w:id="505" w:name="_Toc10738"/>
      <w:bookmarkStart w:id="506" w:name="_Toc28125"/>
      <w:bookmarkStart w:id="507" w:name="_Toc1911"/>
      <w:bookmarkStart w:id="508" w:name="_Toc4987"/>
      <w:bookmarkStart w:id="509" w:name="_Toc2309"/>
      <w:r>
        <w:rPr>
          <w:rFonts w:hint="eastAsia"/>
        </w:rPr>
        <w:t>9.6验收及日常检查维保</w:t>
      </w:r>
      <w:bookmarkEnd w:id="496"/>
      <w:bookmarkEnd w:id="497"/>
      <w:bookmarkEnd w:id="498"/>
      <w:bookmarkEnd w:id="499"/>
      <w:bookmarkEnd w:id="500"/>
      <w:bookmarkEnd w:id="501"/>
      <w:bookmarkEnd w:id="502"/>
    </w:p>
    <w:p w14:paraId="1264FB7E">
      <w:pPr>
        <w:ind w:firstLine="560"/>
      </w:pPr>
      <w:r>
        <w:rPr>
          <w:rFonts w:hint="eastAsia"/>
        </w:rPr>
        <w:t>塔机需在安装完毕后进行一次验收。</w:t>
      </w:r>
    </w:p>
    <w:p w14:paraId="4710D795">
      <w:pPr>
        <w:ind w:firstLine="560"/>
      </w:pPr>
      <w:r>
        <w:rPr>
          <w:rFonts w:hint="eastAsia"/>
        </w:rPr>
        <w:t>1、验收内容和验收标准</w:t>
      </w:r>
    </w:p>
    <w:p w14:paraId="6C2B3B8E">
      <w:pPr>
        <w:ind w:firstLine="560"/>
      </w:pPr>
      <w:r>
        <w:rPr>
          <w:rFonts w:hint="eastAsia"/>
        </w:rPr>
        <w:t>验收内容验收标准如下表</w:t>
      </w:r>
    </w:p>
    <w:p w14:paraId="51989AEA">
      <w:pPr>
        <w:pStyle w:val="122"/>
        <w:rPr>
          <w:rStyle w:val="123"/>
          <w:b/>
        </w:rPr>
      </w:pPr>
      <w:r>
        <w:rPr>
          <w:rStyle w:val="123"/>
          <w:rFonts w:hint="eastAsia"/>
          <w:b/>
        </w:rPr>
        <w:t>表9.6</w:t>
      </w:r>
      <w:r>
        <w:rPr>
          <w:rStyle w:val="123"/>
          <w:b/>
        </w:rPr>
        <w:t xml:space="preserve">-1 </w:t>
      </w:r>
      <w:r>
        <w:rPr>
          <w:rStyle w:val="123"/>
          <w:rFonts w:hint="eastAsia"/>
          <w:b/>
        </w:rPr>
        <w:t>塔式起重机安装完成验收表</w:t>
      </w:r>
    </w:p>
    <w:tbl>
      <w:tblPr>
        <w:tblStyle w:val="40"/>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3F602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67BE53D">
            <w:pPr>
              <w:spacing w:line="240" w:lineRule="auto"/>
              <w:ind w:firstLine="0" w:firstLineChars="0"/>
              <w:jc w:val="center"/>
              <w:rPr>
                <w:rFonts w:ascii="仿宋" w:hAnsi="仿宋"/>
                <w:bCs/>
                <w:sz w:val="24"/>
                <w:szCs w:val="24"/>
              </w:rPr>
            </w:pPr>
            <w:r>
              <w:rPr>
                <w:rFonts w:hint="eastAsia" w:ascii="仿宋" w:hAnsi="仿宋"/>
                <w:bCs/>
                <w:sz w:val="24"/>
                <w:szCs w:val="24"/>
              </w:rPr>
              <w:t>序号</w:t>
            </w:r>
          </w:p>
        </w:tc>
        <w:tc>
          <w:tcPr>
            <w:tcW w:w="2731" w:type="dxa"/>
            <w:vAlign w:val="center"/>
          </w:tcPr>
          <w:p w14:paraId="3A163405">
            <w:pPr>
              <w:spacing w:line="240" w:lineRule="auto"/>
              <w:ind w:firstLine="0" w:firstLineChars="0"/>
              <w:jc w:val="center"/>
              <w:rPr>
                <w:rFonts w:ascii="仿宋" w:hAnsi="仿宋"/>
                <w:bCs/>
                <w:sz w:val="24"/>
                <w:szCs w:val="24"/>
              </w:rPr>
            </w:pPr>
            <w:r>
              <w:rPr>
                <w:rFonts w:hint="eastAsia" w:ascii="仿宋" w:hAnsi="仿宋"/>
                <w:bCs/>
                <w:sz w:val="24"/>
                <w:szCs w:val="24"/>
              </w:rPr>
              <w:t>验收项目</w:t>
            </w:r>
          </w:p>
        </w:tc>
        <w:tc>
          <w:tcPr>
            <w:tcW w:w="5349" w:type="dxa"/>
            <w:vAlign w:val="center"/>
          </w:tcPr>
          <w:p w14:paraId="00D67C03">
            <w:pPr>
              <w:spacing w:line="240" w:lineRule="auto"/>
              <w:ind w:firstLine="0" w:firstLineChars="0"/>
              <w:jc w:val="center"/>
              <w:rPr>
                <w:rFonts w:ascii="仿宋" w:hAnsi="仿宋"/>
                <w:bCs/>
                <w:sz w:val="24"/>
                <w:szCs w:val="24"/>
              </w:rPr>
            </w:pPr>
            <w:r>
              <w:rPr>
                <w:rFonts w:hint="eastAsia" w:ascii="仿宋" w:hAnsi="仿宋"/>
                <w:bCs/>
                <w:sz w:val="24"/>
                <w:szCs w:val="24"/>
              </w:rPr>
              <w:t>验收标准</w:t>
            </w:r>
          </w:p>
        </w:tc>
      </w:tr>
      <w:tr w14:paraId="67B13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74D242F">
            <w:pPr>
              <w:spacing w:line="240" w:lineRule="auto"/>
              <w:ind w:firstLine="0" w:firstLineChars="0"/>
              <w:jc w:val="center"/>
              <w:rPr>
                <w:rFonts w:ascii="仿宋" w:hAnsi="仿宋"/>
                <w:sz w:val="24"/>
                <w:szCs w:val="24"/>
              </w:rPr>
            </w:pPr>
            <w:r>
              <w:rPr>
                <w:rFonts w:ascii="仿宋" w:hAnsi="仿宋"/>
                <w:sz w:val="24"/>
                <w:szCs w:val="24"/>
              </w:rPr>
              <w:t>1</w:t>
            </w:r>
          </w:p>
        </w:tc>
        <w:tc>
          <w:tcPr>
            <w:tcW w:w="2731" w:type="dxa"/>
            <w:vAlign w:val="center"/>
          </w:tcPr>
          <w:p w14:paraId="157216E3">
            <w:pPr>
              <w:spacing w:line="240" w:lineRule="auto"/>
              <w:ind w:firstLine="0" w:firstLineChars="0"/>
              <w:jc w:val="center"/>
              <w:rPr>
                <w:rFonts w:ascii="仿宋" w:hAnsi="仿宋"/>
                <w:sz w:val="24"/>
                <w:szCs w:val="24"/>
              </w:rPr>
            </w:pPr>
            <w:r>
              <w:rPr>
                <w:rFonts w:hint="eastAsia" w:ascii="仿宋" w:hAnsi="仿宋"/>
                <w:sz w:val="24"/>
                <w:szCs w:val="24"/>
              </w:rPr>
              <w:t>塔身垂直度</w:t>
            </w:r>
          </w:p>
        </w:tc>
        <w:tc>
          <w:tcPr>
            <w:tcW w:w="5349" w:type="dxa"/>
            <w:vAlign w:val="center"/>
          </w:tcPr>
          <w:p w14:paraId="54E4C6F3">
            <w:pPr>
              <w:spacing w:line="240" w:lineRule="auto"/>
              <w:ind w:firstLine="0" w:firstLineChars="0"/>
              <w:jc w:val="center"/>
              <w:rPr>
                <w:rFonts w:ascii="仿宋" w:hAnsi="仿宋"/>
                <w:sz w:val="24"/>
                <w:szCs w:val="24"/>
              </w:rPr>
            </w:pPr>
            <w:r>
              <w:rPr>
                <w:rFonts w:hint="eastAsia" w:ascii="仿宋" w:hAnsi="仿宋"/>
                <w:sz w:val="24"/>
                <w:szCs w:val="24"/>
              </w:rPr>
              <w:t>独立高度≤</w:t>
            </w:r>
            <w:r>
              <w:rPr>
                <w:rFonts w:ascii="仿宋" w:hAnsi="仿宋"/>
                <w:sz w:val="24"/>
                <w:szCs w:val="24"/>
              </w:rPr>
              <w:t>4</w:t>
            </w:r>
            <w:r>
              <w:rPr>
                <w:rFonts w:hint="eastAsia" w:ascii="仿宋" w:hAnsi="仿宋"/>
                <w:sz w:val="24"/>
                <w:szCs w:val="24"/>
              </w:rPr>
              <w:t>‰</w:t>
            </w:r>
          </w:p>
        </w:tc>
      </w:tr>
      <w:tr w14:paraId="7830B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3F93948">
            <w:pPr>
              <w:spacing w:line="240" w:lineRule="auto"/>
              <w:ind w:firstLine="0" w:firstLineChars="0"/>
              <w:jc w:val="center"/>
              <w:rPr>
                <w:rFonts w:ascii="仿宋" w:hAnsi="仿宋"/>
                <w:sz w:val="24"/>
                <w:szCs w:val="24"/>
              </w:rPr>
            </w:pPr>
            <w:r>
              <w:rPr>
                <w:rFonts w:ascii="仿宋" w:hAnsi="仿宋"/>
                <w:sz w:val="24"/>
                <w:szCs w:val="24"/>
              </w:rPr>
              <w:t>2</w:t>
            </w:r>
          </w:p>
        </w:tc>
        <w:tc>
          <w:tcPr>
            <w:tcW w:w="2731" w:type="dxa"/>
            <w:vAlign w:val="center"/>
          </w:tcPr>
          <w:p w14:paraId="5B172F55">
            <w:pPr>
              <w:spacing w:line="240" w:lineRule="auto"/>
              <w:ind w:firstLine="0" w:firstLineChars="0"/>
              <w:jc w:val="center"/>
              <w:rPr>
                <w:rFonts w:ascii="仿宋" w:hAnsi="仿宋"/>
                <w:sz w:val="24"/>
                <w:szCs w:val="24"/>
              </w:rPr>
            </w:pPr>
            <w:r>
              <w:rPr>
                <w:rFonts w:hint="eastAsia" w:ascii="仿宋" w:hAnsi="仿宋"/>
                <w:sz w:val="24"/>
                <w:szCs w:val="24"/>
              </w:rPr>
              <w:t>结构件</w:t>
            </w:r>
          </w:p>
        </w:tc>
        <w:tc>
          <w:tcPr>
            <w:tcW w:w="5349" w:type="dxa"/>
            <w:vAlign w:val="center"/>
          </w:tcPr>
          <w:p w14:paraId="237FC837">
            <w:pPr>
              <w:spacing w:line="240" w:lineRule="auto"/>
              <w:ind w:firstLine="0" w:firstLineChars="0"/>
              <w:jc w:val="center"/>
              <w:rPr>
                <w:rFonts w:ascii="仿宋" w:hAnsi="仿宋"/>
                <w:sz w:val="24"/>
                <w:szCs w:val="24"/>
              </w:rPr>
            </w:pPr>
            <w:r>
              <w:rPr>
                <w:rFonts w:hint="eastAsia" w:ascii="仿宋" w:hAnsi="仿宋"/>
                <w:sz w:val="24"/>
                <w:szCs w:val="24"/>
              </w:rPr>
              <w:t>无扭曲、变形、裂纹和严重锈蚀</w:t>
            </w:r>
          </w:p>
        </w:tc>
      </w:tr>
      <w:tr w14:paraId="28D67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F97FFD7">
            <w:pPr>
              <w:spacing w:line="240" w:lineRule="auto"/>
              <w:ind w:firstLine="0" w:firstLineChars="0"/>
              <w:jc w:val="center"/>
              <w:rPr>
                <w:rFonts w:ascii="仿宋" w:hAnsi="仿宋"/>
                <w:sz w:val="24"/>
                <w:szCs w:val="24"/>
              </w:rPr>
            </w:pPr>
            <w:r>
              <w:rPr>
                <w:rFonts w:ascii="仿宋" w:hAnsi="仿宋"/>
                <w:sz w:val="24"/>
                <w:szCs w:val="24"/>
              </w:rPr>
              <w:t>3</w:t>
            </w:r>
          </w:p>
        </w:tc>
        <w:tc>
          <w:tcPr>
            <w:tcW w:w="2731" w:type="dxa"/>
            <w:vAlign w:val="center"/>
          </w:tcPr>
          <w:p w14:paraId="053ECEB9">
            <w:pPr>
              <w:spacing w:line="240" w:lineRule="auto"/>
              <w:ind w:firstLine="0" w:firstLineChars="0"/>
              <w:jc w:val="center"/>
              <w:rPr>
                <w:rFonts w:ascii="仿宋" w:hAnsi="仿宋"/>
                <w:sz w:val="24"/>
                <w:szCs w:val="24"/>
              </w:rPr>
            </w:pPr>
            <w:r>
              <w:rPr>
                <w:rFonts w:hint="eastAsia" w:ascii="仿宋" w:hAnsi="仿宋"/>
                <w:sz w:val="24"/>
                <w:szCs w:val="24"/>
              </w:rPr>
              <w:t>连接件、紧固件</w:t>
            </w:r>
          </w:p>
        </w:tc>
        <w:tc>
          <w:tcPr>
            <w:tcW w:w="5349" w:type="dxa"/>
            <w:vAlign w:val="center"/>
          </w:tcPr>
          <w:p w14:paraId="558D4D2C">
            <w:pPr>
              <w:spacing w:line="240" w:lineRule="auto"/>
              <w:ind w:firstLine="0" w:firstLineChars="0"/>
              <w:jc w:val="center"/>
              <w:rPr>
                <w:rFonts w:ascii="仿宋" w:hAnsi="仿宋"/>
                <w:sz w:val="24"/>
                <w:szCs w:val="24"/>
              </w:rPr>
            </w:pPr>
            <w:r>
              <w:rPr>
                <w:rFonts w:hint="eastAsia" w:ascii="仿宋" w:hAnsi="仿宋"/>
                <w:sz w:val="24"/>
                <w:szCs w:val="24"/>
              </w:rPr>
              <w:t>销轴齐全到位，有可靠轴向止动，正确使用开口销。螺栓连接齐全、坚固牢靠，均有防松措施，高强螺栓按要求预紧，螺栓高于螺母</w:t>
            </w:r>
            <w:r>
              <w:rPr>
                <w:rFonts w:ascii="仿宋" w:hAnsi="仿宋"/>
                <w:sz w:val="24"/>
                <w:szCs w:val="24"/>
              </w:rPr>
              <w:t>0-3</w:t>
            </w:r>
            <w:r>
              <w:rPr>
                <w:rFonts w:hint="eastAsia" w:ascii="仿宋" w:hAnsi="仿宋"/>
                <w:sz w:val="24"/>
                <w:szCs w:val="24"/>
              </w:rPr>
              <w:t>扣</w:t>
            </w:r>
          </w:p>
        </w:tc>
      </w:tr>
      <w:tr w14:paraId="27F9C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60C03F8">
            <w:pPr>
              <w:spacing w:line="240" w:lineRule="auto"/>
              <w:ind w:firstLine="0" w:firstLineChars="0"/>
              <w:jc w:val="center"/>
              <w:rPr>
                <w:rFonts w:ascii="仿宋" w:hAnsi="仿宋"/>
                <w:sz w:val="24"/>
                <w:szCs w:val="24"/>
              </w:rPr>
            </w:pPr>
            <w:r>
              <w:rPr>
                <w:rFonts w:ascii="仿宋" w:hAnsi="仿宋"/>
                <w:sz w:val="24"/>
                <w:szCs w:val="24"/>
              </w:rPr>
              <w:t>4</w:t>
            </w:r>
          </w:p>
        </w:tc>
        <w:tc>
          <w:tcPr>
            <w:tcW w:w="2731" w:type="dxa"/>
            <w:vAlign w:val="center"/>
          </w:tcPr>
          <w:p w14:paraId="56011D68">
            <w:pPr>
              <w:spacing w:line="240" w:lineRule="auto"/>
              <w:ind w:firstLine="0" w:firstLineChars="0"/>
              <w:jc w:val="center"/>
              <w:rPr>
                <w:rFonts w:ascii="仿宋" w:hAnsi="仿宋"/>
                <w:sz w:val="24"/>
                <w:szCs w:val="24"/>
              </w:rPr>
            </w:pPr>
            <w:r>
              <w:rPr>
                <w:rFonts w:hint="eastAsia" w:ascii="仿宋" w:hAnsi="仿宋"/>
                <w:sz w:val="24"/>
                <w:szCs w:val="24"/>
              </w:rPr>
              <w:t>配重</w:t>
            </w:r>
          </w:p>
        </w:tc>
        <w:tc>
          <w:tcPr>
            <w:tcW w:w="5349" w:type="dxa"/>
            <w:vAlign w:val="center"/>
          </w:tcPr>
          <w:p w14:paraId="03D1F03B">
            <w:pPr>
              <w:spacing w:line="240" w:lineRule="auto"/>
              <w:ind w:firstLine="0" w:firstLineChars="0"/>
              <w:jc w:val="center"/>
              <w:rPr>
                <w:rFonts w:ascii="仿宋" w:hAnsi="仿宋"/>
                <w:sz w:val="24"/>
                <w:szCs w:val="24"/>
              </w:rPr>
            </w:pPr>
            <w:r>
              <w:rPr>
                <w:rFonts w:hint="eastAsia" w:ascii="仿宋" w:hAnsi="仿宋"/>
                <w:sz w:val="24"/>
                <w:szCs w:val="24"/>
              </w:rPr>
              <w:t>按规定堆放、固定连接正确可靠、重量符合设计要求</w:t>
            </w:r>
          </w:p>
        </w:tc>
      </w:tr>
      <w:tr w14:paraId="47A89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510D0F6">
            <w:pPr>
              <w:spacing w:line="240" w:lineRule="auto"/>
              <w:ind w:firstLine="0" w:firstLineChars="0"/>
              <w:jc w:val="center"/>
              <w:rPr>
                <w:rFonts w:ascii="仿宋" w:hAnsi="仿宋"/>
                <w:sz w:val="24"/>
                <w:szCs w:val="24"/>
              </w:rPr>
            </w:pPr>
            <w:r>
              <w:rPr>
                <w:rFonts w:ascii="仿宋" w:hAnsi="仿宋"/>
                <w:sz w:val="24"/>
                <w:szCs w:val="24"/>
              </w:rPr>
              <w:t>5</w:t>
            </w:r>
          </w:p>
        </w:tc>
        <w:tc>
          <w:tcPr>
            <w:tcW w:w="2731" w:type="dxa"/>
            <w:vAlign w:val="center"/>
          </w:tcPr>
          <w:p w14:paraId="612D37FE">
            <w:pPr>
              <w:spacing w:line="240" w:lineRule="auto"/>
              <w:ind w:firstLine="0" w:firstLineChars="0"/>
              <w:jc w:val="center"/>
              <w:rPr>
                <w:rFonts w:ascii="仿宋" w:hAnsi="仿宋"/>
                <w:sz w:val="24"/>
                <w:szCs w:val="24"/>
              </w:rPr>
            </w:pPr>
            <w:r>
              <w:rPr>
                <w:rFonts w:hint="eastAsia" w:ascii="仿宋" w:hAnsi="仿宋"/>
                <w:sz w:val="24"/>
                <w:szCs w:val="24"/>
              </w:rPr>
              <w:t>钢丝绳及其固结</w:t>
            </w:r>
          </w:p>
        </w:tc>
        <w:tc>
          <w:tcPr>
            <w:tcW w:w="5349" w:type="dxa"/>
            <w:vAlign w:val="center"/>
          </w:tcPr>
          <w:p w14:paraId="1ECA082E">
            <w:pPr>
              <w:spacing w:line="240" w:lineRule="auto"/>
              <w:ind w:firstLine="0" w:firstLineChars="0"/>
              <w:jc w:val="center"/>
              <w:rPr>
                <w:rFonts w:ascii="仿宋" w:hAnsi="仿宋"/>
                <w:sz w:val="24"/>
                <w:szCs w:val="24"/>
              </w:rPr>
            </w:pPr>
            <w:r>
              <w:rPr>
                <w:rFonts w:hint="eastAsia" w:ascii="仿宋" w:hAnsi="仿宋"/>
                <w:sz w:val="24"/>
                <w:szCs w:val="24"/>
              </w:rPr>
              <w:t>无严重损伤、变形、固结合理，符合</w:t>
            </w:r>
            <w:r>
              <w:rPr>
                <w:rFonts w:ascii="仿宋" w:hAnsi="仿宋"/>
                <w:sz w:val="24"/>
                <w:szCs w:val="24"/>
              </w:rPr>
              <w:t>JGJ33-2001</w:t>
            </w:r>
            <w:r>
              <w:rPr>
                <w:rFonts w:hint="eastAsia" w:ascii="仿宋" w:hAnsi="仿宋"/>
                <w:sz w:val="24"/>
                <w:szCs w:val="24"/>
              </w:rPr>
              <w:t>、</w:t>
            </w:r>
            <w:r>
              <w:rPr>
                <w:rFonts w:ascii="仿宋" w:hAnsi="仿宋"/>
                <w:sz w:val="24"/>
                <w:szCs w:val="24"/>
              </w:rPr>
              <w:t>GB5972-86</w:t>
            </w:r>
            <w:r>
              <w:rPr>
                <w:rFonts w:hint="eastAsia" w:ascii="仿宋" w:hAnsi="仿宋"/>
                <w:sz w:val="24"/>
                <w:szCs w:val="24"/>
              </w:rPr>
              <w:t>有关要求</w:t>
            </w:r>
          </w:p>
        </w:tc>
      </w:tr>
      <w:tr w14:paraId="142E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ADC6E7A">
            <w:pPr>
              <w:spacing w:line="240" w:lineRule="auto"/>
              <w:ind w:firstLine="0" w:firstLineChars="0"/>
              <w:jc w:val="center"/>
              <w:rPr>
                <w:rFonts w:ascii="仿宋" w:hAnsi="仿宋"/>
                <w:sz w:val="24"/>
                <w:szCs w:val="24"/>
              </w:rPr>
            </w:pPr>
            <w:r>
              <w:rPr>
                <w:rFonts w:ascii="仿宋" w:hAnsi="仿宋"/>
                <w:sz w:val="24"/>
                <w:szCs w:val="24"/>
              </w:rPr>
              <w:t>6</w:t>
            </w:r>
          </w:p>
        </w:tc>
        <w:tc>
          <w:tcPr>
            <w:tcW w:w="2731" w:type="dxa"/>
            <w:vAlign w:val="center"/>
          </w:tcPr>
          <w:p w14:paraId="6586FC0F">
            <w:pPr>
              <w:spacing w:line="240" w:lineRule="auto"/>
              <w:ind w:firstLine="0" w:firstLineChars="0"/>
              <w:jc w:val="center"/>
              <w:rPr>
                <w:rFonts w:ascii="仿宋" w:hAnsi="仿宋"/>
                <w:sz w:val="24"/>
                <w:szCs w:val="24"/>
              </w:rPr>
            </w:pPr>
            <w:r>
              <w:rPr>
                <w:rFonts w:hint="eastAsia" w:ascii="仿宋" w:hAnsi="仿宋"/>
                <w:sz w:val="24"/>
                <w:szCs w:val="24"/>
              </w:rPr>
              <w:t>钢丝绳绳端的固定及安装情况</w:t>
            </w:r>
          </w:p>
        </w:tc>
        <w:tc>
          <w:tcPr>
            <w:tcW w:w="5349" w:type="dxa"/>
            <w:vAlign w:val="center"/>
          </w:tcPr>
          <w:p w14:paraId="0680BF11">
            <w:pPr>
              <w:spacing w:line="240" w:lineRule="auto"/>
              <w:ind w:firstLine="0" w:firstLineChars="0"/>
              <w:jc w:val="center"/>
              <w:rPr>
                <w:rFonts w:ascii="仿宋" w:hAnsi="仿宋"/>
                <w:sz w:val="24"/>
                <w:szCs w:val="24"/>
              </w:rPr>
            </w:pPr>
            <w:r>
              <w:rPr>
                <w:rFonts w:hint="eastAsia" w:ascii="仿宋" w:hAnsi="仿宋"/>
                <w:sz w:val="24"/>
                <w:szCs w:val="24"/>
              </w:rPr>
              <w:t>固定应牢固，在卷筒、滑轮中的缠绕方向应．正确</w:t>
            </w:r>
          </w:p>
        </w:tc>
      </w:tr>
      <w:tr w14:paraId="478D3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DB2405D">
            <w:pPr>
              <w:spacing w:line="240" w:lineRule="auto"/>
              <w:ind w:firstLine="0" w:firstLineChars="0"/>
              <w:jc w:val="center"/>
              <w:rPr>
                <w:rFonts w:ascii="仿宋" w:hAnsi="仿宋"/>
                <w:sz w:val="24"/>
                <w:szCs w:val="24"/>
              </w:rPr>
            </w:pPr>
            <w:r>
              <w:rPr>
                <w:rFonts w:ascii="仿宋" w:hAnsi="仿宋"/>
                <w:sz w:val="24"/>
                <w:szCs w:val="24"/>
              </w:rPr>
              <w:t>7</w:t>
            </w:r>
          </w:p>
        </w:tc>
        <w:tc>
          <w:tcPr>
            <w:tcW w:w="2731" w:type="dxa"/>
            <w:vAlign w:val="center"/>
          </w:tcPr>
          <w:p w14:paraId="1A5C0BCD">
            <w:pPr>
              <w:spacing w:line="240" w:lineRule="auto"/>
              <w:ind w:firstLine="0" w:firstLineChars="0"/>
              <w:jc w:val="center"/>
              <w:rPr>
                <w:rFonts w:ascii="仿宋" w:hAnsi="仿宋"/>
                <w:sz w:val="24"/>
                <w:szCs w:val="24"/>
              </w:rPr>
            </w:pPr>
            <w:r>
              <w:rPr>
                <w:rFonts w:hint="eastAsia" w:ascii="仿宋" w:hAnsi="仿宋"/>
                <w:sz w:val="24"/>
                <w:szCs w:val="24"/>
              </w:rPr>
              <w:t>吊钩</w:t>
            </w:r>
          </w:p>
        </w:tc>
        <w:tc>
          <w:tcPr>
            <w:tcW w:w="5349" w:type="dxa"/>
            <w:vAlign w:val="center"/>
          </w:tcPr>
          <w:p w14:paraId="583D6D0C">
            <w:pPr>
              <w:spacing w:line="240" w:lineRule="auto"/>
              <w:ind w:firstLine="0" w:firstLineChars="0"/>
              <w:jc w:val="center"/>
              <w:rPr>
                <w:rFonts w:ascii="仿宋" w:hAnsi="仿宋"/>
                <w:sz w:val="24"/>
                <w:szCs w:val="24"/>
              </w:rPr>
            </w:pPr>
            <w:r>
              <w:rPr>
                <w:rFonts w:hint="eastAsia" w:ascii="仿宋" w:hAnsi="仿宋"/>
                <w:sz w:val="24"/>
                <w:szCs w:val="24"/>
              </w:rPr>
              <w:t>防脱钩装置完好。表面无破口、孔穴、裂纹、凹陷等，不得补焊，挂绳处断面磨损小于高度</w:t>
            </w:r>
            <w:r>
              <w:rPr>
                <w:rFonts w:ascii="仿宋" w:hAnsi="仿宋"/>
                <w:sz w:val="24"/>
                <w:szCs w:val="24"/>
              </w:rPr>
              <w:t>10%</w:t>
            </w:r>
            <w:r>
              <w:rPr>
                <w:rFonts w:hint="eastAsia" w:ascii="仿宋" w:hAnsi="仿宋"/>
                <w:sz w:val="24"/>
                <w:szCs w:val="24"/>
              </w:rPr>
              <w:t>，无永久变形。</w:t>
            </w:r>
          </w:p>
        </w:tc>
      </w:tr>
      <w:tr w14:paraId="781BB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003819C">
            <w:pPr>
              <w:spacing w:line="240" w:lineRule="auto"/>
              <w:ind w:firstLine="0" w:firstLineChars="0"/>
              <w:jc w:val="center"/>
              <w:rPr>
                <w:rFonts w:ascii="仿宋" w:hAnsi="仿宋"/>
                <w:sz w:val="24"/>
                <w:szCs w:val="24"/>
              </w:rPr>
            </w:pPr>
            <w:r>
              <w:rPr>
                <w:rFonts w:ascii="仿宋" w:hAnsi="仿宋"/>
                <w:sz w:val="24"/>
                <w:szCs w:val="24"/>
              </w:rPr>
              <w:t>8</w:t>
            </w:r>
          </w:p>
        </w:tc>
        <w:tc>
          <w:tcPr>
            <w:tcW w:w="2731" w:type="dxa"/>
            <w:vAlign w:val="center"/>
          </w:tcPr>
          <w:p w14:paraId="718FF005">
            <w:pPr>
              <w:spacing w:line="240" w:lineRule="auto"/>
              <w:ind w:firstLine="0" w:firstLineChars="0"/>
              <w:jc w:val="center"/>
              <w:rPr>
                <w:rFonts w:ascii="仿宋" w:hAnsi="仿宋"/>
                <w:sz w:val="24"/>
                <w:szCs w:val="24"/>
              </w:rPr>
            </w:pPr>
            <w:r>
              <w:rPr>
                <w:rFonts w:hint="eastAsia" w:ascii="仿宋" w:hAnsi="仿宋"/>
                <w:sz w:val="24"/>
                <w:szCs w:val="24"/>
              </w:rPr>
              <w:t>吊装钢丝绳、卡环、吊具</w:t>
            </w:r>
          </w:p>
        </w:tc>
        <w:tc>
          <w:tcPr>
            <w:tcW w:w="5349" w:type="dxa"/>
            <w:vAlign w:val="center"/>
          </w:tcPr>
          <w:p w14:paraId="39F7F26B">
            <w:pPr>
              <w:spacing w:line="240" w:lineRule="auto"/>
              <w:ind w:firstLine="0" w:firstLineChars="0"/>
              <w:jc w:val="center"/>
              <w:rPr>
                <w:rFonts w:ascii="仿宋" w:hAnsi="仿宋"/>
                <w:sz w:val="24"/>
                <w:szCs w:val="24"/>
              </w:rPr>
            </w:pPr>
            <w:r>
              <w:rPr>
                <w:rFonts w:hint="eastAsia" w:ascii="仿宋" w:hAnsi="仿宋"/>
                <w:sz w:val="24"/>
                <w:szCs w:val="24"/>
              </w:rPr>
              <w:t>钢丝绳、卡环符合国标要求、吊具无开焊和变形</w:t>
            </w:r>
          </w:p>
        </w:tc>
      </w:tr>
      <w:tr w14:paraId="7484D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B3ECE2C">
            <w:pPr>
              <w:spacing w:line="240" w:lineRule="auto"/>
              <w:ind w:firstLine="0" w:firstLineChars="0"/>
              <w:jc w:val="center"/>
              <w:rPr>
                <w:rFonts w:ascii="仿宋" w:hAnsi="仿宋"/>
                <w:sz w:val="24"/>
                <w:szCs w:val="24"/>
              </w:rPr>
            </w:pPr>
            <w:r>
              <w:rPr>
                <w:rFonts w:ascii="仿宋" w:hAnsi="仿宋"/>
                <w:sz w:val="24"/>
                <w:szCs w:val="24"/>
              </w:rPr>
              <w:t>9</w:t>
            </w:r>
          </w:p>
        </w:tc>
        <w:tc>
          <w:tcPr>
            <w:tcW w:w="2731" w:type="dxa"/>
            <w:vAlign w:val="center"/>
          </w:tcPr>
          <w:p w14:paraId="1378443B">
            <w:pPr>
              <w:spacing w:line="240" w:lineRule="auto"/>
              <w:ind w:firstLine="0" w:firstLineChars="0"/>
              <w:jc w:val="center"/>
              <w:rPr>
                <w:rFonts w:ascii="仿宋" w:hAnsi="仿宋"/>
                <w:sz w:val="24"/>
                <w:szCs w:val="24"/>
              </w:rPr>
            </w:pPr>
            <w:r>
              <w:rPr>
                <w:rFonts w:hint="eastAsia" w:ascii="仿宋" w:hAnsi="仿宋"/>
                <w:sz w:val="24"/>
                <w:szCs w:val="24"/>
              </w:rPr>
              <w:t>各工作机构、各保护装置、润滑系统及液压系统等的安装、注油情况</w:t>
            </w:r>
          </w:p>
        </w:tc>
        <w:tc>
          <w:tcPr>
            <w:tcW w:w="5349" w:type="dxa"/>
            <w:vAlign w:val="center"/>
          </w:tcPr>
          <w:p w14:paraId="07DE4189">
            <w:pPr>
              <w:spacing w:line="240" w:lineRule="auto"/>
              <w:ind w:firstLine="0" w:firstLineChars="0"/>
              <w:jc w:val="center"/>
              <w:rPr>
                <w:rFonts w:ascii="仿宋" w:hAnsi="仿宋"/>
                <w:sz w:val="24"/>
                <w:szCs w:val="24"/>
              </w:rPr>
            </w:pPr>
            <w:r>
              <w:rPr>
                <w:rFonts w:hint="eastAsia" w:ascii="仿宋" w:hAnsi="仿宋"/>
                <w:sz w:val="24"/>
                <w:szCs w:val="24"/>
              </w:rPr>
              <w:t>满足图纸及设计要求</w:t>
            </w:r>
          </w:p>
        </w:tc>
      </w:tr>
      <w:tr w14:paraId="3287C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83D70FD">
            <w:pPr>
              <w:spacing w:line="240" w:lineRule="auto"/>
              <w:ind w:firstLine="0" w:firstLineChars="0"/>
              <w:jc w:val="center"/>
              <w:rPr>
                <w:rFonts w:ascii="仿宋" w:hAnsi="仿宋"/>
                <w:sz w:val="24"/>
                <w:szCs w:val="24"/>
              </w:rPr>
            </w:pPr>
            <w:r>
              <w:rPr>
                <w:rFonts w:ascii="仿宋" w:hAnsi="仿宋"/>
                <w:sz w:val="24"/>
                <w:szCs w:val="24"/>
              </w:rPr>
              <w:t>10</w:t>
            </w:r>
          </w:p>
        </w:tc>
        <w:tc>
          <w:tcPr>
            <w:tcW w:w="2731" w:type="dxa"/>
            <w:vAlign w:val="center"/>
          </w:tcPr>
          <w:p w14:paraId="5824753F">
            <w:pPr>
              <w:spacing w:line="240" w:lineRule="auto"/>
              <w:ind w:firstLine="0" w:firstLineChars="0"/>
              <w:jc w:val="center"/>
              <w:rPr>
                <w:rFonts w:ascii="仿宋" w:hAnsi="仿宋"/>
                <w:sz w:val="24"/>
                <w:szCs w:val="24"/>
              </w:rPr>
            </w:pPr>
            <w:r>
              <w:rPr>
                <w:rFonts w:hint="eastAsia" w:ascii="仿宋" w:hAnsi="仿宋"/>
                <w:sz w:val="24"/>
                <w:szCs w:val="24"/>
              </w:rPr>
              <w:t>电缆、电气元件、变压器及各电机的接线是否正确，接头是否有松动现象，接地是否良好</w:t>
            </w:r>
          </w:p>
        </w:tc>
        <w:tc>
          <w:tcPr>
            <w:tcW w:w="5349" w:type="dxa"/>
            <w:vAlign w:val="center"/>
          </w:tcPr>
          <w:p w14:paraId="09B2DBD7">
            <w:pPr>
              <w:spacing w:line="240" w:lineRule="auto"/>
              <w:ind w:firstLine="0" w:firstLineChars="0"/>
              <w:jc w:val="center"/>
              <w:rPr>
                <w:rFonts w:ascii="仿宋" w:hAnsi="仿宋"/>
                <w:sz w:val="24"/>
                <w:szCs w:val="24"/>
              </w:rPr>
            </w:pPr>
            <w:r>
              <w:rPr>
                <w:rFonts w:hint="eastAsia" w:ascii="仿宋" w:hAnsi="仿宋"/>
                <w:sz w:val="24"/>
                <w:szCs w:val="24"/>
              </w:rPr>
              <w:t>各接线位置接触良好，接线正确，接头无松动，接地良好，接地电阻小于</w:t>
            </w:r>
            <w:r>
              <w:rPr>
                <w:rFonts w:ascii="仿宋" w:hAnsi="仿宋"/>
                <w:sz w:val="24"/>
                <w:szCs w:val="24"/>
              </w:rPr>
              <w:t>4</w:t>
            </w:r>
            <w:r>
              <w:rPr>
                <w:rFonts w:hint="eastAsia" w:ascii="仿宋" w:hAnsi="仿宋"/>
                <w:sz w:val="24"/>
                <w:szCs w:val="24"/>
              </w:rPr>
              <w:t>Ω。</w:t>
            </w:r>
          </w:p>
          <w:p w14:paraId="2DA87470">
            <w:pPr>
              <w:spacing w:line="240" w:lineRule="auto"/>
              <w:ind w:firstLine="0" w:firstLineChars="0"/>
              <w:jc w:val="center"/>
              <w:rPr>
                <w:rFonts w:ascii="仿宋" w:hAnsi="仿宋"/>
                <w:sz w:val="24"/>
                <w:szCs w:val="24"/>
              </w:rPr>
            </w:pPr>
          </w:p>
        </w:tc>
      </w:tr>
      <w:tr w14:paraId="51DF6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D39E1D5">
            <w:pPr>
              <w:spacing w:line="240" w:lineRule="auto"/>
              <w:ind w:firstLine="0" w:firstLineChars="0"/>
              <w:jc w:val="center"/>
              <w:rPr>
                <w:rFonts w:ascii="仿宋" w:hAnsi="仿宋"/>
                <w:sz w:val="24"/>
                <w:szCs w:val="24"/>
              </w:rPr>
            </w:pPr>
            <w:r>
              <w:rPr>
                <w:rFonts w:ascii="仿宋" w:hAnsi="仿宋"/>
                <w:sz w:val="24"/>
                <w:szCs w:val="24"/>
              </w:rPr>
              <w:t>11</w:t>
            </w:r>
          </w:p>
        </w:tc>
        <w:tc>
          <w:tcPr>
            <w:tcW w:w="2731" w:type="dxa"/>
            <w:vAlign w:val="center"/>
          </w:tcPr>
          <w:p w14:paraId="509957E2">
            <w:pPr>
              <w:spacing w:line="240" w:lineRule="auto"/>
              <w:ind w:firstLine="0" w:firstLineChars="0"/>
              <w:jc w:val="center"/>
              <w:rPr>
                <w:rFonts w:ascii="仿宋" w:hAnsi="仿宋"/>
                <w:sz w:val="24"/>
                <w:szCs w:val="24"/>
              </w:rPr>
            </w:pPr>
            <w:r>
              <w:rPr>
                <w:rFonts w:hint="eastAsia" w:ascii="仿宋" w:hAnsi="仿宋"/>
                <w:sz w:val="24"/>
                <w:szCs w:val="24"/>
              </w:rPr>
              <w:t>各机构电机转向是否正确</w:t>
            </w:r>
          </w:p>
        </w:tc>
        <w:tc>
          <w:tcPr>
            <w:tcW w:w="5349" w:type="dxa"/>
            <w:vAlign w:val="center"/>
          </w:tcPr>
          <w:p w14:paraId="25CD5916">
            <w:pPr>
              <w:spacing w:line="240" w:lineRule="auto"/>
              <w:ind w:firstLine="0" w:firstLineChars="0"/>
              <w:jc w:val="center"/>
              <w:rPr>
                <w:rFonts w:ascii="仿宋" w:hAnsi="仿宋"/>
                <w:sz w:val="24"/>
                <w:szCs w:val="24"/>
              </w:rPr>
            </w:pPr>
            <w:r>
              <w:rPr>
                <w:rFonts w:hint="eastAsia" w:ascii="仿宋" w:hAnsi="仿宋"/>
                <w:sz w:val="24"/>
                <w:szCs w:val="24"/>
              </w:rPr>
              <w:t>转向正确</w:t>
            </w:r>
          </w:p>
        </w:tc>
      </w:tr>
      <w:tr w14:paraId="66EA2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3A38423">
            <w:pPr>
              <w:spacing w:line="240" w:lineRule="auto"/>
              <w:ind w:firstLine="0" w:firstLineChars="0"/>
              <w:jc w:val="center"/>
              <w:rPr>
                <w:rFonts w:ascii="仿宋" w:hAnsi="仿宋"/>
                <w:sz w:val="24"/>
                <w:szCs w:val="24"/>
              </w:rPr>
            </w:pPr>
            <w:r>
              <w:rPr>
                <w:rFonts w:ascii="仿宋" w:hAnsi="仿宋"/>
                <w:sz w:val="24"/>
                <w:szCs w:val="24"/>
              </w:rPr>
              <w:t>12</w:t>
            </w:r>
          </w:p>
        </w:tc>
        <w:tc>
          <w:tcPr>
            <w:tcW w:w="2731" w:type="dxa"/>
            <w:vAlign w:val="center"/>
          </w:tcPr>
          <w:p w14:paraId="3310D2EF">
            <w:pPr>
              <w:spacing w:line="240" w:lineRule="auto"/>
              <w:ind w:firstLine="0" w:firstLineChars="0"/>
              <w:jc w:val="center"/>
              <w:rPr>
                <w:rFonts w:ascii="仿宋" w:hAnsi="仿宋"/>
                <w:sz w:val="24"/>
                <w:szCs w:val="24"/>
              </w:rPr>
            </w:pPr>
            <w:r>
              <w:rPr>
                <w:rFonts w:hint="eastAsia" w:ascii="仿宋" w:hAnsi="仿宋"/>
                <w:sz w:val="24"/>
                <w:szCs w:val="24"/>
              </w:rPr>
              <w:t>作业环境</w:t>
            </w:r>
          </w:p>
        </w:tc>
        <w:tc>
          <w:tcPr>
            <w:tcW w:w="5349" w:type="dxa"/>
            <w:vAlign w:val="center"/>
          </w:tcPr>
          <w:p w14:paraId="2778F8B6">
            <w:pPr>
              <w:spacing w:line="240" w:lineRule="auto"/>
              <w:ind w:firstLine="0" w:firstLineChars="0"/>
              <w:jc w:val="center"/>
              <w:rPr>
                <w:rFonts w:ascii="仿宋" w:hAnsi="仿宋"/>
                <w:sz w:val="24"/>
                <w:szCs w:val="24"/>
              </w:rPr>
            </w:pPr>
            <w:r>
              <w:rPr>
                <w:rFonts w:hint="eastAsia" w:ascii="仿宋" w:hAnsi="仿宋"/>
                <w:sz w:val="24"/>
                <w:szCs w:val="24"/>
              </w:rPr>
              <w:t>周边无障碍物</w:t>
            </w:r>
          </w:p>
        </w:tc>
      </w:tr>
      <w:tr w14:paraId="77216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401E7E72">
            <w:pPr>
              <w:spacing w:line="240" w:lineRule="auto"/>
              <w:ind w:firstLine="0" w:firstLineChars="0"/>
              <w:jc w:val="center"/>
              <w:rPr>
                <w:rFonts w:ascii="仿宋" w:hAnsi="仿宋"/>
                <w:sz w:val="24"/>
                <w:szCs w:val="24"/>
              </w:rPr>
            </w:pPr>
            <w:r>
              <w:rPr>
                <w:rFonts w:ascii="仿宋" w:hAnsi="仿宋"/>
                <w:sz w:val="24"/>
                <w:szCs w:val="24"/>
              </w:rPr>
              <w:t>13</w:t>
            </w:r>
          </w:p>
        </w:tc>
        <w:tc>
          <w:tcPr>
            <w:tcW w:w="2731" w:type="dxa"/>
            <w:vMerge w:val="restart"/>
            <w:vAlign w:val="center"/>
          </w:tcPr>
          <w:p w14:paraId="6CE5BDDE">
            <w:pPr>
              <w:spacing w:line="240" w:lineRule="auto"/>
              <w:ind w:firstLine="0" w:firstLineChars="0"/>
              <w:jc w:val="center"/>
              <w:rPr>
                <w:rFonts w:ascii="仿宋" w:hAnsi="仿宋"/>
                <w:sz w:val="24"/>
                <w:szCs w:val="24"/>
              </w:rPr>
            </w:pPr>
            <w:r>
              <w:rPr>
                <w:rFonts w:hint="eastAsia" w:ascii="仿宋" w:hAnsi="仿宋"/>
                <w:sz w:val="24"/>
                <w:szCs w:val="24"/>
              </w:rPr>
              <w:t>各机构制动轮安装情况</w:t>
            </w:r>
          </w:p>
        </w:tc>
        <w:tc>
          <w:tcPr>
            <w:tcW w:w="5349" w:type="dxa"/>
            <w:vAlign w:val="center"/>
          </w:tcPr>
          <w:p w14:paraId="44B1E16A">
            <w:pPr>
              <w:spacing w:line="240" w:lineRule="auto"/>
              <w:ind w:firstLine="0" w:firstLineChars="0"/>
              <w:jc w:val="center"/>
              <w:rPr>
                <w:rFonts w:ascii="仿宋" w:hAnsi="仿宋"/>
                <w:sz w:val="24"/>
                <w:szCs w:val="24"/>
              </w:rPr>
            </w:pPr>
            <w:r>
              <w:rPr>
                <w:rFonts w:hint="eastAsia" w:ascii="仿宋" w:hAnsi="仿宋"/>
                <w:sz w:val="24"/>
                <w:szCs w:val="24"/>
              </w:rPr>
              <w:t>打开有间隙．无摩擦</w:t>
            </w:r>
          </w:p>
        </w:tc>
      </w:tr>
      <w:tr w14:paraId="393EB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5822750F">
            <w:pPr>
              <w:spacing w:line="240" w:lineRule="auto"/>
              <w:ind w:firstLine="0" w:firstLineChars="0"/>
              <w:jc w:val="center"/>
              <w:rPr>
                <w:rFonts w:ascii="仿宋" w:hAnsi="仿宋"/>
                <w:sz w:val="24"/>
                <w:szCs w:val="24"/>
              </w:rPr>
            </w:pPr>
          </w:p>
        </w:tc>
        <w:tc>
          <w:tcPr>
            <w:tcW w:w="2731" w:type="dxa"/>
            <w:vMerge w:val="continue"/>
            <w:vAlign w:val="center"/>
          </w:tcPr>
          <w:p w14:paraId="3CF19917">
            <w:pPr>
              <w:spacing w:line="240" w:lineRule="auto"/>
              <w:ind w:firstLine="0" w:firstLineChars="0"/>
              <w:jc w:val="center"/>
              <w:rPr>
                <w:rFonts w:ascii="仿宋" w:hAnsi="仿宋"/>
                <w:sz w:val="24"/>
                <w:szCs w:val="24"/>
              </w:rPr>
            </w:pPr>
          </w:p>
        </w:tc>
        <w:tc>
          <w:tcPr>
            <w:tcW w:w="5349" w:type="dxa"/>
            <w:vAlign w:val="center"/>
          </w:tcPr>
          <w:p w14:paraId="1B8ADCA0">
            <w:pPr>
              <w:spacing w:line="240" w:lineRule="auto"/>
              <w:ind w:firstLine="0" w:firstLineChars="0"/>
              <w:jc w:val="center"/>
              <w:rPr>
                <w:rFonts w:ascii="仿宋" w:hAnsi="仿宋"/>
                <w:sz w:val="24"/>
                <w:szCs w:val="24"/>
              </w:rPr>
            </w:pPr>
            <w:r>
              <w:rPr>
                <w:rFonts w:hint="eastAsia" w:ascii="仿宋" w:hAnsi="仿宋"/>
                <w:sz w:val="24"/>
                <w:szCs w:val="24"/>
              </w:rPr>
              <w:t>制动接触面积≥</w:t>
            </w:r>
            <w:r>
              <w:rPr>
                <w:rFonts w:ascii="仿宋" w:hAnsi="仿宋"/>
                <w:sz w:val="24"/>
                <w:szCs w:val="24"/>
              </w:rPr>
              <w:t>70%</w:t>
            </w:r>
          </w:p>
        </w:tc>
      </w:tr>
    </w:tbl>
    <w:p w14:paraId="35A80BCD">
      <w:pPr>
        <w:ind w:firstLine="560"/>
      </w:pPr>
      <w:r>
        <w:rPr>
          <w:rFonts w:hint="eastAsia"/>
        </w:rPr>
        <w:t>2、验收</w:t>
      </w:r>
      <w:r>
        <w:t>程序流程</w:t>
      </w:r>
    </w:p>
    <w:p w14:paraId="0AD99536">
      <w:pPr>
        <w:ind w:firstLine="560"/>
      </w:pPr>
      <w:r>
        <w:rPr>
          <w:rFonts w:hint="eastAsia"/>
        </w:rPr>
        <w:t>调试完成后，将塔机的各种资料（包括出厂合格证、第三方检验证明、各部件安装验收记录、配重块强度报告、垂直度测量报告、接地电阻测量报告等）整理汇总，以备查验。</w:t>
      </w:r>
    </w:p>
    <w:p w14:paraId="583DF502">
      <w:pPr>
        <w:ind w:firstLine="560"/>
      </w:pPr>
      <w:r>
        <w:rPr>
          <w:rFonts w:hint="eastAsia"/>
        </w:rPr>
        <w:t>塔吊安装完毕各项技术指标自检查符合相关要求后通知机械部、安质部、其他业主相关部门等现场验收。</w:t>
      </w:r>
    </w:p>
    <w:p w14:paraId="5BED3700">
      <w:pPr>
        <w:ind w:firstLine="560"/>
      </w:pPr>
      <w:r>
        <w:rPr>
          <w:rFonts w:hint="eastAsia"/>
        </w:rPr>
        <w:t>内部自检合格后，报市级以上特种设备</w:t>
      </w:r>
      <w:r>
        <w:fldChar w:fldCharType="begin"/>
      </w:r>
      <w:r>
        <w:instrText xml:space="preserve"> HYPERLINK "http://www.sei.sd.cn/Init!linklist.action" \t "_blank" </w:instrText>
      </w:r>
      <w:r>
        <w:fldChar w:fldCharType="separate"/>
      </w:r>
      <w:r>
        <w:rPr>
          <w:rFonts w:hint="eastAsia"/>
        </w:rPr>
        <w:t>检验研究院</w:t>
      </w:r>
      <w:r>
        <w:rPr>
          <w:rFonts w:hint="eastAsia"/>
        </w:rPr>
        <w:fldChar w:fldCharType="end"/>
      </w:r>
      <w:r>
        <w:rPr>
          <w:rFonts w:hint="eastAsia"/>
        </w:rPr>
        <w:t>前来验收，验收合格后方可投入运营。</w:t>
      </w:r>
    </w:p>
    <w:p w14:paraId="3663DCB5">
      <w:pPr>
        <w:ind w:left="560" w:firstLine="0" w:firstLineChars="0"/>
      </w:pPr>
      <w:r>
        <w:rPr>
          <w:rFonts w:hint="eastAsia"/>
        </w:rPr>
        <w:t>3、</w:t>
      </w:r>
      <w:r>
        <w:t>验收人员</w:t>
      </w:r>
    </w:p>
    <w:p w14:paraId="3016E033">
      <w:pPr>
        <w:ind w:firstLine="560"/>
      </w:pPr>
      <w:r>
        <w:t>塔机安装后,</w:t>
      </w:r>
      <w:r>
        <w:rPr>
          <w:rFonts w:hint="eastAsia"/>
        </w:rPr>
        <w:t>应由</w:t>
      </w:r>
      <w:r>
        <w:t>使用单位应通知安装单位组织有关人员进行性能载荷等自检验收</w:t>
      </w:r>
      <w:r>
        <w:rPr>
          <w:rFonts w:hint="eastAsia"/>
        </w:rPr>
        <w:t>，</w:t>
      </w:r>
      <w:r>
        <w:t>验收合格双方签字盖章后方可投入使用。使用单位并将自检验收情况连同资料报当地安检部门申请检测。</w:t>
      </w:r>
      <w:r>
        <w:rPr>
          <w:rFonts w:hint="eastAsia"/>
        </w:rPr>
        <w:t>验收人员应包括使用单位及项目部机械部、现场负责人、安质部等相关人员。安装单位人员应包括塔机安装负责人、技术员、安全员、安拆施工队长等相关人员。</w:t>
      </w:r>
    </w:p>
    <w:p w14:paraId="78A3D333">
      <w:pPr>
        <w:ind w:firstLine="560"/>
      </w:pPr>
      <w:bookmarkStart w:id="510" w:name="_Toc7041"/>
      <w:bookmarkStart w:id="511" w:name="_Toc6210"/>
      <w:bookmarkStart w:id="512" w:name="_Toc7928"/>
      <w:bookmarkStart w:id="513" w:name="_Toc31559"/>
      <w:bookmarkStart w:id="514" w:name="_Toc11765"/>
    </w:p>
    <w:p w14:paraId="3FEA4117">
      <w:pPr>
        <w:ind w:firstLine="560"/>
      </w:pPr>
    </w:p>
    <w:p w14:paraId="18CFE90C">
      <w:pPr>
        <w:pStyle w:val="3"/>
      </w:pPr>
      <w:bookmarkStart w:id="515" w:name="_Toc25163"/>
      <w:r>
        <w:rPr>
          <w:rFonts w:hint="eastAsia"/>
        </w:rPr>
        <w:t>9.7塔机垂直度监控</w:t>
      </w:r>
      <w:bookmarkEnd w:id="510"/>
      <w:bookmarkEnd w:id="511"/>
      <w:bookmarkEnd w:id="512"/>
      <w:bookmarkEnd w:id="513"/>
      <w:bookmarkEnd w:id="514"/>
      <w:bookmarkEnd w:id="515"/>
    </w:p>
    <w:p w14:paraId="7B2C3517">
      <w:pPr>
        <w:ind w:firstLine="280" w:firstLineChars="100"/>
        <w:rPr>
          <w:color w:val="000000"/>
        </w:rPr>
      </w:pPr>
      <w:r>
        <w:rPr>
          <w:color w:val="000000"/>
        </w:rPr>
        <w:t>1.在空载状态下测量塔机垂直度；</w:t>
      </w:r>
    </w:p>
    <w:p w14:paraId="69FDBB59">
      <w:pPr>
        <w:ind w:firstLine="280" w:firstLineChars="100"/>
        <w:jc w:val="left"/>
        <w:rPr>
          <w:rFonts w:ascii="宋体" w:hAnsi="宋体" w:cs="宋体"/>
        </w:rPr>
      </w:pPr>
      <w:r>
        <w:rPr>
          <w:color w:val="000000"/>
        </w:rPr>
        <w:t>2.侧向垂直度臂架相对于塔身0°和90°时分别沿臂架方向测量，标尺贴靠在塔身结构中心的最低处和最高处，用经纬仪测量两处的值，要求误差≤4/1000；</w:t>
      </w:r>
    </w:p>
    <w:p w14:paraId="4609393F">
      <w:pPr>
        <w:ind w:firstLine="280" w:firstLineChars="100"/>
      </w:pPr>
      <w:r>
        <w:rPr>
          <w:color w:val="000000"/>
        </w:rPr>
        <w:t>3.应由项目部测量组专业人员使用经纬仪测量塔机垂直度，</w:t>
      </w:r>
      <w:r>
        <w:rPr>
          <w:rFonts w:hint="eastAsia"/>
          <w:color w:val="000000"/>
        </w:rPr>
        <w:t>两周一次测量塔机垂直度</w:t>
      </w:r>
      <w:r>
        <w:rPr>
          <w:color w:val="000000"/>
        </w:rPr>
        <w:t>，每次垂直度测量应测量三次取平均值。</w:t>
      </w:r>
    </w:p>
    <w:p w14:paraId="6AE5FFA6">
      <w:pPr>
        <w:pStyle w:val="2"/>
        <w:rPr>
          <w:color w:val="000000"/>
        </w:rPr>
      </w:pPr>
      <w:bookmarkStart w:id="516" w:name="_Toc7819"/>
      <w:bookmarkStart w:id="517" w:name="_Toc29256"/>
      <w:bookmarkStart w:id="518" w:name="_Toc4390"/>
      <w:bookmarkStart w:id="519" w:name="_Toc10605"/>
      <w:bookmarkStart w:id="520" w:name="_Toc21885"/>
      <w:bookmarkStart w:id="521" w:name="_Toc17547"/>
      <w:bookmarkStart w:id="522" w:name="_Toc29349"/>
      <w:r>
        <w:rPr>
          <w:rFonts w:hint="eastAsia"/>
          <w:color w:val="000000"/>
        </w:rPr>
        <w:t>第十章应急预案</w:t>
      </w:r>
      <w:bookmarkEnd w:id="503"/>
      <w:bookmarkEnd w:id="504"/>
      <w:bookmarkEnd w:id="505"/>
      <w:bookmarkEnd w:id="506"/>
      <w:bookmarkEnd w:id="507"/>
      <w:bookmarkEnd w:id="508"/>
      <w:bookmarkEnd w:id="516"/>
      <w:bookmarkEnd w:id="517"/>
      <w:bookmarkEnd w:id="518"/>
      <w:bookmarkEnd w:id="519"/>
      <w:bookmarkEnd w:id="520"/>
      <w:bookmarkEnd w:id="521"/>
      <w:bookmarkEnd w:id="522"/>
    </w:p>
    <w:p w14:paraId="3B24F340">
      <w:pPr>
        <w:pStyle w:val="3"/>
      </w:pPr>
      <w:bookmarkStart w:id="523" w:name="_Toc8242"/>
      <w:bookmarkStart w:id="524" w:name="_Toc1366"/>
      <w:bookmarkStart w:id="525" w:name="_Toc4217"/>
      <w:bookmarkStart w:id="526" w:name="_Toc12677"/>
      <w:bookmarkStart w:id="527" w:name="_Toc7471"/>
      <w:bookmarkStart w:id="528" w:name="_Toc8591"/>
      <w:bookmarkStart w:id="529" w:name="_Toc15655"/>
      <w:bookmarkStart w:id="530" w:name="_Toc32719"/>
      <w:bookmarkStart w:id="531" w:name="_Toc2633"/>
      <w:bookmarkStart w:id="532" w:name="_Toc22342"/>
      <w:bookmarkStart w:id="533" w:name="_Toc25418"/>
      <w:bookmarkStart w:id="534" w:name="_Toc32153"/>
      <w:bookmarkStart w:id="535" w:name="_Toc24686"/>
      <w:bookmarkStart w:id="536" w:name="_Toc28470"/>
      <w:bookmarkStart w:id="537" w:name="_Toc26730"/>
      <w:bookmarkStart w:id="538" w:name="_Toc19747"/>
      <w:bookmarkStart w:id="539" w:name="_Toc19108"/>
      <w:bookmarkStart w:id="540" w:name="_Toc5439"/>
      <w:bookmarkStart w:id="541" w:name="_Toc4508"/>
      <w:bookmarkStart w:id="542" w:name="_Toc2879"/>
      <w:bookmarkStart w:id="543" w:name="_Toc96868129"/>
      <w:bookmarkStart w:id="544" w:name="_Toc11961"/>
      <w:r>
        <w:rPr>
          <w:rFonts w:hint="eastAsia"/>
        </w:rPr>
        <w:t>10.</w:t>
      </w:r>
      <w:r>
        <w:t>1</w:t>
      </w:r>
      <w:bookmarkEnd w:id="523"/>
      <w:bookmarkEnd w:id="524"/>
      <w:bookmarkEnd w:id="525"/>
      <w:bookmarkEnd w:id="526"/>
      <w:bookmarkEnd w:id="527"/>
      <w:bookmarkEnd w:id="528"/>
      <w:bookmarkEnd w:id="529"/>
      <w:bookmarkEnd w:id="530"/>
      <w:bookmarkStart w:id="545" w:name="_Toc301216459"/>
      <w:r>
        <w:rPr>
          <w:rFonts w:hint="eastAsia"/>
        </w:rPr>
        <w:t>编制目的</w:t>
      </w:r>
      <w:bookmarkEnd w:id="531"/>
    </w:p>
    <w:p w14:paraId="33F085E0">
      <w:pPr>
        <w:ind w:firstLine="560"/>
      </w:pPr>
      <w:r>
        <w:rPr>
          <w:rFonts w:hint="eastAsia"/>
        </w:rPr>
        <w:t>塔吊安拆施工过程中，机械吊装等施工过程中需要严格按照操作规程施工，施工过程中存在很大的突然性和危险性，所以在施工前必须加强岗前学习培训，施工中采取正确的安全操作规程，并设立应急预案措施，尽可能降低安全事故的发生是编制本应急预案的目的。</w:t>
      </w:r>
    </w:p>
    <w:p w14:paraId="305D34CC">
      <w:pPr>
        <w:pStyle w:val="3"/>
        <w:rPr>
          <w:rFonts w:hint="eastAsia"/>
        </w:rPr>
      </w:pPr>
      <w:bookmarkStart w:id="546" w:name="_Toc5240"/>
      <w:r>
        <w:rPr>
          <w:rFonts w:hint="eastAsia"/>
        </w:rPr>
        <w:t>1</w:t>
      </w:r>
      <w:r>
        <w:t>0.2</w:t>
      </w:r>
      <w:r>
        <w:rPr>
          <w:rFonts w:hint="eastAsia"/>
        </w:rPr>
        <w:t>应急组织机构</w:t>
      </w:r>
      <w:bookmarkEnd w:id="546"/>
    </w:p>
    <w:p w14:paraId="02BF45D6">
      <w:pPr>
        <w:pStyle w:val="4"/>
        <w:rPr>
          <w:rFonts w:hint="eastAsia"/>
        </w:rPr>
      </w:pPr>
      <w:r>
        <w:rPr>
          <w:rFonts w:hint="eastAsia"/>
        </w:rPr>
        <w:t>1</w:t>
      </w:r>
      <w:r>
        <w:t>0.2.1</w:t>
      </w:r>
      <w:r>
        <w:rPr>
          <w:rFonts w:hint="eastAsia"/>
        </w:rPr>
        <w:t>组织机构</w:t>
      </w:r>
    </w:p>
    <w:p w14:paraId="7EE6E068">
      <w:pPr>
        <w:ind w:firstLine="560"/>
        <w:rPr>
          <w:rFonts w:hint="eastAsia"/>
        </w:rPr>
      </w:pPr>
      <w:r>
        <w:rPr>
          <w:rFonts w:hint="eastAsia"/>
        </w:rPr>
        <w:t>项目成立项目经理为组长的项目部生产安全应急领导小组，成员由项目部领导班子、各部门负责人、各分部相关负责人组成，人员构成如下：</w:t>
      </w:r>
    </w:p>
    <w:p w14:paraId="7A3BE26D">
      <w:pPr>
        <w:ind w:firstLine="560"/>
        <w:rPr>
          <w:rFonts w:hint="eastAsia"/>
        </w:rPr>
      </w:pPr>
      <w:r>
        <w:rPr>
          <w:rFonts w:hint="eastAsia"/>
        </w:rPr>
        <w:t>组  长：汪芳进</w:t>
      </w:r>
    </w:p>
    <w:p w14:paraId="666A6F0C">
      <w:pPr>
        <w:ind w:firstLine="560"/>
        <w:rPr>
          <w:rFonts w:hint="eastAsia"/>
        </w:rPr>
      </w:pPr>
      <w:r>
        <w:rPr>
          <w:rFonts w:hint="eastAsia"/>
        </w:rPr>
        <w:t>副组长：李  航、李方峰、杨文涛、潘胜平、饶培红</w:t>
      </w:r>
    </w:p>
    <w:p w14:paraId="1C331E84">
      <w:pPr>
        <w:ind w:firstLine="560"/>
        <w:rPr>
          <w:rFonts w:hint="eastAsia"/>
        </w:rPr>
      </w:pPr>
      <w:r>
        <w:rPr>
          <w:rFonts w:hint="eastAsia"/>
        </w:rPr>
        <w:t xml:space="preserve">成  员：赵  俊、周燕飞、张  晶、赵  小、崔全福、程生伟、潘全胜、陈彦龙、谢  浩、刘军波、郑  杰、杨登辉、朱新郑。 </w:t>
      </w:r>
    </w:p>
    <w:p w14:paraId="06CE6467">
      <w:pPr>
        <w:ind w:firstLine="560"/>
        <w:rPr>
          <w:rFonts w:hint="eastAsia"/>
        </w:rPr>
      </w:pPr>
      <w:r>
        <w:rPr>
          <w:rFonts w:hint="eastAsia"/>
        </w:rPr>
        <w:t>应急领导小组办公室设在安环部，办公室主任：赵俊，负责日常工作。应急领导小组办公室电话：18971601217。</w:t>
      </w:r>
    </w:p>
    <w:p w14:paraId="6C679587">
      <w:pPr>
        <w:pStyle w:val="3"/>
      </w:pPr>
      <w:bookmarkStart w:id="547" w:name="_Toc12175"/>
      <w:bookmarkStart w:id="548" w:name="_Toc301216458"/>
      <w:bookmarkStart w:id="549" w:name="_Toc836"/>
      <w:bookmarkStart w:id="550" w:name="_Toc31613"/>
      <w:bookmarkStart w:id="551" w:name="_Toc32494"/>
      <w:bookmarkStart w:id="552" w:name="_Toc21225"/>
      <w:bookmarkStart w:id="553" w:name="_Toc19378"/>
      <w:bookmarkStart w:id="554" w:name="_Toc3631"/>
      <w:bookmarkStart w:id="555" w:name="_Toc4579"/>
      <w:bookmarkStart w:id="556" w:name="_Toc16644"/>
      <w:r>
        <w:rPr>
          <w:rFonts w:hint="eastAsia"/>
        </w:rPr>
        <w:t>10.</w:t>
      </w:r>
      <w:r>
        <w:t>2紧急事故救援小组成员分工</w:t>
      </w:r>
      <w:bookmarkEnd w:id="547"/>
      <w:bookmarkEnd w:id="548"/>
      <w:bookmarkEnd w:id="549"/>
      <w:bookmarkEnd w:id="550"/>
      <w:bookmarkEnd w:id="551"/>
      <w:bookmarkEnd w:id="552"/>
      <w:bookmarkEnd w:id="553"/>
      <w:bookmarkEnd w:id="554"/>
      <w:bookmarkEnd w:id="555"/>
      <w:bookmarkEnd w:id="556"/>
    </w:p>
    <w:p w14:paraId="5CE04A90">
      <w:pPr>
        <w:ind w:firstLine="560"/>
        <w:rPr>
          <w:szCs w:val="24"/>
        </w:rPr>
      </w:pPr>
      <w:r>
        <w:rPr>
          <w:szCs w:val="24"/>
        </w:rPr>
        <w:t>组长及组员</w:t>
      </w:r>
      <w:r>
        <w:rPr>
          <w:rFonts w:hint="eastAsia"/>
          <w:szCs w:val="24"/>
        </w:rPr>
        <w:t>均</w:t>
      </w:r>
      <w:r>
        <w:rPr>
          <w:szCs w:val="24"/>
        </w:rPr>
        <w:t>为通讯组，负责在施工现场发生意外或紧急事故时，及时电话报救，组长为电话报救第一责任人；如其有事不在现场，</w:t>
      </w:r>
      <w:r>
        <w:rPr>
          <w:rFonts w:hint="eastAsia"/>
          <w:szCs w:val="24"/>
        </w:rPr>
        <w:t>副组长</w:t>
      </w:r>
      <w:r>
        <w:rPr>
          <w:szCs w:val="24"/>
        </w:rPr>
        <w:t>则为电话报救第一责任人，如此类推。</w:t>
      </w:r>
    </w:p>
    <w:p w14:paraId="23994D28">
      <w:pPr>
        <w:ind w:firstLine="560"/>
        <w:rPr>
          <w:szCs w:val="24"/>
        </w:rPr>
      </w:pPr>
      <w:r>
        <w:rPr>
          <w:szCs w:val="24"/>
        </w:rPr>
        <w:t>副组长为紧急抢救组，负责在救护车到达之前，对伤员开展自救，使伤员的伤势不至于进一步恶化。</w:t>
      </w:r>
    </w:p>
    <w:p w14:paraId="4B31BF03">
      <w:pPr>
        <w:ind w:firstLine="560"/>
        <w:rPr>
          <w:szCs w:val="24"/>
        </w:rPr>
      </w:pPr>
      <w:r>
        <w:rPr>
          <w:szCs w:val="24"/>
        </w:rPr>
        <w:t>紧急疏导组</w:t>
      </w:r>
      <w:r>
        <w:rPr>
          <w:rFonts w:hint="eastAsia"/>
          <w:szCs w:val="24"/>
        </w:rPr>
        <w:t>为分部成员</w:t>
      </w:r>
      <w:r>
        <w:rPr>
          <w:szCs w:val="24"/>
        </w:rPr>
        <w:t>，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4E79BADE">
      <w:pPr>
        <w:ind w:firstLine="560"/>
        <w:jc w:val="left"/>
        <w:rPr>
          <w:szCs w:val="24"/>
        </w:rPr>
      </w:pPr>
      <w:r>
        <w:rPr>
          <w:szCs w:val="24"/>
        </w:rPr>
        <w:t>紧急抢险组</w:t>
      </w:r>
      <w:r>
        <w:rPr>
          <w:rFonts w:hint="eastAsia"/>
          <w:szCs w:val="24"/>
        </w:rPr>
        <w:t>为项目部成员</w:t>
      </w:r>
      <w:r>
        <w:rPr>
          <w:szCs w:val="24"/>
        </w:rPr>
        <w:t>：应在副组长的负责下，对事故现场实施排险工作，提供紧急抢险物资、设备、应急照明。</w:t>
      </w:r>
    </w:p>
    <w:p w14:paraId="7853554C">
      <w:pPr>
        <w:pStyle w:val="3"/>
      </w:pPr>
      <w:bookmarkStart w:id="557" w:name="_Toc13940"/>
      <w:bookmarkStart w:id="558" w:name="_Toc26464"/>
      <w:bookmarkStart w:id="559" w:name="_Toc19798"/>
      <w:bookmarkStart w:id="560" w:name="_Toc18269"/>
      <w:bookmarkStart w:id="561" w:name="_Toc17677"/>
      <w:bookmarkStart w:id="562" w:name="_Toc23204"/>
      <w:bookmarkStart w:id="563" w:name="_Toc9737"/>
      <w:bookmarkStart w:id="564" w:name="_Toc27421"/>
      <w:bookmarkStart w:id="565" w:name="_Toc24261"/>
      <w:r>
        <w:rPr>
          <w:rFonts w:hint="eastAsia"/>
        </w:rPr>
        <w:t>10.</w:t>
      </w:r>
      <w:r>
        <w:t>3应急准备</w:t>
      </w:r>
      <w:bookmarkEnd w:id="545"/>
      <w:bookmarkEnd w:id="557"/>
      <w:bookmarkEnd w:id="558"/>
      <w:bookmarkEnd w:id="559"/>
      <w:bookmarkEnd w:id="560"/>
      <w:bookmarkEnd w:id="561"/>
      <w:bookmarkEnd w:id="562"/>
      <w:bookmarkEnd w:id="563"/>
      <w:bookmarkEnd w:id="564"/>
      <w:bookmarkEnd w:id="565"/>
    </w:p>
    <w:p w14:paraId="2FFC3C0C">
      <w:pPr>
        <w:ind w:firstLine="560"/>
        <w:rPr>
          <w:szCs w:val="24"/>
        </w:rPr>
      </w:pPr>
      <w:r>
        <w:rPr>
          <w:szCs w:val="24"/>
        </w:rPr>
        <w:t>（1）技术准备</w:t>
      </w:r>
    </w:p>
    <w:p w14:paraId="7A986083">
      <w:pPr>
        <w:ind w:firstLine="560"/>
        <w:rPr>
          <w:szCs w:val="24"/>
        </w:rPr>
      </w:pPr>
      <w:r>
        <w:rPr>
          <w:szCs w:val="24"/>
        </w:rPr>
        <w:t>根据本工程塔吊施工的全过程，针对各环节的每一步骤，按照安全生产技术规程和方案要求，对所有施工人员进行安全交底，要使全员对工作和安全注意事项心中有数。</w:t>
      </w:r>
    </w:p>
    <w:p w14:paraId="42BB7EB8">
      <w:pPr>
        <w:ind w:firstLine="560"/>
        <w:rPr>
          <w:szCs w:val="24"/>
        </w:rPr>
      </w:pPr>
      <w:r>
        <w:rPr>
          <w:szCs w:val="24"/>
        </w:rPr>
        <w:t>（2）物资准备</w:t>
      </w:r>
    </w:p>
    <w:p w14:paraId="2DF93FDF">
      <w:pPr>
        <w:ind w:firstLine="560"/>
        <w:rPr>
          <w:szCs w:val="24"/>
        </w:rPr>
      </w:pPr>
      <w:r>
        <w:rPr>
          <w:szCs w:val="24"/>
        </w:rPr>
        <w:t>对进场需使用的所有机械设备、机具必须按照国家、地区规定要求进行核定和检验，确保其牢固可靠、适用。</w:t>
      </w:r>
    </w:p>
    <w:p w14:paraId="4E141E7C">
      <w:pPr>
        <w:ind w:firstLine="560"/>
        <w:rPr>
          <w:szCs w:val="24"/>
        </w:rPr>
      </w:pPr>
      <w:r>
        <w:rPr>
          <w:szCs w:val="24"/>
        </w:rPr>
        <w:t>（3）防护设施准备</w:t>
      </w:r>
    </w:p>
    <w:p w14:paraId="74E25808">
      <w:pPr>
        <w:ind w:firstLine="560"/>
        <w:rPr>
          <w:szCs w:val="24"/>
        </w:rPr>
      </w:pPr>
      <w:r>
        <w:rPr>
          <w:szCs w:val="24"/>
        </w:rPr>
        <w:t>对施工工作范围危险区进行警戒、设警戒线、挂安全警示牌，并安排专人看护；对需动火的作业，充分准备好干粉灭火器备用；对于光线弱的情况，备全照明应急设备。</w:t>
      </w:r>
      <w:bookmarkStart w:id="566" w:name="_Toc301216460"/>
    </w:p>
    <w:p w14:paraId="2A5814B5">
      <w:pPr>
        <w:pStyle w:val="3"/>
      </w:pPr>
      <w:bookmarkStart w:id="567" w:name="_Toc8928"/>
      <w:bookmarkStart w:id="568" w:name="_Toc28477"/>
      <w:bookmarkStart w:id="569" w:name="_Toc15541"/>
      <w:bookmarkStart w:id="570" w:name="_Toc9255"/>
      <w:bookmarkStart w:id="571" w:name="_Toc27467"/>
      <w:bookmarkStart w:id="572" w:name="_Toc31255"/>
      <w:bookmarkStart w:id="573" w:name="_Toc12397"/>
      <w:bookmarkStart w:id="574" w:name="_Toc21049"/>
      <w:bookmarkStart w:id="575" w:name="_Toc19783"/>
      <w:r>
        <w:rPr>
          <w:rFonts w:hint="eastAsia"/>
        </w:rPr>
        <w:t>10.</w:t>
      </w:r>
      <w:r>
        <w:t>4施工现场的急救步骤</w:t>
      </w:r>
      <w:bookmarkEnd w:id="566"/>
      <w:bookmarkEnd w:id="567"/>
      <w:bookmarkEnd w:id="568"/>
      <w:bookmarkEnd w:id="569"/>
      <w:bookmarkEnd w:id="570"/>
      <w:bookmarkEnd w:id="571"/>
      <w:bookmarkEnd w:id="572"/>
      <w:bookmarkEnd w:id="573"/>
      <w:bookmarkEnd w:id="574"/>
      <w:bookmarkEnd w:id="575"/>
    </w:p>
    <w:p w14:paraId="101F2984">
      <w:pPr>
        <w:ind w:firstLine="560"/>
        <w:rPr>
          <w:szCs w:val="24"/>
        </w:rPr>
      </w:pPr>
      <w:r>
        <w:rPr>
          <w:szCs w:val="24"/>
        </w:rPr>
        <w:t>（1）电话报警</w:t>
      </w:r>
    </w:p>
    <w:p w14:paraId="1688648E">
      <w:pPr>
        <w:ind w:firstLine="560"/>
        <w:rPr>
          <w:szCs w:val="24"/>
        </w:rPr>
      </w:pPr>
      <w:r>
        <w:rPr>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09864686">
      <w:pPr>
        <w:ind w:firstLine="560"/>
        <w:rPr>
          <w:szCs w:val="24"/>
        </w:rPr>
      </w:pPr>
      <w:r>
        <w:rPr>
          <w:szCs w:val="24"/>
        </w:rPr>
        <w:t>（2）现场疏导、自救</w:t>
      </w:r>
    </w:p>
    <w:p w14:paraId="7F4C3939">
      <w:pPr>
        <w:ind w:firstLine="560"/>
        <w:rPr>
          <w:szCs w:val="24"/>
        </w:rPr>
      </w:pPr>
      <w:r>
        <w:rPr>
          <w:szCs w:val="24"/>
        </w:rPr>
        <w:t>在电话报救的同时，由各小组紧急就位，根据现场实际情况对伤员或财物进行救护，有次序地组织人员安全撤离，疏散群众，清理救护通道。</w:t>
      </w:r>
      <w:bookmarkStart w:id="576" w:name="_Toc301216461"/>
    </w:p>
    <w:p w14:paraId="2A3C48E7">
      <w:pPr>
        <w:pStyle w:val="3"/>
      </w:pPr>
      <w:bookmarkStart w:id="577" w:name="_Toc18184"/>
      <w:bookmarkStart w:id="578" w:name="_Toc12894"/>
      <w:bookmarkStart w:id="579" w:name="_Toc23718"/>
      <w:bookmarkStart w:id="580" w:name="_Toc30542"/>
      <w:bookmarkStart w:id="581" w:name="_Toc30118"/>
      <w:bookmarkStart w:id="582" w:name="_Toc31401"/>
      <w:bookmarkStart w:id="583" w:name="_Toc1649"/>
      <w:bookmarkStart w:id="584" w:name="_Toc24215"/>
      <w:bookmarkStart w:id="585" w:name="_Toc21665"/>
      <w:r>
        <w:rPr>
          <w:rFonts w:hint="eastAsia"/>
        </w:rPr>
        <w:t>10.</w:t>
      </w:r>
      <w:r>
        <w:t>5现场</w:t>
      </w:r>
      <w:bookmarkEnd w:id="576"/>
      <w:r>
        <w:t>预案及措施</w:t>
      </w:r>
      <w:bookmarkEnd w:id="577"/>
      <w:bookmarkEnd w:id="578"/>
      <w:bookmarkEnd w:id="579"/>
      <w:bookmarkEnd w:id="580"/>
      <w:bookmarkEnd w:id="581"/>
      <w:bookmarkEnd w:id="582"/>
      <w:bookmarkEnd w:id="583"/>
      <w:bookmarkEnd w:id="584"/>
      <w:bookmarkEnd w:id="585"/>
    </w:p>
    <w:p w14:paraId="65C58FDF">
      <w:pPr>
        <w:pStyle w:val="4"/>
        <w:rPr>
          <w:color w:val="000000"/>
        </w:rPr>
      </w:pPr>
      <w:bookmarkStart w:id="586" w:name="_Toc27599"/>
      <w:bookmarkStart w:id="587" w:name="_Toc32288"/>
      <w:bookmarkStart w:id="588" w:name="_Toc2793"/>
      <w:bookmarkStart w:id="589" w:name="_Toc20837"/>
      <w:r>
        <w:rPr>
          <w:rFonts w:hint="eastAsia"/>
          <w:color w:val="000000"/>
        </w:rPr>
        <w:t>10.</w:t>
      </w:r>
      <w:r>
        <w:rPr>
          <w:color w:val="000000"/>
        </w:rPr>
        <w:t>5.1 高空坠落应急处置措施</w:t>
      </w:r>
    </w:p>
    <w:p w14:paraId="672D4290">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4E5F855F">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418C7F67">
      <w:pPr>
        <w:ind w:firstLine="560"/>
      </w:pPr>
      <w:r>
        <w:t>3、掉到地面的，出事地点的20米范围要停止作业，迅速对现场进行警戒、疏散人员、维持秩序，并不得有无关人员围观，特别是要防止临边的其它作业人员的围观。</w:t>
      </w:r>
    </w:p>
    <w:p w14:paraId="46006FDA">
      <w:pPr>
        <w:ind w:firstLine="560"/>
      </w:pPr>
      <w:r>
        <w:t>4、如掉落地点抢救难度大，首先应转至平台上才方便进行救治，必须召集在现场医务人员和抢险抢救组一起确定转移方案。</w:t>
      </w:r>
    </w:p>
    <w:p w14:paraId="19CFEB72">
      <w:pPr>
        <w:pStyle w:val="4"/>
        <w:rPr>
          <w:color w:val="000000"/>
        </w:rPr>
      </w:pPr>
      <w:r>
        <w:rPr>
          <w:rFonts w:hint="eastAsia"/>
          <w:color w:val="000000"/>
        </w:rPr>
        <w:t>10.5</w:t>
      </w:r>
      <w:r>
        <w:rPr>
          <w:color w:val="000000"/>
        </w:rPr>
        <w:t>.2 起重吊装应急处置措施</w:t>
      </w:r>
    </w:p>
    <w:p w14:paraId="58882172">
      <w:pPr>
        <w:ind w:firstLine="560"/>
      </w:pPr>
      <w:r>
        <w:t>1、施工现场发生一般起重事故，无人员受伤，起重司机应保持冷静，立即停止起重作业，如重物悬空应在保证安全的情况下，落下重物，停掉电源，立即向上级汇报。</w:t>
      </w:r>
    </w:p>
    <w:p w14:paraId="7977F29E">
      <w:pPr>
        <w:ind w:firstLine="560"/>
      </w:pPr>
      <w:r>
        <w:t>2、在施工作业过程中一旦发生起重伤害事故，应立即组织救援工作，同时要采取有效措施防止事故进一步扩大，有效减少人员伤亡和财产损失。</w:t>
      </w:r>
    </w:p>
    <w:p w14:paraId="09A3A04C">
      <w:pPr>
        <w:ind w:firstLine="560"/>
      </w:pPr>
      <w:r>
        <w:t>3、现场指挥应根据事态，迅速调动人员、设备进行现场救援，并做好现场警戒工作，以防事态扩大，同时向上级汇报。</w:t>
      </w:r>
    </w:p>
    <w:p w14:paraId="654931B0">
      <w:pPr>
        <w:ind w:firstLine="560"/>
      </w:pPr>
      <w:r>
        <w:t>4、应急小组成员到达事故现场后，对较轻的受伤人员，视伤情及时进行止血、包扎、固定等措施，送往医院治疗，并组织人员封锁事故现场，做好警示标志，等待专业人员进行处理。</w:t>
      </w:r>
    </w:p>
    <w:p w14:paraId="440421FA">
      <w:pPr>
        <w:ind w:firstLine="560"/>
      </w:pPr>
      <w:r>
        <w:t>5、若受伤人员被压在重物下面，立即采取搬开重物或使用起重工具吊起重物等措施，将受伤人员转移到安全地带，进行抢救。</w:t>
      </w:r>
    </w:p>
    <w:p w14:paraId="6D98430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054FF06F">
      <w:pPr>
        <w:ind w:firstLine="560"/>
      </w:pPr>
      <w:r>
        <w:t>7、做好事故现场的清理和恢复工作，防止次生或滋生的事故。</w:t>
      </w:r>
    </w:p>
    <w:p w14:paraId="66C78F17">
      <w:pPr>
        <w:pStyle w:val="4"/>
        <w:rPr>
          <w:color w:val="000000"/>
        </w:rPr>
      </w:pPr>
      <w:r>
        <w:rPr>
          <w:rFonts w:hint="eastAsia"/>
          <w:color w:val="000000"/>
        </w:rPr>
        <w:t>10.5.3</w:t>
      </w:r>
      <w:r>
        <w:rPr>
          <w:color w:val="000000"/>
        </w:rPr>
        <w:t xml:space="preserve"> 坍塌应急处置措施</w:t>
      </w:r>
    </w:p>
    <w:p w14:paraId="10C94B1C">
      <w:pPr>
        <w:ind w:firstLine="560"/>
      </w:pPr>
      <w:r>
        <w:t>1、发生坍塌事故时，事故发现人员高声呼救，同时拨打或要求其他目击者拨打应急电话，向应急指挥小组报告事故的相关信息。</w:t>
      </w:r>
    </w:p>
    <w:p w14:paraId="15533E47">
      <w:pPr>
        <w:ind w:firstLine="560"/>
      </w:pPr>
      <w:r>
        <w:t>2、首先落实是否有人员和设备被掩埋，如果有人员设备被掩埋要判明被埋人员、设备的方位，迅速调集吊车等设备进行抢救。</w:t>
      </w:r>
    </w:p>
    <w:p w14:paraId="3588D9BF">
      <w:pPr>
        <w:ind w:firstLine="560"/>
      </w:pPr>
      <w:r>
        <w:t>3、紧急救援时，应先救被埋或被困在设备内的人员，尽快设法使其脱离危险。</w:t>
      </w:r>
    </w:p>
    <w:p w14:paraId="5E1657D1">
      <w:pPr>
        <w:ind w:firstLine="560"/>
      </w:pPr>
      <w:r>
        <w:t>4、若用电设备被埋，应设法先切断电源，然后进行救援。</w:t>
      </w:r>
    </w:p>
    <w:p w14:paraId="1A33C831">
      <w:pPr>
        <w:ind w:firstLine="560"/>
      </w:pPr>
      <w:r>
        <w:t>5、及时疏散人群，并在危险区域设置明显的标志。</w:t>
      </w:r>
    </w:p>
    <w:p w14:paraId="4F93BC6B">
      <w:pPr>
        <w:ind w:firstLine="560"/>
      </w:pPr>
      <w:r>
        <w:t>6、调离危险区域内与救援工作无关的设备，防止再次事故发生。</w:t>
      </w:r>
    </w:p>
    <w:p w14:paraId="7C6C184B">
      <w:pPr>
        <w:pStyle w:val="4"/>
        <w:rPr>
          <w:color w:val="000000"/>
        </w:rPr>
      </w:pPr>
      <w:r>
        <w:rPr>
          <w:rFonts w:hint="eastAsia"/>
          <w:color w:val="000000"/>
        </w:rPr>
        <w:t>10.</w:t>
      </w:r>
      <w:r>
        <w:rPr>
          <w:color w:val="000000"/>
        </w:rPr>
        <w:t>5.5 物体打击应急处置措施</w:t>
      </w:r>
    </w:p>
    <w:p w14:paraId="59ECF273">
      <w:pPr>
        <w:ind w:firstLine="560"/>
      </w:pPr>
      <w:r>
        <w:t>1、施工区发生物体打击事故，最早发现事故的人迅速向应急领导小组报告，进一步了解事故伤害程度。</w:t>
      </w:r>
    </w:p>
    <w:p w14:paraId="721E13B2">
      <w:pPr>
        <w:ind w:firstLine="560"/>
      </w:pPr>
      <w:r>
        <w:t>2、及时疏散现场闲杂人员，并保护事故现场，同时避免其他人员靠近现场。</w:t>
      </w:r>
    </w:p>
    <w:p w14:paraId="06E67F6A">
      <w:pPr>
        <w:ind w:firstLine="560"/>
      </w:pPr>
      <w:r>
        <w:t>3、急救员立即通知现场应急小组组长，说明伤者受伤情况，并根据现场实际施行必要的医疗处理，在伤情允许情况下，抢救组负责组织人员搬运受伤人员，转移到安全地方。</w:t>
      </w:r>
    </w:p>
    <w:p w14:paraId="53B2C0C6">
      <w:pPr>
        <w:ind w:firstLine="560"/>
      </w:pPr>
      <w:r>
        <w:t>4、由组长根据汇报，决定是否拨打120医疗急救电话，并说明伤员情况，行车路线，快速联系项目部值班车到场，随时待命。</w:t>
      </w:r>
    </w:p>
    <w:p w14:paraId="0B9A5FC6">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C58DB5D">
      <w:pPr>
        <w:pStyle w:val="4"/>
        <w:rPr>
          <w:color w:val="000000"/>
        </w:rPr>
      </w:pPr>
      <w:r>
        <w:rPr>
          <w:rFonts w:hint="eastAsia"/>
          <w:color w:val="000000"/>
        </w:rPr>
        <w:t>10.</w:t>
      </w:r>
      <w:r>
        <w:rPr>
          <w:color w:val="000000"/>
        </w:rPr>
        <w:t>5.</w:t>
      </w:r>
      <w:r>
        <w:rPr>
          <w:rFonts w:hint="eastAsia"/>
          <w:color w:val="000000"/>
        </w:rPr>
        <w:t>6</w:t>
      </w:r>
      <w:r>
        <w:rPr>
          <w:color w:val="000000"/>
        </w:rPr>
        <w:t xml:space="preserve"> 触电应急处置措施</w:t>
      </w:r>
    </w:p>
    <w:p w14:paraId="37E44D9C">
      <w:pPr>
        <w:ind w:firstLine="560"/>
      </w:pPr>
      <w:r>
        <w:t>1、如果触电地点附近有电源开关或电源插销，可立即拉开开关拨出插销，断开电源，但应注意平时检查，防止单线开关断零而未断电源。</w:t>
      </w:r>
    </w:p>
    <w:p w14:paraId="4C8236CF">
      <w:pPr>
        <w:ind w:firstLine="560"/>
      </w:pPr>
      <w:r>
        <w:t>2、如果触电者附近没有电源开关或插销，可由电工用绝缘钳或有干燥木柄的斧头、立即切断电缆、断开电源。或用干燥木板等，绝缘物插到触电者身下，以隔离电源。</w:t>
      </w:r>
    </w:p>
    <w:p w14:paraId="3A7D7492">
      <w:pPr>
        <w:ind w:firstLine="560"/>
      </w:pPr>
      <w:r>
        <w:t>3、当电线搭落在触电者身上或压在身下时，用干燥的衣服，手套，绳索，木板，木棒等绝缘物作为工具，拉开触电者或拉开电线，使触电者脱离电源。切忌徒手抢救触电者。</w:t>
      </w:r>
    </w:p>
    <w:p w14:paraId="79EDE8EA">
      <w:pPr>
        <w:ind w:firstLine="560"/>
      </w:pPr>
      <w:r>
        <w:t>4、发生触电事故时，现场突发事件应急组织立即赶赴现场，由负责人安排抢险人员按进行现场抢险，由医疗急救组对触电者进行救治。</w:t>
      </w:r>
    </w:p>
    <w:p w14:paraId="370D5E15">
      <w:pPr>
        <w:pStyle w:val="4"/>
        <w:rPr>
          <w:color w:val="000000"/>
        </w:rPr>
      </w:pPr>
      <w:r>
        <w:rPr>
          <w:rFonts w:hint="eastAsia"/>
          <w:color w:val="000000"/>
        </w:rPr>
        <w:t>10.</w:t>
      </w:r>
      <w:r>
        <w:rPr>
          <w:color w:val="000000"/>
        </w:rPr>
        <w:t>5.</w:t>
      </w:r>
      <w:r>
        <w:rPr>
          <w:rFonts w:hint="eastAsia"/>
          <w:color w:val="000000"/>
        </w:rPr>
        <w:t>7</w:t>
      </w:r>
      <w:r>
        <w:rPr>
          <w:color w:val="000000"/>
        </w:rPr>
        <w:t xml:space="preserve"> 车辆伤害应急处置措施</w:t>
      </w:r>
    </w:p>
    <w:p w14:paraId="16DF15E3">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0757592B">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3D0486D6">
      <w:pPr>
        <w:ind w:firstLine="560"/>
      </w:pPr>
      <w:r>
        <w:t>3、在救助行动中，救助人员应严格执行安全操作规程，配齐安全设施和防护工具，加强自我保护，确保抢救行动过程中的人身安全和财产安全。</w:t>
      </w:r>
    </w:p>
    <w:p w14:paraId="71B58CC4">
      <w:pPr>
        <w:ind w:firstLine="560"/>
      </w:pPr>
      <w:r>
        <w:t>4、车辆伤害事故发生后，采取车辆专业维修人员的一般救援措施，通过车辆专业维修人与对车辆的人工操作，完成救援活动。</w:t>
      </w:r>
    </w:p>
    <w:p w14:paraId="5CE630EA">
      <w:pPr>
        <w:pStyle w:val="4"/>
        <w:rPr>
          <w:color w:val="000000"/>
        </w:rPr>
      </w:pPr>
      <w:r>
        <w:rPr>
          <w:rFonts w:hint="eastAsia"/>
          <w:color w:val="000000"/>
        </w:rPr>
        <w:t>10.</w:t>
      </w:r>
      <w:r>
        <w:rPr>
          <w:color w:val="000000"/>
        </w:rPr>
        <w:t>5.</w:t>
      </w:r>
      <w:r>
        <w:rPr>
          <w:rFonts w:hint="eastAsia"/>
          <w:color w:val="000000"/>
        </w:rPr>
        <w:t>8</w:t>
      </w:r>
      <w:r>
        <w:rPr>
          <w:color w:val="000000"/>
        </w:rPr>
        <w:t>机械伤害应急处置措施</w:t>
      </w:r>
    </w:p>
    <w:p w14:paraId="05EF68A3">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4C8DF0B5">
      <w:pPr>
        <w:ind w:firstLine="560"/>
      </w:pPr>
      <w:r>
        <w:t>2、动用最快的交通工具或其他措施，及时把伤者送往邻近医院抢救，运送途中应尽量减少颠簸。</w:t>
      </w:r>
    </w:p>
    <w:p w14:paraId="7C583222">
      <w:pPr>
        <w:ind w:firstLine="560"/>
      </w:pPr>
      <w:r>
        <w:t>3、消除不安全因素，如机械处于危险状态，应立即采用措施进行稳定，防止事故扩大，避免更大的人身伤害及财产损失。</w:t>
      </w:r>
    </w:p>
    <w:p w14:paraId="5E882F25">
      <w:pPr>
        <w:ind w:firstLine="560"/>
      </w:pPr>
      <w:r>
        <w:t>4、在不影响安全的前提下，切断机器的电源。</w:t>
      </w:r>
    </w:p>
    <w:p w14:paraId="298594C1">
      <w:pPr>
        <w:ind w:firstLine="560"/>
      </w:pPr>
      <w:r>
        <w:t>5、注意保护现场，因抢救伤员和防止事故扩大，需要移动现场物件时，应做出标志，拍照，详细记录和绘制事故现场图。</w:t>
      </w:r>
    </w:p>
    <w:p w14:paraId="04A882B0">
      <w:pPr>
        <w:pStyle w:val="4"/>
        <w:rPr>
          <w:color w:val="000000"/>
        </w:rPr>
      </w:pPr>
      <w:r>
        <w:rPr>
          <w:rFonts w:hint="eastAsia"/>
          <w:color w:val="000000"/>
        </w:rPr>
        <w:t>10.</w:t>
      </w:r>
      <w:r>
        <w:rPr>
          <w:color w:val="000000"/>
        </w:rPr>
        <w:t>5.</w:t>
      </w:r>
      <w:r>
        <w:rPr>
          <w:rFonts w:hint="eastAsia"/>
          <w:color w:val="000000"/>
        </w:rPr>
        <w:t>9</w:t>
      </w:r>
      <w:r>
        <w:rPr>
          <w:color w:val="000000"/>
        </w:rPr>
        <w:t xml:space="preserve"> 火灾爆炸应急处置措施</w:t>
      </w:r>
    </w:p>
    <w:p w14:paraId="4FAA53DB">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545FE20F">
      <w:pPr>
        <w:ind w:firstLine="560"/>
      </w:pPr>
      <w:r>
        <w:t>2、现场人员断开着火区电源，现场安全负责人或班组长立即组织人员迅速展开初期火灾的扑救工作，切断易燃物输送源或迅速隔离易燃物等。</w:t>
      </w:r>
    </w:p>
    <w:p w14:paraId="7D7029B2">
      <w:pPr>
        <w:ind w:firstLine="560"/>
      </w:pPr>
      <w:r>
        <w:t>3、立即组织营救受害人员，组织撤离或者采取其他措施，保护危害区域的其他人，迅速控制危险火源。</w:t>
      </w:r>
    </w:p>
    <w:p w14:paraId="52FC801C">
      <w:pPr>
        <w:ind w:firstLine="560"/>
      </w:pPr>
      <w:r>
        <w:t>4、若衣服着火又不能及时扑灭时，应立即脱掉衣服，如来不及或无法脱掉应就地打滚，用身体压灭火种或就地用水灭火，切勿跑动。</w:t>
      </w:r>
    </w:p>
    <w:p w14:paraId="3BCB821F">
      <w:pPr>
        <w:ind w:firstLine="560"/>
      </w:pPr>
      <w:r>
        <w:t>5、发生爆炸事故时，现场负责人根据现场情况，立即致电“11</w:t>
      </w:r>
      <w:r>
        <w:rPr>
          <w:rFonts w:hint="eastAsia"/>
        </w:rPr>
        <w:t>0</w:t>
      </w:r>
      <w:r>
        <w:t>”和“120”急救中心，详细报告事发地址、人员伤害的情况和可能需要配合救援的设备。</w:t>
      </w:r>
    </w:p>
    <w:p w14:paraId="094BB1D6">
      <w:pPr>
        <w:ind w:firstLine="560"/>
      </w:pPr>
      <w:r>
        <w:t>6、根据爆炸后所产生的危险性，立即疏散人员和封锁事故现场。</w:t>
      </w:r>
    </w:p>
    <w:p w14:paraId="37F218AA">
      <w:pPr>
        <w:ind w:firstLine="560"/>
      </w:pPr>
      <w:r>
        <w:t>7、撤离爆炸现场附近的可燃物，避免火灾区域扩大。</w:t>
      </w:r>
    </w:p>
    <w:p w14:paraId="5DA8F4E4">
      <w:pPr>
        <w:ind w:firstLine="560"/>
      </w:pPr>
      <w:r>
        <w:t>8、做好事故现场的清理和恢复工作，防止次生或滋生的事故。</w:t>
      </w:r>
    </w:p>
    <w:p w14:paraId="35C7C571">
      <w:pPr>
        <w:pStyle w:val="4"/>
        <w:rPr>
          <w:color w:val="000000"/>
        </w:rPr>
      </w:pPr>
      <w:r>
        <w:rPr>
          <w:rFonts w:hint="eastAsia"/>
          <w:color w:val="000000"/>
        </w:rPr>
        <w:t>10.</w:t>
      </w:r>
      <w:r>
        <w:rPr>
          <w:color w:val="000000"/>
        </w:rPr>
        <w:t>5.10 恶劣天气应急处置措施</w:t>
      </w:r>
    </w:p>
    <w:p w14:paraId="4BEE4822">
      <w:pPr>
        <w:ind w:firstLine="560"/>
      </w:pPr>
      <w:r>
        <w:t>为保证施工机械、设备和人员的安全，确保现场施工能顺利进行，雷电雨</w:t>
      </w:r>
      <w:r>
        <w:rPr>
          <w:rFonts w:hint="eastAsia"/>
        </w:rPr>
        <w:t>台风</w:t>
      </w:r>
      <w:r>
        <w:t>天气应采取下列应急措施：</w:t>
      </w:r>
    </w:p>
    <w:p w14:paraId="0F521027">
      <w:pPr>
        <w:ind w:firstLine="560"/>
      </w:pPr>
      <w:r>
        <w:t>1、突遇恶劣雷电天气时，现场组织施工作业人员转移到安全区域。</w:t>
      </w:r>
    </w:p>
    <w:p w14:paraId="5A426CCD">
      <w:pPr>
        <w:ind w:firstLine="560"/>
      </w:pPr>
      <w:r>
        <w:t>2、注意观察是否出现雷电导致施工现场发生火灾、设备损坏和人员伤亡。</w:t>
      </w:r>
    </w:p>
    <w:p w14:paraId="4154DCFF">
      <w:pPr>
        <w:ind w:firstLine="560"/>
      </w:pPr>
      <w:r>
        <w:t>3、应注意各工点的施工情况，遇异常情况应及时向应急领导小组汇报。</w:t>
      </w:r>
    </w:p>
    <w:p w14:paraId="5DA97362">
      <w:pPr>
        <w:ind w:firstLine="560"/>
        <w:rPr>
          <w:rFonts w:hint="eastAsia" w:eastAsia="仿宋"/>
          <w:lang w:val="en-US" w:eastAsia="zh-CN"/>
        </w:rPr>
      </w:pPr>
      <w:r>
        <w:rPr>
          <w:rFonts w:hint="eastAsia"/>
          <w:lang w:val="en-US" w:eastAsia="zh-CN"/>
        </w:rPr>
        <w:t>4、恶劣天气或夜间严禁进行塔式起重机安拆或吊装作业</w:t>
      </w:r>
    </w:p>
    <w:p w14:paraId="6FAF0B62">
      <w:pPr>
        <w:pStyle w:val="3"/>
        <w:rPr>
          <w:lang w:val="zh-CN"/>
        </w:rPr>
      </w:pPr>
      <w:bookmarkStart w:id="590" w:name="_Toc10246"/>
      <w:bookmarkStart w:id="591" w:name="_Toc816"/>
      <w:bookmarkStart w:id="592" w:name="_Toc31662"/>
      <w:bookmarkStart w:id="593" w:name="_Toc17569"/>
      <w:bookmarkStart w:id="594" w:name="_Toc18473"/>
      <w:bookmarkStart w:id="595" w:name="_Toc19736"/>
      <w:bookmarkStart w:id="596" w:name="_Toc5166"/>
      <w:bookmarkStart w:id="597" w:name="_Toc1888"/>
      <w:r>
        <w:rPr>
          <w:rFonts w:hint="eastAsia"/>
        </w:rPr>
        <w:t>10.</w:t>
      </w:r>
      <w:r>
        <w:t>6</w:t>
      </w:r>
      <w:r>
        <w:rPr>
          <w:lang w:val="zh-CN"/>
        </w:rPr>
        <w:t>应急响应</w:t>
      </w:r>
      <w:bookmarkEnd w:id="586"/>
      <w:bookmarkEnd w:id="587"/>
      <w:bookmarkEnd w:id="588"/>
      <w:bookmarkEnd w:id="589"/>
      <w:bookmarkEnd w:id="590"/>
      <w:bookmarkEnd w:id="591"/>
      <w:bookmarkEnd w:id="592"/>
      <w:bookmarkEnd w:id="593"/>
      <w:bookmarkEnd w:id="594"/>
      <w:bookmarkEnd w:id="595"/>
      <w:bookmarkEnd w:id="596"/>
      <w:bookmarkEnd w:id="597"/>
    </w:p>
    <w:p w14:paraId="2954AC42">
      <w:pPr>
        <w:ind w:firstLine="560"/>
        <w:rPr>
          <w:szCs w:val="24"/>
          <w:lang w:val="zh-CN"/>
        </w:rPr>
      </w:pPr>
      <w:r>
        <w:rPr>
          <w:szCs w:val="24"/>
          <w:lang w:val="zh-CN"/>
        </w:rPr>
        <w:t>施工过程中施工现场或驻地发生无法预料的需要紧急抢救处理的危险时，应迅速逐级上报，次序为现场、办公室、抢险领导小组、上级主管部门。由项目部</w:t>
      </w:r>
      <w:r>
        <w:rPr>
          <w:rFonts w:hint="eastAsia"/>
          <w:szCs w:val="24"/>
          <w:lang w:val="zh-CN"/>
        </w:rPr>
        <w:t>安环</w:t>
      </w:r>
      <w:r>
        <w:rPr>
          <w:szCs w:val="24"/>
          <w:lang w:val="zh-CN"/>
        </w:rPr>
        <w:t>部收集、记录、整理紧急情况信息并向小组及时传递，由小组组长或副组长主持紧急情况处理会议，协调、派遣和统一指挥所有车辆、设备、人员、物资等实施紧急抢救和向上级汇报。</w:t>
      </w:r>
    </w:p>
    <w:p w14:paraId="30612AFB">
      <w:pPr>
        <w:spacing w:line="240" w:lineRule="auto"/>
        <w:ind w:firstLine="560"/>
        <w:jc w:val="center"/>
        <w:rPr>
          <w:szCs w:val="24"/>
          <w:lang w:val="zh-CN"/>
        </w:rPr>
      </w:pPr>
      <w:r>
        <w:drawing>
          <wp:inline distT="0" distB="0" distL="114300" distR="114300">
            <wp:extent cx="4418965" cy="3280410"/>
            <wp:effectExtent l="0" t="0" r="635" b="11430"/>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68"/>
                    <a:stretch>
                      <a:fillRect/>
                    </a:stretch>
                  </pic:blipFill>
                  <pic:spPr>
                    <a:xfrm>
                      <a:off x="0" y="0"/>
                      <a:ext cx="4418965" cy="3280410"/>
                    </a:xfrm>
                    <a:prstGeom prst="rect">
                      <a:avLst/>
                    </a:prstGeom>
                    <a:noFill/>
                    <a:ln>
                      <a:noFill/>
                    </a:ln>
                  </pic:spPr>
                </pic:pic>
              </a:graphicData>
            </a:graphic>
          </wp:inline>
        </w:drawing>
      </w:r>
    </w:p>
    <w:p w14:paraId="1ABAB235">
      <w:pPr>
        <w:ind w:firstLine="560"/>
        <w:rPr>
          <w:szCs w:val="24"/>
          <w:lang w:val="zh-CN"/>
        </w:rPr>
      </w:pPr>
      <w:r>
        <w:rPr>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075358A0">
      <w:pPr>
        <w:ind w:firstLine="560"/>
        <w:rPr>
          <w:szCs w:val="24"/>
          <w:lang w:val="zh-CN"/>
        </w:rPr>
      </w:pPr>
      <w:r>
        <w:rPr>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237B9C89">
      <w:pPr>
        <w:ind w:firstLine="560"/>
        <w:rPr>
          <w:szCs w:val="24"/>
          <w:lang w:val="zh-CN"/>
        </w:rPr>
      </w:pPr>
      <w:r>
        <w:rPr>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598" w:name="_Toc28668"/>
      <w:bookmarkStart w:id="599" w:name="_Toc11266"/>
      <w:bookmarkStart w:id="600" w:name="_Toc10402"/>
    </w:p>
    <w:p w14:paraId="58310644">
      <w:pPr>
        <w:pStyle w:val="3"/>
      </w:pPr>
      <w:bookmarkStart w:id="601" w:name="_Toc7514"/>
      <w:bookmarkStart w:id="602" w:name="_Toc12964"/>
      <w:bookmarkStart w:id="603" w:name="_Toc26436"/>
      <w:bookmarkStart w:id="604" w:name="_Toc4210"/>
      <w:bookmarkStart w:id="605" w:name="_Toc1391"/>
      <w:bookmarkStart w:id="606" w:name="_Toc8422"/>
      <w:bookmarkStart w:id="607" w:name="_Toc6213"/>
      <w:bookmarkStart w:id="608" w:name="_Toc28731"/>
      <w:bookmarkStart w:id="609" w:name="_Toc29083"/>
      <w:r>
        <w:rPr>
          <w:rFonts w:hint="eastAsia"/>
        </w:rPr>
        <w:t>10.7</w:t>
      </w:r>
      <w:r>
        <w:rPr>
          <w:lang w:val="zh-CN"/>
        </w:rPr>
        <w:t>应急电话</w:t>
      </w:r>
      <w:bookmarkEnd w:id="598"/>
      <w:bookmarkEnd w:id="599"/>
      <w:bookmarkEnd w:id="600"/>
      <w:bookmarkEnd w:id="601"/>
      <w:bookmarkEnd w:id="602"/>
      <w:bookmarkEnd w:id="603"/>
      <w:bookmarkEnd w:id="604"/>
      <w:bookmarkEnd w:id="605"/>
      <w:bookmarkEnd w:id="606"/>
      <w:bookmarkEnd w:id="607"/>
      <w:bookmarkEnd w:id="608"/>
      <w:bookmarkEnd w:id="609"/>
    </w:p>
    <w:p w14:paraId="6BCA3804">
      <w:pPr>
        <w:autoSpaceDE w:val="0"/>
        <w:autoSpaceDN w:val="0"/>
        <w:adjustRightInd w:val="0"/>
        <w:ind w:firstLine="560"/>
        <w:rPr>
          <w:szCs w:val="24"/>
          <w:lang w:val="zh-CN"/>
        </w:rPr>
      </w:pPr>
      <w:r>
        <w:rPr>
          <w:szCs w:val="24"/>
          <w:lang w:val="zh-CN"/>
        </w:rPr>
        <w:t>火警电话：11</w:t>
      </w:r>
      <w:r>
        <w:rPr>
          <w:rFonts w:hint="eastAsia"/>
          <w:szCs w:val="24"/>
        </w:rPr>
        <w:t>9</w:t>
      </w:r>
      <w:r>
        <w:rPr>
          <w:szCs w:val="24"/>
          <w:lang w:val="zh-CN"/>
        </w:rPr>
        <w:t xml:space="preserve"> 医疗救护：120</w:t>
      </w:r>
    </w:p>
    <w:p w14:paraId="47D3DF13">
      <w:pPr>
        <w:autoSpaceDE w:val="0"/>
        <w:autoSpaceDN w:val="0"/>
        <w:adjustRightInd w:val="0"/>
        <w:ind w:firstLine="560"/>
        <w:rPr>
          <w:lang w:val="zh-CN"/>
        </w:rPr>
      </w:pPr>
      <w:r>
        <w:rPr>
          <w:lang w:val="zh-CN"/>
        </w:rPr>
        <w:t>交通报警电话：122  匪警电话：110</w:t>
      </w:r>
    </w:p>
    <w:p w14:paraId="2621ABDA">
      <w:pPr>
        <w:pStyle w:val="11"/>
        <w:ind w:firstLine="560"/>
        <w:rPr>
          <w:rFonts w:hint="default" w:ascii="Times New Roman" w:hAnsi="Times New Roman"/>
          <w:szCs w:val="24"/>
          <w:lang w:val="zh-CN"/>
        </w:rPr>
      </w:pPr>
    </w:p>
    <w:p w14:paraId="74CA9CC3">
      <w:pPr>
        <w:ind w:firstLine="560"/>
        <w:rPr>
          <w:szCs w:val="24"/>
          <w:lang w:val="zh-CN"/>
        </w:rPr>
      </w:pPr>
    </w:p>
    <w:p w14:paraId="1BECEB7D">
      <w:pPr>
        <w:pStyle w:val="11"/>
        <w:ind w:firstLine="560"/>
        <w:rPr>
          <w:rFonts w:hint="default" w:ascii="Times New Roman" w:hAnsi="Times New Roman"/>
          <w:szCs w:val="24"/>
          <w:lang w:val="zh-CN"/>
        </w:rPr>
      </w:pPr>
    </w:p>
    <w:bookmarkEnd w:id="509"/>
    <w:bookmarkEnd w:id="532"/>
    <w:bookmarkEnd w:id="533"/>
    <w:bookmarkEnd w:id="534"/>
    <w:bookmarkEnd w:id="535"/>
    <w:bookmarkEnd w:id="536"/>
    <w:bookmarkEnd w:id="537"/>
    <w:bookmarkEnd w:id="538"/>
    <w:bookmarkEnd w:id="539"/>
    <w:bookmarkEnd w:id="540"/>
    <w:bookmarkEnd w:id="541"/>
    <w:bookmarkEnd w:id="542"/>
    <w:bookmarkEnd w:id="543"/>
    <w:bookmarkEnd w:id="544"/>
    <w:p w14:paraId="72F355CD">
      <w:pPr>
        <w:pStyle w:val="2"/>
        <w:rPr>
          <w:color w:val="000000"/>
        </w:rPr>
      </w:pPr>
      <w:bookmarkStart w:id="610" w:name="_Toc27141"/>
      <w:bookmarkStart w:id="611" w:name="_Toc25969"/>
      <w:bookmarkStart w:id="612" w:name="_Toc28751"/>
      <w:bookmarkStart w:id="613" w:name="_Toc7213"/>
      <w:bookmarkStart w:id="614" w:name="_Toc8268"/>
      <w:bookmarkStart w:id="615" w:name="_Toc24127"/>
      <w:r>
        <w:rPr>
          <w:rFonts w:hint="eastAsia"/>
          <w:color w:val="000000"/>
        </w:rPr>
        <w:t>第十一章附件</w:t>
      </w:r>
      <w:bookmarkEnd w:id="610"/>
      <w:bookmarkEnd w:id="611"/>
      <w:bookmarkEnd w:id="612"/>
      <w:bookmarkEnd w:id="613"/>
      <w:bookmarkEnd w:id="614"/>
      <w:bookmarkEnd w:id="615"/>
    </w:p>
    <w:p w14:paraId="7C2FA150">
      <w:pPr>
        <w:pStyle w:val="3"/>
      </w:pPr>
      <w:bookmarkStart w:id="616" w:name="_Toc21080"/>
      <w:bookmarkStart w:id="617" w:name="_Toc31819"/>
      <w:bookmarkStart w:id="618" w:name="_Toc22440"/>
      <w:bookmarkStart w:id="619" w:name="_Toc19569"/>
      <w:bookmarkStart w:id="620" w:name="_Toc13937"/>
      <w:bookmarkStart w:id="621" w:name="_Toc27943"/>
      <w:bookmarkStart w:id="622" w:name="_Toc5491"/>
      <w:bookmarkStart w:id="623" w:name="_Toc26001_WPSOffice_Level2"/>
      <w:bookmarkStart w:id="624" w:name="_Toc4858"/>
      <w:bookmarkStart w:id="625" w:name="_Toc18070"/>
      <w:bookmarkStart w:id="626" w:name="_Toc24945"/>
      <w:bookmarkStart w:id="627" w:name="_Toc5997"/>
      <w:bookmarkStart w:id="628" w:name="_Toc1793"/>
      <w:bookmarkStart w:id="629" w:name="_Toc22889"/>
      <w:r>
        <w:rPr>
          <w:rFonts w:hint="eastAsia"/>
        </w:rPr>
        <w:t>11.</w:t>
      </w:r>
      <w:r>
        <w:t>1</w:t>
      </w:r>
      <w:bookmarkStart w:id="630" w:name="_Toc19802"/>
      <w:bookmarkStart w:id="631" w:name="_Toc20473_WPSOffice_Level2"/>
      <w:bookmarkStart w:id="632" w:name="_Toc25675"/>
      <w:bookmarkStart w:id="633" w:name="_Toc11193_WPSOffice_Level2"/>
      <w:r>
        <w:rPr>
          <w:rFonts w:hint="eastAsia"/>
        </w:rPr>
        <w:t>安拆单位证件</w:t>
      </w:r>
      <w:bookmarkEnd w:id="616"/>
      <w:bookmarkEnd w:id="617"/>
      <w:bookmarkEnd w:id="618"/>
      <w:bookmarkEnd w:id="619"/>
      <w:bookmarkEnd w:id="620"/>
      <w:bookmarkEnd w:id="621"/>
      <w:bookmarkEnd w:id="622"/>
      <w:bookmarkEnd w:id="623"/>
      <w:bookmarkEnd w:id="624"/>
      <w:bookmarkEnd w:id="630"/>
      <w:bookmarkEnd w:id="631"/>
      <w:bookmarkEnd w:id="632"/>
      <w:bookmarkEnd w:id="633"/>
    </w:p>
    <w:bookmarkEnd w:id="625"/>
    <w:bookmarkEnd w:id="626"/>
    <w:bookmarkEnd w:id="627"/>
    <w:bookmarkEnd w:id="628"/>
    <w:bookmarkEnd w:id="629"/>
    <w:p w14:paraId="103DAEE3">
      <w:pPr>
        <w:spacing w:line="240" w:lineRule="auto"/>
        <w:ind w:firstLine="0" w:firstLineChars="0"/>
        <w:rPr>
          <w:rFonts w:hint="default"/>
        </w:rPr>
      </w:pPr>
      <w:bookmarkStart w:id="635" w:name="_GoBack"/>
      <w:bookmarkEnd w:id="635"/>
    </w:p>
    <w:p w14:paraId="07D4F59A">
      <w:pPr>
        <w:pStyle w:val="3"/>
      </w:pPr>
      <w:bookmarkStart w:id="634" w:name="_Toc12257"/>
      <w:r>
        <w:rPr>
          <w:rFonts w:hint="eastAsia"/>
        </w:rPr>
        <w:t>11.3安装竣工验收样表</w:t>
      </w:r>
      <w:bookmarkEnd w:id="634"/>
    </w:p>
    <w:p w14:paraId="0FDEDC5B">
      <w:pPr>
        <w:ind w:firstLine="2530" w:firstLineChars="700"/>
        <w:rPr>
          <w:b/>
          <w:sz w:val="36"/>
          <w:szCs w:val="36"/>
        </w:rPr>
      </w:pPr>
      <w:r>
        <w:rPr>
          <w:rFonts w:hint="eastAsia"/>
          <w:b/>
          <w:sz w:val="36"/>
          <w:szCs w:val="36"/>
        </w:rPr>
        <w:t>塔机安装前检查表</w:t>
      </w:r>
    </w:p>
    <w:p w14:paraId="73B84681">
      <w:pPr>
        <w:ind w:firstLine="420"/>
        <w:rPr>
          <w:sz w:val="21"/>
        </w:rPr>
      </w:pPr>
      <w:r>
        <w:rPr>
          <w:rFonts w:hint="eastAsia"/>
          <w:sz w:val="21"/>
        </w:rPr>
        <w:t>塔机型号：_____________ 塔机编号：_____________ 工程名称：_____________</w:t>
      </w:r>
    </w:p>
    <w:p w14:paraId="7F75AC95">
      <w:pPr>
        <w:ind w:firstLine="420"/>
      </w:pPr>
      <w:r>
        <w:rPr>
          <w:rFonts w:hint="eastAsia"/>
          <w:sz w:val="21"/>
        </w:rPr>
        <w:t>安装单位：_____________ 使用单位：_____________ 检查日期：_____________</w:t>
      </w:r>
    </w:p>
    <w:tbl>
      <w:tblPr>
        <w:tblStyle w:val="41"/>
        <w:tblW w:w="85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0"/>
        <w:gridCol w:w="1947"/>
        <w:gridCol w:w="3530"/>
        <w:gridCol w:w="1158"/>
        <w:gridCol w:w="1186"/>
      </w:tblGrid>
      <w:tr w14:paraId="1FEB84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rPr>
        <w:tc>
          <w:tcPr>
            <w:tcW w:w="710" w:type="dxa"/>
            <w:vAlign w:val="center"/>
          </w:tcPr>
          <w:p w14:paraId="606ADBB8">
            <w:pPr>
              <w:ind w:firstLine="0" w:firstLineChars="0"/>
              <w:jc w:val="center"/>
              <w:rPr>
                <w:sz w:val="21"/>
              </w:rPr>
            </w:pPr>
            <w:r>
              <w:rPr>
                <w:rFonts w:hint="eastAsia"/>
                <w:sz w:val="21"/>
              </w:rPr>
              <w:t>序号</w:t>
            </w:r>
          </w:p>
        </w:tc>
        <w:tc>
          <w:tcPr>
            <w:tcW w:w="1947" w:type="dxa"/>
            <w:vAlign w:val="center"/>
          </w:tcPr>
          <w:p w14:paraId="7E7C0AF7">
            <w:pPr>
              <w:ind w:firstLine="0" w:firstLineChars="0"/>
              <w:jc w:val="center"/>
              <w:rPr>
                <w:sz w:val="21"/>
              </w:rPr>
            </w:pPr>
            <w:r>
              <w:rPr>
                <w:rFonts w:hint="eastAsia"/>
                <w:sz w:val="21"/>
              </w:rPr>
              <w:t>检查项目</w:t>
            </w:r>
          </w:p>
        </w:tc>
        <w:tc>
          <w:tcPr>
            <w:tcW w:w="3530" w:type="dxa"/>
            <w:vAlign w:val="center"/>
          </w:tcPr>
          <w:p w14:paraId="77BD9FDC">
            <w:pPr>
              <w:ind w:firstLine="0" w:firstLineChars="0"/>
              <w:jc w:val="center"/>
              <w:rPr>
                <w:sz w:val="21"/>
              </w:rPr>
            </w:pPr>
            <w:r>
              <w:rPr>
                <w:rFonts w:hint="eastAsia"/>
                <w:sz w:val="21"/>
              </w:rPr>
              <w:t>内容及要求</w:t>
            </w:r>
          </w:p>
        </w:tc>
        <w:tc>
          <w:tcPr>
            <w:tcW w:w="1158" w:type="dxa"/>
            <w:vAlign w:val="center"/>
          </w:tcPr>
          <w:p w14:paraId="40AABE1F">
            <w:pPr>
              <w:ind w:firstLine="0" w:firstLineChars="0"/>
              <w:jc w:val="center"/>
              <w:rPr>
                <w:sz w:val="21"/>
              </w:rPr>
            </w:pPr>
            <w:r>
              <w:rPr>
                <w:rFonts w:hint="eastAsia"/>
                <w:sz w:val="21"/>
              </w:rPr>
              <w:t>结果</w:t>
            </w:r>
          </w:p>
        </w:tc>
        <w:tc>
          <w:tcPr>
            <w:tcW w:w="1186" w:type="dxa"/>
            <w:vAlign w:val="center"/>
          </w:tcPr>
          <w:p w14:paraId="714C8732">
            <w:pPr>
              <w:ind w:firstLine="0" w:firstLineChars="0"/>
              <w:jc w:val="center"/>
              <w:rPr>
                <w:sz w:val="21"/>
              </w:rPr>
            </w:pPr>
            <w:r>
              <w:rPr>
                <w:rFonts w:hint="eastAsia"/>
                <w:sz w:val="21"/>
              </w:rPr>
              <w:t>备注</w:t>
            </w:r>
          </w:p>
        </w:tc>
      </w:tr>
      <w:tr w14:paraId="3FCD8E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946D561">
            <w:pPr>
              <w:ind w:firstLine="0" w:firstLineChars="0"/>
              <w:jc w:val="center"/>
              <w:rPr>
                <w:sz w:val="21"/>
              </w:rPr>
            </w:pPr>
            <w:r>
              <w:rPr>
                <w:rFonts w:hint="eastAsia"/>
                <w:sz w:val="21"/>
              </w:rPr>
              <w:t>1</w:t>
            </w:r>
          </w:p>
        </w:tc>
        <w:tc>
          <w:tcPr>
            <w:tcW w:w="1947" w:type="dxa"/>
            <w:vAlign w:val="center"/>
          </w:tcPr>
          <w:p w14:paraId="1D74AA87">
            <w:pPr>
              <w:ind w:firstLine="0" w:firstLineChars="0"/>
              <w:jc w:val="center"/>
              <w:rPr>
                <w:sz w:val="21"/>
              </w:rPr>
            </w:pPr>
            <w:r>
              <w:rPr>
                <w:rFonts w:hint="eastAsia"/>
                <w:sz w:val="21"/>
              </w:rPr>
              <w:t>钢结构</w:t>
            </w:r>
          </w:p>
        </w:tc>
        <w:tc>
          <w:tcPr>
            <w:tcW w:w="3530" w:type="dxa"/>
            <w:vAlign w:val="center"/>
          </w:tcPr>
          <w:p w14:paraId="1FBED10A">
            <w:pPr>
              <w:ind w:firstLine="0" w:firstLineChars="0"/>
              <w:jc w:val="center"/>
              <w:rPr>
                <w:sz w:val="21"/>
              </w:rPr>
            </w:pPr>
            <w:r>
              <w:rPr>
                <w:rFonts w:hint="eastAsia"/>
                <w:sz w:val="21"/>
              </w:rPr>
              <w:t>无扭曲、变形、裂纹和严重锈蚀</w:t>
            </w:r>
          </w:p>
        </w:tc>
        <w:tc>
          <w:tcPr>
            <w:tcW w:w="1158" w:type="dxa"/>
            <w:vAlign w:val="center"/>
          </w:tcPr>
          <w:p w14:paraId="766637DC">
            <w:pPr>
              <w:ind w:firstLine="0" w:firstLineChars="0"/>
              <w:jc w:val="center"/>
              <w:rPr>
                <w:sz w:val="21"/>
              </w:rPr>
            </w:pPr>
          </w:p>
        </w:tc>
        <w:tc>
          <w:tcPr>
            <w:tcW w:w="1186" w:type="dxa"/>
            <w:vAlign w:val="center"/>
          </w:tcPr>
          <w:p w14:paraId="4A79DAD9">
            <w:pPr>
              <w:ind w:firstLine="0" w:firstLineChars="0"/>
              <w:jc w:val="center"/>
              <w:rPr>
                <w:sz w:val="21"/>
              </w:rPr>
            </w:pPr>
          </w:p>
        </w:tc>
      </w:tr>
      <w:tr w14:paraId="4335E4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4BD7EC4B">
            <w:pPr>
              <w:ind w:firstLine="0" w:firstLineChars="0"/>
              <w:jc w:val="center"/>
              <w:rPr>
                <w:sz w:val="21"/>
              </w:rPr>
            </w:pPr>
            <w:r>
              <w:rPr>
                <w:rFonts w:hint="eastAsia"/>
                <w:sz w:val="21"/>
              </w:rPr>
              <w:t>2</w:t>
            </w:r>
          </w:p>
        </w:tc>
        <w:tc>
          <w:tcPr>
            <w:tcW w:w="1947" w:type="dxa"/>
            <w:vAlign w:val="center"/>
          </w:tcPr>
          <w:p w14:paraId="3590E36C">
            <w:pPr>
              <w:ind w:firstLine="0" w:firstLineChars="0"/>
              <w:jc w:val="center"/>
              <w:rPr>
                <w:sz w:val="21"/>
              </w:rPr>
            </w:pPr>
            <w:r>
              <w:rPr>
                <w:rFonts w:hint="eastAsia"/>
                <w:sz w:val="21"/>
              </w:rPr>
              <w:t>连接件、紧固件</w:t>
            </w:r>
          </w:p>
        </w:tc>
        <w:tc>
          <w:tcPr>
            <w:tcW w:w="3530" w:type="dxa"/>
            <w:vAlign w:val="center"/>
          </w:tcPr>
          <w:p w14:paraId="12716879">
            <w:pPr>
              <w:ind w:firstLine="0" w:firstLineChars="0"/>
              <w:jc w:val="center"/>
              <w:rPr>
                <w:sz w:val="21"/>
              </w:rPr>
            </w:pPr>
            <w:r>
              <w:rPr>
                <w:rFonts w:hint="eastAsia"/>
                <w:sz w:val="21"/>
              </w:rPr>
              <w:t>销轴及螺栓螺母规格正确，数量齐全，质量满足设计要求；配套开口销或卡板规格数量均符合要求</w:t>
            </w:r>
          </w:p>
        </w:tc>
        <w:tc>
          <w:tcPr>
            <w:tcW w:w="1158" w:type="dxa"/>
            <w:vAlign w:val="center"/>
          </w:tcPr>
          <w:p w14:paraId="23C1B350">
            <w:pPr>
              <w:ind w:firstLine="0" w:firstLineChars="0"/>
              <w:jc w:val="center"/>
              <w:rPr>
                <w:sz w:val="21"/>
              </w:rPr>
            </w:pPr>
          </w:p>
        </w:tc>
        <w:tc>
          <w:tcPr>
            <w:tcW w:w="1186" w:type="dxa"/>
            <w:vAlign w:val="center"/>
          </w:tcPr>
          <w:p w14:paraId="5908D73B">
            <w:pPr>
              <w:ind w:firstLine="0" w:firstLineChars="0"/>
              <w:jc w:val="center"/>
              <w:rPr>
                <w:sz w:val="21"/>
              </w:rPr>
            </w:pPr>
          </w:p>
        </w:tc>
      </w:tr>
      <w:tr w14:paraId="3E346C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Align w:val="center"/>
          </w:tcPr>
          <w:p w14:paraId="057C81FB">
            <w:pPr>
              <w:ind w:firstLine="0" w:firstLineChars="0"/>
              <w:jc w:val="center"/>
              <w:rPr>
                <w:sz w:val="21"/>
              </w:rPr>
            </w:pPr>
            <w:r>
              <w:rPr>
                <w:rFonts w:hint="eastAsia"/>
                <w:sz w:val="21"/>
              </w:rPr>
              <w:t>3</w:t>
            </w:r>
          </w:p>
        </w:tc>
        <w:tc>
          <w:tcPr>
            <w:tcW w:w="1947" w:type="dxa"/>
            <w:vAlign w:val="center"/>
          </w:tcPr>
          <w:p w14:paraId="14932712">
            <w:pPr>
              <w:ind w:firstLine="0" w:firstLineChars="0"/>
              <w:jc w:val="center"/>
              <w:rPr>
                <w:sz w:val="21"/>
              </w:rPr>
            </w:pPr>
            <w:r>
              <w:rPr>
                <w:rFonts w:hint="eastAsia"/>
                <w:sz w:val="21"/>
              </w:rPr>
              <w:t>钢丝绳及其固结</w:t>
            </w:r>
          </w:p>
        </w:tc>
        <w:tc>
          <w:tcPr>
            <w:tcW w:w="3530" w:type="dxa"/>
            <w:vAlign w:val="center"/>
          </w:tcPr>
          <w:p w14:paraId="6C4E8972">
            <w:pPr>
              <w:ind w:firstLine="0" w:firstLineChars="0"/>
              <w:jc w:val="center"/>
              <w:rPr>
                <w:sz w:val="21"/>
              </w:rPr>
            </w:pPr>
            <w:r>
              <w:rPr>
                <w:rFonts w:hint="eastAsia"/>
                <w:sz w:val="21"/>
              </w:rPr>
              <w:t>钢丝绳完好符合GB5972-86要求，钢丝绳固结符合JGJ33-2001要求</w:t>
            </w:r>
          </w:p>
        </w:tc>
        <w:tc>
          <w:tcPr>
            <w:tcW w:w="1158" w:type="dxa"/>
            <w:vAlign w:val="center"/>
          </w:tcPr>
          <w:p w14:paraId="1BFBC530">
            <w:pPr>
              <w:ind w:firstLine="0" w:firstLineChars="0"/>
              <w:jc w:val="center"/>
              <w:rPr>
                <w:sz w:val="21"/>
              </w:rPr>
            </w:pPr>
          </w:p>
        </w:tc>
        <w:tc>
          <w:tcPr>
            <w:tcW w:w="1186" w:type="dxa"/>
            <w:vAlign w:val="center"/>
          </w:tcPr>
          <w:p w14:paraId="24C89622">
            <w:pPr>
              <w:ind w:firstLine="0" w:firstLineChars="0"/>
              <w:jc w:val="center"/>
              <w:rPr>
                <w:sz w:val="21"/>
              </w:rPr>
            </w:pPr>
          </w:p>
        </w:tc>
      </w:tr>
      <w:tr w14:paraId="44B224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7C22C095">
            <w:pPr>
              <w:ind w:firstLine="0" w:firstLineChars="0"/>
              <w:jc w:val="center"/>
              <w:rPr>
                <w:sz w:val="21"/>
              </w:rPr>
            </w:pPr>
            <w:r>
              <w:rPr>
                <w:rFonts w:hint="eastAsia"/>
                <w:sz w:val="21"/>
              </w:rPr>
              <w:t>4</w:t>
            </w:r>
          </w:p>
        </w:tc>
        <w:tc>
          <w:tcPr>
            <w:tcW w:w="1947" w:type="dxa"/>
            <w:vAlign w:val="center"/>
          </w:tcPr>
          <w:p w14:paraId="5C43105C">
            <w:pPr>
              <w:ind w:firstLine="0" w:firstLineChars="0"/>
              <w:jc w:val="center"/>
              <w:rPr>
                <w:sz w:val="21"/>
              </w:rPr>
            </w:pPr>
            <w:r>
              <w:rPr>
                <w:rFonts w:hint="eastAsia"/>
                <w:sz w:val="21"/>
              </w:rPr>
              <w:t>制动器</w:t>
            </w:r>
          </w:p>
        </w:tc>
        <w:tc>
          <w:tcPr>
            <w:tcW w:w="3530" w:type="dxa"/>
            <w:vAlign w:val="center"/>
          </w:tcPr>
          <w:p w14:paraId="13D7798F">
            <w:pPr>
              <w:ind w:firstLine="0" w:firstLineChars="0"/>
              <w:jc w:val="center"/>
              <w:rPr>
                <w:sz w:val="21"/>
              </w:rPr>
            </w:pPr>
            <w:r>
              <w:rPr>
                <w:rFonts w:hint="eastAsia"/>
                <w:sz w:val="21"/>
              </w:rPr>
              <w:t>制动带（块）磨损不大于原厚度的1/2，间隙符合标准要求，能正常动作，设有防护罩</w:t>
            </w:r>
          </w:p>
        </w:tc>
        <w:tc>
          <w:tcPr>
            <w:tcW w:w="1158" w:type="dxa"/>
            <w:vAlign w:val="center"/>
          </w:tcPr>
          <w:p w14:paraId="4C5F1826">
            <w:pPr>
              <w:ind w:firstLine="0" w:firstLineChars="0"/>
              <w:jc w:val="center"/>
              <w:rPr>
                <w:sz w:val="21"/>
              </w:rPr>
            </w:pPr>
          </w:p>
        </w:tc>
        <w:tc>
          <w:tcPr>
            <w:tcW w:w="1186" w:type="dxa"/>
            <w:vAlign w:val="center"/>
          </w:tcPr>
          <w:p w14:paraId="772E424B">
            <w:pPr>
              <w:ind w:firstLine="0" w:firstLineChars="0"/>
              <w:jc w:val="center"/>
              <w:rPr>
                <w:sz w:val="21"/>
              </w:rPr>
            </w:pPr>
          </w:p>
        </w:tc>
      </w:tr>
      <w:tr w14:paraId="7F388A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01400866">
            <w:pPr>
              <w:ind w:firstLine="0" w:firstLineChars="0"/>
              <w:jc w:val="center"/>
              <w:rPr>
                <w:sz w:val="21"/>
              </w:rPr>
            </w:pPr>
            <w:r>
              <w:rPr>
                <w:rFonts w:hint="eastAsia"/>
                <w:sz w:val="21"/>
              </w:rPr>
              <w:t>5</w:t>
            </w:r>
          </w:p>
        </w:tc>
        <w:tc>
          <w:tcPr>
            <w:tcW w:w="1947" w:type="dxa"/>
            <w:vAlign w:val="center"/>
          </w:tcPr>
          <w:p w14:paraId="108ED22D">
            <w:pPr>
              <w:ind w:firstLine="0" w:firstLineChars="0"/>
              <w:jc w:val="center"/>
              <w:rPr>
                <w:sz w:val="21"/>
              </w:rPr>
            </w:pPr>
            <w:r>
              <w:rPr>
                <w:rFonts w:hint="eastAsia"/>
                <w:sz w:val="21"/>
              </w:rPr>
              <w:t>安全装置</w:t>
            </w:r>
          </w:p>
        </w:tc>
        <w:tc>
          <w:tcPr>
            <w:tcW w:w="3530" w:type="dxa"/>
            <w:vAlign w:val="center"/>
          </w:tcPr>
          <w:p w14:paraId="5221C6C3">
            <w:pPr>
              <w:ind w:firstLine="0" w:firstLineChars="0"/>
              <w:jc w:val="center"/>
              <w:rPr>
                <w:sz w:val="21"/>
              </w:rPr>
            </w:pPr>
            <w:r>
              <w:rPr>
                <w:rFonts w:hint="eastAsia"/>
                <w:sz w:val="21"/>
              </w:rPr>
              <w:t>各安全装置应齐全，保持完好</w:t>
            </w:r>
          </w:p>
        </w:tc>
        <w:tc>
          <w:tcPr>
            <w:tcW w:w="1158" w:type="dxa"/>
            <w:vAlign w:val="center"/>
          </w:tcPr>
          <w:p w14:paraId="74D317F1">
            <w:pPr>
              <w:ind w:firstLine="0" w:firstLineChars="0"/>
              <w:jc w:val="center"/>
              <w:rPr>
                <w:sz w:val="21"/>
              </w:rPr>
            </w:pPr>
          </w:p>
        </w:tc>
        <w:tc>
          <w:tcPr>
            <w:tcW w:w="1186" w:type="dxa"/>
            <w:vAlign w:val="center"/>
          </w:tcPr>
          <w:p w14:paraId="614A6CB0">
            <w:pPr>
              <w:ind w:firstLine="0" w:firstLineChars="0"/>
              <w:jc w:val="center"/>
              <w:rPr>
                <w:sz w:val="21"/>
              </w:rPr>
            </w:pPr>
          </w:p>
        </w:tc>
      </w:tr>
      <w:tr w14:paraId="6861F2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Merge w:val="restart"/>
            <w:vAlign w:val="center"/>
          </w:tcPr>
          <w:p w14:paraId="373000C1">
            <w:pPr>
              <w:ind w:firstLine="0" w:firstLineChars="0"/>
              <w:jc w:val="center"/>
              <w:rPr>
                <w:sz w:val="21"/>
              </w:rPr>
            </w:pPr>
            <w:r>
              <w:rPr>
                <w:rFonts w:hint="eastAsia"/>
                <w:sz w:val="21"/>
              </w:rPr>
              <w:t>6</w:t>
            </w:r>
          </w:p>
        </w:tc>
        <w:tc>
          <w:tcPr>
            <w:tcW w:w="1947" w:type="dxa"/>
            <w:vMerge w:val="restart"/>
            <w:vAlign w:val="center"/>
          </w:tcPr>
          <w:p w14:paraId="4799C2A8">
            <w:pPr>
              <w:ind w:firstLine="0" w:firstLineChars="0"/>
              <w:jc w:val="center"/>
              <w:rPr>
                <w:sz w:val="21"/>
              </w:rPr>
            </w:pPr>
            <w:r>
              <w:rPr>
                <w:rFonts w:hint="eastAsia"/>
                <w:sz w:val="21"/>
              </w:rPr>
              <w:t>液压系统</w:t>
            </w:r>
          </w:p>
        </w:tc>
        <w:tc>
          <w:tcPr>
            <w:tcW w:w="3530" w:type="dxa"/>
            <w:vAlign w:val="center"/>
          </w:tcPr>
          <w:p w14:paraId="70CD7900">
            <w:pPr>
              <w:ind w:firstLine="0" w:firstLineChars="0"/>
              <w:jc w:val="center"/>
              <w:rPr>
                <w:sz w:val="21"/>
              </w:rPr>
            </w:pPr>
            <w:r>
              <w:rPr>
                <w:rFonts w:hint="eastAsia"/>
                <w:sz w:val="21"/>
              </w:rPr>
              <w:t>油质良好，测量充足</w:t>
            </w:r>
          </w:p>
        </w:tc>
        <w:tc>
          <w:tcPr>
            <w:tcW w:w="1158" w:type="dxa"/>
            <w:vAlign w:val="center"/>
          </w:tcPr>
          <w:p w14:paraId="15A7EA44">
            <w:pPr>
              <w:ind w:firstLine="0" w:firstLineChars="0"/>
              <w:jc w:val="center"/>
              <w:rPr>
                <w:sz w:val="21"/>
              </w:rPr>
            </w:pPr>
          </w:p>
        </w:tc>
        <w:tc>
          <w:tcPr>
            <w:tcW w:w="1186" w:type="dxa"/>
            <w:vAlign w:val="center"/>
          </w:tcPr>
          <w:p w14:paraId="65D2F084">
            <w:pPr>
              <w:ind w:firstLine="0" w:firstLineChars="0"/>
              <w:jc w:val="center"/>
              <w:rPr>
                <w:sz w:val="21"/>
              </w:rPr>
            </w:pPr>
          </w:p>
        </w:tc>
      </w:tr>
      <w:tr w14:paraId="34B878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Merge w:val="continue"/>
            <w:vAlign w:val="center"/>
          </w:tcPr>
          <w:p w14:paraId="10A251E8">
            <w:pPr>
              <w:ind w:firstLine="0" w:firstLineChars="0"/>
              <w:jc w:val="center"/>
              <w:rPr>
                <w:sz w:val="21"/>
              </w:rPr>
            </w:pPr>
          </w:p>
        </w:tc>
        <w:tc>
          <w:tcPr>
            <w:tcW w:w="1947" w:type="dxa"/>
            <w:vMerge w:val="continue"/>
            <w:vAlign w:val="center"/>
          </w:tcPr>
          <w:p w14:paraId="3E2CE67B">
            <w:pPr>
              <w:ind w:firstLine="0" w:firstLineChars="0"/>
              <w:jc w:val="center"/>
              <w:rPr>
                <w:sz w:val="21"/>
              </w:rPr>
            </w:pPr>
          </w:p>
        </w:tc>
        <w:tc>
          <w:tcPr>
            <w:tcW w:w="3530" w:type="dxa"/>
            <w:vAlign w:val="center"/>
          </w:tcPr>
          <w:p w14:paraId="5B92D52C">
            <w:pPr>
              <w:ind w:firstLine="0" w:firstLineChars="0"/>
              <w:jc w:val="center"/>
              <w:rPr>
                <w:sz w:val="21"/>
              </w:rPr>
            </w:pPr>
            <w:r>
              <w:rPr>
                <w:rFonts w:hint="eastAsia"/>
                <w:sz w:val="21"/>
              </w:rPr>
              <w:t>各油管及管接头状况良好，平衡阀与油缸之间为硬管连接</w:t>
            </w:r>
          </w:p>
        </w:tc>
        <w:tc>
          <w:tcPr>
            <w:tcW w:w="1158" w:type="dxa"/>
            <w:vAlign w:val="center"/>
          </w:tcPr>
          <w:p w14:paraId="2B08E6AE">
            <w:pPr>
              <w:ind w:firstLine="0" w:firstLineChars="0"/>
              <w:jc w:val="center"/>
              <w:rPr>
                <w:sz w:val="21"/>
              </w:rPr>
            </w:pPr>
          </w:p>
        </w:tc>
        <w:tc>
          <w:tcPr>
            <w:tcW w:w="1186" w:type="dxa"/>
            <w:vAlign w:val="center"/>
          </w:tcPr>
          <w:p w14:paraId="0F86780E">
            <w:pPr>
              <w:ind w:firstLine="0" w:firstLineChars="0"/>
              <w:jc w:val="center"/>
              <w:rPr>
                <w:sz w:val="21"/>
              </w:rPr>
            </w:pPr>
          </w:p>
        </w:tc>
      </w:tr>
      <w:tr w14:paraId="010403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3F63775">
            <w:pPr>
              <w:ind w:firstLine="0" w:firstLineChars="0"/>
              <w:jc w:val="center"/>
              <w:rPr>
                <w:sz w:val="21"/>
              </w:rPr>
            </w:pPr>
            <w:r>
              <w:rPr>
                <w:rFonts w:hint="eastAsia"/>
                <w:sz w:val="21"/>
              </w:rPr>
              <w:t>7</w:t>
            </w:r>
          </w:p>
        </w:tc>
        <w:tc>
          <w:tcPr>
            <w:tcW w:w="1947" w:type="dxa"/>
            <w:vAlign w:val="center"/>
          </w:tcPr>
          <w:p w14:paraId="37BA42BF">
            <w:pPr>
              <w:ind w:firstLine="0" w:firstLineChars="0"/>
              <w:jc w:val="center"/>
              <w:rPr>
                <w:sz w:val="21"/>
              </w:rPr>
            </w:pPr>
            <w:r>
              <w:rPr>
                <w:rFonts w:hint="eastAsia"/>
                <w:sz w:val="21"/>
              </w:rPr>
              <w:t>电气系统</w:t>
            </w:r>
          </w:p>
        </w:tc>
        <w:tc>
          <w:tcPr>
            <w:tcW w:w="3530" w:type="dxa"/>
            <w:vAlign w:val="center"/>
          </w:tcPr>
          <w:p w14:paraId="7F9F588C">
            <w:pPr>
              <w:ind w:firstLine="0" w:firstLineChars="0"/>
              <w:jc w:val="center"/>
              <w:rPr>
                <w:sz w:val="21"/>
              </w:rPr>
            </w:pPr>
            <w:r>
              <w:rPr>
                <w:rFonts w:hint="eastAsia"/>
                <w:sz w:val="21"/>
              </w:rPr>
              <w:t>保持较良好状况，能正常工作</w:t>
            </w:r>
          </w:p>
        </w:tc>
        <w:tc>
          <w:tcPr>
            <w:tcW w:w="1158" w:type="dxa"/>
            <w:vAlign w:val="center"/>
          </w:tcPr>
          <w:p w14:paraId="1F14F7C9">
            <w:pPr>
              <w:ind w:firstLine="0" w:firstLineChars="0"/>
              <w:jc w:val="center"/>
              <w:rPr>
                <w:sz w:val="21"/>
              </w:rPr>
            </w:pPr>
          </w:p>
        </w:tc>
        <w:tc>
          <w:tcPr>
            <w:tcW w:w="1186" w:type="dxa"/>
            <w:vAlign w:val="center"/>
          </w:tcPr>
          <w:p w14:paraId="0272967E">
            <w:pPr>
              <w:ind w:firstLine="0" w:firstLineChars="0"/>
              <w:jc w:val="center"/>
              <w:rPr>
                <w:sz w:val="21"/>
              </w:rPr>
            </w:pPr>
          </w:p>
        </w:tc>
      </w:tr>
      <w:tr w14:paraId="1F6B1E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3" w:hRule="atLeast"/>
        </w:trPr>
        <w:tc>
          <w:tcPr>
            <w:tcW w:w="710" w:type="dxa"/>
            <w:vAlign w:val="center"/>
          </w:tcPr>
          <w:p w14:paraId="11FF0B79">
            <w:pPr>
              <w:ind w:firstLine="0" w:firstLineChars="0"/>
              <w:jc w:val="center"/>
              <w:rPr>
                <w:sz w:val="21"/>
              </w:rPr>
            </w:pPr>
            <w:r>
              <w:rPr>
                <w:rFonts w:hint="eastAsia"/>
                <w:sz w:val="21"/>
              </w:rPr>
              <w:t>8</w:t>
            </w:r>
          </w:p>
        </w:tc>
        <w:tc>
          <w:tcPr>
            <w:tcW w:w="1947" w:type="dxa"/>
            <w:vAlign w:val="center"/>
          </w:tcPr>
          <w:p w14:paraId="0067E66A">
            <w:pPr>
              <w:ind w:firstLine="0" w:firstLineChars="0"/>
              <w:jc w:val="center"/>
              <w:rPr>
                <w:sz w:val="21"/>
              </w:rPr>
            </w:pPr>
            <w:r>
              <w:rPr>
                <w:rFonts w:hint="eastAsia"/>
                <w:sz w:val="21"/>
              </w:rPr>
              <w:t>现场状况</w:t>
            </w:r>
          </w:p>
        </w:tc>
        <w:tc>
          <w:tcPr>
            <w:tcW w:w="3530" w:type="dxa"/>
            <w:vAlign w:val="center"/>
          </w:tcPr>
          <w:p w14:paraId="2CFF1F78">
            <w:pPr>
              <w:ind w:firstLine="0" w:firstLineChars="0"/>
              <w:jc w:val="center"/>
              <w:rPr>
                <w:sz w:val="21"/>
              </w:rPr>
            </w:pPr>
            <w:r>
              <w:rPr>
                <w:rFonts w:hint="eastAsia"/>
                <w:sz w:val="21"/>
              </w:rPr>
              <w:t>安装现场应具备安全安装塔机的条件</w:t>
            </w:r>
          </w:p>
        </w:tc>
        <w:tc>
          <w:tcPr>
            <w:tcW w:w="1158" w:type="dxa"/>
            <w:vAlign w:val="center"/>
          </w:tcPr>
          <w:p w14:paraId="52671C03">
            <w:pPr>
              <w:ind w:firstLine="0" w:firstLineChars="0"/>
              <w:jc w:val="center"/>
              <w:rPr>
                <w:sz w:val="21"/>
              </w:rPr>
            </w:pPr>
          </w:p>
        </w:tc>
        <w:tc>
          <w:tcPr>
            <w:tcW w:w="1186" w:type="dxa"/>
            <w:vAlign w:val="center"/>
          </w:tcPr>
          <w:p w14:paraId="58AA7C30">
            <w:pPr>
              <w:ind w:firstLine="0" w:firstLineChars="0"/>
              <w:jc w:val="center"/>
              <w:rPr>
                <w:sz w:val="21"/>
              </w:rPr>
            </w:pPr>
          </w:p>
        </w:tc>
      </w:tr>
      <w:tr w14:paraId="60E38B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03" w:hRule="atLeast"/>
        </w:trPr>
        <w:tc>
          <w:tcPr>
            <w:tcW w:w="710" w:type="dxa"/>
            <w:vAlign w:val="center"/>
          </w:tcPr>
          <w:p w14:paraId="6B7FA3EB">
            <w:pPr>
              <w:ind w:firstLine="0" w:firstLineChars="0"/>
              <w:jc w:val="center"/>
              <w:rPr>
                <w:sz w:val="21"/>
              </w:rPr>
            </w:pPr>
            <w:r>
              <w:rPr>
                <w:rFonts w:hint="eastAsia"/>
                <w:sz w:val="21"/>
              </w:rPr>
              <w:t>检查意见</w:t>
            </w:r>
          </w:p>
        </w:tc>
        <w:tc>
          <w:tcPr>
            <w:tcW w:w="7821" w:type="dxa"/>
            <w:gridSpan w:val="4"/>
            <w:vAlign w:val="center"/>
          </w:tcPr>
          <w:p w14:paraId="1AC05E04">
            <w:pPr>
              <w:ind w:firstLine="0" w:firstLineChars="0"/>
              <w:jc w:val="center"/>
              <w:rPr>
                <w:sz w:val="21"/>
              </w:rPr>
            </w:pPr>
          </w:p>
        </w:tc>
      </w:tr>
      <w:tr w14:paraId="08B6E8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1" w:hRule="atLeast"/>
        </w:trPr>
        <w:tc>
          <w:tcPr>
            <w:tcW w:w="710" w:type="dxa"/>
            <w:vAlign w:val="center"/>
          </w:tcPr>
          <w:p w14:paraId="14773B33">
            <w:pPr>
              <w:ind w:firstLine="0" w:firstLineChars="0"/>
              <w:jc w:val="center"/>
              <w:rPr>
                <w:sz w:val="21"/>
              </w:rPr>
            </w:pPr>
            <w:r>
              <w:rPr>
                <w:rFonts w:hint="eastAsia"/>
                <w:sz w:val="21"/>
              </w:rPr>
              <w:t>检查人</w:t>
            </w:r>
          </w:p>
        </w:tc>
        <w:tc>
          <w:tcPr>
            <w:tcW w:w="7821" w:type="dxa"/>
            <w:gridSpan w:val="4"/>
            <w:vAlign w:val="center"/>
          </w:tcPr>
          <w:p w14:paraId="3D26D371">
            <w:pPr>
              <w:ind w:firstLine="0" w:firstLineChars="0"/>
              <w:jc w:val="center"/>
              <w:rPr>
                <w:sz w:val="21"/>
              </w:rPr>
            </w:pPr>
            <w:r>
              <w:rPr>
                <w:rFonts w:hint="eastAsia"/>
                <w:sz w:val="21"/>
              </w:rPr>
              <w:t>安装单位技术负责人：               使用单位设备主管：</w:t>
            </w:r>
          </w:p>
          <w:p w14:paraId="158A6D92">
            <w:pPr>
              <w:ind w:firstLine="0" w:firstLineChars="0"/>
              <w:jc w:val="center"/>
              <w:rPr>
                <w:sz w:val="21"/>
              </w:rPr>
            </w:pPr>
            <w:r>
              <w:rPr>
                <w:rFonts w:hint="eastAsia"/>
                <w:sz w:val="21"/>
              </w:rPr>
              <w:t>安装队长（组长）：                 安装单位安全（质量）员：</w:t>
            </w:r>
          </w:p>
          <w:p w14:paraId="7A9A3381">
            <w:pPr>
              <w:ind w:firstLine="0" w:firstLineChars="0"/>
              <w:jc w:val="center"/>
              <w:rPr>
                <w:sz w:val="21"/>
              </w:rPr>
            </w:pPr>
            <w:r>
              <w:rPr>
                <w:rFonts w:hint="eastAsia"/>
                <w:sz w:val="21"/>
              </w:rPr>
              <w:t>其他参检人员：</w:t>
            </w:r>
          </w:p>
        </w:tc>
      </w:tr>
    </w:tbl>
    <w:p w14:paraId="6BF9D4EA">
      <w:pPr>
        <w:ind w:firstLine="0" w:firstLineChars="0"/>
        <w:jc w:val="center"/>
        <w:rPr>
          <w:b/>
          <w:sz w:val="36"/>
          <w:szCs w:val="36"/>
        </w:rPr>
      </w:pPr>
      <w:r>
        <w:rPr>
          <w:rFonts w:hint="eastAsia"/>
          <w:b/>
          <w:sz w:val="36"/>
          <w:szCs w:val="36"/>
        </w:rPr>
        <w:t>塔机安装自检验收表</w:t>
      </w:r>
    </w:p>
    <w:p w14:paraId="6A6A0F24">
      <w:pPr>
        <w:ind w:firstLine="420"/>
        <w:rPr>
          <w:sz w:val="21"/>
        </w:rPr>
      </w:pPr>
      <w:r>
        <w:rPr>
          <w:rFonts w:hint="eastAsia"/>
          <w:sz w:val="21"/>
        </w:rPr>
        <w:t>安装单位：___________________________________ 机型机号：_____________________</w:t>
      </w:r>
    </w:p>
    <w:p w14:paraId="01D3B4EB">
      <w:pPr>
        <w:ind w:firstLine="420"/>
        <w:rPr>
          <w:sz w:val="21"/>
        </w:rPr>
      </w:pPr>
      <w:r>
        <w:rPr>
          <w:rFonts w:hint="eastAsia"/>
          <w:sz w:val="21"/>
        </w:rPr>
        <w:t>工程名称：___________________________________ 机械编号：_____________________</w:t>
      </w:r>
    </w:p>
    <w:p w14:paraId="31D050DF">
      <w:pPr>
        <w:ind w:firstLine="420"/>
        <w:rPr>
          <w:sz w:val="21"/>
        </w:rPr>
      </w:pPr>
      <w:r>
        <w:rPr>
          <w:rFonts w:hint="eastAsia"/>
          <w:sz w:val="21"/>
        </w:rPr>
        <w:t>自检高度：___________自检日期：_______年____月_____日  天气__________________</w:t>
      </w:r>
    </w:p>
    <w:p w14:paraId="1FBB4904">
      <w:pPr>
        <w:ind w:firstLine="420"/>
        <w:rPr>
          <w:sz w:val="21"/>
        </w:rPr>
      </w:pPr>
    </w:p>
    <w:tbl>
      <w:tblPr>
        <w:tblStyle w:val="41"/>
        <w:tblW w:w="854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30"/>
        <w:gridCol w:w="1810"/>
        <w:gridCol w:w="4708"/>
        <w:gridCol w:w="1592"/>
      </w:tblGrid>
      <w:tr w14:paraId="769769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blHeader/>
        </w:trPr>
        <w:tc>
          <w:tcPr>
            <w:tcW w:w="430" w:type="dxa"/>
            <w:vAlign w:val="center"/>
          </w:tcPr>
          <w:p w14:paraId="6EECEC4D">
            <w:pPr>
              <w:ind w:firstLine="0" w:firstLineChars="0"/>
              <w:jc w:val="center"/>
              <w:rPr>
                <w:sz w:val="21"/>
              </w:rPr>
            </w:pPr>
            <w:r>
              <w:rPr>
                <w:rFonts w:hint="eastAsia"/>
                <w:sz w:val="21"/>
              </w:rPr>
              <w:t>序号</w:t>
            </w:r>
          </w:p>
        </w:tc>
        <w:tc>
          <w:tcPr>
            <w:tcW w:w="1810" w:type="dxa"/>
            <w:vAlign w:val="center"/>
          </w:tcPr>
          <w:p w14:paraId="12323B9D">
            <w:pPr>
              <w:ind w:firstLine="0" w:firstLineChars="0"/>
              <w:jc w:val="center"/>
              <w:rPr>
                <w:sz w:val="21"/>
              </w:rPr>
            </w:pPr>
            <w:r>
              <w:rPr>
                <w:rFonts w:hint="eastAsia"/>
                <w:sz w:val="21"/>
              </w:rPr>
              <w:t>项目</w:t>
            </w:r>
          </w:p>
        </w:tc>
        <w:tc>
          <w:tcPr>
            <w:tcW w:w="4708" w:type="dxa"/>
            <w:vAlign w:val="center"/>
          </w:tcPr>
          <w:p w14:paraId="2C25B068">
            <w:pPr>
              <w:ind w:firstLine="0" w:firstLineChars="0"/>
              <w:jc w:val="center"/>
              <w:rPr>
                <w:sz w:val="21"/>
              </w:rPr>
            </w:pPr>
            <w:r>
              <w:rPr>
                <w:rFonts w:hint="eastAsia"/>
                <w:sz w:val="21"/>
              </w:rPr>
              <w:t>标准及要求</w:t>
            </w:r>
          </w:p>
        </w:tc>
        <w:tc>
          <w:tcPr>
            <w:tcW w:w="1592" w:type="dxa"/>
            <w:vAlign w:val="center"/>
          </w:tcPr>
          <w:p w14:paraId="3CED4C5D">
            <w:pPr>
              <w:ind w:firstLine="0" w:firstLineChars="0"/>
              <w:jc w:val="center"/>
              <w:rPr>
                <w:sz w:val="21"/>
              </w:rPr>
            </w:pPr>
            <w:r>
              <w:rPr>
                <w:rFonts w:hint="eastAsia"/>
                <w:sz w:val="21"/>
              </w:rPr>
              <w:t>检查记录</w:t>
            </w:r>
          </w:p>
        </w:tc>
      </w:tr>
      <w:tr w14:paraId="4E7E66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29BDB5D1">
            <w:pPr>
              <w:ind w:firstLine="0" w:firstLineChars="0"/>
              <w:jc w:val="center"/>
              <w:rPr>
                <w:sz w:val="21"/>
              </w:rPr>
            </w:pPr>
            <w:r>
              <w:rPr>
                <w:rFonts w:hint="eastAsia"/>
                <w:sz w:val="21"/>
              </w:rPr>
              <w:t>1</w:t>
            </w:r>
          </w:p>
        </w:tc>
        <w:tc>
          <w:tcPr>
            <w:tcW w:w="1810" w:type="dxa"/>
            <w:vAlign w:val="center"/>
          </w:tcPr>
          <w:p w14:paraId="6DF4CD98">
            <w:pPr>
              <w:ind w:firstLine="0" w:firstLineChars="0"/>
              <w:jc w:val="center"/>
              <w:rPr>
                <w:sz w:val="21"/>
              </w:rPr>
            </w:pPr>
            <w:r>
              <w:rPr>
                <w:rFonts w:hint="eastAsia"/>
                <w:sz w:val="21"/>
              </w:rPr>
              <w:t>安装位置</w:t>
            </w:r>
          </w:p>
        </w:tc>
        <w:tc>
          <w:tcPr>
            <w:tcW w:w="4708" w:type="dxa"/>
            <w:vAlign w:val="center"/>
          </w:tcPr>
          <w:p w14:paraId="638022AC">
            <w:pPr>
              <w:ind w:firstLine="0" w:firstLineChars="0"/>
              <w:jc w:val="center"/>
              <w:rPr>
                <w:sz w:val="21"/>
              </w:rPr>
            </w:pPr>
            <w:r>
              <w:rPr>
                <w:rFonts w:hint="eastAsia"/>
                <w:sz w:val="21"/>
              </w:rPr>
              <w:t>塔机与架空线、其它设施及建筑物的距离符合GB5144-94的有关要求</w:t>
            </w:r>
          </w:p>
        </w:tc>
        <w:tc>
          <w:tcPr>
            <w:tcW w:w="1592" w:type="dxa"/>
            <w:vAlign w:val="center"/>
          </w:tcPr>
          <w:p w14:paraId="45BF1466">
            <w:pPr>
              <w:ind w:firstLine="0" w:firstLineChars="0"/>
              <w:jc w:val="center"/>
              <w:rPr>
                <w:sz w:val="21"/>
              </w:rPr>
            </w:pPr>
          </w:p>
        </w:tc>
      </w:tr>
      <w:tr w14:paraId="7FA96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430" w:type="dxa"/>
            <w:vAlign w:val="center"/>
          </w:tcPr>
          <w:p w14:paraId="623B50FE">
            <w:pPr>
              <w:ind w:firstLine="0" w:firstLineChars="0"/>
              <w:jc w:val="center"/>
              <w:rPr>
                <w:sz w:val="21"/>
              </w:rPr>
            </w:pPr>
            <w:r>
              <w:rPr>
                <w:rFonts w:hint="eastAsia"/>
                <w:sz w:val="21"/>
              </w:rPr>
              <w:t>2</w:t>
            </w:r>
          </w:p>
        </w:tc>
        <w:tc>
          <w:tcPr>
            <w:tcW w:w="1810" w:type="dxa"/>
            <w:vAlign w:val="center"/>
          </w:tcPr>
          <w:p w14:paraId="189EFDC9">
            <w:pPr>
              <w:ind w:firstLine="0" w:firstLineChars="0"/>
              <w:jc w:val="center"/>
              <w:rPr>
                <w:sz w:val="21"/>
              </w:rPr>
            </w:pPr>
            <w:r>
              <w:rPr>
                <w:rFonts w:hint="eastAsia"/>
                <w:sz w:val="21"/>
              </w:rPr>
              <w:t>塔身垂直度</w:t>
            </w:r>
          </w:p>
        </w:tc>
        <w:tc>
          <w:tcPr>
            <w:tcW w:w="4708" w:type="dxa"/>
            <w:vAlign w:val="center"/>
          </w:tcPr>
          <w:p w14:paraId="267AD5DF">
            <w:pPr>
              <w:ind w:firstLine="0" w:firstLineChars="0"/>
              <w:jc w:val="center"/>
              <w:rPr>
                <w:sz w:val="21"/>
              </w:rPr>
            </w:pPr>
            <w:r>
              <w:rPr>
                <w:rFonts w:hint="eastAsia"/>
                <w:sz w:val="21"/>
              </w:rPr>
              <w:t>独立高度≤4‰，附墙以上自由端≤3‰，附墙以下自由端≤2‰</w:t>
            </w:r>
          </w:p>
        </w:tc>
        <w:tc>
          <w:tcPr>
            <w:tcW w:w="1592" w:type="dxa"/>
            <w:vAlign w:val="center"/>
          </w:tcPr>
          <w:p w14:paraId="516B9B49">
            <w:pPr>
              <w:ind w:firstLine="0" w:firstLineChars="0"/>
              <w:jc w:val="center"/>
              <w:rPr>
                <w:sz w:val="21"/>
              </w:rPr>
            </w:pPr>
            <w:r>
              <w:rPr>
                <w:rFonts w:hint="eastAsia"/>
                <w:sz w:val="21"/>
              </w:rPr>
              <w:t>东西向：__mm</w:t>
            </w:r>
          </w:p>
          <w:p w14:paraId="2831201B">
            <w:pPr>
              <w:ind w:firstLine="0" w:firstLineChars="0"/>
              <w:jc w:val="center"/>
              <w:rPr>
                <w:sz w:val="21"/>
              </w:rPr>
            </w:pPr>
            <w:r>
              <w:rPr>
                <w:rFonts w:hint="eastAsia"/>
                <w:sz w:val="21"/>
              </w:rPr>
              <w:t>南北向：__mm</w:t>
            </w:r>
          </w:p>
        </w:tc>
      </w:tr>
      <w:tr w14:paraId="429D20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207F9C45">
            <w:pPr>
              <w:ind w:firstLine="0" w:firstLineChars="0"/>
              <w:jc w:val="center"/>
              <w:rPr>
                <w:sz w:val="21"/>
              </w:rPr>
            </w:pPr>
            <w:r>
              <w:rPr>
                <w:rFonts w:hint="eastAsia"/>
                <w:sz w:val="21"/>
              </w:rPr>
              <w:t>3</w:t>
            </w:r>
          </w:p>
        </w:tc>
        <w:tc>
          <w:tcPr>
            <w:tcW w:w="1810" w:type="dxa"/>
            <w:vAlign w:val="center"/>
          </w:tcPr>
          <w:p w14:paraId="5A9ACCB8">
            <w:pPr>
              <w:ind w:firstLine="0" w:firstLineChars="0"/>
              <w:jc w:val="center"/>
              <w:rPr>
                <w:sz w:val="21"/>
              </w:rPr>
            </w:pPr>
            <w:r>
              <w:rPr>
                <w:rFonts w:hint="eastAsia"/>
                <w:sz w:val="21"/>
              </w:rPr>
              <w:t>基础</w:t>
            </w:r>
          </w:p>
        </w:tc>
        <w:tc>
          <w:tcPr>
            <w:tcW w:w="4708" w:type="dxa"/>
            <w:vAlign w:val="center"/>
          </w:tcPr>
          <w:p w14:paraId="7FAC9DE2">
            <w:pPr>
              <w:ind w:firstLine="0" w:firstLineChars="0"/>
              <w:jc w:val="center"/>
              <w:rPr>
                <w:sz w:val="21"/>
              </w:rPr>
            </w:pPr>
            <w:r>
              <w:rPr>
                <w:rFonts w:hint="eastAsia"/>
                <w:sz w:val="21"/>
              </w:rPr>
              <w:t>基础隐藏工程验收单、砼试压块报告、地耐力报告、基础验收单齐全，碎石基础符合GB5144-94要求</w:t>
            </w:r>
          </w:p>
        </w:tc>
        <w:tc>
          <w:tcPr>
            <w:tcW w:w="1592" w:type="dxa"/>
            <w:vAlign w:val="center"/>
          </w:tcPr>
          <w:p w14:paraId="1C31EEA6">
            <w:pPr>
              <w:ind w:firstLine="0" w:firstLineChars="0"/>
              <w:jc w:val="center"/>
              <w:rPr>
                <w:sz w:val="21"/>
              </w:rPr>
            </w:pPr>
          </w:p>
        </w:tc>
      </w:tr>
      <w:tr w14:paraId="327FD0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 w:hRule="atLeast"/>
        </w:trPr>
        <w:tc>
          <w:tcPr>
            <w:tcW w:w="430" w:type="dxa"/>
            <w:vAlign w:val="center"/>
          </w:tcPr>
          <w:p w14:paraId="20F12846">
            <w:pPr>
              <w:ind w:firstLine="0" w:firstLineChars="0"/>
              <w:jc w:val="center"/>
              <w:rPr>
                <w:sz w:val="21"/>
              </w:rPr>
            </w:pPr>
            <w:r>
              <w:rPr>
                <w:rFonts w:hint="eastAsia"/>
                <w:sz w:val="21"/>
              </w:rPr>
              <w:t>4</w:t>
            </w:r>
          </w:p>
        </w:tc>
        <w:tc>
          <w:tcPr>
            <w:tcW w:w="1810" w:type="dxa"/>
            <w:vAlign w:val="center"/>
          </w:tcPr>
          <w:p w14:paraId="5EA2CDE2">
            <w:pPr>
              <w:ind w:firstLine="0" w:firstLineChars="0"/>
              <w:jc w:val="center"/>
              <w:rPr>
                <w:sz w:val="21"/>
              </w:rPr>
            </w:pPr>
            <w:r>
              <w:rPr>
                <w:rFonts w:hint="eastAsia"/>
                <w:sz w:val="21"/>
              </w:rPr>
              <w:t>结构件</w:t>
            </w:r>
          </w:p>
        </w:tc>
        <w:tc>
          <w:tcPr>
            <w:tcW w:w="4708" w:type="dxa"/>
            <w:vAlign w:val="center"/>
          </w:tcPr>
          <w:p w14:paraId="26C149BE">
            <w:pPr>
              <w:ind w:firstLine="0" w:firstLineChars="0"/>
              <w:jc w:val="center"/>
              <w:rPr>
                <w:sz w:val="21"/>
              </w:rPr>
            </w:pPr>
            <w:r>
              <w:rPr>
                <w:rFonts w:hint="eastAsia"/>
                <w:sz w:val="21"/>
              </w:rPr>
              <w:t>无扭曲、变形、裂纹和严重锈蚀</w:t>
            </w:r>
          </w:p>
        </w:tc>
        <w:tc>
          <w:tcPr>
            <w:tcW w:w="1592" w:type="dxa"/>
            <w:vAlign w:val="center"/>
          </w:tcPr>
          <w:p w14:paraId="6036D46A">
            <w:pPr>
              <w:ind w:firstLine="0" w:firstLineChars="0"/>
              <w:jc w:val="center"/>
              <w:rPr>
                <w:sz w:val="21"/>
              </w:rPr>
            </w:pPr>
          </w:p>
        </w:tc>
      </w:tr>
      <w:tr w14:paraId="2134F9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6C7E2B6C">
            <w:pPr>
              <w:ind w:firstLine="0" w:firstLineChars="0"/>
              <w:jc w:val="center"/>
              <w:rPr>
                <w:sz w:val="21"/>
              </w:rPr>
            </w:pPr>
            <w:r>
              <w:rPr>
                <w:rFonts w:hint="eastAsia"/>
                <w:sz w:val="21"/>
              </w:rPr>
              <w:t>5</w:t>
            </w:r>
          </w:p>
        </w:tc>
        <w:tc>
          <w:tcPr>
            <w:tcW w:w="1810" w:type="dxa"/>
            <w:vAlign w:val="center"/>
          </w:tcPr>
          <w:p w14:paraId="3F54B197">
            <w:pPr>
              <w:ind w:firstLine="0" w:firstLineChars="0"/>
              <w:jc w:val="center"/>
              <w:rPr>
                <w:sz w:val="21"/>
              </w:rPr>
            </w:pPr>
            <w:r>
              <w:rPr>
                <w:rFonts w:hint="eastAsia"/>
                <w:sz w:val="21"/>
              </w:rPr>
              <w:t>连接件、紧固件</w:t>
            </w:r>
          </w:p>
        </w:tc>
        <w:tc>
          <w:tcPr>
            <w:tcW w:w="4708" w:type="dxa"/>
            <w:vAlign w:val="center"/>
          </w:tcPr>
          <w:p w14:paraId="2F2DC24D">
            <w:pPr>
              <w:ind w:firstLine="0" w:firstLineChars="0"/>
              <w:jc w:val="center"/>
              <w:rPr>
                <w:sz w:val="21"/>
              </w:rPr>
            </w:pPr>
            <w:r>
              <w:rPr>
                <w:rFonts w:hint="eastAsia"/>
                <w:sz w:val="21"/>
              </w:rPr>
              <w:t>销轴齐全到位，有可靠轴向止动，正确使用开口销。螺栓连接齐全、坚固牢靠，均有防松措施，高强螺栓按要求预紧，螺栓高于螺母0-3扣</w:t>
            </w:r>
          </w:p>
        </w:tc>
        <w:tc>
          <w:tcPr>
            <w:tcW w:w="1592" w:type="dxa"/>
            <w:vAlign w:val="center"/>
          </w:tcPr>
          <w:p w14:paraId="0983D2A7">
            <w:pPr>
              <w:ind w:firstLine="0" w:firstLineChars="0"/>
              <w:jc w:val="center"/>
              <w:rPr>
                <w:sz w:val="21"/>
              </w:rPr>
            </w:pPr>
          </w:p>
        </w:tc>
      </w:tr>
      <w:tr w14:paraId="17E8DA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854A37B">
            <w:pPr>
              <w:ind w:firstLine="0" w:firstLineChars="0"/>
              <w:jc w:val="center"/>
              <w:rPr>
                <w:sz w:val="21"/>
              </w:rPr>
            </w:pPr>
            <w:r>
              <w:rPr>
                <w:rFonts w:hint="eastAsia"/>
                <w:sz w:val="21"/>
              </w:rPr>
              <w:t>6</w:t>
            </w:r>
          </w:p>
        </w:tc>
        <w:tc>
          <w:tcPr>
            <w:tcW w:w="1810" w:type="dxa"/>
            <w:vAlign w:val="center"/>
          </w:tcPr>
          <w:p w14:paraId="32106274">
            <w:pPr>
              <w:ind w:firstLine="0" w:firstLineChars="0"/>
              <w:jc w:val="center"/>
              <w:rPr>
                <w:sz w:val="21"/>
              </w:rPr>
            </w:pPr>
            <w:r>
              <w:rPr>
                <w:rFonts w:hint="eastAsia"/>
                <w:sz w:val="21"/>
              </w:rPr>
              <w:t>液压爬升系统</w:t>
            </w:r>
          </w:p>
        </w:tc>
        <w:tc>
          <w:tcPr>
            <w:tcW w:w="4708" w:type="dxa"/>
            <w:vAlign w:val="center"/>
          </w:tcPr>
          <w:p w14:paraId="399DBB88">
            <w:pPr>
              <w:ind w:firstLine="0" w:firstLineChars="0"/>
              <w:jc w:val="center"/>
              <w:rPr>
                <w:sz w:val="21"/>
              </w:rPr>
            </w:pPr>
            <w:r>
              <w:rPr>
                <w:rFonts w:hint="eastAsia"/>
                <w:sz w:val="21"/>
              </w:rPr>
              <w:t>结构件无变形、裂纹，油缸上下连接牢固、可靠、平衡阀与油缸不得用软管连接</w:t>
            </w:r>
          </w:p>
        </w:tc>
        <w:tc>
          <w:tcPr>
            <w:tcW w:w="1592" w:type="dxa"/>
            <w:vAlign w:val="center"/>
          </w:tcPr>
          <w:p w14:paraId="73301D81">
            <w:pPr>
              <w:ind w:firstLine="0" w:firstLineChars="0"/>
              <w:jc w:val="center"/>
              <w:rPr>
                <w:sz w:val="21"/>
              </w:rPr>
            </w:pPr>
          </w:p>
        </w:tc>
      </w:tr>
      <w:tr w14:paraId="78CDB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5B14E9ED">
            <w:pPr>
              <w:ind w:firstLine="0" w:firstLineChars="0"/>
              <w:jc w:val="center"/>
              <w:rPr>
                <w:sz w:val="21"/>
              </w:rPr>
            </w:pPr>
            <w:r>
              <w:rPr>
                <w:rFonts w:hint="eastAsia"/>
                <w:sz w:val="21"/>
              </w:rPr>
              <w:t>7</w:t>
            </w:r>
          </w:p>
        </w:tc>
        <w:tc>
          <w:tcPr>
            <w:tcW w:w="1810" w:type="dxa"/>
            <w:vAlign w:val="center"/>
          </w:tcPr>
          <w:p w14:paraId="4C5F045C">
            <w:pPr>
              <w:ind w:firstLine="0" w:firstLineChars="0"/>
              <w:jc w:val="center"/>
              <w:rPr>
                <w:sz w:val="21"/>
              </w:rPr>
            </w:pPr>
            <w:r>
              <w:rPr>
                <w:rFonts w:hint="eastAsia"/>
                <w:sz w:val="21"/>
              </w:rPr>
              <w:t>配重</w:t>
            </w:r>
          </w:p>
        </w:tc>
        <w:tc>
          <w:tcPr>
            <w:tcW w:w="4708" w:type="dxa"/>
            <w:vAlign w:val="center"/>
          </w:tcPr>
          <w:p w14:paraId="74372066">
            <w:pPr>
              <w:ind w:firstLine="0" w:firstLineChars="0"/>
              <w:jc w:val="center"/>
              <w:rPr>
                <w:sz w:val="21"/>
              </w:rPr>
            </w:pPr>
            <w:r>
              <w:rPr>
                <w:rFonts w:hint="eastAsia"/>
                <w:sz w:val="21"/>
              </w:rPr>
              <w:t>按规定堆放、固定连接正确可靠、重量符合设计要求</w:t>
            </w:r>
          </w:p>
        </w:tc>
        <w:tc>
          <w:tcPr>
            <w:tcW w:w="1592" w:type="dxa"/>
            <w:vAlign w:val="center"/>
          </w:tcPr>
          <w:p w14:paraId="01E2E73D">
            <w:pPr>
              <w:ind w:firstLine="0" w:firstLineChars="0"/>
              <w:jc w:val="center"/>
              <w:rPr>
                <w:sz w:val="21"/>
              </w:rPr>
            </w:pPr>
          </w:p>
        </w:tc>
      </w:tr>
      <w:tr w14:paraId="7C6BA9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80440A7">
            <w:pPr>
              <w:ind w:firstLine="0" w:firstLineChars="0"/>
              <w:jc w:val="center"/>
              <w:rPr>
                <w:sz w:val="21"/>
              </w:rPr>
            </w:pPr>
            <w:r>
              <w:rPr>
                <w:rFonts w:hint="eastAsia"/>
                <w:sz w:val="21"/>
              </w:rPr>
              <w:t>8</w:t>
            </w:r>
          </w:p>
        </w:tc>
        <w:tc>
          <w:tcPr>
            <w:tcW w:w="1810" w:type="dxa"/>
            <w:vAlign w:val="center"/>
          </w:tcPr>
          <w:p w14:paraId="2630FB7F">
            <w:pPr>
              <w:ind w:firstLine="0" w:firstLineChars="0"/>
              <w:jc w:val="center"/>
              <w:rPr>
                <w:sz w:val="21"/>
              </w:rPr>
            </w:pPr>
            <w:r>
              <w:rPr>
                <w:rFonts w:hint="eastAsia"/>
                <w:sz w:val="21"/>
              </w:rPr>
              <w:t>钢丝绳及其固结</w:t>
            </w:r>
          </w:p>
        </w:tc>
        <w:tc>
          <w:tcPr>
            <w:tcW w:w="4708" w:type="dxa"/>
            <w:vAlign w:val="center"/>
          </w:tcPr>
          <w:p w14:paraId="402CECC9">
            <w:pPr>
              <w:ind w:firstLine="0" w:firstLineChars="0"/>
              <w:jc w:val="center"/>
              <w:rPr>
                <w:sz w:val="21"/>
              </w:rPr>
            </w:pPr>
            <w:r>
              <w:rPr>
                <w:rFonts w:hint="eastAsia"/>
                <w:sz w:val="21"/>
              </w:rPr>
              <w:t>无严重损伤、变形、固结合理，符合JGJ33-2001、GB5972-86有关要求</w:t>
            </w:r>
          </w:p>
        </w:tc>
        <w:tc>
          <w:tcPr>
            <w:tcW w:w="1592" w:type="dxa"/>
            <w:vAlign w:val="center"/>
          </w:tcPr>
          <w:p w14:paraId="1684B6F6">
            <w:pPr>
              <w:ind w:firstLine="0" w:firstLineChars="0"/>
              <w:jc w:val="center"/>
              <w:rPr>
                <w:sz w:val="21"/>
              </w:rPr>
            </w:pPr>
          </w:p>
        </w:tc>
      </w:tr>
      <w:tr w14:paraId="7198C6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49648E8C">
            <w:pPr>
              <w:ind w:firstLine="0" w:firstLineChars="0"/>
              <w:jc w:val="center"/>
              <w:rPr>
                <w:sz w:val="21"/>
              </w:rPr>
            </w:pPr>
            <w:r>
              <w:rPr>
                <w:rFonts w:hint="eastAsia"/>
                <w:sz w:val="21"/>
              </w:rPr>
              <w:t>9</w:t>
            </w:r>
          </w:p>
        </w:tc>
        <w:tc>
          <w:tcPr>
            <w:tcW w:w="1810" w:type="dxa"/>
            <w:vAlign w:val="center"/>
          </w:tcPr>
          <w:p w14:paraId="31BD69A7">
            <w:pPr>
              <w:ind w:firstLine="0" w:firstLineChars="0"/>
              <w:jc w:val="center"/>
              <w:rPr>
                <w:sz w:val="21"/>
              </w:rPr>
            </w:pPr>
            <w:r>
              <w:rPr>
                <w:rFonts w:hint="eastAsia"/>
                <w:sz w:val="21"/>
              </w:rPr>
              <w:t>钢丝绳在卷筒上固定及余留圈娄</w:t>
            </w:r>
          </w:p>
        </w:tc>
        <w:tc>
          <w:tcPr>
            <w:tcW w:w="4708" w:type="dxa"/>
            <w:vAlign w:val="center"/>
          </w:tcPr>
          <w:p w14:paraId="4A8AE882">
            <w:pPr>
              <w:ind w:firstLine="0" w:firstLineChars="0"/>
              <w:jc w:val="center"/>
              <w:rPr>
                <w:sz w:val="21"/>
              </w:rPr>
            </w:pPr>
            <w:r>
              <w:rPr>
                <w:rFonts w:hint="eastAsia"/>
                <w:sz w:val="21"/>
              </w:rPr>
              <w:t>有防松和闩紧性能最少余留不少于3圈</w:t>
            </w:r>
          </w:p>
        </w:tc>
        <w:tc>
          <w:tcPr>
            <w:tcW w:w="1592" w:type="dxa"/>
            <w:vAlign w:val="center"/>
          </w:tcPr>
          <w:p w14:paraId="4E06AFF2">
            <w:pPr>
              <w:ind w:firstLine="0" w:firstLineChars="0"/>
              <w:jc w:val="center"/>
              <w:rPr>
                <w:sz w:val="21"/>
              </w:rPr>
            </w:pPr>
          </w:p>
        </w:tc>
      </w:tr>
      <w:tr w14:paraId="7BA4A6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 w:hRule="atLeast"/>
        </w:trPr>
        <w:tc>
          <w:tcPr>
            <w:tcW w:w="430" w:type="dxa"/>
            <w:vAlign w:val="center"/>
          </w:tcPr>
          <w:p w14:paraId="0CFAA8AC">
            <w:pPr>
              <w:ind w:firstLine="0" w:firstLineChars="0"/>
              <w:jc w:val="center"/>
              <w:rPr>
                <w:sz w:val="21"/>
              </w:rPr>
            </w:pPr>
            <w:r>
              <w:rPr>
                <w:rFonts w:hint="eastAsia"/>
                <w:sz w:val="21"/>
              </w:rPr>
              <w:t>10</w:t>
            </w:r>
          </w:p>
        </w:tc>
        <w:tc>
          <w:tcPr>
            <w:tcW w:w="1810" w:type="dxa"/>
            <w:vAlign w:val="center"/>
          </w:tcPr>
          <w:p w14:paraId="0725881C">
            <w:pPr>
              <w:ind w:firstLine="0" w:firstLineChars="0"/>
              <w:jc w:val="center"/>
              <w:rPr>
                <w:sz w:val="21"/>
              </w:rPr>
            </w:pPr>
            <w:r>
              <w:rPr>
                <w:rFonts w:hint="eastAsia"/>
                <w:sz w:val="21"/>
              </w:rPr>
              <w:t>滑轮及滑轮组</w:t>
            </w:r>
          </w:p>
        </w:tc>
        <w:tc>
          <w:tcPr>
            <w:tcW w:w="4708" w:type="dxa"/>
            <w:vAlign w:val="center"/>
          </w:tcPr>
          <w:p w14:paraId="45E3416F">
            <w:pPr>
              <w:ind w:firstLine="0" w:firstLineChars="0"/>
              <w:jc w:val="center"/>
              <w:rPr>
                <w:sz w:val="21"/>
              </w:rPr>
            </w:pPr>
            <w:r>
              <w:rPr>
                <w:rFonts w:hint="eastAsia"/>
                <w:sz w:val="21"/>
              </w:rPr>
              <w:t>转动自如，润滑良好，应设有效防跳绳装置。</w:t>
            </w:r>
          </w:p>
        </w:tc>
        <w:tc>
          <w:tcPr>
            <w:tcW w:w="1592" w:type="dxa"/>
            <w:vAlign w:val="center"/>
          </w:tcPr>
          <w:p w14:paraId="3A52200F">
            <w:pPr>
              <w:ind w:firstLine="0" w:firstLineChars="0"/>
              <w:jc w:val="center"/>
              <w:rPr>
                <w:sz w:val="21"/>
              </w:rPr>
            </w:pPr>
          </w:p>
        </w:tc>
      </w:tr>
      <w:tr w14:paraId="4A237C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 w:hRule="atLeast"/>
        </w:trPr>
        <w:tc>
          <w:tcPr>
            <w:tcW w:w="430" w:type="dxa"/>
            <w:vAlign w:val="center"/>
          </w:tcPr>
          <w:p w14:paraId="76825ECA">
            <w:pPr>
              <w:ind w:firstLine="0" w:firstLineChars="0"/>
              <w:jc w:val="center"/>
              <w:rPr>
                <w:sz w:val="21"/>
              </w:rPr>
            </w:pPr>
            <w:r>
              <w:rPr>
                <w:rFonts w:hint="eastAsia"/>
                <w:sz w:val="21"/>
              </w:rPr>
              <w:t>11</w:t>
            </w:r>
          </w:p>
        </w:tc>
        <w:tc>
          <w:tcPr>
            <w:tcW w:w="1810" w:type="dxa"/>
            <w:vAlign w:val="center"/>
          </w:tcPr>
          <w:p w14:paraId="027B5C27">
            <w:pPr>
              <w:ind w:firstLine="0" w:firstLineChars="0"/>
              <w:jc w:val="center"/>
              <w:rPr>
                <w:sz w:val="21"/>
              </w:rPr>
            </w:pPr>
            <w:r>
              <w:rPr>
                <w:rFonts w:hint="eastAsia"/>
                <w:sz w:val="21"/>
              </w:rPr>
              <w:t>爬梯、护圈、栏杆、平台、走台</w:t>
            </w:r>
          </w:p>
        </w:tc>
        <w:tc>
          <w:tcPr>
            <w:tcW w:w="4708" w:type="dxa"/>
            <w:vAlign w:val="center"/>
          </w:tcPr>
          <w:p w14:paraId="518B05E1">
            <w:pPr>
              <w:ind w:firstLine="0" w:firstLineChars="0"/>
              <w:jc w:val="center"/>
              <w:rPr>
                <w:sz w:val="21"/>
              </w:rPr>
            </w:pPr>
            <w:r>
              <w:rPr>
                <w:rFonts w:hint="eastAsia"/>
                <w:sz w:val="21"/>
              </w:rPr>
              <w:t>符合GB6067-85有关要求</w:t>
            </w:r>
          </w:p>
        </w:tc>
        <w:tc>
          <w:tcPr>
            <w:tcW w:w="1592" w:type="dxa"/>
            <w:vAlign w:val="center"/>
          </w:tcPr>
          <w:p w14:paraId="5D6D6E0B">
            <w:pPr>
              <w:ind w:firstLine="0" w:firstLineChars="0"/>
              <w:jc w:val="center"/>
              <w:rPr>
                <w:sz w:val="21"/>
              </w:rPr>
            </w:pPr>
          </w:p>
        </w:tc>
      </w:tr>
      <w:tr w14:paraId="3486FC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8" w:hRule="atLeast"/>
        </w:trPr>
        <w:tc>
          <w:tcPr>
            <w:tcW w:w="430" w:type="dxa"/>
            <w:vAlign w:val="center"/>
          </w:tcPr>
          <w:p w14:paraId="4E71F8A5">
            <w:pPr>
              <w:ind w:firstLine="0" w:firstLineChars="0"/>
              <w:jc w:val="center"/>
              <w:rPr>
                <w:sz w:val="21"/>
              </w:rPr>
            </w:pPr>
            <w:r>
              <w:rPr>
                <w:rFonts w:hint="eastAsia"/>
                <w:sz w:val="21"/>
              </w:rPr>
              <w:t>12</w:t>
            </w:r>
          </w:p>
        </w:tc>
        <w:tc>
          <w:tcPr>
            <w:tcW w:w="1810" w:type="dxa"/>
            <w:vAlign w:val="center"/>
          </w:tcPr>
          <w:p w14:paraId="055CB3F4">
            <w:pPr>
              <w:ind w:firstLine="0" w:firstLineChars="0"/>
              <w:jc w:val="center"/>
              <w:rPr>
                <w:sz w:val="21"/>
              </w:rPr>
            </w:pPr>
            <w:r>
              <w:rPr>
                <w:rFonts w:hint="eastAsia"/>
                <w:sz w:val="21"/>
              </w:rPr>
              <w:t>吊钩</w:t>
            </w:r>
          </w:p>
        </w:tc>
        <w:tc>
          <w:tcPr>
            <w:tcW w:w="4708" w:type="dxa"/>
            <w:vAlign w:val="center"/>
          </w:tcPr>
          <w:p w14:paraId="50703B3B">
            <w:pPr>
              <w:ind w:firstLine="0" w:firstLineChars="0"/>
              <w:jc w:val="center"/>
              <w:rPr>
                <w:sz w:val="21"/>
              </w:rPr>
            </w:pPr>
            <w:r>
              <w:rPr>
                <w:rFonts w:hint="eastAsia"/>
                <w:sz w:val="21"/>
              </w:rPr>
              <w:t>防脱钩装置完好。表面无破口、孔穴、裂纹、凹陷等，不得补焊，挂绳处断面磨损小于高度10%，无永久变形。</w:t>
            </w:r>
          </w:p>
        </w:tc>
        <w:tc>
          <w:tcPr>
            <w:tcW w:w="1592" w:type="dxa"/>
            <w:vAlign w:val="center"/>
          </w:tcPr>
          <w:p w14:paraId="7C9D2AFC">
            <w:pPr>
              <w:ind w:firstLine="0" w:firstLineChars="0"/>
              <w:jc w:val="center"/>
              <w:rPr>
                <w:sz w:val="21"/>
              </w:rPr>
            </w:pPr>
          </w:p>
        </w:tc>
      </w:tr>
      <w:tr w14:paraId="54FA3C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3995B846">
            <w:pPr>
              <w:ind w:firstLine="0" w:firstLineChars="0"/>
              <w:jc w:val="center"/>
              <w:rPr>
                <w:sz w:val="21"/>
              </w:rPr>
            </w:pPr>
            <w:r>
              <w:rPr>
                <w:rFonts w:hint="eastAsia"/>
                <w:sz w:val="21"/>
              </w:rPr>
              <w:t>13</w:t>
            </w:r>
          </w:p>
        </w:tc>
        <w:tc>
          <w:tcPr>
            <w:tcW w:w="1810" w:type="dxa"/>
            <w:vAlign w:val="center"/>
          </w:tcPr>
          <w:p w14:paraId="3FCB39D5">
            <w:pPr>
              <w:ind w:firstLine="0" w:firstLineChars="0"/>
              <w:jc w:val="center"/>
              <w:rPr>
                <w:sz w:val="21"/>
              </w:rPr>
            </w:pPr>
            <w:r>
              <w:rPr>
                <w:rFonts w:hint="eastAsia"/>
                <w:sz w:val="21"/>
              </w:rPr>
              <w:t>制动器</w:t>
            </w:r>
          </w:p>
        </w:tc>
        <w:tc>
          <w:tcPr>
            <w:tcW w:w="4708" w:type="dxa"/>
            <w:vAlign w:val="center"/>
          </w:tcPr>
          <w:p w14:paraId="72768980">
            <w:pPr>
              <w:ind w:firstLine="0" w:firstLineChars="0"/>
              <w:jc w:val="center"/>
              <w:rPr>
                <w:sz w:val="21"/>
              </w:rPr>
            </w:pPr>
            <w:r>
              <w:rPr>
                <w:rFonts w:hint="eastAsia"/>
                <w:sz w:val="21"/>
              </w:rPr>
              <w:t>制动带（块）清洁，磨损≤原厚度1/2，液压油洁净，油量充足，有防护罩，制动灵敏可靠，间隙正常。</w:t>
            </w:r>
          </w:p>
        </w:tc>
        <w:tc>
          <w:tcPr>
            <w:tcW w:w="1592" w:type="dxa"/>
            <w:vAlign w:val="center"/>
          </w:tcPr>
          <w:p w14:paraId="4885EDA2">
            <w:pPr>
              <w:ind w:firstLine="0" w:firstLineChars="0"/>
              <w:jc w:val="center"/>
              <w:rPr>
                <w:sz w:val="21"/>
              </w:rPr>
            </w:pPr>
            <w:r>
              <w:rPr>
                <w:rFonts w:hint="eastAsia"/>
                <w:sz w:val="21"/>
              </w:rPr>
              <w:t>磨损厚度____mm</w:t>
            </w:r>
          </w:p>
        </w:tc>
      </w:tr>
      <w:tr w14:paraId="42A9CE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restart"/>
            <w:vAlign w:val="center"/>
          </w:tcPr>
          <w:p w14:paraId="1EF707CD">
            <w:pPr>
              <w:ind w:firstLine="0" w:firstLineChars="0"/>
              <w:jc w:val="center"/>
              <w:rPr>
                <w:sz w:val="21"/>
              </w:rPr>
            </w:pPr>
            <w:r>
              <w:rPr>
                <w:rFonts w:hint="eastAsia"/>
                <w:sz w:val="21"/>
              </w:rPr>
              <w:t>14</w:t>
            </w:r>
          </w:p>
        </w:tc>
        <w:tc>
          <w:tcPr>
            <w:tcW w:w="1810" w:type="dxa"/>
            <w:vMerge w:val="restart"/>
            <w:vAlign w:val="center"/>
          </w:tcPr>
          <w:p w14:paraId="05F3117A">
            <w:pPr>
              <w:ind w:firstLine="0" w:firstLineChars="0"/>
              <w:jc w:val="center"/>
              <w:rPr>
                <w:sz w:val="21"/>
              </w:rPr>
            </w:pPr>
            <w:r>
              <w:rPr>
                <w:rFonts w:hint="eastAsia"/>
                <w:sz w:val="21"/>
              </w:rPr>
              <w:t>安全防护装置</w:t>
            </w:r>
          </w:p>
        </w:tc>
        <w:tc>
          <w:tcPr>
            <w:tcW w:w="4708" w:type="dxa"/>
            <w:vAlign w:val="center"/>
          </w:tcPr>
          <w:p w14:paraId="58F22C2B">
            <w:pPr>
              <w:ind w:firstLine="0" w:firstLineChars="0"/>
              <w:jc w:val="center"/>
              <w:rPr>
                <w:sz w:val="21"/>
              </w:rPr>
            </w:pPr>
            <w:r>
              <w:rPr>
                <w:rFonts w:hint="eastAsia"/>
                <w:sz w:val="21"/>
              </w:rPr>
              <w:t>起重量限制器，调试正确、灵敏有效（填数值）</w:t>
            </w:r>
          </w:p>
        </w:tc>
        <w:tc>
          <w:tcPr>
            <w:tcW w:w="1592" w:type="dxa"/>
            <w:vAlign w:val="center"/>
          </w:tcPr>
          <w:p w14:paraId="5D9545F6">
            <w:pPr>
              <w:ind w:firstLine="0" w:firstLineChars="0"/>
              <w:jc w:val="center"/>
              <w:rPr>
                <w:sz w:val="21"/>
              </w:rPr>
            </w:pPr>
          </w:p>
        </w:tc>
      </w:tr>
      <w:tr w14:paraId="2428BF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75580B6">
            <w:pPr>
              <w:ind w:firstLine="0" w:firstLineChars="0"/>
              <w:jc w:val="center"/>
              <w:rPr>
                <w:sz w:val="21"/>
              </w:rPr>
            </w:pPr>
          </w:p>
        </w:tc>
        <w:tc>
          <w:tcPr>
            <w:tcW w:w="1810" w:type="dxa"/>
            <w:vMerge w:val="continue"/>
            <w:vAlign w:val="center"/>
          </w:tcPr>
          <w:p w14:paraId="76378CD9">
            <w:pPr>
              <w:ind w:firstLine="0" w:firstLineChars="0"/>
              <w:jc w:val="center"/>
              <w:rPr>
                <w:sz w:val="21"/>
              </w:rPr>
            </w:pPr>
          </w:p>
        </w:tc>
        <w:tc>
          <w:tcPr>
            <w:tcW w:w="4708" w:type="dxa"/>
            <w:vAlign w:val="center"/>
          </w:tcPr>
          <w:p w14:paraId="4C234CA7">
            <w:pPr>
              <w:ind w:firstLine="0" w:firstLineChars="0"/>
              <w:jc w:val="center"/>
              <w:rPr>
                <w:sz w:val="21"/>
              </w:rPr>
            </w:pPr>
            <w:r>
              <w:rPr>
                <w:rFonts w:hint="eastAsia"/>
                <w:sz w:val="21"/>
              </w:rPr>
              <w:t>起重力矩限制器，调试正确、灵敏有效（填数值）</w:t>
            </w:r>
          </w:p>
        </w:tc>
        <w:tc>
          <w:tcPr>
            <w:tcW w:w="1592" w:type="dxa"/>
            <w:vAlign w:val="center"/>
          </w:tcPr>
          <w:p w14:paraId="01408B32">
            <w:pPr>
              <w:ind w:firstLine="0" w:firstLineChars="0"/>
              <w:jc w:val="center"/>
              <w:rPr>
                <w:sz w:val="21"/>
              </w:rPr>
            </w:pPr>
          </w:p>
        </w:tc>
      </w:tr>
      <w:tr w14:paraId="36DA91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A495B84">
            <w:pPr>
              <w:ind w:firstLine="0" w:firstLineChars="0"/>
              <w:jc w:val="center"/>
              <w:rPr>
                <w:sz w:val="21"/>
              </w:rPr>
            </w:pPr>
          </w:p>
        </w:tc>
        <w:tc>
          <w:tcPr>
            <w:tcW w:w="1810" w:type="dxa"/>
            <w:vMerge w:val="continue"/>
            <w:vAlign w:val="center"/>
          </w:tcPr>
          <w:p w14:paraId="7B48AD61">
            <w:pPr>
              <w:ind w:firstLine="0" w:firstLineChars="0"/>
              <w:jc w:val="center"/>
              <w:rPr>
                <w:sz w:val="21"/>
              </w:rPr>
            </w:pPr>
          </w:p>
        </w:tc>
        <w:tc>
          <w:tcPr>
            <w:tcW w:w="4708" w:type="dxa"/>
            <w:vAlign w:val="center"/>
          </w:tcPr>
          <w:p w14:paraId="2E306344">
            <w:pPr>
              <w:ind w:firstLine="0" w:firstLineChars="0"/>
              <w:jc w:val="center"/>
              <w:rPr>
                <w:sz w:val="21"/>
              </w:rPr>
            </w:pPr>
            <w:r>
              <w:rPr>
                <w:rFonts w:hint="eastAsia"/>
                <w:sz w:val="21"/>
              </w:rPr>
              <w:t>起升高度限制器，调试正确、灵敏有效（填数值）</w:t>
            </w:r>
          </w:p>
        </w:tc>
        <w:tc>
          <w:tcPr>
            <w:tcW w:w="1592" w:type="dxa"/>
            <w:vAlign w:val="center"/>
          </w:tcPr>
          <w:p w14:paraId="115CF974">
            <w:pPr>
              <w:ind w:firstLine="0" w:firstLineChars="0"/>
              <w:jc w:val="center"/>
              <w:rPr>
                <w:sz w:val="21"/>
              </w:rPr>
            </w:pPr>
          </w:p>
        </w:tc>
      </w:tr>
      <w:tr w14:paraId="139F0E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9FEB5D1">
            <w:pPr>
              <w:ind w:firstLine="0" w:firstLineChars="0"/>
              <w:jc w:val="center"/>
              <w:rPr>
                <w:sz w:val="21"/>
              </w:rPr>
            </w:pPr>
          </w:p>
        </w:tc>
        <w:tc>
          <w:tcPr>
            <w:tcW w:w="1810" w:type="dxa"/>
            <w:vMerge w:val="continue"/>
            <w:vAlign w:val="center"/>
          </w:tcPr>
          <w:p w14:paraId="3B92056B">
            <w:pPr>
              <w:ind w:firstLine="0" w:firstLineChars="0"/>
              <w:jc w:val="center"/>
              <w:rPr>
                <w:sz w:val="21"/>
              </w:rPr>
            </w:pPr>
          </w:p>
        </w:tc>
        <w:tc>
          <w:tcPr>
            <w:tcW w:w="4708" w:type="dxa"/>
            <w:vAlign w:val="center"/>
          </w:tcPr>
          <w:p w14:paraId="6BE6A253">
            <w:pPr>
              <w:ind w:firstLine="0" w:firstLineChars="0"/>
              <w:jc w:val="center"/>
              <w:rPr>
                <w:sz w:val="21"/>
              </w:rPr>
            </w:pPr>
            <w:r>
              <w:rPr>
                <w:rFonts w:hint="eastAsia"/>
                <w:sz w:val="21"/>
              </w:rPr>
              <w:t>回转限制器、调试正确、有效。</w:t>
            </w:r>
          </w:p>
        </w:tc>
        <w:tc>
          <w:tcPr>
            <w:tcW w:w="1592" w:type="dxa"/>
            <w:vAlign w:val="center"/>
          </w:tcPr>
          <w:p w14:paraId="09EE3CCC">
            <w:pPr>
              <w:ind w:firstLine="0" w:firstLineChars="0"/>
              <w:jc w:val="center"/>
              <w:rPr>
                <w:sz w:val="21"/>
              </w:rPr>
            </w:pPr>
          </w:p>
        </w:tc>
      </w:tr>
      <w:tr w14:paraId="70E9E5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7F3FEDA">
            <w:pPr>
              <w:ind w:firstLine="0" w:firstLineChars="0"/>
              <w:jc w:val="center"/>
              <w:rPr>
                <w:sz w:val="21"/>
              </w:rPr>
            </w:pPr>
          </w:p>
        </w:tc>
        <w:tc>
          <w:tcPr>
            <w:tcW w:w="1810" w:type="dxa"/>
            <w:vMerge w:val="continue"/>
            <w:vAlign w:val="center"/>
          </w:tcPr>
          <w:p w14:paraId="4684E675">
            <w:pPr>
              <w:ind w:firstLine="0" w:firstLineChars="0"/>
              <w:jc w:val="center"/>
              <w:rPr>
                <w:sz w:val="21"/>
              </w:rPr>
            </w:pPr>
          </w:p>
        </w:tc>
        <w:tc>
          <w:tcPr>
            <w:tcW w:w="4708" w:type="dxa"/>
            <w:vAlign w:val="center"/>
          </w:tcPr>
          <w:p w14:paraId="7389FA9B">
            <w:pPr>
              <w:ind w:firstLine="0" w:firstLineChars="0"/>
              <w:jc w:val="center"/>
              <w:rPr>
                <w:sz w:val="21"/>
              </w:rPr>
            </w:pPr>
            <w:r>
              <w:rPr>
                <w:rFonts w:hint="eastAsia"/>
                <w:sz w:val="21"/>
              </w:rPr>
              <w:t>变幅前后限制器，调试正确、灵敏有效</w:t>
            </w:r>
          </w:p>
        </w:tc>
        <w:tc>
          <w:tcPr>
            <w:tcW w:w="1592" w:type="dxa"/>
            <w:vAlign w:val="center"/>
          </w:tcPr>
          <w:p w14:paraId="0F5FFFED">
            <w:pPr>
              <w:ind w:firstLine="0" w:firstLineChars="0"/>
              <w:jc w:val="center"/>
              <w:rPr>
                <w:sz w:val="21"/>
              </w:rPr>
            </w:pPr>
          </w:p>
        </w:tc>
      </w:tr>
      <w:tr w14:paraId="23CE7A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80578F8">
            <w:pPr>
              <w:ind w:firstLine="0" w:firstLineChars="0"/>
              <w:jc w:val="center"/>
              <w:rPr>
                <w:sz w:val="21"/>
              </w:rPr>
            </w:pPr>
          </w:p>
        </w:tc>
        <w:tc>
          <w:tcPr>
            <w:tcW w:w="1810" w:type="dxa"/>
            <w:vMerge w:val="continue"/>
            <w:vAlign w:val="center"/>
          </w:tcPr>
          <w:p w14:paraId="64FE9A22">
            <w:pPr>
              <w:ind w:firstLine="0" w:firstLineChars="0"/>
              <w:jc w:val="center"/>
              <w:rPr>
                <w:sz w:val="21"/>
              </w:rPr>
            </w:pPr>
          </w:p>
        </w:tc>
        <w:tc>
          <w:tcPr>
            <w:tcW w:w="4708" w:type="dxa"/>
            <w:vAlign w:val="center"/>
          </w:tcPr>
          <w:p w14:paraId="166BF49A">
            <w:pPr>
              <w:ind w:firstLine="0" w:firstLineChars="0"/>
              <w:jc w:val="center"/>
              <w:rPr>
                <w:sz w:val="21"/>
              </w:rPr>
            </w:pPr>
            <w:r>
              <w:rPr>
                <w:rFonts w:hint="eastAsia"/>
                <w:sz w:val="21"/>
              </w:rPr>
              <w:t>运转机构活动件外露部分应有防护罩</w:t>
            </w:r>
          </w:p>
        </w:tc>
        <w:tc>
          <w:tcPr>
            <w:tcW w:w="1592" w:type="dxa"/>
            <w:vAlign w:val="center"/>
          </w:tcPr>
          <w:p w14:paraId="46938126">
            <w:pPr>
              <w:ind w:firstLine="0" w:firstLineChars="0"/>
              <w:jc w:val="center"/>
              <w:rPr>
                <w:sz w:val="21"/>
              </w:rPr>
            </w:pPr>
          </w:p>
        </w:tc>
      </w:tr>
      <w:tr w14:paraId="241DF2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33A94F7">
            <w:pPr>
              <w:ind w:firstLine="0" w:firstLineChars="0"/>
              <w:jc w:val="center"/>
              <w:rPr>
                <w:sz w:val="21"/>
              </w:rPr>
            </w:pPr>
          </w:p>
        </w:tc>
        <w:tc>
          <w:tcPr>
            <w:tcW w:w="1810" w:type="dxa"/>
            <w:vMerge w:val="continue"/>
            <w:vAlign w:val="center"/>
          </w:tcPr>
          <w:p w14:paraId="39718F83">
            <w:pPr>
              <w:ind w:firstLine="0" w:firstLineChars="0"/>
              <w:jc w:val="center"/>
              <w:rPr>
                <w:sz w:val="21"/>
              </w:rPr>
            </w:pPr>
          </w:p>
        </w:tc>
        <w:tc>
          <w:tcPr>
            <w:tcW w:w="4708" w:type="dxa"/>
            <w:vAlign w:val="center"/>
          </w:tcPr>
          <w:p w14:paraId="549B6EE1">
            <w:pPr>
              <w:ind w:firstLine="0" w:firstLineChars="0"/>
              <w:jc w:val="center"/>
              <w:rPr>
                <w:sz w:val="21"/>
              </w:rPr>
            </w:pPr>
            <w:r>
              <w:rPr>
                <w:rFonts w:hint="eastAsia"/>
                <w:sz w:val="21"/>
              </w:rPr>
              <w:t>变幅小车应装断绳保护装置，并有效、可靠。</w:t>
            </w:r>
          </w:p>
        </w:tc>
        <w:tc>
          <w:tcPr>
            <w:tcW w:w="1592" w:type="dxa"/>
            <w:vAlign w:val="center"/>
          </w:tcPr>
          <w:p w14:paraId="69F982DB">
            <w:pPr>
              <w:ind w:firstLine="0" w:firstLineChars="0"/>
              <w:jc w:val="center"/>
              <w:rPr>
                <w:sz w:val="21"/>
              </w:rPr>
            </w:pPr>
          </w:p>
        </w:tc>
      </w:tr>
      <w:tr w14:paraId="59223B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BF034F7">
            <w:pPr>
              <w:ind w:firstLine="0" w:firstLineChars="0"/>
              <w:jc w:val="center"/>
              <w:rPr>
                <w:sz w:val="21"/>
              </w:rPr>
            </w:pPr>
          </w:p>
        </w:tc>
        <w:tc>
          <w:tcPr>
            <w:tcW w:w="1810" w:type="dxa"/>
            <w:vMerge w:val="continue"/>
            <w:vAlign w:val="center"/>
          </w:tcPr>
          <w:p w14:paraId="392CC4B8">
            <w:pPr>
              <w:ind w:firstLine="0" w:firstLineChars="0"/>
              <w:jc w:val="center"/>
              <w:rPr>
                <w:sz w:val="21"/>
              </w:rPr>
            </w:pPr>
          </w:p>
        </w:tc>
        <w:tc>
          <w:tcPr>
            <w:tcW w:w="4708" w:type="dxa"/>
            <w:vAlign w:val="center"/>
          </w:tcPr>
          <w:p w14:paraId="05838A48">
            <w:pPr>
              <w:ind w:firstLine="0" w:firstLineChars="0"/>
              <w:jc w:val="center"/>
              <w:rPr>
                <w:sz w:val="21"/>
              </w:rPr>
            </w:pPr>
            <w:r>
              <w:rPr>
                <w:rFonts w:hint="eastAsia"/>
                <w:sz w:val="21"/>
              </w:rPr>
              <w:t>变幅小车应装防坠落装置，并有效、可靠。</w:t>
            </w:r>
          </w:p>
        </w:tc>
        <w:tc>
          <w:tcPr>
            <w:tcW w:w="1592" w:type="dxa"/>
            <w:vAlign w:val="center"/>
          </w:tcPr>
          <w:p w14:paraId="225CB1EB">
            <w:pPr>
              <w:ind w:firstLine="0" w:firstLineChars="0"/>
              <w:jc w:val="center"/>
              <w:rPr>
                <w:sz w:val="21"/>
              </w:rPr>
            </w:pPr>
          </w:p>
        </w:tc>
      </w:tr>
      <w:tr w14:paraId="1F8364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11636A65">
            <w:pPr>
              <w:ind w:firstLine="0" w:firstLineChars="0"/>
              <w:jc w:val="center"/>
              <w:rPr>
                <w:sz w:val="21"/>
              </w:rPr>
            </w:pPr>
          </w:p>
        </w:tc>
        <w:tc>
          <w:tcPr>
            <w:tcW w:w="1810" w:type="dxa"/>
            <w:vMerge w:val="continue"/>
            <w:vAlign w:val="center"/>
          </w:tcPr>
          <w:p w14:paraId="2DF55B3E">
            <w:pPr>
              <w:ind w:firstLine="0" w:firstLineChars="0"/>
              <w:jc w:val="center"/>
              <w:rPr>
                <w:sz w:val="21"/>
              </w:rPr>
            </w:pPr>
          </w:p>
        </w:tc>
        <w:tc>
          <w:tcPr>
            <w:tcW w:w="4708" w:type="dxa"/>
            <w:vAlign w:val="center"/>
          </w:tcPr>
          <w:p w14:paraId="38BA15FE">
            <w:pPr>
              <w:ind w:firstLine="0" w:firstLineChars="0"/>
              <w:jc w:val="center"/>
              <w:rPr>
                <w:sz w:val="21"/>
              </w:rPr>
            </w:pPr>
            <w:r>
              <w:rPr>
                <w:rFonts w:hint="eastAsia"/>
                <w:sz w:val="21"/>
              </w:rPr>
              <w:t>动臂式塔机有防吊臂后倾装置。</w:t>
            </w:r>
          </w:p>
        </w:tc>
        <w:tc>
          <w:tcPr>
            <w:tcW w:w="1592" w:type="dxa"/>
            <w:vAlign w:val="center"/>
          </w:tcPr>
          <w:p w14:paraId="55EA7B27">
            <w:pPr>
              <w:ind w:firstLine="0" w:firstLineChars="0"/>
              <w:jc w:val="center"/>
              <w:rPr>
                <w:sz w:val="21"/>
              </w:rPr>
            </w:pPr>
          </w:p>
        </w:tc>
      </w:tr>
      <w:tr w14:paraId="1A8F4D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EBD14EF">
            <w:pPr>
              <w:ind w:firstLine="0" w:firstLineChars="0"/>
              <w:jc w:val="center"/>
              <w:rPr>
                <w:sz w:val="21"/>
              </w:rPr>
            </w:pPr>
          </w:p>
        </w:tc>
        <w:tc>
          <w:tcPr>
            <w:tcW w:w="1810" w:type="dxa"/>
            <w:vMerge w:val="continue"/>
            <w:vAlign w:val="center"/>
          </w:tcPr>
          <w:p w14:paraId="06D8DFFB">
            <w:pPr>
              <w:ind w:firstLine="0" w:firstLineChars="0"/>
              <w:jc w:val="center"/>
              <w:rPr>
                <w:sz w:val="21"/>
              </w:rPr>
            </w:pPr>
          </w:p>
        </w:tc>
        <w:tc>
          <w:tcPr>
            <w:tcW w:w="4708" w:type="dxa"/>
            <w:vAlign w:val="center"/>
          </w:tcPr>
          <w:p w14:paraId="49155AC7">
            <w:pPr>
              <w:ind w:firstLine="0" w:firstLineChars="0"/>
              <w:jc w:val="center"/>
              <w:rPr>
                <w:sz w:val="21"/>
              </w:rPr>
            </w:pPr>
            <w:r>
              <w:rPr>
                <w:rFonts w:hint="eastAsia"/>
                <w:sz w:val="21"/>
              </w:rPr>
              <w:t>红色障碍灯（总高度≥30m）应装</w:t>
            </w:r>
          </w:p>
        </w:tc>
        <w:tc>
          <w:tcPr>
            <w:tcW w:w="1592" w:type="dxa"/>
            <w:vAlign w:val="center"/>
          </w:tcPr>
          <w:p w14:paraId="53485FC8">
            <w:pPr>
              <w:ind w:firstLine="0" w:firstLineChars="0"/>
              <w:jc w:val="center"/>
              <w:rPr>
                <w:sz w:val="21"/>
              </w:rPr>
            </w:pPr>
          </w:p>
        </w:tc>
      </w:tr>
      <w:tr w14:paraId="2DD53C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690A92B">
            <w:pPr>
              <w:ind w:firstLine="0" w:firstLineChars="0"/>
              <w:jc w:val="center"/>
              <w:rPr>
                <w:sz w:val="21"/>
              </w:rPr>
            </w:pPr>
          </w:p>
        </w:tc>
        <w:tc>
          <w:tcPr>
            <w:tcW w:w="1810" w:type="dxa"/>
            <w:vMerge w:val="continue"/>
            <w:vAlign w:val="center"/>
          </w:tcPr>
          <w:p w14:paraId="76B686B9">
            <w:pPr>
              <w:ind w:firstLine="0" w:firstLineChars="0"/>
              <w:jc w:val="center"/>
              <w:rPr>
                <w:sz w:val="21"/>
              </w:rPr>
            </w:pPr>
          </w:p>
        </w:tc>
        <w:tc>
          <w:tcPr>
            <w:tcW w:w="4708" w:type="dxa"/>
            <w:vAlign w:val="center"/>
          </w:tcPr>
          <w:p w14:paraId="535B5893">
            <w:pPr>
              <w:ind w:firstLine="0" w:firstLineChars="0"/>
              <w:jc w:val="center"/>
              <w:rPr>
                <w:sz w:val="21"/>
              </w:rPr>
            </w:pPr>
            <w:r>
              <w:rPr>
                <w:rFonts w:hint="eastAsia"/>
                <w:sz w:val="21"/>
              </w:rPr>
              <w:t>升降司机室有防断绳坠落装置。</w:t>
            </w:r>
          </w:p>
        </w:tc>
        <w:tc>
          <w:tcPr>
            <w:tcW w:w="1592" w:type="dxa"/>
            <w:vAlign w:val="center"/>
          </w:tcPr>
          <w:p w14:paraId="7261D27F">
            <w:pPr>
              <w:ind w:firstLine="0" w:firstLineChars="0"/>
              <w:jc w:val="center"/>
              <w:rPr>
                <w:sz w:val="21"/>
              </w:rPr>
            </w:pPr>
          </w:p>
        </w:tc>
      </w:tr>
      <w:tr w14:paraId="57CE11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88BAA64">
            <w:pPr>
              <w:ind w:firstLine="0" w:firstLineChars="0"/>
              <w:jc w:val="center"/>
              <w:rPr>
                <w:sz w:val="21"/>
              </w:rPr>
            </w:pPr>
          </w:p>
        </w:tc>
        <w:tc>
          <w:tcPr>
            <w:tcW w:w="1810" w:type="dxa"/>
            <w:vMerge w:val="continue"/>
            <w:vAlign w:val="center"/>
          </w:tcPr>
          <w:p w14:paraId="5114B790">
            <w:pPr>
              <w:ind w:firstLine="0" w:firstLineChars="0"/>
              <w:jc w:val="center"/>
              <w:rPr>
                <w:sz w:val="21"/>
              </w:rPr>
            </w:pPr>
          </w:p>
        </w:tc>
        <w:tc>
          <w:tcPr>
            <w:tcW w:w="4708" w:type="dxa"/>
            <w:vAlign w:val="center"/>
          </w:tcPr>
          <w:p w14:paraId="22D2E51C">
            <w:pPr>
              <w:ind w:firstLine="0" w:firstLineChars="0"/>
              <w:jc w:val="center"/>
              <w:rPr>
                <w:sz w:val="21"/>
              </w:rPr>
            </w:pPr>
            <w:r>
              <w:rPr>
                <w:rFonts w:hint="eastAsia"/>
                <w:sz w:val="21"/>
              </w:rPr>
              <w:t>升降司机室有上、下极极位装置。</w:t>
            </w:r>
          </w:p>
        </w:tc>
        <w:tc>
          <w:tcPr>
            <w:tcW w:w="1592" w:type="dxa"/>
            <w:vAlign w:val="center"/>
          </w:tcPr>
          <w:p w14:paraId="0FAC15D4">
            <w:pPr>
              <w:ind w:firstLine="0" w:firstLineChars="0"/>
              <w:jc w:val="center"/>
              <w:rPr>
                <w:sz w:val="21"/>
              </w:rPr>
            </w:pPr>
          </w:p>
        </w:tc>
      </w:tr>
      <w:tr w14:paraId="4861DC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Merge w:val="restart"/>
            <w:vAlign w:val="center"/>
          </w:tcPr>
          <w:p w14:paraId="177E566A">
            <w:pPr>
              <w:ind w:firstLine="0" w:firstLineChars="0"/>
              <w:jc w:val="center"/>
              <w:rPr>
                <w:sz w:val="21"/>
              </w:rPr>
            </w:pPr>
            <w:r>
              <w:rPr>
                <w:rFonts w:hint="eastAsia"/>
                <w:sz w:val="21"/>
              </w:rPr>
              <w:t>15</w:t>
            </w:r>
          </w:p>
        </w:tc>
        <w:tc>
          <w:tcPr>
            <w:tcW w:w="1810" w:type="dxa"/>
            <w:vMerge w:val="restart"/>
            <w:vAlign w:val="center"/>
          </w:tcPr>
          <w:p w14:paraId="64C5EA9C">
            <w:pPr>
              <w:ind w:firstLine="0" w:firstLineChars="0"/>
              <w:jc w:val="center"/>
              <w:rPr>
                <w:sz w:val="21"/>
              </w:rPr>
            </w:pPr>
            <w:r>
              <w:rPr>
                <w:rFonts w:hint="eastAsia"/>
                <w:sz w:val="21"/>
              </w:rPr>
              <w:t>电气系统</w:t>
            </w:r>
          </w:p>
        </w:tc>
        <w:tc>
          <w:tcPr>
            <w:tcW w:w="4708" w:type="dxa"/>
            <w:vAlign w:val="center"/>
          </w:tcPr>
          <w:p w14:paraId="17C6552A">
            <w:pPr>
              <w:ind w:firstLine="0" w:firstLineChars="0"/>
              <w:jc w:val="center"/>
              <w:rPr>
                <w:sz w:val="21"/>
              </w:rPr>
            </w:pPr>
            <w:r>
              <w:rPr>
                <w:rFonts w:hint="eastAsia"/>
                <w:sz w:val="21"/>
              </w:rPr>
              <w:t>有独立专用电箱，并符合要求，有接地装置，安全符合要求，接地电阻阻值不大于4Ω</w:t>
            </w:r>
          </w:p>
        </w:tc>
        <w:tc>
          <w:tcPr>
            <w:tcW w:w="1592" w:type="dxa"/>
            <w:vAlign w:val="center"/>
          </w:tcPr>
          <w:p w14:paraId="2EBDF4B7">
            <w:pPr>
              <w:ind w:firstLine="0" w:firstLineChars="0"/>
              <w:jc w:val="center"/>
              <w:rPr>
                <w:sz w:val="21"/>
              </w:rPr>
            </w:pPr>
          </w:p>
        </w:tc>
      </w:tr>
      <w:tr w14:paraId="2D84CC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D5ED4DE">
            <w:pPr>
              <w:ind w:firstLine="0" w:firstLineChars="0"/>
              <w:jc w:val="center"/>
              <w:rPr>
                <w:sz w:val="21"/>
              </w:rPr>
            </w:pPr>
          </w:p>
        </w:tc>
        <w:tc>
          <w:tcPr>
            <w:tcW w:w="1810" w:type="dxa"/>
            <w:vMerge w:val="continue"/>
            <w:vAlign w:val="center"/>
          </w:tcPr>
          <w:p w14:paraId="6A19330B">
            <w:pPr>
              <w:ind w:firstLine="0" w:firstLineChars="0"/>
              <w:jc w:val="center"/>
              <w:rPr>
                <w:sz w:val="21"/>
              </w:rPr>
            </w:pPr>
          </w:p>
        </w:tc>
        <w:tc>
          <w:tcPr>
            <w:tcW w:w="4708" w:type="dxa"/>
            <w:vAlign w:val="center"/>
          </w:tcPr>
          <w:p w14:paraId="63C82A80">
            <w:pPr>
              <w:ind w:firstLine="0" w:firstLineChars="0"/>
              <w:jc w:val="center"/>
              <w:rPr>
                <w:sz w:val="21"/>
              </w:rPr>
            </w:pPr>
            <w:r>
              <w:rPr>
                <w:rFonts w:hint="eastAsia"/>
                <w:sz w:val="21"/>
              </w:rPr>
              <w:t>电源箱漏电保护灵敏、可靠</w:t>
            </w:r>
          </w:p>
        </w:tc>
        <w:tc>
          <w:tcPr>
            <w:tcW w:w="1592" w:type="dxa"/>
            <w:vAlign w:val="center"/>
          </w:tcPr>
          <w:p w14:paraId="111353DC">
            <w:pPr>
              <w:ind w:firstLine="0" w:firstLineChars="0"/>
              <w:jc w:val="center"/>
              <w:rPr>
                <w:sz w:val="21"/>
              </w:rPr>
            </w:pPr>
          </w:p>
        </w:tc>
      </w:tr>
      <w:tr w14:paraId="059A4E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AB3AE4C">
            <w:pPr>
              <w:ind w:firstLine="0" w:firstLineChars="0"/>
              <w:jc w:val="center"/>
              <w:rPr>
                <w:sz w:val="21"/>
              </w:rPr>
            </w:pPr>
          </w:p>
        </w:tc>
        <w:tc>
          <w:tcPr>
            <w:tcW w:w="1810" w:type="dxa"/>
            <w:vMerge w:val="continue"/>
            <w:vAlign w:val="center"/>
          </w:tcPr>
          <w:p w14:paraId="3A32710D">
            <w:pPr>
              <w:ind w:firstLine="0" w:firstLineChars="0"/>
              <w:jc w:val="center"/>
              <w:rPr>
                <w:sz w:val="21"/>
              </w:rPr>
            </w:pPr>
          </w:p>
        </w:tc>
        <w:tc>
          <w:tcPr>
            <w:tcW w:w="4708" w:type="dxa"/>
            <w:vAlign w:val="center"/>
          </w:tcPr>
          <w:p w14:paraId="3C27D897">
            <w:pPr>
              <w:ind w:firstLine="0" w:firstLineChars="0"/>
              <w:jc w:val="center"/>
              <w:rPr>
                <w:sz w:val="21"/>
              </w:rPr>
            </w:pPr>
            <w:r>
              <w:rPr>
                <w:rFonts w:hint="eastAsia"/>
                <w:sz w:val="21"/>
              </w:rPr>
              <w:t>电控柜熔断器选配正确</w:t>
            </w:r>
          </w:p>
        </w:tc>
        <w:tc>
          <w:tcPr>
            <w:tcW w:w="1592" w:type="dxa"/>
            <w:vAlign w:val="center"/>
          </w:tcPr>
          <w:p w14:paraId="5FACDCAA">
            <w:pPr>
              <w:ind w:firstLine="0" w:firstLineChars="0"/>
              <w:jc w:val="center"/>
              <w:rPr>
                <w:sz w:val="21"/>
              </w:rPr>
            </w:pPr>
          </w:p>
        </w:tc>
      </w:tr>
      <w:tr w14:paraId="1D8CAE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BBCE8C8">
            <w:pPr>
              <w:ind w:firstLine="0" w:firstLineChars="0"/>
              <w:jc w:val="center"/>
              <w:rPr>
                <w:sz w:val="21"/>
              </w:rPr>
            </w:pPr>
          </w:p>
        </w:tc>
        <w:tc>
          <w:tcPr>
            <w:tcW w:w="1810" w:type="dxa"/>
            <w:vMerge w:val="continue"/>
            <w:vAlign w:val="center"/>
          </w:tcPr>
          <w:p w14:paraId="693AED76">
            <w:pPr>
              <w:ind w:firstLine="0" w:firstLineChars="0"/>
              <w:jc w:val="center"/>
              <w:rPr>
                <w:sz w:val="21"/>
              </w:rPr>
            </w:pPr>
          </w:p>
        </w:tc>
        <w:tc>
          <w:tcPr>
            <w:tcW w:w="4708" w:type="dxa"/>
            <w:vAlign w:val="center"/>
          </w:tcPr>
          <w:p w14:paraId="14B4B989">
            <w:pPr>
              <w:ind w:firstLine="0" w:firstLineChars="0"/>
              <w:jc w:val="center"/>
              <w:rPr>
                <w:sz w:val="21"/>
              </w:rPr>
            </w:pPr>
            <w:r>
              <w:rPr>
                <w:rFonts w:hint="eastAsia"/>
                <w:sz w:val="21"/>
              </w:rPr>
              <w:t>控制线路有零位保护，照明线路独立</w:t>
            </w:r>
          </w:p>
        </w:tc>
        <w:tc>
          <w:tcPr>
            <w:tcW w:w="1592" w:type="dxa"/>
            <w:vAlign w:val="center"/>
          </w:tcPr>
          <w:p w14:paraId="743E854C">
            <w:pPr>
              <w:ind w:firstLine="0" w:firstLineChars="0"/>
              <w:jc w:val="center"/>
              <w:rPr>
                <w:sz w:val="21"/>
              </w:rPr>
            </w:pPr>
          </w:p>
        </w:tc>
      </w:tr>
      <w:tr w14:paraId="6644D1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39046CB1">
            <w:pPr>
              <w:ind w:firstLine="0" w:firstLineChars="0"/>
              <w:jc w:val="center"/>
              <w:rPr>
                <w:sz w:val="21"/>
              </w:rPr>
            </w:pPr>
            <w:r>
              <w:rPr>
                <w:rFonts w:hint="eastAsia"/>
                <w:sz w:val="21"/>
              </w:rPr>
              <w:t>16</w:t>
            </w:r>
          </w:p>
        </w:tc>
        <w:tc>
          <w:tcPr>
            <w:tcW w:w="1810" w:type="dxa"/>
            <w:vAlign w:val="center"/>
          </w:tcPr>
          <w:p w14:paraId="79CA8DAD">
            <w:pPr>
              <w:ind w:firstLine="0" w:firstLineChars="0"/>
              <w:jc w:val="center"/>
              <w:rPr>
                <w:sz w:val="21"/>
              </w:rPr>
            </w:pPr>
            <w:r>
              <w:rPr>
                <w:rFonts w:hint="eastAsia"/>
                <w:sz w:val="21"/>
              </w:rPr>
              <w:t>司机室</w:t>
            </w:r>
          </w:p>
        </w:tc>
        <w:tc>
          <w:tcPr>
            <w:tcW w:w="4708" w:type="dxa"/>
            <w:vAlign w:val="center"/>
          </w:tcPr>
          <w:p w14:paraId="6AAA1BB5">
            <w:pPr>
              <w:ind w:firstLine="0" w:firstLineChars="0"/>
              <w:jc w:val="center"/>
              <w:rPr>
                <w:sz w:val="21"/>
              </w:rPr>
            </w:pPr>
            <w:r>
              <w:rPr>
                <w:rFonts w:hint="eastAsia"/>
                <w:sz w:val="21"/>
              </w:rPr>
              <w:t>结构安全可靠、连接牢固，装设绝缘地板、电铃，配备灭火器</w:t>
            </w:r>
          </w:p>
        </w:tc>
        <w:tc>
          <w:tcPr>
            <w:tcW w:w="1592" w:type="dxa"/>
            <w:vAlign w:val="center"/>
          </w:tcPr>
          <w:p w14:paraId="1AF5E452">
            <w:pPr>
              <w:ind w:firstLine="0" w:firstLineChars="0"/>
              <w:jc w:val="center"/>
              <w:rPr>
                <w:sz w:val="21"/>
              </w:rPr>
            </w:pPr>
          </w:p>
        </w:tc>
      </w:tr>
      <w:tr w14:paraId="1851AC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79144FC3">
            <w:pPr>
              <w:ind w:firstLine="0" w:firstLineChars="0"/>
              <w:jc w:val="center"/>
              <w:rPr>
                <w:sz w:val="21"/>
              </w:rPr>
            </w:pPr>
            <w:r>
              <w:rPr>
                <w:rFonts w:hint="eastAsia"/>
                <w:sz w:val="21"/>
              </w:rPr>
              <w:t>17</w:t>
            </w:r>
          </w:p>
        </w:tc>
        <w:tc>
          <w:tcPr>
            <w:tcW w:w="1810" w:type="dxa"/>
            <w:vAlign w:val="center"/>
          </w:tcPr>
          <w:p w14:paraId="1B44D198">
            <w:pPr>
              <w:ind w:firstLine="0" w:firstLineChars="0"/>
              <w:jc w:val="center"/>
              <w:rPr>
                <w:sz w:val="21"/>
              </w:rPr>
            </w:pPr>
            <w:r>
              <w:rPr>
                <w:rFonts w:hint="eastAsia"/>
                <w:sz w:val="21"/>
              </w:rPr>
              <w:t>机构部分</w:t>
            </w:r>
          </w:p>
        </w:tc>
        <w:tc>
          <w:tcPr>
            <w:tcW w:w="4708" w:type="dxa"/>
            <w:vAlign w:val="center"/>
          </w:tcPr>
          <w:p w14:paraId="3A298178">
            <w:pPr>
              <w:ind w:firstLine="0" w:firstLineChars="0"/>
              <w:jc w:val="center"/>
              <w:rPr>
                <w:sz w:val="21"/>
              </w:rPr>
            </w:pPr>
            <w:r>
              <w:rPr>
                <w:rFonts w:hint="eastAsia"/>
                <w:sz w:val="21"/>
              </w:rPr>
              <w:t>运转正常，润滑良好，与结构件连接牢固可靠。卷筒上排绳无跳槽交叠现象。</w:t>
            </w:r>
          </w:p>
        </w:tc>
        <w:tc>
          <w:tcPr>
            <w:tcW w:w="1592" w:type="dxa"/>
            <w:vAlign w:val="center"/>
          </w:tcPr>
          <w:p w14:paraId="6558BCD9">
            <w:pPr>
              <w:ind w:firstLine="0" w:firstLineChars="0"/>
              <w:jc w:val="center"/>
              <w:rPr>
                <w:sz w:val="21"/>
              </w:rPr>
            </w:pPr>
          </w:p>
        </w:tc>
      </w:tr>
      <w:tr w14:paraId="1E65FA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8" w:hRule="atLeast"/>
        </w:trPr>
        <w:tc>
          <w:tcPr>
            <w:tcW w:w="430" w:type="dxa"/>
            <w:vAlign w:val="center"/>
          </w:tcPr>
          <w:p w14:paraId="104117D5">
            <w:pPr>
              <w:ind w:firstLine="0" w:firstLineChars="0"/>
              <w:jc w:val="center"/>
              <w:rPr>
                <w:sz w:val="21"/>
              </w:rPr>
            </w:pPr>
            <w:r>
              <w:rPr>
                <w:rFonts w:hint="eastAsia"/>
                <w:sz w:val="21"/>
              </w:rPr>
              <w:t>18</w:t>
            </w:r>
          </w:p>
        </w:tc>
        <w:tc>
          <w:tcPr>
            <w:tcW w:w="1810" w:type="dxa"/>
            <w:vAlign w:val="center"/>
          </w:tcPr>
          <w:p w14:paraId="2C3BFBF4">
            <w:pPr>
              <w:ind w:firstLine="0" w:firstLineChars="0"/>
              <w:jc w:val="center"/>
              <w:rPr>
                <w:sz w:val="21"/>
              </w:rPr>
            </w:pPr>
            <w:r>
              <w:rPr>
                <w:rFonts w:hint="eastAsia"/>
                <w:sz w:val="21"/>
              </w:rPr>
              <w:t>空截试验</w:t>
            </w:r>
          </w:p>
        </w:tc>
        <w:tc>
          <w:tcPr>
            <w:tcW w:w="4708" w:type="dxa"/>
            <w:vAlign w:val="center"/>
          </w:tcPr>
          <w:p w14:paraId="143D949D">
            <w:pPr>
              <w:ind w:firstLine="0" w:firstLineChars="0"/>
              <w:jc w:val="center"/>
              <w:rPr>
                <w:sz w:val="21"/>
              </w:rPr>
            </w:pPr>
            <w:r>
              <w:rPr>
                <w:rFonts w:hint="eastAsia"/>
                <w:sz w:val="21"/>
              </w:rPr>
              <w:t>各工作机构单项动作和联合动作反复三次。各控制器灵敏、可靠、准确，无振动、异响。</w:t>
            </w:r>
          </w:p>
        </w:tc>
        <w:tc>
          <w:tcPr>
            <w:tcW w:w="1592" w:type="dxa"/>
            <w:vAlign w:val="center"/>
          </w:tcPr>
          <w:p w14:paraId="197AFDC4">
            <w:pPr>
              <w:ind w:firstLine="0" w:firstLineChars="0"/>
              <w:jc w:val="center"/>
              <w:rPr>
                <w:sz w:val="21"/>
              </w:rPr>
            </w:pPr>
          </w:p>
        </w:tc>
      </w:tr>
      <w:tr w14:paraId="66DFD1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2" w:hRule="atLeast"/>
        </w:trPr>
        <w:tc>
          <w:tcPr>
            <w:tcW w:w="430" w:type="dxa"/>
            <w:vMerge w:val="restart"/>
            <w:vAlign w:val="center"/>
          </w:tcPr>
          <w:p w14:paraId="4949F5D3">
            <w:pPr>
              <w:ind w:firstLine="0" w:firstLineChars="0"/>
              <w:jc w:val="center"/>
              <w:rPr>
                <w:sz w:val="21"/>
              </w:rPr>
            </w:pPr>
            <w:r>
              <w:rPr>
                <w:rFonts w:hint="eastAsia"/>
                <w:sz w:val="21"/>
              </w:rPr>
              <w:t>19</w:t>
            </w:r>
          </w:p>
        </w:tc>
        <w:tc>
          <w:tcPr>
            <w:tcW w:w="1810" w:type="dxa"/>
            <w:vMerge w:val="restart"/>
            <w:vAlign w:val="center"/>
          </w:tcPr>
          <w:p w14:paraId="35686A22">
            <w:pPr>
              <w:ind w:firstLine="0" w:firstLineChars="0"/>
              <w:jc w:val="center"/>
              <w:rPr>
                <w:sz w:val="21"/>
              </w:rPr>
            </w:pPr>
            <w:r>
              <w:rPr>
                <w:rFonts w:hint="eastAsia"/>
                <w:sz w:val="21"/>
              </w:rPr>
              <w:t>额定载荷试验</w:t>
            </w:r>
          </w:p>
        </w:tc>
        <w:tc>
          <w:tcPr>
            <w:tcW w:w="4708" w:type="dxa"/>
            <w:vAlign w:val="center"/>
          </w:tcPr>
          <w:p w14:paraId="01BC62F6">
            <w:pPr>
              <w:ind w:firstLine="0" w:firstLineChars="0"/>
              <w:jc w:val="center"/>
              <w:rPr>
                <w:sz w:val="21"/>
              </w:rPr>
            </w:pPr>
            <w:r>
              <w:rPr>
                <w:rFonts w:hint="eastAsia"/>
                <w:sz w:val="21"/>
              </w:rPr>
              <w:t>在最大幅度时起升额定起重量，在下降、起升过程中制动三次，以额定速度变幅，全回转。动作正确、制动可靠、钢结构正常。</w:t>
            </w:r>
          </w:p>
        </w:tc>
        <w:tc>
          <w:tcPr>
            <w:tcW w:w="1592" w:type="dxa"/>
            <w:vAlign w:val="center"/>
          </w:tcPr>
          <w:p w14:paraId="332D2B38">
            <w:pPr>
              <w:ind w:firstLine="0" w:firstLineChars="0"/>
              <w:jc w:val="center"/>
              <w:rPr>
                <w:sz w:val="21"/>
              </w:rPr>
            </w:pPr>
          </w:p>
        </w:tc>
      </w:tr>
      <w:tr w14:paraId="1A8DBE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3374D0ED">
            <w:pPr>
              <w:ind w:firstLine="0" w:firstLineChars="0"/>
              <w:jc w:val="center"/>
              <w:rPr>
                <w:sz w:val="21"/>
              </w:rPr>
            </w:pPr>
          </w:p>
        </w:tc>
        <w:tc>
          <w:tcPr>
            <w:tcW w:w="1810" w:type="dxa"/>
            <w:vMerge w:val="continue"/>
            <w:vAlign w:val="center"/>
          </w:tcPr>
          <w:p w14:paraId="237FDB22">
            <w:pPr>
              <w:ind w:firstLine="0" w:firstLineChars="0"/>
              <w:jc w:val="center"/>
              <w:rPr>
                <w:sz w:val="21"/>
              </w:rPr>
            </w:pPr>
          </w:p>
        </w:tc>
        <w:tc>
          <w:tcPr>
            <w:tcW w:w="4708" w:type="dxa"/>
            <w:vAlign w:val="center"/>
          </w:tcPr>
          <w:p w14:paraId="7B066251">
            <w:pPr>
              <w:ind w:firstLine="0" w:firstLineChars="0"/>
              <w:jc w:val="center"/>
              <w:rPr>
                <w:sz w:val="21"/>
              </w:rPr>
            </w:pPr>
            <w:r>
              <w:rPr>
                <w:rFonts w:hint="eastAsia"/>
                <w:sz w:val="21"/>
              </w:rPr>
              <w:t>吊起最大起重量在相应的最大幅度时，起升、下降过程中制动三次，以额定速度向里变幅（动臂式不试），全回转。动作正确、制动可靠、钢结构正常。</w:t>
            </w:r>
          </w:p>
        </w:tc>
        <w:tc>
          <w:tcPr>
            <w:tcW w:w="1592" w:type="dxa"/>
            <w:vAlign w:val="center"/>
          </w:tcPr>
          <w:p w14:paraId="3EF6BBC1">
            <w:pPr>
              <w:ind w:firstLine="0" w:firstLineChars="0"/>
              <w:jc w:val="center"/>
              <w:rPr>
                <w:sz w:val="21"/>
              </w:rPr>
            </w:pPr>
          </w:p>
        </w:tc>
      </w:tr>
      <w:tr w14:paraId="28691E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430" w:type="dxa"/>
            <w:vMerge w:val="restart"/>
            <w:vAlign w:val="center"/>
          </w:tcPr>
          <w:p w14:paraId="4AD3B5C2">
            <w:pPr>
              <w:ind w:firstLine="0" w:firstLineChars="0"/>
              <w:jc w:val="center"/>
              <w:rPr>
                <w:sz w:val="21"/>
              </w:rPr>
            </w:pPr>
            <w:r>
              <w:rPr>
                <w:rFonts w:hint="eastAsia"/>
                <w:sz w:val="21"/>
              </w:rPr>
              <w:t>20</w:t>
            </w:r>
          </w:p>
        </w:tc>
        <w:tc>
          <w:tcPr>
            <w:tcW w:w="1810" w:type="dxa"/>
            <w:vMerge w:val="restart"/>
            <w:vAlign w:val="center"/>
          </w:tcPr>
          <w:p w14:paraId="36F0B675">
            <w:pPr>
              <w:ind w:firstLine="0" w:firstLineChars="0"/>
              <w:jc w:val="center"/>
              <w:rPr>
                <w:sz w:val="21"/>
              </w:rPr>
            </w:pPr>
            <w:r>
              <w:rPr>
                <w:rFonts w:hint="eastAsia"/>
                <w:sz w:val="21"/>
              </w:rPr>
              <w:t>超载10%动载试验</w:t>
            </w:r>
          </w:p>
        </w:tc>
        <w:tc>
          <w:tcPr>
            <w:tcW w:w="4708" w:type="dxa"/>
            <w:vAlign w:val="center"/>
          </w:tcPr>
          <w:p w14:paraId="4B947E52">
            <w:pPr>
              <w:ind w:firstLine="0" w:firstLineChars="0"/>
              <w:jc w:val="center"/>
              <w:rPr>
                <w:sz w:val="21"/>
              </w:rPr>
            </w:pPr>
            <w:r>
              <w:rPr>
                <w:rFonts w:hint="eastAsia"/>
                <w:sz w:val="21"/>
              </w:rPr>
              <w:t>最大幅度时吊起相应额定超重量的110%，以额定速度起升、下降变幅、回转。各机构运转灵活，制动可靠，连接无松动和破坏，钢结构完好正常。</w:t>
            </w:r>
          </w:p>
        </w:tc>
        <w:tc>
          <w:tcPr>
            <w:tcW w:w="1592" w:type="dxa"/>
            <w:vAlign w:val="center"/>
          </w:tcPr>
          <w:p w14:paraId="1ABEE523">
            <w:pPr>
              <w:ind w:firstLine="0" w:firstLineChars="0"/>
              <w:jc w:val="center"/>
              <w:rPr>
                <w:sz w:val="21"/>
              </w:rPr>
            </w:pPr>
          </w:p>
        </w:tc>
      </w:tr>
      <w:tr w14:paraId="3A129F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63D407D8">
            <w:pPr>
              <w:ind w:firstLine="0" w:firstLineChars="0"/>
              <w:jc w:val="center"/>
              <w:rPr>
                <w:sz w:val="21"/>
              </w:rPr>
            </w:pPr>
          </w:p>
        </w:tc>
        <w:tc>
          <w:tcPr>
            <w:tcW w:w="1810" w:type="dxa"/>
            <w:vMerge w:val="continue"/>
            <w:vAlign w:val="center"/>
          </w:tcPr>
          <w:p w14:paraId="583DC794">
            <w:pPr>
              <w:ind w:firstLine="0" w:firstLineChars="0"/>
              <w:jc w:val="center"/>
              <w:rPr>
                <w:sz w:val="21"/>
              </w:rPr>
            </w:pPr>
          </w:p>
        </w:tc>
        <w:tc>
          <w:tcPr>
            <w:tcW w:w="4708" w:type="dxa"/>
            <w:vAlign w:val="center"/>
          </w:tcPr>
          <w:p w14:paraId="551E5800">
            <w:pPr>
              <w:ind w:firstLine="0" w:firstLineChars="0"/>
              <w:jc w:val="center"/>
              <w:rPr>
                <w:sz w:val="21"/>
              </w:rPr>
            </w:pPr>
            <w:r>
              <w:rPr>
                <w:rFonts w:hint="eastAsia"/>
                <w:sz w:val="21"/>
              </w:rPr>
              <w:t>吊起最大起重量的110%，在相应的最大幅度时起升、下降变幅（向里）、回转。各机构运转灵活，制动可靠，连接无松动和破坏，钢结构完好正常。</w:t>
            </w:r>
          </w:p>
        </w:tc>
        <w:tc>
          <w:tcPr>
            <w:tcW w:w="1592" w:type="dxa"/>
            <w:vAlign w:val="center"/>
          </w:tcPr>
          <w:p w14:paraId="0822CCAC">
            <w:pPr>
              <w:ind w:firstLine="0" w:firstLineChars="0"/>
              <w:jc w:val="center"/>
              <w:rPr>
                <w:sz w:val="21"/>
              </w:rPr>
            </w:pPr>
          </w:p>
        </w:tc>
      </w:tr>
      <w:tr w14:paraId="5C19D5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Align w:val="center"/>
          </w:tcPr>
          <w:p w14:paraId="77857F39">
            <w:pPr>
              <w:ind w:firstLine="0" w:firstLineChars="0"/>
              <w:jc w:val="center"/>
              <w:rPr>
                <w:sz w:val="21"/>
              </w:rPr>
            </w:pPr>
            <w:r>
              <w:rPr>
                <w:rFonts w:hint="eastAsia"/>
                <w:sz w:val="21"/>
              </w:rPr>
              <w:t>21</w:t>
            </w:r>
          </w:p>
        </w:tc>
        <w:tc>
          <w:tcPr>
            <w:tcW w:w="1810" w:type="dxa"/>
            <w:vAlign w:val="center"/>
          </w:tcPr>
          <w:p w14:paraId="576EAECF">
            <w:pPr>
              <w:ind w:firstLine="0" w:firstLineChars="0"/>
              <w:jc w:val="center"/>
              <w:rPr>
                <w:sz w:val="21"/>
              </w:rPr>
            </w:pPr>
            <w:r>
              <w:rPr>
                <w:rFonts w:hint="eastAsia"/>
                <w:sz w:val="21"/>
              </w:rPr>
              <w:t>超载25%静载试验</w:t>
            </w:r>
          </w:p>
        </w:tc>
        <w:tc>
          <w:tcPr>
            <w:tcW w:w="4708" w:type="dxa"/>
            <w:vAlign w:val="center"/>
          </w:tcPr>
          <w:p w14:paraId="4C3513D7">
            <w:pPr>
              <w:ind w:firstLine="0" w:firstLineChars="0"/>
              <w:jc w:val="center"/>
              <w:rPr>
                <w:sz w:val="21"/>
              </w:rPr>
            </w:pPr>
            <w:r>
              <w:rPr>
                <w:rFonts w:hint="eastAsia"/>
                <w:sz w:val="21"/>
              </w:rPr>
              <w:t>额定载荷的125%，以最低速度吊离地面100-200mm，停留10min。要求不下滑，卸载后，所有部件不得了现裂纹、永久变形、油漆剥落、连接松动等现象。</w:t>
            </w:r>
          </w:p>
        </w:tc>
        <w:tc>
          <w:tcPr>
            <w:tcW w:w="1592" w:type="dxa"/>
            <w:vAlign w:val="center"/>
          </w:tcPr>
          <w:p w14:paraId="2B46F460">
            <w:pPr>
              <w:ind w:firstLine="0" w:firstLineChars="0"/>
              <w:jc w:val="center"/>
              <w:rPr>
                <w:sz w:val="21"/>
              </w:rPr>
            </w:pPr>
          </w:p>
        </w:tc>
      </w:tr>
      <w:tr w14:paraId="13B8C2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0" w:hRule="atLeast"/>
        </w:trPr>
        <w:tc>
          <w:tcPr>
            <w:tcW w:w="430" w:type="dxa"/>
            <w:vAlign w:val="center"/>
          </w:tcPr>
          <w:p w14:paraId="661F718D">
            <w:pPr>
              <w:ind w:firstLine="0" w:firstLineChars="0"/>
              <w:jc w:val="center"/>
              <w:rPr>
                <w:sz w:val="21"/>
              </w:rPr>
            </w:pPr>
            <w:r>
              <w:rPr>
                <w:rFonts w:hint="eastAsia"/>
                <w:sz w:val="21"/>
              </w:rPr>
              <w:t>验收意见</w:t>
            </w:r>
          </w:p>
        </w:tc>
        <w:tc>
          <w:tcPr>
            <w:tcW w:w="8110" w:type="dxa"/>
            <w:gridSpan w:val="3"/>
            <w:vAlign w:val="center"/>
          </w:tcPr>
          <w:p w14:paraId="5F540BF5">
            <w:pPr>
              <w:ind w:firstLine="0" w:firstLineChars="0"/>
              <w:jc w:val="center"/>
              <w:rPr>
                <w:sz w:val="21"/>
              </w:rPr>
            </w:pPr>
            <w:r>
              <w:rPr>
                <w:rFonts w:hint="eastAsia"/>
                <w:sz w:val="21"/>
              </w:rPr>
              <w:t xml:space="preserve"> </w:t>
            </w:r>
          </w:p>
          <w:p w14:paraId="365B98C3">
            <w:pPr>
              <w:ind w:firstLine="0" w:firstLineChars="0"/>
              <w:jc w:val="center"/>
              <w:rPr>
                <w:sz w:val="21"/>
              </w:rPr>
            </w:pPr>
            <w:r>
              <w:rPr>
                <w:rFonts w:hint="eastAsia"/>
                <w:sz w:val="21"/>
              </w:rPr>
              <w:t xml:space="preserve"> </w:t>
            </w:r>
          </w:p>
          <w:p w14:paraId="730033BF">
            <w:pPr>
              <w:ind w:firstLine="0" w:firstLineChars="0"/>
              <w:jc w:val="center"/>
              <w:rPr>
                <w:sz w:val="21"/>
              </w:rPr>
            </w:pPr>
            <w:r>
              <w:rPr>
                <w:rFonts w:hint="eastAsia"/>
                <w:sz w:val="21"/>
              </w:rPr>
              <w:t xml:space="preserve"> </w:t>
            </w:r>
          </w:p>
          <w:p w14:paraId="69CE2E74">
            <w:pPr>
              <w:ind w:firstLine="0" w:firstLineChars="0"/>
              <w:jc w:val="center"/>
              <w:rPr>
                <w:sz w:val="21"/>
              </w:rPr>
            </w:pPr>
            <w:r>
              <w:rPr>
                <w:rFonts w:hint="eastAsia"/>
                <w:sz w:val="21"/>
              </w:rPr>
              <w:t xml:space="preserve">                         安装单位公章</w:t>
            </w:r>
          </w:p>
          <w:p w14:paraId="25D912F3">
            <w:pPr>
              <w:ind w:firstLine="0" w:firstLineChars="0"/>
              <w:jc w:val="center"/>
              <w:rPr>
                <w:sz w:val="21"/>
              </w:rPr>
            </w:pPr>
            <w:r>
              <w:rPr>
                <w:rFonts w:hint="eastAsia"/>
                <w:sz w:val="21"/>
              </w:rPr>
              <w:t xml:space="preserve">                         年  月   日</w:t>
            </w:r>
          </w:p>
        </w:tc>
      </w:tr>
      <w:tr w14:paraId="69B2BD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430" w:type="dxa"/>
            <w:vAlign w:val="center"/>
          </w:tcPr>
          <w:p w14:paraId="321BD9D7">
            <w:pPr>
              <w:ind w:firstLine="0" w:firstLineChars="0"/>
              <w:jc w:val="center"/>
              <w:rPr>
                <w:sz w:val="21"/>
              </w:rPr>
            </w:pPr>
            <w:r>
              <w:rPr>
                <w:rFonts w:hint="eastAsia"/>
                <w:sz w:val="21"/>
              </w:rPr>
              <w:t>验收人</w:t>
            </w:r>
          </w:p>
        </w:tc>
        <w:tc>
          <w:tcPr>
            <w:tcW w:w="8110" w:type="dxa"/>
            <w:gridSpan w:val="3"/>
            <w:vAlign w:val="center"/>
          </w:tcPr>
          <w:p w14:paraId="7180E6B8">
            <w:pPr>
              <w:ind w:firstLine="0" w:firstLineChars="0"/>
              <w:jc w:val="center"/>
              <w:rPr>
                <w:sz w:val="21"/>
              </w:rPr>
            </w:pPr>
            <w:r>
              <w:rPr>
                <w:rFonts w:hint="eastAsia"/>
                <w:sz w:val="21"/>
              </w:rPr>
              <w:t>安装单位技术负责人：               使用单位设备主管：</w:t>
            </w:r>
          </w:p>
          <w:p w14:paraId="792003F9">
            <w:pPr>
              <w:ind w:firstLine="0" w:firstLineChars="0"/>
              <w:jc w:val="center"/>
              <w:rPr>
                <w:sz w:val="21"/>
              </w:rPr>
            </w:pPr>
            <w:r>
              <w:rPr>
                <w:rFonts w:hint="eastAsia"/>
                <w:sz w:val="21"/>
              </w:rPr>
              <w:t>安装队长（组长）：                   监理单位：</w:t>
            </w:r>
          </w:p>
          <w:p w14:paraId="5C454D48">
            <w:pPr>
              <w:ind w:firstLine="0" w:firstLineChars="0"/>
              <w:jc w:val="center"/>
              <w:rPr>
                <w:sz w:val="21"/>
              </w:rPr>
            </w:pPr>
            <w:r>
              <w:rPr>
                <w:rFonts w:hint="eastAsia"/>
                <w:sz w:val="21"/>
              </w:rPr>
              <w:t>其他参检人员：</w:t>
            </w:r>
          </w:p>
        </w:tc>
      </w:tr>
      <w:tr w14:paraId="69771C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 w:hRule="atLeast"/>
        </w:trPr>
        <w:tc>
          <w:tcPr>
            <w:tcW w:w="430" w:type="dxa"/>
            <w:vAlign w:val="center"/>
          </w:tcPr>
          <w:p w14:paraId="0922FBED">
            <w:pPr>
              <w:ind w:firstLine="0" w:firstLineChars="0"/>
              <w:jc w:val="center"/>
              <w:rPr>
                <w:sz w:val="21"/>
              </w:rPr>
            </w:pPr>
            <w:r>
              <w:rPr>
                <w:rFonts w:hint="eastAsia"/>
                <w:sz w:val="21"/>
              </w:rPr>
              <w:t>注</w:t>
            </w:r>
          </w:p>
        </w:tc>
        <w:tc>
          <w:tcPr>
            <w:tcW w:w="8110" w:type="dxa"/>
            <w:gridSpan w:val="3"/>
            <w:vAlign w:val="center"/>
          </w:tcPr>
          <w:p w14:paraId="1E276C6C">
            <w:pPr>
              <w:ind w:firstLine="0" w:firstLineChars="0"/>
              <w:jc w:val="center"/>
              <w:rPr>
                <w:sz w:val="21"/>
              </w:rPr>
            </w:pPr>
            <w:r>
              <w:rPr>
                <w:rFonts w:hint="eastAsia"/>
                <w:sz w:val="21"/>
              </w:rPr>
              <w:t>检查记录栏能填写具体数据的应尽量填写具体数据，检查有问题的应注明引起问题的原因</w:t>
            </w:r>
          </w:p>
        </w:tc>
      </w:tr>
    </w:tbl>
    <w:p w14:paraId="513C41CC">
      <w:pPr>
        <w:spacing w:line="360" w:lineRule="auto"/>
        <w:jc w:val="left"/>
        <w:rPr>
          <w:rFonts w:hint="default"/>
        </w:rPr>
      </w:pPr>
    </w:p>
    <w:sectPr>
      <w:headerReference r:id="rId9" w:type="default"/>
      <w:footerReference r:id="rId10" w:type="default"/>
      <w:pgSz w:w="11906" w:h="16838"/>
      <w:pgMar w:top="1417" w:right="1304" w:bottom="1417" w:left="1587" w:header="850"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ECD9910-2FF0-4AA8-92F8-D7FEC409912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AF4684F-903A-4B49-A91B-D8B5970704CD}"/>
  </w:font>
  <w:font w:name="仿宋">
    <w:panose1 w:val="02010609060101010101"/>
    <w:charset w:val="86"/>
    <w:family w:val="modern"/>
    <w:pitch w:val="default"/>
    <w:sig w:usb0="800002BF" w:usb1="38CF7CFA" w:usb2="00000016" w:usb3="00000000" w:csb0="00040001" w:csb1="00000000"/>
    <w:embedRegular r:id="rId3" w:fontKey="{3554C439-7E90-46CA-B214-2033E0FB71C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仿宋_GB2312"/>
    <w:panose1 w:val="02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0E6F333-8156-4621-8A04-8CD84F4DBF1E}"/>
  </w:font>
  <w:font w:name="Dutch801 Rm BT">
    <w:altName w:val="Times New Roman"/>
    <w:panose1 w:val="02020603060505020304"/>
    <w:charset w:val="00"/>
    <w:family w:val="roman"/>
    <w:pitch w:val="default"/>
    <w:sig w:usb0="00000000" w:usb1="00000000" w:usb2="00000000" w:usb3="00000000" w:csb0="0000001B" w:csb1="00000000"/>
  </w:font>
  <w:font w:name="楷体_GB2312">
    <w:panose1 w:val="02010609030101010101"/>
    <w:charset w:val="86"/>
    <w:family w:val="modern"/>
    <w:pitch w:val="default"/>
    <w:sig w:usb0="00000001" w:usb1="080E0000" w:usb2="00000000" w:usb3="00000000" w:csb0="00040000" w:csb1="00000000"/>
    <w:embedRegular r:id="rId5" w:fontKey="{79DC9FD4-C915-49D2-923B-49E6AB52DB99}"/>
  </w:font>
  <w:font w:name="微软雅黑">
    <w:panose1 w:val="020B0503020204020204"/>
    <w:charset w:val="86"/>
    <w:family w:val="swiss"/>
    <w:pitch w:val="default"/>
    <w:sig w:usb0="80000287" w:usb1="280F3C52" w:usb2="00000016" w:usb3="00000000" w:csb0="0004001F" w:csb1="00000000"/>
    <w:embedRegular r:id="rId6" w:fontKey="{88A170B3-F0A5-40D3-8DCE-20CC5660D380}"/>
  </w:font>
  <w:font w:name="Tahoma">
    <w:panose1 w:val="020B0604030504040204"/>
    <w:charset w:val="00"/>
    <w:family w:val="swiss"/>
    <w:pitch w:val="default"/>
    <w:sig w:usb0="E1002EFF" w:usb1="C000605B" w:usb2="00000029" w:usb3="00000000" w:csb0="200101FF" w:csb1="20280000"/>
    <w:embedRegular r:id="rId7" w:fontKey="{5EEFAA86-6943-480E-9850-6AF7F76090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7B6A5">
    <w:pPr>
      <w:pStyle w:val="25"/>
    </w:pPr>
    <w:r>
      <w:fldChar w:fldCharType="begin"/>
    </w:r>
    <w:r>
      <w:instrText xml:space="preserve"> PAGE   \* MERGEFORMAT </w:instrText>
    </w:r>
    <w:r>
      <w:fldChar w:fldCharType="separate"/>
    </w:r>
    <w:r>
      <w:rPr>
        <w:lang w:val="zh-CN"/>
      </w:rPr>
      <w:t>4</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017EA">
    <w:pPr>
      <w:pStyle w:val="25"/>
    </w:pPr>
    <w:r>
      <mc:AlternateContent>
        <mc:Choice Requires="wps">
          <w:drawing>
            <wp:anchor distT="0" distB="0" distL="114300" distR="114300" simplePos="0" relativeHeight="251659264" behindDoc="0" locked="0" layoutInCell="1" allowOverlap="1">
              <wp:simplePos x="0" y="0"/>
              <wp:positionH relativeFrom="margin">
                <wp:posOffset>2714625</wp:posOffset>
              </wp:positionH>
              <wp:positionV relativeFrom="paragraph">
                <wp:posOffset>-1905</wp:posOffset>
              </wp:positionV>
              <wp:extent cx="685800" cy="5334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685800" cy="533400"/>
                      </a:xfrm>
                      <a:prstGeom prst="rect">
                        <a:avLst/>
                      </a:prstGeom>
                      <a:noFill/>
                      <a:ln w="6350">
                        <a:noFill/>
                      </a:ln>
                      <a:effectLst/>
                    </wps:spPr>
                    <wps:txbx>
                      <w:txbxContent>
                        <w:sdt>
                          <w:sdtPr>
                            <w:id w:val="-2017679504"/>
                          </w:sdtPr>
                          <w:sdtContent>
                            <w:p w14:paraId="17641CC0">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5pt;margin-top:-0.15pt;height:42pt;width:54pt;mso-position-horizontal-relative:margin;z-index:251659264;mso-width-relative:page;mso-height-relative:page;" filled="f" stroked="f" coordsize="21600,21600" o:gfxdata="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zfWV1wAAAAgBAAAPAAAAAAAAAAEAIAAAACIAAABkcnMvZG93bnJl&#10;di54bWxQSwECFAAUAAAACACHTuJAKwxx1jcCAABlBAAADgAAAAAAAAABACAAAAAmAQAAZHJzL2Uy&#10;b0RvYy54bWxQSwUGAAAAAAYABgBZAQAAzwUAAAAA&#10;">
              <v:fill on="f" focussize="0,0"/>
              <v:stroke on="f" weight="0.5pt"/>
              <v:imagedata o:title=""/>
              <o:lock v:ext="edit" aspectratio="f"/>
              <v:textbox inset="0mm,0mm,0mm,0mm">
                <w:txbxContent>
                  <w:sdt>
                    <w:sdtPr>
                      <w:id w:val="-2017679504"/>
                    </w:sdtPr>
                    <w:sdtContent>
                      <w:p w14:paraId="17641CC0">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DF884">
    <w:pPr>
      <w:pStyle w:val="26"/>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C7629">
    <w:pPr>
      <w:pStyle w:val="26"/>
      <w:pBdr>
        <w:bottom w:val="single" w:color="auto" w:sz="4" w:space="1"/>
      </w:pBdr>
      <w:ind w:firstLine="0" w:firstLineChars="0"/>
      <w:jc w:val="both"/>
    </w:pPr>
    <w:r>
      <w:rPr>
        <w:rFonts w:hint="eastAsia"/>
        <w:sz w:val="21"/>
        <w:szCs w:val="21"/>
      </w:rPr>
      <w:t>巢马城际铁路马鞍山长江公铁大桥C</w:t>
    </w:r>
    <w:r>
      <w:rPr>
        <w:sz w:val="21"/>
        <w:szCs w:val="21"/>
      </w:rPr>
      <w:t>MSG-1</w:t>
    </w:r>
    <w:r>
      <w:rPr>
        <w:rFonts w:hint="eastAsia"/>
        <w:sz w:val="21"/>
        <w:szCs w:val="21"/>
      </w:rPr>
      <w:t>标</w:t>
    </w:r>
    <w:r>
      <w:rPr>
        <w:rFonts w:hint="eastAsia"/>
        <w:sz w:val="21"/>
      </w:rPr>
      <w:t>Z4号墩钻孔桩施工方案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9ABC6">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EC71D">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4EC0C"/>
    <w:multiLevelType w:val="singleLevel"/>
    <w:tmpl w:val="8BC4EC0C"/>
    <w:lvl w:ilvl="0" w:tentative="0">
      <w:start w:val="1"/>
      <w:numFmt w:val="decimal"/>
      <w:suff w:val="nothing"/>
      <w:lvlText w:val="%1"/>
      <w:lvlJc w:val="left"/>
      <w:pPr>
        <w:ind w:left="425" w:leftChars="0" w:hanging="425" w:firstLineChars="0"/>
      </w:pPr>
      <w:rPr>
        <w:rFonts w:hint="default"/>
      </w:rPr>
    </w:lvl>
  </w:abstractNum>
  <w:abstractNum w:abstractNumId="1">
    <w:nsid w:val="109E9A60"/>
    <w:multiLevelType w:val="singleLevel"/>
    <w:tmpl w:val="109E9A60"/>
    <w:lvl w:ilvl="0" w:tentative="0">
      <w:start w:val="1"/>
      <w:numFmt w:val="decimal"/>
      <w:lvlText w:val="(%1)"/>
      <w:lvlJc w:val="left"/>
      <w:pPr>
        <w:ind w:left="425" w:hanging="425"/>
      </w:pPr>
      <w:rPr>
        <w:rFonts w:hint="default"/>
      </w:rPr>
    </w:lvl>
  </w:abstractNum>
  <w:abstractNum w:abstractNumId="2">
    <w:nsid w:val="1FC6B92C"/>
    <w:multiLevelType w:val="singleLevel"/>
    <w:tmpl w:val="1FC6B92C"/>
    <w:lvl w:ilvl="0" w:tentative="0">
      <w:start w:val="1"/>
      <w:numFmt w:val="decimal"/>
      <w:suff w:val="nothing"/>
      <w:lvlText w:val="（%1）"/>
      <w:lvlJc w:val="left"/>
    </w:lvl>
  </w:abstractNum>
  <w:abstractNum w:abstractNumId="3">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59"/>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2C1E2400"/>
    <w:multiLevelType w:val="multilevel"/>
    <w:tmpl w:val="2C1E2400"/>
    <w:lvl w:ilvl="0" w:tentative="0">
      <w:start w:val="1"/>
      <w:numFmt w:val="decimal"/>
      <w:pStyle w:val="158"/>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7"/>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00724879"/>
    <w:rsid w:val="00000644"/>
    <w:rsid w:val="00000883"/>
    <w:rsid w:val="00001995"/>
    <w:rsid w:val="000041D0"/>
    <w:rsid w:val="000049C8"/>
    <w:rsid w:val="00005368"/>
    <w:rsid w:val="00005715"/>
    <w:rsid w:val="000138A4"/>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E110C"/>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2EAA"/>
    <w:rsid w:val="00224618"/>
    <w:rsid w:val="002257DC"/>
    <w:rsid w:val="00233B57"/>
    <w:rsid w:val="00240C6B"/>
    <w:rsid w:val="00243502"/>
    <w:rsid w:val="00243895"/>
    <w:rsid w:val="002468D6"/>
    <w:rsid w:val="00252075"/>
    <w:rsid w:val="00252982"/>
    <w:rsid w:val="00252F7F"/>
    <w:rsid w:val="00254E40"/>
    <w:rsid w:val="0025717E"/>
    <w:rsid w:val="00261890"/>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1BFC"/>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1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17D7"/>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60E55"/>
    <w:rsid w:val="006721EE"/>
    <w:rsid w:val="0067448F"/>
    <w:rsid w:val="00675491"/>
    <w:rsid w:val="00677B0F"/>
    <w:rsid w:val="00682617"/>
    <w:rsid w:val="00684627"/>
    <w:rsid w:val="00687066"/>
    <w:rsid w:val="00687E02"/>
    <w:rsid w:val="006919C4"/>
    <w:rsid w:val="0069372B"/>
    <w:rsid w:val="00697D3E"/>
    <w:rsid w:val="006A123D"/>
    <w:rsid w:val="006A3F1D"/>
    <w:rsid w:val="006A532D"/>
    <w:rsid w:val="006B01F6"/>
    <w:rsid w:val="006B1CB8"/>
    <w:rsid w:val="006B5391"/>
    <w:rsid w:val="006B6712"/>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15A7C"/>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C6815"/>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121"/>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0AE7"/>
    <w:rsid w:val="00D9271B"/>
    <w:rsid w:val="00D929E5"/>
    <w:rsid w:val="00D944FD"/>
    <w:rsid w:val="00D94A95"/>
    <w:rsid w:val="00D94B49"/>
    <w:rsid w:val="00DA164A"/>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1F44"/>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34D8"/>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2D1F"/>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9D6AB9"/>
    <w:rsid w:val="01B70159"/>
    <w:rsid w:val="022B147B"/>
    <w:rsid w:val="02473B64"/>
    <w:rsid w:val="024E68F9"/>
    <w:rsid w:val="026034A4"/>
    <w:rsid w:val="026B1259"/>
    <w:rsid w:val="027F559A"/>
    <w:rsid w:val="028D07AE"/>
    <w:rsid w:val="029F19F6"/>
    <w:rsid w:val="02A82A5A"/>
    <w:rsid w:val="02AA3C0C"/>
    <w:rsid w:val="03013B6D"/>
    <w:rsid w:val="031C1E88"/>
    <w:rsid w:val="034A66A9"/>
    <w:rsid w:val="035954C6"/>
    <w:rsid w:val="036C58F1"/>
    <w:rsid w:val="037C3925"/>
    <w:rsid w:val="038D16A3"/>
    <w:rsid w:val="03A04F32"/>
    <w:rsid w:val="03B35954"/>
    <w:rsid w:val="03D754CE"/>
    <w:rsid w:val="03F77431"/>
    <w:rsid w:val="04310077"/>
    <w:rsid w:val="04B75C12"/>
    <w:rsid w:val="04C17856"/>
    <w:rsid w:val="05621708"/>
    <w:rsid w:val="057463BE"/>
    <w:rsid w:val="05B747B5"/>
    <w:rsid w:val="05F257ED"/>
    <w:rsid w:val="06077EDF"/>
    <w:rsid w:val="06687665"/>
    <w:rsid w:val="066E1B3F"/>
    <w:rsid w:val="069F5975"/>
    <w:rsid w:val="06AB702E"/>
    <w:rsid w:val="06C63DCA"/>
    <w:rsid w:val="06E72E78"/>
    <w:rsid w:val="06ED4932"/>
    <w:rsid w:val="06FE57E9"/>
    <w:rsid w:val="0722574C"/>
    <w:rsid w:val="074B6EE2"/>
    <w:rsid w:val="07635FCF"/>
    <w:rsid w:val="07952355"/>
    <w:rsid w:val="07993CD2"/>
    <w:rsid w:val="079B438E"/>
    <w:rsid w:val="07C00E4E"/>
    <w:rsid w:val="07E21FBD"/>
    <w:rsid w:val="07F05134"/>
    <w:rsid w:val="07F43A9E"/>
    <w:rsid w:val="080413FB"/>
    <w:rsid w:val="08236132"/>
    <w:rsid w:val="082A7B12"/>
    <w:rsid w:val="082D13CD"/>
    <w:rsid w:val="08910D3A"/>
    <w:rsid w:val="08EB55E1"/>
    <w:rsid w:val="092E38AA"/>
    <w:rsid w:val="094840A2"/>
    <w:rsid w:val="09AB2883"/>
    <w:rsid w:val="09D956DD"/>
    <w:rsid w:val="0A144128"/>
    <w:rsid w:val="0A740EC6"/>
    <w:rsid w:val="0A93759F"/>
    <w:rsid w:val="0A94204F"/>
    <w:rsid w:val="0AE1405A"/>
    <w:rsid w:val="0B094001"/>
    <w:rsid w:val="0B1129A9"/>
    <w:rsid w:val="0B226094"/>
    <w:rsid w:val="0B3348DE"/>
    <w:rsid w:val="0B51492D"/>
    <w:rsid w:val="0B5F6C33"/>
    <w:rsid w:val="0B6A29E8"/>
    <w:rsid w:val="0BEB6927"/>
    <w:rsid w:val="0BF441D0"/>
    <w:rsid w:val="0C0555AD"/>
    <w:rsid w:val="0C1B7CB9"/>
    <w:rsid w:val="0C6A5DB6"/>
    <w:rsid w:val="0CA5180B"/>
    <w:rsid w:val="0CB44F3B"/>
    <w:rsid w:val="0D042A38"/>
    <w:rsid w:val="0D06420C"/>
    <w:rsid w:val="0D411DDA"/>
    <w:rsid w:val="0D5B63A5"/>
    <w:rsid w:val="0D5F5E5E"/>
    <w:rsid w:val="0D7039A8"/>
    <w:rsid w:val="0D76383F"/>
    <w:rsid w:val="0D8C4BF5"/>
    <w:rsid w:val="0D95362E"/>
    <w:rsid w:val="0DAA6A9C"/>
    <w:rsid w:val="0E76520D"/>
    <w:rsid w:val="0F11511A"/>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8F09DB"/>
    <w:rsid w:val="11977F42"/>
    <w:rsid w:val="11DE5657"/>
    <w:rsid w:val="11E63867"/>
    <w:rsid w:val="12107727"/>
    <w:rsid w:val="121C431D"/>
    <w:rsid w:val="123D3828"/>
    <w:rsid w:val="126729B3"/>
    <w:rsid w:val="12702CBF"/>
    <w:rsid w:val="1286695D"/>
    <w:rsid w:val="12D645A8"/>
    <w:rsid w:val="13815D2A"/>
    <w:rsid w:val="13A02D2C"/>
    <w:rsid w:val="13EB21F9"/>
    <w:rsid w:val="141334FE"/>
    <w:rsid w:val="141718F3"/>
    <w:rsid w:val="14367166"/>
    <w:rsid w:val="14384B85"/>
    <w:rsid w:val="147B7EA8"/>
    <w:rsid w:val="14912DB8"/>
    <w:rsid w:val="14D33FD6"/>
    <w:rsid w:val="15083B80"/>
    <w:rsid w:val="15545B8D"/>
    <w:rsid w:val="15704420"/>
    <w:rsid w:val="1573694A"/>
    <w:rsid w:val="159A73CA"/>
    <w:rsid w:val="159B37AB"/>
    <w:rsid w:val="15AE0893"/>
    <w:rsid w:val="15C3541D"/>
    <w:rsid w:val="16092F9E"/>
    <w:rsid w:val="161902B1"/>
    <w:rsid w:val="16265A17"/>
    <w:rsid w:val="163E343B"/>
    <w:rsid w:val="16C87BC4"/>
    <w:rsid w:val="172A3808"/>
    <w:rsid w:val="178B5123"/>
    <w:rsid w:val="17BF29C5"/>
    <w:rsid w:val="17DC3B1F"/>
    <w:rsid w:val="18626607"/>
    <w:rsid w:val="186D5E50"/>
    <w:rsid w:val="18740854"/>
    <w:rsid w:val="188D0F93"/>
    <w:rsid w:val="18B41B21"/>
    <w:rsid w:val="18CE050C"/>
    <w:rsid w:val="18D6083C"/>
    <w:rsid w:val="18DE39CE"/>
    <w:rsid w:val="19170A30"/>
    <w:rsid w:val="197E58BE"/>
    <w:rsid w:val="19B25CAA"/>
    <w:rsid w:val="19B74495"/>
    <w:rsid w:val="1A6F5517"/>
    <w:rsid w:val="1A84767D"/>
    <w:rsid w:val="1AA40DB0"/>
    <w:rsid w:val="1ABB2312"/>
    <w:rsid w:val="1ABB4B41"/>
    <w:rsid w:val="1AD532F2"/>
    <w:rsid w:val="1ADF3AB2"/>
    <w:rsid w:val="1B1E1106"/>
    <w:rsid w:val="1B3754CA"/>
    <w:rsid w:val="1B431D5E"/>
    <w:rsid w:val="1B675B6A"/>
    <w:rsid w:val="1B753136"/>
    <w:rsid w:val="1B917C60"/>
    <w:rsid w:val="1BC4186F"/>
    <w:rsid w:val="1BD712B5"/>
    <w:rsid w:val="1BDF5B2E"/>
    <w:rsid w:val="1BF1662C"/>
    <w:rsid w:val="1C18527A"/>
    <w:rsid w:val="1C533032"/>
    <w:rsid w:val="1C750D55"/>
    <w:rsid w:val="1C9F6B22"/>
    <w:rsid w:val="1CD92ABF"/>
    <w:rsid w:val="1CEA0A84"/>
    <w:rsid w:val="1CF278EF"/>
    <w:rsid w:val="1D1502E7"/>
    <w:rsid w:val="1D5200E6"/>
    <w:rsid w:val="1D6F5C49"/>
    <w:rsid w:val="1D77357B"/>
    <w:rsid w:val="1D8334A3"/>
    <w:rsid w:val="1DB037B1"/>
    <w:rsid w:val="1E384765"/>
    <w:rsid w:val="1E6037E4"/>
    <w:rsid w:val="1E6E5F01"/>
    <w:rsid w:val="1E747140"/>
    <w:rsid w:val="1EC31060"/>
    <w:rsid w:val="1EC66636"/>
    <w:rsid w:val="1EE53480"/>
    <w:rsid w:val="1F09750E"/>
    <w:rsid w:val="1F0B14D8"/>
    <w:rsid w:val="1F4E7AE0"/>
    <w:rsid w:val="1F777037"/>
    <w:rsid w:val="1FA22A40"/>
    <w:rsid w:val="1FED6F19"/>
    <w:rsid w:val="203F51A4"/>
    <w:rsid w:val="20675EC0"/>
    <w:rsid w:val="20A151FA"/>
    <w:rsid w:val="20BE0430"/>
    <w:rsid w:val="20DF4E94"/>
    <w:rsid w:val="211F7121"/>
    <w:rsid w:val="21343AEF"/>
    <w:rsid w:val="21441968"/>
    <w:rsid w:val="21630098"/>
    <w:rsid w:val="21650DA9"/>
    <w:rsid w:val="21806D02"/>
    <w:rsid w:val="218E1CF5"/>
    <w:rsid w:val="21932099"/>
    <w:rsid w:val="21A41C3A"/>
    <w:rsid w:val="21E77118"/>
    <w:rsid w:val="22162FAB"/>
    <w:rsid w:val="22317971"/>
    <w:rsid w:val="2245212B"/>
    <w:rsid w:val="22AB2C71"/>
    <w:rsid w:val="22AD1941"/>
    <w:rsid w:val="22BC6E8E"/>
    <w:rsid w:val="22D0011A"/>
    <w:rsid w:val="22F909E6"/>
    <w:rsid w:val="22FC3C77"/>
    <w:rsid w:val="230A659F"/>
    <w:rsid w:val="233A4603"/>
    <w:rsid w:val="23E353C7"/>
    <w:rsid w:val="23E54F04"/>
    <w:rsid w:val="23F46D37"/>
    <w:rsid w:val="240D3AC6"/>
    <w:rsid w:val="24975A86"/>
    <w:rsid w:val="24C8172F"/>
    <w:rsid w:val="25210786"/>
    <w:rsid w:val="2521226E"/>
    <w:rsid w:val="25380364"/>
    <w:rsid w:val="255114C8"/>
    <w:rsid w:val="25A85A48"/>
    <w:rsid w:val="25E550B1"/>
    <w:rsid w:val="26127823"/>
    <w:rsid w:val="26355609"/>
    <w:rsid w:val="26761685"/>
    <w:rsid w:val="26BF7019"/>
    <w:rsid w:val="26C87581"/>
    <w:rsid w:val="271D1426"/>
    <w:rsid w:val="27373A96"/>
    <w:rsid w:val="277C422A"/>
    <w:rsid w:val="279C1684"/>
    <w:rsid w:val="279F537D"/>
    <w:rsid w:val="28942A08"/>
    <w:rsid w:val="289E3630"/>
    <w:rsid w:val="28D50016"/>
    <w:rsid w:val="28E74668"/>
    <w:rsid w:val="290A11FB"/>
    <w:rsid w:val="292D7DED"/>
    <w:rsid w:val="295C08D5"/>
    <w:rsid w:val="296C5733"/>
    <w:rsid w:val="2978116E"/>
    <w:rsid w:val="2998076B"/>
    <w:rsid w:val="29F94BCD"/>
    <w:rsid w:val="2A001015"/>
    <w:rsid w:val="2A17569E"/>
    <w:rsid w:val="2A341386"/>
    <w:rsid w:val="2A3C0E89"/>
    <w:rsid w:val="2ACD2201"/>
    <w:rsid w:val="2AF14141"/>
    <w:rsid w:val="2B255788"/>
    <w:rsid w:val="2B3844C7"/>
    <w:rsid w:val="2B4D50F0"/>
    <w:rsid w:val="2B7D3C27"/>
    <w:rsid w:val="2BC6774D"/>
    <w:rsid w:val="2BD15B8F"/>
    <w:rsid w:val="2BEC7C7F"/>
    <w:rsid w:val="2BF57C61"/>
    <w:rsid w:val="2BF7102B"/>
    <w:rsid w:val="2C191714"/>
    <w:rsid w:val="2C347E8F"/>
    <w:rsid w:val="2C471B3F"/>
    <w:rsid w:val="2C864D5D"/>
    <w:rsid w:val="2CC40B2B"/>
    <w:rsid w:val="2CEA065B"/>
    <w:rsid w:val="2D3D6F20"/>
    <w:rsid w:val="2D656E6C"/>
    <w:rsid w:val="2D823CB1"/>
    <w:rsid w:val="2DE127F3"/>
    <w:rsid w:val="2E81053F"/>
    <w:rsid w:val="2E861045"/>
    <w:rsid w:val="2E9F2A9A"/>
    <w:rsid w:val="2EF2089D"/>
    <w:rsid w:val="2F0A1F67"/>
    <w:rsid w:val="2F624FE4"/>
    <w:rsid w:val="2F682CE1"/>
    <w:rsid w:val="2F6B528D"/>
    <w:rsid w:val="2F755393"/>
    <w:rsid w:val="2F9F0DA0"/>
    <w:rsid w:val="2FE33874"/>
    <w:rsid w:val="300470CD"/>
    <w:rsid w:val="30295295"/>
    <w:rsid w:val="302E7063"/>
    <w:rsid w:val="30302CF0"/>
    <w:rsid w:val="30527173"/>
    <w:rsid w:val="307C27A2"/>
    <w:rsid w:val="30A026C7"/>
    <w:rsid w:val="30C45E54"/>
    <w:rsid w:val="30D13D5C"/>
    <w:rsid w:val="30E468D3"/>
    <w:rsid w:val="31240E7F"/>
    <w:rsid w:val="31A66B54"/>
    <w:rsid w:val="31AC317A"/>
    <w:rsid w:val="31DF77E5"/>
    <w:rsid w:val="31F938DC"/>
    <w:rsid w:val="32014E85"/>
    <w:rsid w:val="325102FD"/>
    <w:rsid w:val="325A65CE"/>
    <w:rsid w:val="325F4087"/>
    <w:rsid w:val="32672F3B"/>
    <w:rsid w:val="328861ED"/>
    <w:rsid w:val="32D17C89"/>
    <w:rsid w:val="32DD33F0"/>
    <w:rsid w:val="32DE0457"/>
    <w:rsid w:val="32ED7014"/>
    <w:rsid w:val="32F03C6A"/>
    <w:rsid w:val="33022814"/>
    <w:rsid w:val="33207530"/>
    <w:rsid w:val="33365593"/>
    <w:rsid w:val="336B3B2C"/>
    <w:rsid w:val="337D36DE"/>
    <w:rsid w:val="33AD7BD2"/>
    <w:rsid w:val="33B62270"/>
    <w:rsid w:val="33C61EE3"/>
    <w:rsid w:val="33E81E5A"/>
    <w:rsid w:val="33F23FBB"/>
    <w:rsid w:val="34357FFF"/>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D01D3"/>
    <w:rsid w:val="36CB5494"/>
    <w:rsid w:val="36D14E27"/>
    <w:rsid w:val="36F668DB"/>
    <w:rsid w:val="36F71EED"/>
    <w:rsid w:val="37327D18"/>
    <w:rsid w:val="374C2700"/>
    <w:rsid w:val="37591E60"/>
    <w:rsid w:val="37702892"/>
    <w:rsid w:val="377F2AD5"/>
    <w:rsid w:val="377F3076"/>
    <w:rsid w:val="379F3BC9"/>
    <w:rsid w:val="37C2777B"/>
    <w:rsid w:val="37D927A8"/>
    <w:rsid w:val="380213A2"/>
    <w:rsid w:val="38077B76"/>
    <w:rsid w:val="385374D9"/>
    <w:rsid w:val="38DD6884"/>
    <w:rsid w:val="392C7F2E"/>
    <w:rsid w:val="39392D21"/>
    <w:rsid w:val="394549EE"/>
    <w:rsid w:val="39785A2E"/>
    <w:rsid w:val="3980674F"/>
    <w:rsid w:val="39BA3337"/>
    <w:rsid w:val="39E53F50"/>
    <w:rsid w:val="39E76710"/>
    <w:rsid w:val="39F11255"/>
    <w:rsid w:val="39F974B6"/>
    <w:rsid w:val="3A351B95"/>
    <w:rsid w:val="3A385B75"/>
    <w:rsid w:val="3A711E44"/>
    <w:rsid w:val="3AAF0705"/>
    <w:rsid w:val="3AD21575"/>
    <w:rsid w:val="3B05678F"/>
    <w:rsid w:val="3B381CFE"/>
    <w:rsid w:val="3B426075"/>
    <w:rsid w:val="3B781DA2"/>
    <w:rsid w:val="3BC339AE"/>
    <w:rsid w:val="3BC433C4"/>
    <w:rsid w:val="3BCA7C0B"/>
    <w:rsid w:val="3BCF3250"/>
    <w:rsid w:val="3BD1255F"/>
    <w:rsid w:val="3C0356A1"/>
    <w:rsid w:val="3C086CF8"/>
    <w:rsid w:val="3C365228"/>
    <w:rsid w:val="3C7D6FA4"/>
    <w:rsid w:val="3CA1672C"/>
    <w:rsid w:val="3CD75A09"/>
    <w:rsid w:val="3D023F8C"/>
    <w:rsid w:val="3D685AD3"/>
    <w:rsid w:val="3D7546D4"/>
    <w:rsid w:val="3D7E75D8"/>
    <w:rsid w:val="3D883804"/>
    <w:rsid w:val="3E183655"/>
    <w:rsid w:val="3E6776D1"/>
    <w:rsid w:val="3E6B0E07"/>
    <w:rsid w:val="3EA679BB"/>
    <w:rsid w:val="3F2A5A1C"/>
    <w:rsid w:val="3F2D2E17"/>
    <w:rsid w:val="3F4D5D5C"/>
    <w:rsid w:val="3F600A17"/>
    <w:rsid w:val="3F987513"/>
    <w:rsid w:val="3FB12FC1"/>
    <w:rsid w:val="3FCC2AB9"/>
    <w:rsid w:val="400B3B35"/>
    <w:rsid w:val="400D3374"/>
    <w:rsid w:val="404D19C2"/>
    <w:rsid w:val="40B05AAD"/>
    <w:rsid w:val="40B97638"/>
    <w:rsid w:val="40CF687B"/>
    <w:rsid w:val="40D57D95"/>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D8208A"/>
    <w:rsid w:val="42D83AB5"/>
    <w:rsid w:val="42DA0EF4"/>
    <w:rsid w:val="430361AE"/>
    <w:rsid w:val="431E1EAC"/>
    <w:rsid w:val="433230F1"/>
    <w:rsid w:val="4381008F"/>
    <w:rsid w:val="43B81900"/>
    <w:rsid w:val="43BB2059"/>
    <w:rsid w:val="43CD640F"/>
    <w:rsid w:val="43E043E7"/>
    <w:rsid w:val="43EE4A68"/>
    <w:rsid w:val="441B3B85"/>
    <w:rsid w:val="44516656"/>
    <w:rsid w:val="44581532"/>
    <w:rsid w:val="44770E38"/>
    <w:rsid w:val="450B3BFA"/>
    <w:rsid w:val="453815E9"/>
    <w:rsid w:val="454327B4"/>
    <w:rsid w:val="4550160D"/>
    <w:rsid w:val="45640D96"/>
    <w:rsid w:val="456865A2"/>
    <w:rsid w:val="45904030"/>
    <w:rsid w:val="459C5C4D"/>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4E555F"/>
    <w:rsid w:val="485C05C3"/>
    <w:rsid w:val="4904108C"/>
    <w:rsid w:val="49542C5D"/>
    <w:rsid w:val="4969702A"/>
    <w:rsid w:val="49A02D6D"/>
    <w:rsid w:val="4A0330F2"/>
    <w:rsid w:val="4A2F3EE7"/>
    <w:rsid w:val="4A5139D3"/>
    <w:rsid w:val="4A5C53EB"/>
    <w:rsid w:val="4AB668F2"/>
    <w:rsid w:val="4AE5006C"/>
    <w:rsid w:val="4AF1415C"/>
    <w:rsid w:val="4B0215FB"/>
    <w:rsid w:val="4B054C48"/>
    <w:rsid w:val="4B9C55AC"/>
    <w:rsid w:val="4B9F6E4A"/>
    <w:rsid w:val="4BB027A9"/>
    <w:rsid w:val="4BC17910"/>
    <w:rsid w:val="4BC475A2"/>
    <w:rsid w:val="4BD25472"/>
    <w:rsid w:val="4C2C2DD4"/>
    <w:rsid w:val="4C3B7D39"/>
    <w:rsid w:val="4CB2063E"/>
    <w:rsid w:val="4CCF2069"/>
    <w:rsid w:val="4CF53C2B"/>
    <w:rsid w:val="4D0D1214"/>
    <w:rsid w:val="4D7A36CB"/>
    <w:rsid w:val="4D7F0CE1"/>
    <w:rsid w:val="4DE2147D"/>
    <w:rsid w:val="4E0B39B2"/>
    <w:rsid w:val="4E5C70C5"/>
    <w:rsid w:val="4E9F0072"/>
    <w:rsid w:val="4EC51267"/>
    <w:rsid w:val="4EC71589"/>
    <w:rsid w:val="4EC76DE4"/>
    <w:rsid w:val="4EF1052E"/>
    <w:rsid w:val="4EFB1495"/>
    <w:rsid w:val="4F205884"/>
    <w:rsid w:val="4F2B78F1"/>
    <w:rsid w:val="4F710579"/>
    <w:rsid w:val="4FA806FF"/>
    <w:rsid w:val="50250266"/>
    <w:rsid w:val="504B6577"/>
    <w:rsid w:val="507C59AC"/>
    <w:rsid w:val="50973D80"/>
    <w:rsid w:val="509F3025"/>
    <w:rsid w:val="50A14AF6"/>
    <w:rsid w:val="50AF1599"/>
    <w:rsid w:val="50F32B6A"/>
    <w:rsid w:val="5108372E"/>
    <w:rsid w:val="511B1FB9"/>
    <w:rsid w:val="5137401E"/>
    <w:rsid w:val="51387B25"/>
    <w:rsid w:val="51477D68"/>
    <w:rsid w:val="51B7313F"/>
    <w:rsid w:val="51B80C66"/>
    <w:rsid w:val="51C13FBE"/>
    <w:rsid w:val="51D80B5D"/>
    <w:rsid w:val="51E101BC"/>
    <w:rsid w:val="51EF032B"/>
    <w:rsid w:val="51F2372E"/>
    <w:rsid w:val="523825AC"/>
    <w:rsid w:val="52666914"/>
    <w:rsid w:val="527D1264"/>
    <w:rsid w:val="529C2335"/>
    <w:rsid w:val="52A03BD4"/>
    <w:rsid w:val="52A90D4F"/>
    <w:rsid w:val="52AB58C1"/>
    <w:rsid w:val="52C8137C"/>
    <w:rsid w:val="53020733"/>
    <w:rsid w:val="532205E6"/>
    <w:rsid w:val="532B3B64"/>
    <w:rsid w:val="534E193B"/>
    <w:rsid w:val="539A63C4"/>
    <w:rsid w:val="53A92F73"/>
    <w:rsid w:val="544133ED"/>
    <w:rsid w:val="54792C9E"/>
    <w:rsid w:val="54A30B71"/>
    <w:rsid w:val="551408A9"/>
    <w:rsid w:val="55394C0C"/>
    <w:rsid w:val="5550126A"/>
    <w:rsid w:val="556E7FB9"/>
    <w:rsid w:val="55741347"/>
    <w:rsid w:val="55802B56"/>
    <w:rsid w:val="55986E84"/>
    <w:rsid w:val="559C7E4A"/>
    <w:rsid w:val="55CA4BAF"/>
    <w:rsid w:val="55DB2097"/>
    <w:rsid w:val="55F2570C"/>
    <w:rsid w:val="5602396B"/>
    <w:rsid w:val="56033C16"/>
    <w:rsid w:val="56550F9C"/>
    <w:rsid w:val="565B702F"/>
    <w:rsid w:val="56693043"/>
    <w:rsid w:val="56BA4761"/>
    <w:rsid w:val="56C71FF0"/>
    <w:rsid w:val="56D007FF"/>
    <w:rsid w:val="56DA167E"/>
    <w:rsid w:val="56F62496"/>
    <w:rsid w:val="571A0B7B"/>
    <w:rsid w:val="577B0FB6"/>
    <w:rsid w:val="577B2EC4"/>
    <w:rsid w:val="578223FB"/>
    <w:rsid w:val="578A700B"/>
    <w:rsid w:val="5798756F"/>
    <w:rsid w:val="579E7811"/>
    <w:rsid w:val="57BE3253"/>
    <w:rsid w:val="58704048"/>
    <w:rsid w:val="589A030F"/>
    <w:rsid w:val="58C051FD"/>
    <w:rsid w:val="58E97E41"/>
    <w:rsid w:val="58EB2142"/>
    <w:rsid w:val="59307226"/>
    <w:rsid w:val="59543905"/>
    <w:rsid w:val="599B4D17"/>
    <w:rsid w:val="59AA6FA9"/>
    <w:rsid w:val="59D658C2"/>
    <w:rsid w:val="59F829AE"/>
    <w:rsid w:val="5A4A2677"/>
    <w:rsid w:val="5A601268"/>
    <w:rsid w:val="5AA83147"/>
    <w:rsid w:val="5AF357FA"/>
    <w:rsid w:val="5B1A473F"/>
    <w:rsid w:val="5B882075"/>
    <w:rsid w:val="5BA842F6"/>
    <w:rsid w:val="5BBE1C1E"/>
    <w:rsid w:val="5C0257BE"/>
    <w:rsid w:val="5C904B4E"/>
    <w:rsid w:val="5C9B7CEB"/>
    <w:rsid w:val="5CD220E1"/>
    <w:rsid w:val="5CDF79EE"/>
    <w:rsid w:val="5D02548B"/>
    <w:rsid w:val="5DD07EC1"/>
    <w:rsid w:val="5DD26970"/>
    <w:rsid w:val="5DF534E4"/>
    <w:rsid w:val="5E153E1E"/>
    <w:rsid w:val="5E2F4E1C"/>
    <w:rsid w:val="5E4203B1"/>
    <w:rsid w:val="5E503FE7"/>
    <w:rsid w:val="5E5A241C"/>
    <w:rsid w:val="5E713C9A"/>
    <w:rsid w:val="5EA45CB3"/>
    <w:rsid w:val="5EAC538E"/>
    <w:rsid w:val="5EE344C5"/>
    <w:rsid w:val="5EF105BD"/>
    <w:rsid w:val="5EF552A7"/>
    <w:rsid w:val="5EF5694A"/>
    <w:rsid w:val="5EFF2CC1"/>
    <w:rsid w:val="5F010AFA"/>
    <w:rsid w:val="5F092790"/>
    <w:rsid w:val="5F0B0A36"/>
    <w:rsid w:val="5F2B0CC9"/>
    <w:rsid w:val="5F417AF8"/>
    <w:rsid w:val="5F4E7745"/>
    <w:rsid w:val="5F525B95"/>
    <w:rsid w:val="5FAB3156"/>
    <w:rsid w:val="5FC35F7B"/>
    <w:rsid w:val="5FF91DDC"/>
    <w:rsid w:val="60063D12"/>
    <w:rsid w:val="60123C37"/>
    <w:rsid w:val="603D3843"/>
    <w:rsid w:val="60583159"/>
    <w:rsid w:val="607E307A"/>
    <w:rsid w:val="61161505"/>
    <w:rsid w:val="613208D9"/>
    <w:rsid w:val="61377FE2"/>
    <w:rsid w:val="6160437C"/>
    <w:rsid w:val="61911D4A"/>
    <w:rsid w:val="62277716"/>
    <w:rsid w:val="63001DEA"/>
    <w:rsid w:val="6328604A"/>
    <w:rsid w:val="6333639E"/>
    <w:rsid w:val="63360FCC"/>
    <w:rsid w:val="63586C4E"/>
    <w:rsid w:val="637A1B2F"/>
    <w:rsid w:val="64091D58"/>
    <w:rsid w:val="64462101"/>
    <w:rsid w:val="64566C6D"/>
    <w:rsid w:val="64685FFD"/>
    <w:rsid w:val="64741836"/>
    <w:rsid w:val="64A80F6D"/>
    <w:rsid w:val="64D82FC8"/>
    <w:rsid w:val="65302769"/>
    <w:rsid w:val="654151AE"/>
    <w:rsid w:val="655A40B6"/>
    <w:rsid w:val="657C13D6"/>
    <w:rsid w:val="65934AA6"/>
    <w:rsid w:val="65FD1678"/>
    <w:rsid w:val="66190CA1"/>
    <w:rsid w:val="66230554"/>
    <w:rsid w:val="667016B7"/>
    <w:rsid w:val="66CE5350"/>
    <w:rsid w:val="66CF4630"/>
    <w:rsid w:val="66E06A6A"/>
    <w:rsid w:val="66E17344"/>
    <w:rsid w:val="675E48A3"/>
    <w:rsid w:val="67746F85"/>
    <w:rsid w:val="67A01A6C"/>
    <w:rsid w:val="67C34C57"/>
    <w:rsid w:val="67C4640D"/>
    <w:rsid w:val="67D14257"/>
    <w:rsid w:val="67F578D6"/>
    <w:rsid w:val="682A34D4"/>
    <w:rsid w:val="68624A44"/>
    <w:rsid w:val="68660C16"/>
    <w:rsid w:val="68920E84"/>
    <w:rsid w:val="697E6745"/>
    <w:rsid w:val="698D42DB"/>
    <w:rsid w:val="69977538"/>
    <w:rsid w:val="69C443F5"/>
    <w:rsid w:val="69C753A4"/>
    <w:rsid w:val="69D17CBF"/>
    <w:rsid w:val="69F30A14"/>
    <w:rsid w:val="69FD3B5B"/>
    <w:rsid w:val="69FD5DCB"/>
    <w:rsid w:val="6A4924BB"/>
    <w:rsid w:val="6AED6227"/>
    <w:rsid w:val="6AF6662F"/>
    <w:rsid w:val="6B122370"/>
    <w:rsid w:val="6B1C1E0E"/>
    <w:rsid w:val="6B1D067B"/>
    <w:rsid w:val="6B361121"/>
    <w:rsid w:val="6B3F371F"/>
    <w:rsid w:val="6B9765C4"/>
    <w:rsid w:val="6B9C0022"/>
    <w:rsid w:val="6C4405BB"/>
    <w:rsid w:val="6C775F53"/>
    <w:rsid w:val="6C90660F"/>
    <w:rsid w:val="6CAF0778"/>
    <w:rsid w:val="6CBA65FD"/>
    <w:rsid w:val="6CC22541"/>
    <w:rsid w:val="6CF5456C"/>
    <w:rsid w:val="6D0449A2"/>
    <w:rsid w:val="6D7E0B5E"/>
    <w:rsid w:val="6D8D384D"/>
    <w:rsid w:val="6D9503C4"/>
    <w:rsid w:val="6D9F3AE8"/>
    <w:rsid w:val="6DA0787D"/>
    <w:rsid w:val="6DB874E1"/>
    <w:rsid w:val="6DCD749D"/>
    <w:rsid w:val="6DED6479"/>
    <w:rsid w:val="6E597B85"/>
    <w:rsid w:val="6E85086A"/>
    <w:rsid w:val="6F4D2493"/>
    <w:rsid w:val="6F547DC8"/>
    <w:rsid w:val="6F5E1D4C"/>
    <w:rsid w:val="6F5F72BB"/>
    <w:rsid w:val="6F8C4DB8"/>
    <w:rsid w:val="6FCA73BC"/>
    <w:rsid w:val="702A612A"/>
    <w:rsid w:val="7038392F"/>
    <w:rsid w:val="7042692B"/>
    <w:rsid w:val="707D5C10"/>
    <w:rsid w:val="709A5B0D"/>
    <w:rsid w:val="70A1528F"/>
    <w:rsid w:val="70B83290"/>
    <w:rsid w:val="70C51FBD"/>
    <w:rsid w:val="70CE7706"/>
    <w:rsid w:val="710A4633"/>
    <w:rsid w:val="71173E25"/>
    <w:rsid w:val="711D243B"/>
    <w:rsid w:val="712C1933"/>
    <w:rsid w:val="71651E9F"/>
    <w:rsid w:val="71692481"/>
    <w:rsid w:val="71BB31C5"/>
    <w:rsid w:val="71D74D30"/>
    <w:rsid w:val="71F16AFB"/>
    <w:rsid w:val="722E2F6D"/>
    <w:rsid w:val="723807EA"/>
    <w:rsid w:val="72A41061"/>
    <w:rsid w:val="72BD72B5"/>
    <w:rsid w:val="733C4DFB"/>
    <w:rsid w:val="73443CF7"/>
    <w:rsid w:val="73497518"/>
    <w:rsid w:val="736B5B4D"/>
    <w:rsid w:val="737064CF"/>
    <w:rsid w:val="73883693"/>
    <w:rsid w:val="73DF029A"/>
    <w:rsid w:val="73EF4854"/>
    <w:rsid w:val="743C01A9"/>
    <w:rsid w:val="743D707D"/>
    <w:rsid w:val="745769FE"/>
    <w:rsid w:val="748E226B"/>
    <w:rsid w:val="74CF090A"/>
    <w:rsid w:val="74D437E0"/>
    <w:rsid w:val="74DA48CB"/>
    <w:rsid w:val="74E21F0E"/>
    <w:rsid w:val="74E602FA"/>
    <w:rsid w:val="750000AA"/>
    <w:rsid w:val="75427FD2"/>
    <w:rsid w:val="759D030E"/>
    <w:rsid w:val="75A60C51"/>
    <w:rsid w:val="75CF7CEC"/>
    <w:rsid w:val="75DB4D9F"/>
    <w:rsid w:val="760957C3"/>
    <w:rsid w:val="764A5A81"/>
    <w:rsid w:val="76D01393"/>
    <w:rsid w:val="77016B13"/>
    <w:rsid w:val="772B5562"/>
    <w:rsid w:val="773B361B"/>
    <w:rsid w:val="775070C7"/>
    <w:rsid w:val="77650DC8"/>
    <w:rsid w:val="77BE31C2"/>
    <w:rsid w:val="77EE3B00"/>
    <w:rsid w:val="780C16CD"/>
    <w:rsid w:val="78300CA6"/>
    <w:rsid w:val="78515BD6"/>
    <w:rsid w:val="785D4FB4"/>
    <w:rsid w:val="78732FE4"/>
    <w:rsid w:val="78876C1E"/>
    <w:rsid w:val="789631FF"/>
    <w:rsid w:val="78B57E42"/>
    <w:rsid w:val="78F135EE"/>
    <w:rsid w:val="79090B02"/>
    <w:rsid w:val="79122E8B"/>
    <w:rsid w:val="7929789D"/>
    <w:rsid w:val="795F3441"/>
    <w:rsid w:val="797A48CF"/>
    <w:rsid w:val="79A427DF"/>
    <w:rsid w:val="79AD6A52"/>
    <w:rsid w:val="79B6033E"/>
    <w:rsid w:val="79E01D6F"/>
    <w:rsid w:val="7A077BBF"/>
    <w:rsid w:val="7A2219DF"/>
    <w:rsid w:val="7A3B0E99"/>
    <w:rsid w:val="7A9329E8"/>
    <w:rsid w:val="7AB12451"/>
    <w:rsid w:val="7AD45B3A"/>
    <w:rsid w:val="7AFF1AF2"/>
    <w:rsid w:val="7B191935"/>
    <w:rsid w:val="7B32794C"/>
    <w:rsid w:val="7B3A7913"/>
    <w:rsid w:val="7B83241F"/>
    <w:rsid w:val="7B915F00"/>
    <w:rsid w:val="7B9478D9"/>
    <w:rsid w:val="7BBD6CF5"/>
    <w:rsid w:val="7C0C6AF1"/>
    <w:rsid w:val="7C2823C0"/>
    <w:rsid w:val="7C7C5310"/>
    <w:rsid w:val="7C8C63C5"/>
    <w:rsid w:val="7CAD0B17"/>
    <w:rsid w:val="7CB623A6"/>
    <w:rsid w:val="7CD275C3"/>
    <w:rsid w:val="7CE85E9D"/>
    <w:rsid w:val="7DC30630"/>
    <w:rsid w:val="7E106B8E"/>
    <w:rsid w:val="7E2708CC"/>
    <w:rsid w:val="7E3B205A"/>
    <w:rsid w:val="7E645664"/>
    <w:rsid w:val="7EF55F93"/>
    <w:rsid w:val="7F1C356D"/>
    <w:rsid w:val="7F440FF9"/>
    <w:rsid w:val="7FA94EF3"/>
    <w:rsid w:val="7FCC7507"/>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2">
    <w:name w:val="heading 1"/>
    <w:basedOn w:val="1"/>
    <w:next w:val="1"/>
    <w:link w:val="176"/>
    <w:qFormat/>
    <w:uiPriority w:val="0"/>
    <w:pPr>
      <w:keepNext/>
      <w:keepLines/>
      <w:pageBreakBefore/>
      <w:ind w:firstLine="0" w:firstLineChars="0"/>
      <w:jc w:val="center"/>
      <w:outlineLvl w:val="0"/>
    </w:pPr>
    <w:rPr>
      <w:rFonts w:ascii="黑体" w:hAnsi="黑体" w:eastAsia="黑体" w:cs="仿宋"/>
      <w:kern w:val="44"/>
      <w:sz w:val="32"/>
      <w:szCs w:val="28"/>
    </w:rPr>
  </w:style>
  <w:style w:type="paragraph" w:styleId="3">
    <w:name w:val="heading 2"/>
    <w:basedOn w:val="1"/>
    <w:next w:val="1"/>
    <w:link w:val="56"/>
    <w:autoRedefine/>
    <w:unhideWhenUsed/>
    <w:qFormat/>
    <w:uiPriority w:val="0"/>
    <w:pPr>
      <w:keepLines/>
      <w:ind w:firstLine="0" w:firstLineChars="0"/>
      <w:outlineLvl w:val="1"/>
    </w:pPr>
    <w:rPr>
      <w:rFonts w:ascii="黑体" w:hAnsi="黑体" w:eastAsia="黑体"/>
      <w:bCs/>
      <w:sz w:val="30"/>
      <w:szCs w:val="32"/>
    </w:rPr>
  </w:style>
  <w:style w:type="paragraph" w:styleId="4">
    <w:name w:val="heading 3"/>
    <w:basedOn w:val="1"/>
    <w:next w:val="1"/>
    <w:link w:val="57"/>
    <w:autoRedefine/>
    <w:unhideWhenUsed/>
    <w:qFormat/>
    <w:uiPriority w:val="9"/>
    <w:pPr>
      <w:keepNext/>
      <w:ind w:firstLine="281" w:firstLineChars="100"/>
      <w:outlineLvl w:val="2"/>
    </w:pPr>
    <w:rPr>
      <w:rFonts w:eastAsia="黑体" w:cs="仿宋"/>
      <w:b/>
      <w:szCs w:val="28"/>
    </w:rPr>
  </w:style>
  <w:style w:type="paragraph" w:styleId="5">
    <w:name w:val="heading 4"/>
    <w:basedOn w:val="1"/>
    <w:next w:val="1"/>
    <w:link w:val="58"/>
    <w:autoRedefine/>
    <w:qFormat/>
    <w:uiPriority w:val="9"/>
    <w:pPr>
      <w:spacing w:line="240" w:lineRule="auto"/>
      <w:ind w:firstLine="720"/>
      <w:outlineLvl w:val="3"/>
    </w:pPr>
    <w:rPr>
      <w:b/>
      <w:bCs/>
      <w:szCs w:val="28"/>
    </w:rPr>
  </w:style>
  <w:style w:type="paragraph" w:styleId="6">
    <w:name w:val="heading 5"/>
    <w:basedOn w:val="1"/>
    <w:next w:val="1"/>
    <w:link w:val="59"/>
    <w:autoRedefine/>
    <w:unhideWhenUsed/>
    <w:qFormat/>
    <w:uiPriority w:val="9"/>
    <w:pPr>
      <w:keepNext/>
      <w:keepLines/>
      <w:spacing w:before="280" w:after="290" w:line="376" w:lineRule="atLeast"/>
      <w:outlineLvl w:val="4"/>
    </w:pPr>
    <w:rPr>
      <w:b/>
      <w:bCs/>
      <w:szCs w:val="28"/>
    </w:rPr>
  </w:style>
  <w:style w:type="paragraph" w:styleId="7">
    <w:name w:val="heading 8"/>
    <w:basedOn w:val="1"/>
    <w:next w:val="1"/>
    <w:autoRedefine/>
    <w:qFormat/>
    <w:uiPriority w:val="9"/>
    <w:pPr>
      <w:keepNext/>
      <w:keepLines/>
      <w:numPr>
        <w:ilvl w:val="7"/>
        <w:numId w:val="1"/>
      </w:numPr>
      <w:adjustRightInd w:val="0"/>
      <w:ind w:firstLineChars="0"/>
      <w:jc w:val="center"/>
      <w:outlineLvl w:val="7"/>
    </w:pPr>
    <w:rPr>
      <w:rFonts w:ascii="Cambria" w:hAnsi="Cambria"/>
      <w:b/>
      <w:sz w:val="21"/>
      <w:szCs w:val="24"/>
    </w:rPr>
  </w:style>
  <w:style w:type="character" w:default="1" w:styleId="47">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link w:val="60"/>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9">
    <w:name w:val="Normal Indent"/>
    <w:basedOn w:val="1"/>
    <w:next w:val="10"/>
    <w:autoRedefine/>
    <w:qFormat/>
    <w:uiPriority w:val="0"/>
    <w:pPr>
      <w:tabs>
        <w:tab w:val="left" w:pos="630"/>
      </w:tabs>
      <w:adjustRightInd w:val="0"/>
      <w:snapToGrid w:val="0"/>
      <w:spacing w:line="360" w:lineRule="auto"/>
      <w:ind w:firstLine="442"/>
    </w:pPr>
    <w:rPr>
      <w:sz w:val="24"/>
      <w:szCs w:val="20"/>
    </w:rPr>
  </w:style>
  <w:style w:type="paragraph" w:styleId="10">
    <w:name w:val="Body Text First Indent"/>
    <w:basedOn w:val="11"/>
    <w:autoRedefine/>
    <w:unhideWhenUsed/>
    <w:qFormat/>
    <w:uiPriority w:val="99"/>
    <w:pPr>
      <w:spacing w:before="154"/>
      <w:ind w:left="121" w:firstLine="420" w:firstLineChars="100"/>
    </w:pPr>
    <w:rPr>
      <w:rFonts w:ascii="仿宋" w:hAnsi="仿宋"/>
      <w:szCs w:val="21"/>
    </w:rPr>
  </w:style>
  <w:style w:type="paragraph" w:styleId="11">
    <w:name w:val="Body Text"/>
    <w:basedOn w:val="1"/>
    <w:next w:val="1"/>
    <w:link w:val="54"/>
    <w:autoRedefine/>
    <w:qFormat/>
    <w:uiPriority w:val="0"/>
    <w:pPr>
      <w:spacing w:after="120"/>
      <w:ind w:firstLine="200"/>
    </w:pPr>
    <w:rPr>
      <w:rFonts w:hint="eastAsia" w:ascii="宋体" w:hAnsi="Courier New"/>
      <w:szCs w:val="20"/>
    </w:rPr>
  </w:style>
  <w:style w:type="paragraph" w:styleId="12">
    <w:name w:val="caption"/>
    <w:basedOn w:val="1"/>
    <w:next w:val="1"/>
    <w:autoRedefine/>
    <w:qFormat/>
    <w:uiPriority w:val="35"/>
    <w:pPr>
      <w:ind w:firstLine="200"/>
    </w:pPr>
    <w:rPr>
      <w:rFonts w:ascii="Cambria" w:hAnsi="Cambria" w:eastAsia="黑体"/>
      <w:sz w:val="20"/>
      <w:szCs w:val="20"/>
    </w:rPr>
  </w:style>
  <w:style w:type="paragraph" w:styleId="13">
    <w:name w:val="Document Map"/>
    <w:basedOn w:val="1"/>
    <w:link w:val="61"/>
    <w:autoRedefine/>
    <w:unhideWhenUsed/>
    <w:qFormat/>
    <w:uiPriority w:val="0"/>
    <w:rPr>
      <w:rFonts w:ascii="宋体" w:eastAsia="宋体"/>
      <w:sz w:val="18"/>
      <w:szCs w:val="18"/>
    </w:rPr>
  </w:style>
  <w:style w:type="paragraph" w:styleId="14">
    <w:name w:val="annotation text"/>
    <w:basedOn w:val="1"/>
    <w:link w:val="62"/>
    <w:autoRedefine/>
    <w:unhideWhenUsed/>
    <w:qFormat/>
    <w:uiPriority w:val="0"/>
    <w:pPr>
      <w:jc w:val="left"/>
    </w:pPr>
  </w:style>
  <w:style w:type="paragraph" w:styleId="15">
    <w:name w:val="Body Text 3"/>
    <w:basedOn w:val="1"/>
    <w:link w:val="63"/>
    <w:autoRedefine/>
    <w:qFormat/>
    <w:uiPriority w:val="0"/>
    <w:pPr>
      <w:spacing w:after="120"/>
      <w:ind w:firstLine="200"/>
    </w:pPr>
    <w:rPr>
      <w:sz w:val="16"/>
      <w:szCs w:val="16"/>
    </w:rPr>
  </w:style>
  <w:style w:type="paragraph" w:styleId="16">
    <w:name w:val="Body Text Indent"/>
    <w:basedOn w:val="1"/>
    <w:link w:val="64"/>
    <w:qFormat/>
    <w:uiPriority w:val="99"/>
    <w:pPr>
      <w:spacing w:before="120" w:beforeLines="50" w:line="240" w:lineRule="auto"/>
      <w:ind w:firstLine="0" w:firstLineChars="0"/>
      <w:jc w:val="center"/>
    </w:pPr>
    <w:rPr>
      <w:rFonts w:ascii="宋体" w:hAnsi="宋体" w:eastAsia="宋体"/>
      <w:b/>
      <w:kern w:val="0"/>
      <w:sz w:val="52"/>
      <w:szCs w:val="52"/>
    </w:rPr>
  </w:style>
  <w:style w:type="paragraph" w:styleId="17">
    <w:name w:val="Block Text"/>
    <w:basedOn w:val="1"/>
    <w:autoRedefine/>
    <w:unhideWhenUsed/>
    <w:qFormat/>
    <w:uiPriority w:val="99"/>
    <w:pPr>
      <w:spacing w:after="120"/>
      <w:ind w:left="1440" w:leftChars="700" w:right="700" w:rightChars="700"/>
    </w:pPr>
  </w:style>
  <w:style w:type="paragraph" w:styleId="18">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19">
    <w:name w:val="toc 3"/>
    <w:basedOn w:val="1"/>
    <w:next w:val="1"/>
    <w:autoRedefine/>
    <w:unhideWhenUsed/>
    <w:qFormat/>
    <w:uiPriority w:val="39"/>
    <w:pPr>
      <w:ind w:left="840" w:leftChars="400"/>
    </w:pPr>
  </w:style>
  <w:style w:type="paragraph" w:styleId="20">
    <w:name w:val="Plain Text"/>
    <w:basedOn w:val="1"/>
    <w:link w:val="65"/>
    <w:autoRedefine/>
    <w:qFormat/>
    <w:uiPriority w:val="0"/>
    <w:pPr>
      <w:spacing w:line="360" w:lineRule="auto"/>
      <w:ind w:firstLine="480"/>
    </w:pPr>
    <w:rPr>
      <w:rFonts w:ascii="宋体" w:hAnsi="Courier New"/>
      <w:sz w:val="21"/>
    </w:rPr>
  </w:style>
  <w:style w:type="paragraph" w:styleId="21">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2">
    <w:name w:val="Date"/>
    <w:basedOn w:val="1"/>
    <w:next w:val="1"/>
    <w:link w:val="66"/>
    <w:autoRedefine/>
    <w:qFormat/>
    <w:uiPriority w:val="0"/>
    <w:pPr>
      <w:ind w:left="100" w:leftChars="2500" w:firstLine="200"/>
    </w:pPr>
    <w:rPr>
      <w:szCs w:val="28"/>
    </w:rPr>
  </w:style>
  <w:style w:type="paragraph" w:styleId="23">
    <w:name w:val="Body Text Indent 2"/>
    <w:basedOn w:val="1"/>
    <w:link w:val="67"/>
    <w:autoRedefine/>
    <w:unhideWhenUsed/>
    <w:qFormat/>
    <w:uiPriority w:val="0"/>
    <w:pPr>
      <w:spacing w:line="560" w:lineRule="exact"/>
      <w:ind w:firstLine="557" w:firstLineChars="199"/>
    </w:pPr>
  </w:style>
  <w:style w:type="paragraph" w:styleId="24">
    <w:name w:val="Balloon Text"/>
    <w:basedOn w:val="1"/>
    <w:link w:val="68"/>
    <w:autoRedefine/>
    <w:unhideWhenUsed/>
    <w:qFormat/>
    <w:uiPriority w:val="0"/>
    <w:rPr>
      <w:sz w:val="18"/>
      <w:szCs w:val="18"/>
    </w:rPr>
  </w:style>
  <w:style w:type="paragraph" w:styleId="25">
    <w:name w:val="footer"/>
    <w:basedOn w:val="1"/>
    <w:link w:val="69"/>
    <w:autoRedefine/>
    <w:unhideWhenUsed/>
    <w:qFormat/>
    <w:uiPriority w:val="99"/>
    <w:pPr>
      <w:tabs>
        <w:tab w:val="center" w:pos="4153"/>
        <w:tab w:val="right" w:pos="8306"/>
      </w:tabs>
      <w:snapToGrid w:val="0"/>
      <w:ind w:firstLine="360"/>
    </w:pPr>
    <w:rPr>
      <w:sz w:val="18"/>
      <w:szCs w:val="18"/>
    </w:rPr>
  </w:style>
  <w:style w:type="paragraph" w:styleId="26">
    <w:name w:val="header"/>
    <w:basedOn w:val="1"/>
    <w:link w:val="7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style>
  <w:style w:type="paragraph" w:styleId="28">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29">
    <w:name w:val="Subtitle"/>
    <w:basedOn w:val="1"/>
    <w:next w:val="1"/>
    <w:link w:val="71"/>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0">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1">
    <w:name w:val="Body Text Indent 3"/>
    <w:basedOn w:val="1"/>
    <w:link w:val="72"/>
    <w:autoRedefine/>
    <w:qFormat/>
    <w:uiPriority w:val="0"/>
    <w:pPr>
      <w:spacing w:after="120" w:line="360" w:lineRule="auto"/>
      <w:ind w:left="420" w:leftChars="200" w:firstLine="480"/>
    </w:pPr>
    <w:rPr>
      <w:rFonts w:ascii="Arial" w:hAnsi="Arial"/>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34">
    <w:name w:val="Body Text 2"/>
    <w:basedOn w:val="1"/>
    <w:link w:val="73"/>
    <w:autoRedefine/>
    <w:qFormat/>
    <w:uiPriority w:val="0"/>
    <w:pPr>
      <w:ind w:firstLine="200"/>
    </w:pPr>
    <w:rPr>
      <w:rFonts w:eastAsia="宋体"/>
      <w:sz w:val="24"/>
      <w:szCs w:val="24"/>
    </w:rPr>
  </w:style>
  <w:style w:type="paragraph" w:styleId="35">
    <w:name w:val="Normal (Web)"/>
    <w:basedOn w:val="1"/>
    <w:link w:val="74"/>
    <w:autoRedefine/>
    <w:unhideWhenUsed/>
    <w:qFormat/>
    <w:uiPriority w:val="0"/>
    <w:pPr>
      <w:spacing w:beforeAutospacing="1" w:afterAutospacing="1"/>
      <w:jc w:val="left"/>
    </w:pPr>
    <w:rPr>
      <w:rFonts w:ascii="仿宋" w:hAnsi="仿宋"/>
      <w:kern w:val="0"/>
      <w:sz w:val="24"/>
    </w:rPr>
  </w:style>
  <w:style w:type="paragraph" w:styleId="36">
    <w:name w:val="index 1"/>
    <w:basedOn w:val="1"/>
    <w:next w:val="1"/>
    <w:autoRedefine/>
    <w:qFormat/>
    <w:uiPriority w:val="0"/>
  </w:style>
  <w:style w:type="paragraph" w:styleId="37">
    <w:name w:val="Title"/>
    <w:basedOn w:val="1"/>
    <w:next w:val="1"/>
    <w:link w:val="75"/>
    <w:autoRedefine/>
    <w:qFormat/>
    <w:uiPriority w:val="10"/>
    <w:pPr>
      <w:spacing w:before="240" w:after="60"/>
      <w:ind w:firstLine="200"/>
      <w:jc w:val="center"/>
      <w:outlineLvl w:val="0"/>
    </w:pPr>
    <w:rPr>
      <w:rFonts w:ascii="Cambria" w:hAnsi="Cambria"/>
      <w:b/>
      <w:bCs/>
      <w:kern w:val="0"/>
      <w:sz w:val="32"/>
      <w:szCs w:val="32"/>
    </w:rPr>
  </w:style>
  <w:style w:type="paragraph" w:styleId="38">
    <w:name w:val="annotation subject"/>
    <w:basedOn w:val="14"/>
    <w:next w:val="14"/>
    <w:link w:val="76"/>
    <w:autoRedefine/>
    <w:qFormat/>
    <w:uiPriority w:val="0"/>
    <w:pPr>
      <w:ind w:firstLine="200"/>
    </w:pPr>
    <w:rPr>
      <w:b/>
      <w:bCs/>
      <w:szCs w:val="28"/>
    </w:rPr>
  </w:style>
  <w:style w:type="paragraph" w:styleId="39">
    <w:name w:val="Body Text First Indent 2"/>
    <w:basedOn w:val="11"/>
    <w:next w:val="11"/>
    <w:link w:val="77"/>
    <w:autoRedefine/>
    <w:qFormat/>
    <w:uiPriority w:val="0"/>
    <w:pPr>
      <w:widowControl/>
      <w:spacing w:after="120" w:line="240" w:lineRule="exact"/>
      <w:ind w:left="420" w:leftChars="200" w:firstLine="420"/>
      <w:textAlignment w:val="baseline"/>
    </w:pPr>
    <w:rPr>
      <w:snapToGrid w:val="0"/>
      <w:szCs w:val="20"/>
    </w:rPr>
  </w:style>
  <w:style w:type="table" w:styleId="41">
    <w:name w:val="Table Grid"/>
    <w:basedOn w:val="4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
    <w:name w:val="Medium Shading 1 Accent 6"/>
    <w:basedOn w:val="40"/>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3">
    <w:name w:val="Medium Grid 3 Accent 5"/>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44">
    <w:name w:val="Medium Grid 3 Accent 6"/>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45">
    <w:name w:val="Colorful Shading Accent 3"/>
    <w:basedOn w:val="40"/>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6">
    <w:name w:val="Colorful List Accent 5"/>
    <w:basedOn w:val="40"/>
    <w:autoRedefine/>
    <w:qFormat/>
    <w:uiPriority w:val="72"/>
    <w:rPr>
      <w:color w:val="000000"/>
    </w:rPr>
    <w:tblPr>
      <w:tblStyleRowBandSize w:val="1"/>
      <w:tblStyleColBandSize w:val="1"/>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48">
    <w:name w:val="Strong"/>
    <w:autoRedefine/>
    <w:qFormat/>
    <w:uiPriority w:val="22"/>
    <w:rPr>
      <w:b/>
      <w:bCs/>
    </w:rPr>
  </w:style>
  <w:style w:type="character" w:styleId="49">
    <w:name w:val="page number"/>
    <w:autoRedefine/>
    <w:qFormat/>
    <w:uiPriority w:val="0"/>
  </w:style>
  <w:style w:type="character" w:styleId="50">
    <w:name w:val="Emphasis"/>
    <w:autoRedefine/>
    <w:qFormat/>
    <w:uiPriority w:val="0"/>
    <w:rPr>
      <w:rFonts w:ascii="Cambria" w:hAnsi="Cambria" w:eastAsia="黑体"/>
      <w:b/>
      <w:iCs/>
      <w:sz w:val="24"/>
    </w:rPr>
  </w:style>
  <w:style w:type="character" w:styleId="51">
    <w:name w:val="line number"/>
    <w:autoRedefine/>
    <w:qFormat/>
    <w:uiPriority w:val="0"/>
  </w:style>
  <w:style w:type="character" w:styleId="52">
    <w:name w:val="Hyperlink"/>
    <w:basedOn w:val="47"/>
    <w:autoRedefine/>
    <w:unhideWhenUsed/>
    <w:qFormat/>
    <w:uiPriority w:val="99"/>
    <w:rPr>
      <w:color w:val="0563C1"/>
      <w:u w:val="single"/>
    </w:rPr>
  </w:style>
  <w:style w:type="character" w:styleId="53">
    <w:name w:val="annotation reference"/>
    <w:basedOn w:val="47"/>
    <w:autoRedefine/>
    <w:unhideWhenUsed/>
    <w:qFormat/>
    <w:uiPriority w:val="0"/>
    <w:rPr>
      <w:sz w:val="21"/>
      <w:szCs w:val="21"/>
    </w:rPr>
  </w:style>
  <w:style w:type="character" w:customStyle="1" w:styleId="54">
    <w:name w:val="正文文本 字符"/>
    <w:basedOn w:val="47"/>
    <w:link w:val="11"/>
    <w:autoRedefine/>
    <w:qFormat/>
    <w:uiPriority w:val="0"/>
    <w:rPr>
      <w:rFonts w:ascii="宋体" w:hAnsi="Courier New" w:eastAsia="仿宋" w:cs="Times New Roman"/>
      <w:sz w:val="28"/>
      <w:szCs w:val="20"/>
    </w:rPr>
  </w:style>
  <w:style w:type="character" w:customStyle="1" w:styleId="55">
    <w:name w:val="标题 1 字符"/>
    <w:basedOn w:val="47"/>
    <w:autoRedefine/>
    <w:qFormat/>
    <w:uiPriority w:val="0"/>
    <w:rPr>
      <w:rFonts w:ascii="黑体" w:hAnsi="黑体" w:eastAsia="黑体" w:cs="仿宋"/>
      <w:kern w:val="44"/>
      <w:sz w:val="32"/>
      <w:szCs w:val="28"/>
    </w:rPr>
  </w:style>
  <w:style w:type="character" w:customStyle="1" w:styleId="56">
    <w:name w:val="标题 2 字符"/>
    <w:basedOn w:val="47"/>
    <w:link w:val="3"/>
    <w:autoRedefine/>
    <w:qFormat/>
    <w:uiPriority w:val="0"/>
    <w:rPr>
      <w:rFonts w:ascii="黑体" w:hAnsi="黑体" w:eastAsia="黑体" w:cs="Times New Roman"/>
      <w:bCs/>
      <w:sz w:val="30"/>
      <w:szCs w:val="32"/>
    </w:rPr>
  </w:style>
  <w:style w:type="character" w:customStyle="1" w:styleId="57">
    <w:name w:val="标题 3 字符"/>
    <w:basedOn w:val="47"/>
    <w:link w:val="4"/>
    <w:autoRedefine/>
    <w:qFormat/>
    <w:uiPriority w:val="9"/>
    <w:rPr>
      <w:rFonts w:eastAsia="黑体" w:cs="仿宋"/>
      <w:b/>
      <w:kern w:val="2"/>
      <w:sz w:val="28"/>
      <w:szCs w:val="28"/>
    </w:rPr>
  </w:style>
  <w:style w:type="character" w:customStyle="1" w:styleId="58">
    <w:name w:val="标题 4 字符"/>
    <w:basedOn w:val="47"/>
    <w:link w:val="5"/>
    <w:autoRedefine/>
    <w:qFormat/>
    <w:uiPriority w:val="9"/>
    <w:rPr>
      <w:rFonts w:eastAsia="仿宋" w:cs="Times New Roman"/>
      <w:b/>
      <w:bCs/>
      <w:kern w:val="2"/>
      <w:sz w:val="28"/>
      <w:szCs w:val="28"/>
    </w:rPr>
  </w:style>
  <w:style w:type="character" w:customStyle="1" w:styleId="59">
    <w:name w:val="标题 5 字符"/>
    <w:basedOn w:val="47"/>
    <w:link w:val="6"/>
    <w:autoRedefine/>
    <w:qFormat/>
    <w:uiPriority w:val="9"/>
    <w:rPr>
      <w:rFonts w:ascii="仿宋" w:hAnsi="仿宋" w:eastAsia="仿宋"/>
      <w:b/>
      <w:bCs/>
      <w:sz w:val="28"/>
      <w:szCs w:val="28"/>
    </w:rPr>
  </w:style>
  <w:style w:type="character" w:customStyle="1" w:styleId="60">
    <w:name w:val="TOC 7 字符"/>
    <w:link w:val="8"/>
    <w:autoRedefine/>
    <w:qFormat/>
    <w:uiPriority w:val="39"/>
    <w:rPr>
      <w:rFonts w:ascii="等线" w:hAnsi="等线" w:eastAsia="等线" w:cs="Times New Roman"/>
      <w:sz w:val="21"/>
      <w:szCs w:val="28"/>
    </w:rPr>
  </w:style>
  <w:style w:type="character" w:customStyle="1" w:styleId="61">
    <w:name w:val="文档结构图 字符"/>
    <w:basedOn w:val="47"/>
    <w:link w:val="13"/>
    <w:autoRedefine/>
    <w:qFormat/>
    <w:uiPriority w:val="0"/>
    <w:rPr>
      <w:rFonts w:ascii="宋体" w:hAnsi="仿宋" w:eastAsia="宋体"/>
      <w:sz w:val="18"/>
      <w:szCs w:val="18"/>
    </w:rPr>
  </w:style>
  <w:style w:type="character" w:customStyle="1" w:styleId="62">
    <w:name w:val="批注文字 字符"/>
    <w:basedOn w:val="47"/>
    <w:link w:val="14"/>
    <w:autoRedefine/>
    <w:qFormat/>
    <w:uiPriority w:val="0"/>
    <w:rPr>
      <w:rFonts w:ascii="仿宋" w:hAnsi="仿宋" w:eastAsia="仿宋"/>
      <w:sz w:val="28"/>
      <w:szCs w:val="21"/>
    </w:rPr>
  </w:style>
  <w:style w:type="character" w:customStyle="1" w:styleId="63">
    <w:name w:val="正文文本 3 字符"/>
    <w:basedOn w:val="47"/>
    <w:link w:val="15"/>
    <w:autoRedefine/>
    <w:qFormat/>
    <w:uiPriority w:val="0"/>
    <w:rPr>
      <w:rFonts w:ascii="Times New Roman" w:hAnsi="Times New Roman" w:eastAsia="仿宋" w:cs="Times New Roman"/>
      <w:sz w:val="16"/>
      <w:szCs w:val="16"/>
    </w:rPr>
  </w:style>
  <w:style w:type="character" w:customStyle="1" w:styleId="64">
    <w:name w:val="正文文本缩进 字符"/>
    <w:basedOn w:val="47"/>
    <w:link w:val="16"/>
    <w:autoRedefine/>
    <w:qFormat/>
    <w:uiPriority w:val="99"/>
    <w:rPr>
      <w:rFonts w:ascii="宋体" w:hAnsi="宋体"/>
      <w:b/>
      <w:sz w:val="52"/>
      <w:szCs w:val="52"/>
    </w:rPr>
  </w:style>
  <w:style w:type="character" w:customStyle="1" w:styleId="65">
    <w:name w:val="纯文本 字符"/>
    <w:basedOn w:val="47"/>
    <w:link w:val="20"/>
    <w:autoRedefine/>
    <w:qFormat/>
    <w:uiPriority w:val="0"/>
    <w:rPr>
      <w:rFonts w:ascii="宋体" w:hAnsi="Courier New" w:eastAsia="仿宋" w:cs="Times New Roman"/>
      <w:szCs w:val="21"/>
    </w:rPr>
  </w:style>
  <w:style w:type="character" w:customStyle="1" w:styleId="66">
    <w:name w:val="日期 字符"/>
    <w:basedOn w:val="47"/>
    <w:link w:val="22"/>
    <w:autoRedefine/>
    <w:qFormat/>
    <w:uiPriority w:val="0"/>
    <w:rPr>
      <w:rFonts w:ascii="Times New Roman" w:hAnsi="Times New Roman" w:eastAsia="仿宋" w:cs="Times New Roman"/>
      <w:sz w:val="28"/>
      <w:szCs w:val="28"/>
    </w:rPr>
  </w:style>
  <w:style w:type="character" w:customStyle="1" w:styleId="67">
    <w:name w:val="正文文本缩进 2 字符"/>
    <w:basedOn w:val="47"/>
    <w:link w:val="23"/>
    <w:autoRedefine/>
    <w:qFormat/>
    <w:uiPriority w:val="0"/>
    <w:rPr>
      <w:rFonts w:ascii="仿宋" w:hAnsi="仿宋" w:eastAsia="仿宋"/>
      <w:sz w:val="28"/>
      <w:szCs w:val="21"/>
    </w:rPr>
  </w:style>
  <w:style w:type="character" w:customStyle="1" w:styleId="68">
    <w:name w:val="批注框文本 字符"/>
    <w:basedOn w:val="47"/>
    <w:link w:val="24"/>
    <w:autoRedefine/>
    <w:qFormat/>
    <w:uiPriority w:val="0"/>
    <w:rPr>
      <w:rFonts w:ascii="仿宋" w:hAnsi="仿宋" w:eastAsia="仿宋"/>
      <w:sz w:val="18"/>
      <w:szCs w:val="18"/>
    </w:rPr>
  </w:style>
  <w:style w:type="character" w:customStyle="1" w:styleId="69">
    <w:name w:val="页脚 字符"/>
    <w:basedOn w:val="47"/>
    <w:link w:val="25"/>
    <w:autoRedefine/>
    <w:qFormat/>
    <w:uiPriority w:val="99"/>
    <w:rPr>
      <w:rFonts w:eastAsia="仿宋"/>
      <w:kern w:val="2"/>
      <w:sz w:val="18"/>
      <w:szCs w:val="18"/>
    </w:rPr>
  </w:style>
  <w:style w:type="character" w:customStyle="1" w:styleId="70">
    <w:name w:val="页眉 字符"/>
    <w:basedOn w:val="47"/>
    <w:link w:val="26"/>
    <w:autoRedefine/>
    <w:qFormat/>
    <w:uiPriority w:val="99"/>
    <w:rPr>
      <w:rFonts w:ascii="仿宋" w:hAnsi="仿宋" w:eastAsia="仿宋"/>
      <w:sz w:val="18"/>
      <w:szCs w:val="18"/>
    </w:rPr>
  </w:style>
  <w:style w:type="character" w:customStyle="1" w:styleId="71">
    <w:name w:val="副标题 字符1"/>
    <w:link w:val="29"/>
    <w:autoRedefine/>
    <w:qFormat/>
    <w:uiPriority w:val="11"/>
    <w:rPr>
      <w:rFonts w:ascii="Cambria" w:hAnsi="Cambria" w:eastAsia="黑体"/>
      <w:b/>
      <w:bCs/>
      <w:kern w:val="28"/>
      <w:sz w:val="24"/>
      <w:szCs w:val="32"/>
    </w:rPr>
  </w:style>
  <w:style w:type="character" w:customStyle="1" w:styleId="72">
    <w:name w:val="正文文本缩进 3 字符"/>
    <w:basedOn w:val="47"/>
    <w:link w:val="31"/>
    <w:autoRedefine/>
    <w:qFormat/>
    <w:uiPriority w:val="0"/>
    <w:rPr>
      <w:rFonts w:ascii="Arial" w:hAnsi="Arial" w:eastAsia="仿宋" w:cs="Times New Roman"/>
      <w:sz w:val="16"/>
      <w:szCs w:val="16"/>
    </w:rPr>
  </w:style>
  <w:style w:type="character" w:customStyle="1" w:styleId="73">
    <w:name w:val="正文文本 2 字符"/>
    <w:basedOn w:val="47"/>
    <w:link w:val="34"/>
    <w:autoRedefine/>
    <w:qFormat/>
    <w:uiPriority w:val="0"/>
    <w:rPr>
      <w:rFonts w:ascii="Times New Roman" w:hAnsi="Times New Roman" w:eastAsia="宋体" w:cs="Times New Roman"/>
      <w:sz w:val="24"/>
      <w:szCs w:val="24"/>
    </w:rPr>
  </w:style>
  <w:style w:type="character" w:customStyle="1" w:styleId="74">
    <w:name w:val="普通(网站) 字符"/>
    <w:link w:val="35"/>
    <w:autoRedefine/>
    <w:qFormat/>
    <w:uiPriority w:val="0"/>
    <w:rPr>
      <w:rFonts w:ascii="仿宋" w:hAnsi="仿宋" w:eastAsia="仿宋"/>
      <w:sz w:val="24"/>
      <w:szCs w:val="21"/>
    </w:rPr>
  </w:style>
  <w:style w:type="character" w:customStyle="1" w:styleId="75">
    <w:name w:val="标题 字符"/>
    <w:basedOn w:val="47"/>
    <w:link w:val="37"/>
    <w:autoRedefine/>
    <w:qFormat/>
    <w:uiPriority w:val="10"/>
    <w:rPr>
      <w:rFonts w:ascii="Cambria" w:hAnsi="Cambria" w:eastAsia="仿宋" w:cs="Times New Roman"/>
      <w:b/>
      <w:bCs/>
      <w:kern w:val="0"/>
      <w:sz w:val="32"/>
      <w:szCs w:val="32"/>
    </w:rPr>
  </w:style>
  <w:style w:type="character" w:customStyle="1" w:styleId="76">
    <w:name w:val="批注主题 字符"/>
    <w:basedOn w:val="62"/>
    <w:link w:val="38"/>
    <w:autoRedefine/>
    <w:qFormat/>
    <w:uiPriority w:val="0"/>
    <w:rPr>
      <w:rFonts w:ascii="Times New Roman" w:hAnsi="Times New Roman" w:eastAsia="仿宋" w:cs="Times New Roman"/>
      <w:b/>
      <w:bCs/>
      <w:sz w:val="28"/>
      <w:szCs w:val="28"/>
    </w:rPr>
  </w:style>
  <w:style w:type="character" w:customStyle="1" w:styleId="77">
    <w:name w:val="正文文本首行缩进 2 字符"/>
    <w:basedOn w:val="64"/>
    <w:link w:val="39"/>
    <w:autoRedefine/>
    <w:qFormat/>
    <w:uiPriority w:val="0"/>
    <w:rPr>
      <w:rFonts w:ascii="Times New Roman" w:hAnsi="Times New Roman" w:eastAsia="仿宋" w:cs="Times New Roman"/>
      <w:snapToGrid w:val="0"/>
      <w:kern w:val="0"/>
      <w:sz w:val="28"/>
      <w:szCs w:val="20"/>
    </w:rPr>
  </w:style>
  <w:style w:type="table" w:customStyle="1" w:styleId="78">
    <w:name w:val="浅色列表 - 强调文字颜色 11"/>
    <w:basedOn w:val="40"/>
    <w:autoRedefine/>
    <w:qFormat/>
    <w:uiPriority w:val="61"/>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79">
    <w:name w:val="正文缩进两字符"/>
    <w:basedOn w:val="1"/>
    <w:autoRedefine/>
    <w:unhideWhenUsed/>
    <w:qFormat/>
    <w:uiPriority w:val="0"/>
    <w:pPr>
      <w:spacing w:line="280" w:lineRule="exact"/>
    </w:pPr>
    <w:rPr>
      <w:sz w:val="18"/>
    </w:rPr>
  </w:style>
  <w:style w:type="paragraph" w:customStyle="1" w:styleId="80">
    <w:name w:val="图名表名"/>
    <w:basedOn w:val="81"/>
    <w:link w:val="82"/>
    <w:autoRedefine/>
    <w:qFormat/>
    <w:uiPriority w:val="0"/>
    <w:pPr>
      <w:spacing w:after="0" w:line="240" w:lineRule="auto"/>
      <w:outlineLvl w:val="3"/>
    </w:pPr>
    <w:rPr>
      <w:rFonts w:ascii="仿宋" w:hAnsi="仿宋"/>
      <w:kern w:val="0"/>
    </w:rPr>
  </w:style>
  <w:style w:type="paragraph" w:customStyle="1" w:styleId="81">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2">
    <w:name w:val="图名表名 Char"/>
    <w:link w:val="80"/>
    <w:autoRedefine/>
    <w:qFormat/>
    <w:uiPriority w:val="0"/>
    <w:rPr>
      <w:rFonts w:ascii="仿宋" w:hAnsi="仿宋" w:eastAsia="仿宋"/>
      <w:b/>
      <w:sz w:val="28"/>
      <w:szCs w:val="30"/>
    </w:rPr>
  </w:style>
  <w:style w:type="paragraph" w:customStyle="1" w:styleId="83">
    <w:name w:val="图表小标题"/>
    <w:basedOn w:val="1"/>
    <w:next w:val="13"/>
    <w:link w:val="84"/>
    <w:autoRedefine/>
    <w:qFormat/>
    <w:uiPriority w:val="99"/>
    <w:pPr>
      <w:ind w:firstLine="0" w:firstLineChars="0"/>
      <w:jc w:val="center"/>
    </w:pPr>
    <w:rPr>
      <w:rFonts w:ascii="黑体" w:hAnsi="仿宋" w:eastAsia="黑体"/>
      <w:b/>
      <w:kern w:val="0"/>
      <w:sz w:val="20"/>
    </w:rPr>
  </w:style>
  <w:style w:type="character" w:customStyle="1" w:styleId="84">
    <w:name w:val="图表小标题 Char"/>
    <w:link w:val="83"/>
    <w:autoRedefine/>
    <w:qFormat/>
    <w:uiPriority w:val="99"/>
    <w:rPr>
      <w:rFonts w:ascii="黑体" w:hAnsi="仿宋" w:eastAsia="黑体"/>
      <w:b/>
      <w:szCs w:val="21"/>
    </w:rPr>
  </w:style>
  <w:style w:type="paragraph" w:customStyle="1" w:styleId="85">
    <w:name w:val="一级"/>
    <w:basedOn w:val="2"/>
    <w:autoRedefine/>
    <w:qFormat/>
    <w:uiPriority w:val="0"/>
    <w:pPr>
      <w:keepNext w:val="0"/>
    </w:pPr>
  </w:style>
  <w:style w:type="paragraph" w:styleId="86">
    <w:name w:val="List Paragraph"/>
    <w:basedOn w:val="1"/>
    <w:autoRedefine/>
    <w:qFormat/>
    <w:uiPriority w:val="34"/>
    <w:pPr>
      <w:ind w:firstLine="420"/>
    </w:pPr>
  </w:style>
  <w:style w:type="paragraph" w:customStyle="1" w:styleId="87">
    <w:name w:val="表格内容-1"/>
    <w:next w:val="1"/>
    <w:link w:val="88"/>
    <w:autoRedefine/>
    <w:qFormat/>
    <w:uiPriority w:val="0"/>
    <w:pPr>
      <w:jc w:val="center"/>
    </w:pPr>
    <w:rPr>
      <w:rFonts w:ascii="仿宋" w:hAnsi="仿宋" w:eastAsia="仿宋" w:cs="Times New Roman"/>
      <w:bCs/>
      <w:sz w:val="24"/>
      <w:szCs w:val="21"/>
      <w:lang w:val="en-US" w:eastAsia="zh-CN" w:bidi="ar-SA"/>
    </w:rPr>
  </w:style>
  <w:style w:type="character" w:customStyle="1" w:styleId="88">
    <w:name w:val="表格内容-1 Char"/>
    <w:link w:val="87"/>
    <w:autoRedefine/>
    <w:qFormat/>
    <w:uiPriority w:val="0"/>
    <w:rPr>
      <w:rFonts w:ascii="仿宋" w:hAnsi="仿宋" w:eastAsia="仿宋"/>
      <w:bCs/>
      <w:sz w:val="24"/>
      <w:szCs w:val="21"/>
      <w:lang w:bidi="ar-SA"/>
    </w:rPr>
  </w:style>
  <w:style w:type="paragraph" w:customStyle="1" w:styleId="89">
    <w:name w:val="表内文字"/>
    <w:basedOn w:val="90"/>
    <w:link w:val="91"/>
    <w:autoRedefine/>
    <w:qFormat/>
    <w:uiPriority w:val="0"/>
    <w:rPr>
      <w:rFonts w:ascii="Times New Roman" w:hAnsi="Times New Roman" w:cs="Times New Roman"/>
      <w:b w:val="0"/>
      <w:sz w:val="20"/>
      <w:szCs w:val="20"/>
    </w:rPr>
  </w:style>
  <w:style w:type="paragraph" w:customStyle="1" w:styleId="90">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1">
    <w:name w:val="表内文字 Char Char"/>
    <w:link w:val="89"/>
    <w:autoRedefine/>
    <w:qFormat/>
    <w:uiPriority w:val="0"/>
    <w:rPr>
      <w:rFonts w:ascii="Times New Roman" w:hAnsi="Times New Roman" w:eastAsia="宋体" w:cs="Times New Roman"/>
      <w:kern w:val="0"/>
      <w:szCs w:val="20"/>
    </w:rPr>
  </w:style>
  <w:style w:type="paragraph" w:customStyle="1" w:styleId="92">
    <w:name w:val="图名图表"/>
    <w:basedOn w:val="1"/>
    <w:next w:val="1"/>
    <w:link w:val="93"/>
    <w:autoRedefine/>
    <w:qFormat/>
    <w:uiPriority w:val="0"/>
    <w:pPr>
      <w:ind w:firstLine="0" w:firstLineChars="0"/>
      <w:jc w:val="center"/>
      <w:outlineLvl w:val="3"/>
    </w:pPr>
    <w:rPr>
      <w:rFonts w:ascii="仿宋" w:hAnsi="仿宋"/>
      <w:b/>
      <w:kern w:val="0"/>
    </w:rPr>
  </w:style>
  <w:style w:type="character" w:customStyle="1" w:styleId="93">
    <w:name w:val="图名图表 Char"/>
    <w:link w:val="92"/>
    <w:autoRedefine/>
    <w:qFormat/>
    <w:uiPriority w:val="0"/>
    <w:rPr>
      <w:rFonts w:ascii="仿宋" w:hAnsi="仿宋" w:eastAsia="仿宋"/>
      <w:b/>
      <w:sz w:val="28"/>
      <w:szCs w:val="21"/>
    </w:rPr>
  </w:style>
  <w:style w:type="paragraph" w:customStyle="1" w:styleId="94">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95">
    <w:name w:val="正文02"/>
    <w:basedOn w:val="2"/>
    <w:next w:val="1"/>
    <w:link w:val="96"/>
    <w:autoRedefine/>
    <w:qFormat/>
    <w:uiPriority w:val="0"/>
    <w:pPr>
      <w:ind w:firstLine="1080" w:firstLineChars="200"/>
      <w:jc w:val="left"/>
    </w:pPr>
    <w:rPr>
      <w:rFonts w:ascii="仿宋" w:hAnsi="仿宋" w:eastAsia="仿宋" w:cs="Times New Roman"/>
      <w:sz w:val="28"/>
    </w:rPr>
  </w:style>
  <w:style w:type="character" w:customStyle="1" w:styleId="96">
    <w:name w:val="正文02 Char"/>
    <w:link w:val="95"/>
    <w:autoRedefine/>
    <w:qFormat/>
    <w:uiPriority w:val="0"/>
    <w:rPr>
      <w:rFonts w:ascii="仿宋" w:hAnsi="仿宋" w:eastAsia="仿宋" w:cs="仿宋"/>
      <w:kern w:val="44"/>
      <w:sz w:val="28"/>
      <w:szCs w:val="28"/>
    </w:rPr>
  </w:style>
  <w:style w:type="paragraph" w:customStyle="1" w:styleId="97">
    <w:name w:val="WPSOffice手动目录 1"/>
    <w:autoRedefine/>
    <w:qFormat/>
    <w:uiPriority w:val="0"/>
    <w:rPr>
      <w:rFonts w:ascii="方正小标宋简体" w:hAnsi="等线" w:eastAsia="方正小标宋简体" w:cs="Times New Roman"/>
      <w:lang w:val="en-US" w:eastAsia="zh-CN" w:bidi="ar-SA"/>
    </w:rPr>
  </w:style>
  <w:style w:type="paragraph" w:customStyle="1" w:styleId="98">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99">
    <w:name w:val="表内文字 Char"/>
    <w:autoRedefine/>
    <w:qFormat/>
    <w:uiPriority w:val="0"/>
    <w:rPr>
      <w:rFonts w:hAnsi="仿宋_GB2312" w:eastAsia="仿宋"/>
      <w:sz w:val="24"/>
      <w:szCs w:val="22"/>
    </w:rPr>
  </w:style>
  <w:style w:type="paragraph" w:styleId="100">
    <w:name w:val="No Spacing"/>
    <w:link w:val="101"/>
    <w:autoRedefine/>
    <w:qFormat/>
    <w:uiPriority w:val="0"/>
    <w:pPr>
      <w:widowControl w:val="0"/>
      <w:jc w:val="both"/>
    </w:pPr>
    <w:rPr>
      <w:rFonts w:ascii="宋体" w:hAnsi="Calibri" w:eastAsia="仿宋_GB2312" w:cs="Times New Roman"/>
      <w:szCs w:val="28"/>
      <w:lang w:val="en-US" w:eastAsia="zh-CN" w:bidi="ar-SA"/>
    </w:rPr>
  </w:style>
  <w:style w:type="character" w:customStyle="1" w:styleId="101">
    <w:name w:val="无间隔 字符"/>
    <w:link w:val="100"/>
    <w:autoRedefine/>
    <w:qFormat/>
    <w:uiPriority w:val="0"/>
    <w:rPr>
      <w:rFonts w:ascii="宋体" w:hAnsi="Calibri" w:eastAsia="仿宋_GB2312"/>
      <w:szCs w:val="28"/>
      <w:lang w:bidi="ar-SA"/>
    </w:rPr>
  </w:style>
  <w:style w:type="paragraph" w:customStyle="1" w:styleId="102">
    <w:name w:val="01正文"/>
    <w:basedOn w:val="1"/>
    <w:autoRedefine/>
    <w:qFormat/>
    <w:uiPriority w:val="0"/>
    <w:pPr>
      <w:snapToGrid w:val="0"/>
      <w:ind w:firstLine="420"/>
      <w:jc w:val="left"/>
    </w:pPr>
    <w:rPr>
      <w:rFonts w:ascii="宋体" w:hAnsi="宋体"/>
      <w:sz w:val="24"/>
    </w:rPr>
  </w:style>
  <w:style w:type="paragraph" w:customStyle="1" w:styleId="103">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4">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05">
    <w:name w:val="插图插表名称"/>
    <w:basedOn w:val="1"/>
    <w:autoRedefine/>
    <w:qFormat/>
    <w:uiPriority w:val="0"/>
    <w:pPr>
      <w:spacing w:line="240" w:lineRule="auto"/>
      <w:ind w:firstLine="0" w:firstLineChars="0"/>
      <w:jc w:val="center"/>
    </w:pPr>
    <w:rPr>
      <w:rFonts w:cs="宋体"/>
      <w:b/>
    </w:rPr>
  </w:style>
  <w:style w:type="paragraph" w:customStyle="1" w:styleId="106">
    <w:name w:val="插图、插表名称"/>
    <w:basedOn w:val="1"/>
    <w:link w:val="107"/>
    <w:autoRedefine/>
    <w:qFormat/>
    <w:uiPriority w:val="0"/>
    <w:pPr>
      <w:spacing w:line="240" w:lineRule="auto"/>
      <w:ind w:firstLine="0" w:firstLineChars="0"/>
      <w:jc w:val="center"/>
    </w:pPr>
    <w:rPr>
      <w:b/>
      <w:sz w:val="21"/>
    </w:rPr>
  </w:style>
  <w:style w:type="character" w:customStyle="1" w:styleId="107">
    <w:name w:val="插图、插表名称 Char"/>
    <w:link w:val="106"/>
    <w:autoRedefine/>
    <w:qFormat/>
    <w:uiPriority w:val="0"/>
    <w:rPr>
      <w:rFonts w:eastAsia="仿宋" w:cs="Times New Roman"/>
      <w:b/>
      <w:kern w:val="2"/>
      <w:sz w:val="21"/>
      <w:szCs w:val="21"/>
    </w:rPr>
  </w:style>
  <w:style w:type="paragraph" w:customStyle="1" w:styleId="108">
    <w:name w:val="图表标题"/>
    <w:link w:val="109"/>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09">
    <w:name w:val="图表标题 Char"/>
    <w:link w:val="108"/>
    <w:autoRedefine/>
    <w:qFormat/>
    <w:uiPriority w:val="11"/>
    <w:rPr>
      <w:rFonts w:ascii="仿宋" w:hAnsi="仿宋" w:eastAsia="仿宋"/>
      <w:b/>
      <w:bCs/>
      <w:color w:val="000000"/>
      <w:sz w:val="24"/>
      <w:szCs w:val="28"/>
      <w:lang w:bidi="ar-SA"/>
    </w:rPr>
  </w:style>
  <w:style w:type="character" w:customStyle="1" w:styleId="110">
    <w:name w:val="副标题 字符"/>
    <w:basedOn w:val="47"/>
    <w:autoRedefine/>
    <w:qFormat/>
    <w:uiPriority w:val="11"/>
    <w:rPr>
      <w:b/>
      <w:bCs/>
      <w:kern w:val="28"/>
      <w:sz w:val="32"/>
      <w:szCs w:val="32"/>
    </w:rPr>
  </w:style>
  <w:style w:type="paragraph" w:customStyle="1" w:styleId="111">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2">
    <w:name w:val="font31"/>
    <w:basedOn w:val="47"/>
    <w:autoRedefine/>
    <w:qFormat/>
    <w:uiPriority w:val="0"/>
    <w:rPr>
      <w:rFonts w:hint="eastAsia" w:ascii="仿宋" w:hAnsi="仿宋" w:eastAsia="仿宋" w:cs="仿宋"/>
      <w:color w:val="000000"/>
      <w:sz w:val="24"/>
      <w:szCs w:val="24"/>
      <w:u w:val="none"/>
    </w:rPr>
  </w:style>
  <w:style w:type="table" w:customStyle="1" w:styleId="113">
    <w:name w:val="网格表 5 深色 - 着色 11"/>
    <w:basedOn w:val="40"/>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4">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15">
    <w:name w:val="表格样式111"/>
    <w:basedOn w:val="40"/>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6">
    <w:name w:val="图片段落"/>
    <w:basedOn w:val="1"/>
    <w:autoRedefine/>
    <w:qFormat/>
    <w:uiPriority w:val="0"/>
    <w:pPr>
      <w:ind w:firstLine="0" w:firstLineChars="0"/>
      <w:contextualSpacing/>
      <w:jc w:val="center"/>
    </w:pPr>
    <w:rPr>
      <w:rFonts w:hAnsi="Calibri"/>
      <w:kern w:val="0"/>
      <w:szCs w:val="22"/>
    </w:rPr>
  </w:style>
  <w:style w:type="paragraph" w:customStyle="1" w:styleId="117">
    <w:name w:val="表格内容"/>
    <w:basedOn w:val="1"/>
    <w:link w:val="118"/>
    <w:autoRedefine/>
    <w:qFormat/>
    <w:uiPriority w:val="0"/>
    <w:pPr>
      <w:spacing w:line="240" w:lineRule="auto"/>
      <w:ind w:firstLine="0" w:firstLineChars="0"/>
      <w:jc w:val="center"/>
    </w:pPr>
    <w:rPr>
      <w:rFonts w:ascii="宋体" w:hAnsi="宋体"/>
      <w:kern w:val="0"/>
      <w:sz w:val="20"/>
      <w:szCs w:val="24"/>
    </w:rPr>
  </w:style>
  <w:style w:type="character" w:customStyle="1" w:styleId="118">
    <w:name w:val="表格内容 Char"/>
    <w:link w:val="117"/>
    <w:autoRedefine/>
    <w:qFormat/>
    <w:uiPriority w:val="0"/>
    <w:rPr>
      <w:rFonts w:ascii="宋体" w:hAnsi="宋体" w:eastAsia="仿宋" w:cs="宋体"/>
      <w:szCs w:val="24"/>
    </w:rPr>
  </w:style>
  <w:style w:type="paragraph" w:customStyle="1" w:styleId="119">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0">
    <w:name w:val="标题3 Char"/>
    <w:link w:val="121"/>
    <w:autoRedefine/>
    <w:qFormat/>
    <w:uiPriority w:val="0"/>
    <w:rPr>
      <w:rFonts w:eastAsia="仿宋" w:cs="Times New Roman"/>
      <w:b/>
      <w:kern w:val="2"/>
      <w:sz w:val="28"/>
      <w:szCs w:val="24"/>
    </w:rPr>
  </w:style>
  <w:style w:type="paragraph" w:customStyle="1" w:styleId="121">
    <w:name w:val="标题3"/>
    <w:basedOn w:val="4"/>
    <w:next w:val="1"/>
    <w:link w:val="120"/>
    <w:autoRedefine/>
    <w:qFormat/>
    <w:uiPriority w:val="0"/>
    <w:rPr>
      <w:rFonts w:eastAsia="仿宋" w:cs="Times New Roman"/>
      <w:szCs w:val="24"/>
    </w:rPr>
  </w:style>
  <w:style w:type="paragraph" w:customStyle="1" w:styleId="122">
    <w:name w:val="方案图名"/>
    <w:basedOn w:val="1"/>
    <w:next w:val="1"/>
    <w:link w:val="123"/>
    <w:autoRedefine/>
    <w:qFormat/>
    <w:uiPriority w:val="0"/>
    <w:pPr>
      <w:spacing w:line="240" w:lineRule="auto"/>
      <w:ind w:firstLine="562" w:firstLineChars="0"/>
      <w:jc w:val="center"/>
      <w:outlineLvl w:val="4"/>
    </w:pPr>
    <w:rPr>
      <w:rFonts w:ascii="黑体" w:hAnsi="黑体" w:eastAsia="黑体" w:cs="黑体"/>
      <w:b/>
      <w:color w:val="000000"/>
      <w:sz w:val="21"/>
    </w:rPr>
  </w:style>
  <w:style w:type="character" w:customStyle="1" w:styleId="123">
    <w:name w:val="图名 字符"/>
    <w:link w:val="122"/>
    <w:autoRedefine/>
    <w:qFormat/>
    <w:uiPriority w:val="0"/>
    <w:rPr>
      <w:rFonts w:ascii="黑体" w:hAnsi="黑体" w:eastAsia="黑体" w:cs="黑体"/>
      <w:b/>
      <w:color w:val="000000"/>
      <w:kern w:val="2"/>
      <w:sz w:val="21"/>
      <w:szCs w:val="21"/>
    </w:rPr>
  </w:style>
  <w:style w:type="character" w:customStyle="1" w:styleId="124">
    <w:name w:val="未处理的提及1"/>
    <w:autoRedefine/>
    <w:unhideWhenUsed/>
    <w:qFormat/>
    <w:uiPriority w:val="99"/>
    <w:rPr>
      <w:color w:val="605E5C"/>
      <w:shd w:val="clear" w:color="auto" w:fill="E1DFDD"/>
    </w:rPr>
  </w:style>
  <w:style w:type="paragraph" w:customStyle="1" w:styleId="125">
    <w:name w:val="TOC 标题1"/>
    <w:basedOn w:val="2"/>
    <w:next w:val="1"/>
    <w:autoRedefine/>
    <w:qFormat/>
    <w:uiPriority w:val="39"/>
    <w:pPr>
      <w:keepNext w:val="0"/>
      <w:outlineLvl w:val="9"/>
    </w:pPr>
    <w:rPr>
      <w:rFonts w:ascii="Times New Roman" w:hAnsi="Times New Roman" w:cs="Times New Roman"/>
      <w:bCs/>
      <w:szCs w:val="32"/>
    </w:rPr>
  </w:style>
  <w:style w:type="paragraph" w:customStyle="1" w:styleId="126">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27">
    <w:name w:val="z-窗体底端1"/>
    <w:basedOn w:val="1"/>
    <w:next w:val="1"/>
    <w:link w:val="128"/>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28">
    <w:name w:val="z-窗体底端 字符"/>
    <w:basedOn w:val="47"/>
    <w:link w:val="127"/>
    <w:autoRedefine/>
    <w:qFormat/>
    <w:uiPriority w:val="0"/>
    <w:rPr>
      <w:rFonts w:ascii="Arial" w:hAnsi="Arial" w:eastAsia="仿宋" w:cs="Arial"/>
      <w:vanish/>
      <w:kern w:val="0"/>
      <w:sz w:val="16"/>
      <w:szCs w:val="16"/>
    </w:rPr>
  </w:style>
  <w:style w:type="paragraph" w:customStyle="1" w:styleId="129">
    <w:name w:val="样式 标题 3 + Arial 小四 非加粗 左侧:  0.92 厘米"/>
    <w:basedOn w:val="4"/>
    <w:autoRedefine/>
    <w:qFormat/>
    <w:uiPriority w:val="0"/>
    <w:pPr>
      <w:ind w:left="519" w:firstLine="320"/>
    </w:pPr>
    <w:rPr>
      <w:rFonts w:ascii="Arial" w:hAnsi="Arial" w:cs="宋体"/>
      <w:b w:val="0"/>
      <w:kern w:val="0"/>
      <w:sz w:val="24"/>
      <w:szCs w:val="20"/>
    </w:rPr>
  </w:style>
  <w:style w:type="paragraph" w:customStyle="1" w:styleId="130">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1">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2">
    <w:name w:val="表格中"/>
    <w:basedOn w:val="1"/>
    <w:autoRedefine/>
    <w:qFormat/>
    <w:uiPriority w:val="0"/>
    <w:pPr>
      <w:spacing w:line="360" w:lineRule="auto"/>
      <w:ind w:firstLine="0" w:firstLineChars="0"/>
      <w:jc w:val="center"/>
    </w:pPr>
    <w:rPr>
      <w:rFonts w:eastAsia="宋体"/>
      <w:sz w:val="21"/>
      <w:szCs w:val="28"/>
    </w:rPr>
  </w:style>
  <w:style w:type="paragraph" w:customStyle="1" w:styleId="133">
    <w:name w:val="p0"/>
    <w:basedOn w:val="1"/>
    <w:autoRedefine/>
    <w:qFormat/>
    <w:uiPriority w:val="0"/>
    <w:pPr>
      <w:widowControl/>
      <w:ind w:firstLine="200"/>
    </w:pPr>
    <w:rPr>
      <w:rFonts w:ascii="Calibri" w:hAnsi="Calibri" w:cs="宋体"/>
      <w:kern w:val="0"/>
    </w:rPr>
  </w:style>
  <w:style w:type="paragraph" w:customStyle="1" w:styleId="134">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35">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36">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37">
    <w:name w:val="正文缩进二"/>
    <w:basedOn w:val="9"/>
    <w:autoRedefine/>
    <w:qFormat/>
    <w:uiPriority w:val="0"/>
    <w:pPr>
      <w:tabs>
        <w:tab w:val="clear" w:pos="630"/>
      </w:tabs>
      <w:adjustRightInd/>
      <w:ind w:firstLine="567"/>
    </w:pPr>
    <w:rPr>
      <w:rFonts w:ascii="Arial" w:hAnsi="Arial" w:cs="Arial"/>
      <w:sz w:val="28"/>
    </w:rPr>
  </w:style>
  <w:style w:type="paragraph" w:customStyle="1" w:styleId="138">
    <w:name w:val="标题4"/>
    <w:basedOn w:val="3"/>
    <w:link w:val="139"/>
    <w:autoRedefine/>
    <w:qFormat/>
    <w:uiPriority w:val="0"/>
    <w:pPr>
      <w:keepNext/>
      <w:spacing w:line="360" w:lineRule="auto"/>
    </w:pPr>
    <w:rPr>
      <w:rFonts w:ascii="Times New Roman" w:hAnsi="Times New Roman"/>
      <w:kern w:val="0"/>
      <w:szCs w:val="30"/>
    </w:rPr>
  </w:style>
  <w:style w:type="character" w:customStyle="1" w:styleId="139">
    <w:name w:val="标题4 字符"/>
    <w:link w:val="138"/>
    <w:autoRedefine/>
    <w:qFormat/>
    <w:uiPriority w:val="0"/>
    <w:rPr>
      <w:rFonts w:ascii="Times New Roman" w:hAnsi="Times New Roman" w:eastAsia="黑体" w:cs="Times New Roman"/>
      <w:bCs/>
      <w:sz w:val="30"/>
      <w:szCs w:val="30"/>
    </w:rPr>
  </w:style>
  <w:style w:type="character" w:customStyle="1" w:styleId="140">
    <w:name w:val="图名图表 字符"/>
    <w:autoRedefine/>
    <w:qFormat/>
    <w:uiPriority w:val="0"/>
    <w:rPr>
      <w:rFonts w:ascii="仿宋" w:hAnsi="仿宋" w:eastAsia="仿宋"/>
      <w:b/>
      <w:kern w:val="2"/>
      <w:sz w:val="28"/>
      <w:szCs w:val="28"/>
    </w:rPr>
  </w:style>
  <w:style w:type="paragraph" w:customStyle="1" w:styleId="141">
    <w:name w:val="09表中文字"/>
    <w:basedOn w:val="142"/>
    <w:next w:val="142"/>
    <w:autoRedefine/>
    <w:qFormat/>
    <w:uiPriority w:val="0"/>
    <w:pPr>
      <w:spacing w:line="240" w:lineRule="auto"/>
      <w:ind w:firstLine="0" w:firstLineChars="0"/>
      <w:jc w:val="center"/>
      <w:textAlignment w:val="center"/>
    </w:pPr>
    <w:rPr>
      <w:sz w:val="21"/>
    </w:rPr>
  </w:style>
  <w:style w:type="paragraph" w:customStyle="1" w:styleId="142">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3">
    <w:name w:val="表内字"/>
    <w:basedOn w:val="1"/>
    <w:link w:val="144"/>
    <w:autoRedefine/>
    <w:qFormat/>
    <w:uiPriority w:val="0"/>
    <w:pPr>
      <w:spacing w:line="240" w:lineRule="auto"/>
      <w:ind w:firstLine="0" w:firstLineChars="0"/>
      <w:contextualSpacing/>
      <w:jc w:val="center"/>
    </w:pPr>
    <w:rPr>
      <w:kern w:val="0"/>
      <w:sz w:val="20"/>
    </w:rPr>
  </w:style>
  <w:style w:type="character" w:customStyle="1" w:styleId="144">
    <w:name w:val="表内字 字符"/>
    <w:link w:val="143"/>
    <w:autoRedefine/>
    <w:qFormat/>
    <w:uiPriority w:val="0"/>
    <w:rPr>
      <w:rFonts w:ascii="Times New Roman" w:hAnsi="Times New Roman" w:eastAsia="仿宋" w:cs="Times New Roman"/>
      <w:szCs w:val="21"/>
    </w:rPr>
  </w:style>
  <w:style w:type="paragraph" w:customStyle="1" w:styleId="145">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46">
    <w:name w:val="font21"/>
    <w:autoRedefine/>
    <w:qFormat/>
    <w:uiPriority w:val="0"/>
    <w:rPr>
      <w:rFonts w:hint="eastAsia" w:ascii="仿宋" w:hAnsi="仿宋" w:eastAsia="仿宋" w:cs="仿宋"/>
      <w:color w:val="000000"/>
      <w:sz w:val="22"/>
      <w:szCs w:val="22"/>
      <w:u w:val="none"/>
    </w:rPr>
  </w:style>
  <w:style w:type="paragraph" w:customStyle="1" w:styleId="147">
    <w:name w:val="标题4."/>
    <w:basedOn w:val="138"/>
    <w:next w:val="1"/>
    <w:link w:val="148"/>
    <w:autoRedefine/>
    <w:qFormat/>
    <w:uiPriority w:val="0"/>
    <w:pPr>
      <w:spacing w:line="500" w:lineRule="exact"/>
      <w:ind w:firstLine="200" w:firstLineChars="200"/>
      <w:jc w:val="left"/>
      <w:outlineLvl w:val="3"/>
    </w:pPr>
    <w:rPr>
      <w:sz w:val="28"/>
    </w:rPr>
  </w:style>
  <w:style w:type="character" w:customStyle="1" w:styleId="148">
    <w:name w:val="标题4. 字符"/>
    <w:link w:val="147"/>
    <w:autoRedefine/>
    <w:qFormat/>
    <w:uiPriority w:val="0"/>
    <w:rPr>
      <w:rFonts w:ascii="Times New Roman" w:hAnsi="Times New Roman" w:eastAsia="黑体" w:cs="Times New Roman"/>
      <w:bCs/>
      <w:sz w:val="28"/>
      <w:szCs w:val="30"/>
    </w:rPr>
  </w:style>
  <w:style w:type="paragraph" w:customStyle="1" w:styleId="149">
    <w:name w:val="_Style 132"/>
    <w:basedOn w:val="1"/>
    <w:next w:val="86"/>
    <w:autoRedefine/>
    <w:qFormat/>
    <w:uiPriority w:val="99"/>
    <w:pPr>
      <w:ind w:firstLine="420"/>
    </w:pPr>
    <w:rPr>
      <w:rFonts w:ascii="Calibri" w:hAnsi="Calibri"/>
      <w:sz w:val="21"/>
      <w:szCs w:val="22"/>
    </w:rPr>
  </w:style>
  <w:style w:type="character" w:customStyle="1" w:styleId="150">
    <w:name w:val="font11"/>
    <w:basedOn w:val="47"/>
    <w:autoRedefine/>
    <w:qFormat/>
    <w:uiPriority w:val="0"/>
    <w:rPr>
      <w:rFonts w:hint="eastAsia" w:ascii="仿宋" w:hAnsi="仿宋" w:eastAsia="仿宋" w:cs="仿宋"/>
      <w:color w:val="000000"/>
      <w:sz w:val="21"/>
      <w:szCs w:val="21"/>
      <w:u w:val="none"/>
    </w:rPr>
  </w:style>
  <w:style w:type="paragraph" w:customStyle="1" w:styleId="151">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2">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3">
    <w:name w:val="Font Style248"/>
    <w:autoRedefine/>
    <w:qFormat/>
    <w:uiPriority w:val="0"/>
    <w:rPr>
      <w:rFonts w:ascii="宋体" w:eastAsia="宋体" w:cs="宋体"/>
      <w:sz w:val="22"/>
      <w:szCs w:val="22"/>
    </w:rPr>
  </w:style>
  <w:style w:type="paragraph" w:customStyle="1" w:styleId="154">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5">
    <w:name w:val="表内文字 字符"/>
    <w:basedOn w:val="47"/>
    <w:autoRedefine/>
    <w:qFormat/>
    <w:uiPriority w:val="0"/>
    <w:rPr>
      <w:rFonts w:cs="Times New Roman"/>
      <w:kern w:val="2"/>
      <w:sz w:val="21"/>
      <w:szCs w:val="24"/>
    </w:rPr>
  </w:style>
  <w:style w:type="paragraph" w:customStyle="1" w:styleId="156">
    <w:name w:val="表格"/>
    <w:basedOn w:val="1"/>
    <w:autoRedefine/>
    <w:qFormat/>
    <w:uiPriority w:val="0"/>
    <w:pPr>
      <w:spacing w:line="360" w:lineRule="auto"/>
      <w:ind w:firstLine="0" w:firstLineChars="0"/>
      <w:jc w:val="center"/>
    </w:pPr>
    <w:rPr>
      <w:rFonts w:eastAsia="宋体"/>
      <w:sz w:val="21"/>
      <w:szCs w:val="20"/>
    </w:rPr>
  </w:style>
  <w:style w:type="character" w:customStyle="1" w:styleId="157">
    <w:name w:val="副标题 Char1"/>
    <w:autoRedefine/>
    <w:qFormat/>
    <w:uiPriority w:val="11"/>
    <w:rPr>
      <w:rFonts w:ascii="Cambria" w:hAnsi="Cambria" w:eastAsia="黑体" w:cs="Times New Roman"/>
      <w:b/>
      <w:bCs/>
      <w:kern w:val="28"/>
      <w:sz w:val="24"/>
      <w:szCs w:val="32"/>
    </w:rPr>
  </w:style>
  <w:style w:type="paragraph" w:customStyle="1" w:styleId="158">
    <w:name w:val="表名"/>
    <w:basedOn w:val="1"/>
    <w:autoRedefine/>
    <w:qFormat/>
    <w:uiPriority w:val="0"/>
    <w:pPr>
      <w:numPr>
        <w:ilvl w:val="0"/>
        <w:numId w:val="2"/>
      </w:numPr>
      <w:spacing w:beforeLines="50" w:line="360" w:lineRule="auto"/>
      <w:ind w:firstLine="0" w:firstLineChars="0"/>
      <w:jc w:val="center"/>
    </w:pPr>
    <w:rPr>
      <w:rFonts w:ascii="黑体" w:hAnsi="宋体" w:eastAsia="Times New Roman" w:cs="Dutch801 Rm BT"/>
      <w:kern w:val="10"/>
      <w:sz w:val="24"/>
    </w:rPr>
  </w:style>
  <w:style w:type="paragraph" w:customStyle="1" w:styleId="159">
    <w:name w:val="三级标题-NEW"/>
    <w:basedOn w:val="160"/>
    <w:autoRedefine/>
    <w:qFormat/>
    <w:uiPriority w:val="0"/>
    <w:pPr>
      <w:numPr>
        <w:ilvl w:val="2"/>
        <w:numId w:val="3"/>
      </w:numPr>
      <w:outlineLvl w:val="2"/>
    </w:pPr>
    <w:rPr>
      <w:sz w:val="24"/>
    </w:rPr>
  </w:style>
  <w:style w:type="paragraph" w:customStyle="1" w:styleId="160">
    <w:name w:val="一级标题-NEW"/>
    <w:basedOn w:val="161"/>
    <w:autoRedefine/>
    <w:qFormat/>
    <w:uiPriority w:val="99"/>
    <w:pPr>
      <w:jc w:val="left"/>
    </w:pPr>
    <w:rPr>
      <w:rFonts w:ascii="Times New Roman" w:hAnsi="Times New Roman" w:eastAsia="等线"/>
      <w:color w:val="auto"/>
      <w:kern w:val="2"/>
      <w:sz w:val="30"/>
    </w:rPr>
  </w:style>
  <w:style w:type="paragraph" w:customStyle="1" w:styleId="161">
    <w:name w:val="标题 1-1"/>
    <w:basedOn w:val="2"/>
    <w:autoRedefine/>
    <w:qFormat/>
    <w:uiPriority w:val="0"/>
    <w:pPr>
      <w:widowControl/>
      <w:snapToGrid w:val="0"/>
    </w:pPr>
    <w:rPr>
      <w:rFonts w:cs="Times New Roman"/>
      <w:color w:val="FF0000"/>
      <w:sz w:val="28"/>
      <w:szCs w:val="22"/>
    </w:rPr>
  </w:style>
  <w:style w:type="paragraph" w:customStyle="1" w:styleId="162">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3">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4">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65">
    <w:name w:val="列出段落3"/>
    <w:basedOn w:val="1"/>
    <w:autoRedefine/>
    <w:qFormat/>
    <w:uiPriority w:val="34"/>
    <w:pPr>
      <w:spacing w:line="240" w:lineRule="auto"/>
      <w:ind w:firstLine="420"/>
    </w:pPr>
    <w:rPr>
      <w:rFonts w:eastAsia="宋体"/>
      <w:sz w:val="21"/>
    </w:rPr>
  </w:style>
  <w:style w:type="paragraph" w:customStyle="1" w:styleId="166">
    <w:name w:val="图名"/>
    <w:basedOn w:val="1"/>
    <w:next w:val="1"/>
    <w:autoRedefine/>
    <w:qFormat/>
    <w:uiPriority w:val="0"/>
    <w:pPr>
      <w:ind w:firstLine="0" w:firstLineChars="0"/>
      <w:jc w:val="center"/>
      <w:outlineLvl w:val="4"/>
    </w:pPr>
    <w:rPr>
      <w:b/>
    </w:rPr>
  </w:style>
  <w:style w:type="paragraph" w:customStyle="1" w:styleId="167">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68">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69">
    <w:name w:val="正文格式 Char"/>
    <w:link w:val="170"/>
    <w:autoRedefine/>
    <w:qFormat/>
    <w:uiPriority w:val="0"/>
    <w:rPr>
      <w:rFonts w:ascii="宋体" w:eastAsia="宋体"/>
      <w:sz w:val="24"/>
      <w:szCs w:val="24"/>
    </w:rPr>
  </w:style>
  <w:style w:type="paragraph" w:customStyle="1" w:styleId="170">
    <w:name w:val="正文格式"/>
    <w:basedOn w:val="1"/>
    <w:link w:val="169"/>
    <w:autoRedefine/>
    <w:qFormat/>
    <w:uiPriority w:val="0"/>
    <w:pPr>
      <w:spacing w:line="360" w:lineRule="auto"/>
      <w:ind w:firstLine="480"/>
      <w:jc w:val="left"/>
    </w:pPr>
    <w:rPr>
      <w:rFonts w:ascii="宋体" w:eastAsia="宋体"/>
      <w:kern w:val="0"/>
      <w:sz w:val="24"/>
      <w:szCs w:val="24"/>
    </w:rPr>
  </w:style>
  <w:style w:type="paragraph" w:customStyle="1" w:styleId="171">
    <w:name w:val="图表名"/>
    <w:basedOn w:val="1"/>
    <w:autoRedefine/>
    <w:qFormat/>
    <w:uiPriority w:val="99"/>
    <w:pPr>
      <w:jc w:val="center"/>
    </w:pPr>
    <w:rPr>
      <w:rFonts w:eastAsia="黑体"/>
      <w:kern w:val="0"/>
      <w:sz w:val="21"/>
      <w:szCs w:val="20"/>
    </w:rPr>
  </w:style>
  <w:style w:type="paragraph" w:customStyle="1" w:styleId="172">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3">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4">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75">
    <w:name w:val="样式 居中"/>
    <w:basedOn w:val="1"/>
    <w:autoRedefine/>
    <w:qFormat/>
    <w:uiPriority w:val="0"/>
    <w:pPr>
      <w:widowControl/>
      <w:ind w:firstLine="200"/>
      <w:jc w:val="center"/>
    </w:pPr>
    <w:rPr>
      <w:rFonts w:ascii="宋体" w:cs="宋体"/>
      <w:b/>
      <w:kern w:val="0"/>
      <w:sz w:val="44"/>
      <w:szCs w:val="20"/>
    </w:rPr>
  </w:style>
  <w:style w:type="character" w:customStyle="1" w:styleId="176">
    <w:name w:val="标题 1 字符1"/>
    <w:basedOn w:val="47"/>
    <w:link w:val="2"/>
    <w:autoRedefine/>
    <w:qFormat/>
    <w:uiPriority w:val="0"/>
    <w:rPr>
      <w:rFonts w:ascii="Times New Roman" w:hAnsi="Times New Roman" w:eastAsia="宋体"/>
      <w:b/>
      <w:kern w:val="2"/>
      <w:sz w:val="28"/>
      <w:szCs w:val="24"/>
    </w:rPr>
  </w:style>
  <w:style w:type="paragraph" w:customStyle="1" w:styleId="177">
    <w:name w:val="正缩"/>
    <w:basedOn w:val="1"/>
    <w:autoRedefine/>
    <w:qFormat/>
    <w:uiPriority w:val="0"/>
    <w:pPr>
      <w:adjustRightInd w:val="0"/>
      <w:spacing w:line="400" w:lineRule="exact"/>
      <w:textAlignment w:val="center"/>
    </w:pPr>
    <w:rPr>
      <w:szCs w:val="24"/>
    </w:rPr>
  </w:style>
  <w:style w:type="paragraph" w:customStyle="1" w:styleId="178">
    <w:name w:val="正文2"/>
    <w:basedOn w:val="1"/>
    <w:autoRedefine/>
    <w:qFormat/>
    <w:uiPriority w:val="0"/>
    <w:pPr>
      <w:spacing w:line="240" w:lineRule="auto"/>
    </w:pPr>
  </w:style>
  <w:style w:type="paragraph" w:customStyle="1" w:styleId="179">
    <w:name w:val="图格式"/>
    <w:basedOn w:val="1"/>
    <w:qFormat/>
    <w:uiPriority w:val="0"/>
    <w:pPr>
      <w:keepNext/>
      <w:spacing w:line="240" w:lineRule="auto"/>
      <w:ind w:firstLine="0" w:firstLineChars="0"/>
      <w:jc w:val="center"/>
    </w:pPr>
  </w:style>
  <w:style w:type="paragraph" w:customStyle="1" w:styleId="180">
    <w:name w:val="报告正文"/>
    <w:basedOn w:val="1"/>
    <w:qFormat/>
    <w:uiPriority w:val="0"/>
    <w:rPr>
      <w:rFonts w:eastAsia="仿宋_GB2312"/>
    </w:rPr>
  </w:style>
  <w:style w:type="table" w:customStyle="1" w:styleId="181">
    <w:name w:val="合武g"/>
    <w:basedOn w:val="182"/>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2">
    <w:name w:val="成南达万"/>
    <w:basedOn w:val="40"/>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183">
    <w:name w:val="正文文本缩进 字符1"/>
    <w:qFormat/>
    <w:uiPriority w:val="99"/>
    <w:rPr>
      <w:rFonts w:ascii="Times New Roman" w:hAnsi="Times New Roman" w:eastAsia="宋体" w:cs="Times New Roman"/>
      <w:kern w:val="0"/>
      <w:sz w:val="24"/>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header" Target="header3.xml"/><Relationship Id="rId69" Type="http://schemas.openxmlformats.org/officeDocument/2006/relationships/customXml" Target="../customXml/item1.xml"/><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emf"/><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99</Pages>
  <Words>5515</Words>
  <Characters>6910</Characters>
  <Lines>361</Lines>
  <Paragraphs>101</Paragraphs>
  <TotalTime>76</TotalTime>
  <ScaleCrop>false</ScaleCrop>
  <LinksUpToDate>false</LinksUpToDate>
  <CharactersWithSpaces>7091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2024-11-30T09:40:00Z</dcterms:created>
  <dc:creator>伟</dc:creator>
  <cp:lastModifiedBy>WPS_1178362952</cp:lastModifiedBy>
  <cp:lastPrinted>2025-03-13T02:23:25Z</cp:lastPrinted>
  <dcterms:modified xsi:type="dcterms:W3CDTF">2025-03-13T06:02:06Z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0AC6C2F5EF944286933E4137FF9C9949_13</vt:lpwstr>
  </property>
  <property fmtid="{D5CDD505-2E9C-101B-9397-08002B2CF9AE}" pid="4" name="KSOTemplateDocerSaveRecord">
    <vt:lpwstr>eyJoZGlkIjoiN2RlOWMwNTAzZGNmZDIwNjBhMTA3YTIxY2M4ZWUyZmEiLCJ1c2VySWQiOiIxMTc4MzYyOTUyIn0=</vt:lpwstr>
  </property>
</Properties>
</file>