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80"/>
      </w:pPr>
    </w:p>
    <w:p>
      <w:pPr>
        <w:ind w:firstLine="480"/>
      </w:pPr>
    </w:p>
    <w:p>
      <w:pPr>
        <w:ind w:firstLine="480"/>
      </w:pPr>
    </w:p>
    <w:p>
      <w:pPr>
        <w:pStyle w:val="64"/>
        <w:rPr>
          <w:bCs/>
        </w:rPr>
      </w:pPr>
      <w:bookmarkStart w:id="0" w:name="_Toc40273439"/>
      <w:bookmarkStart w:id="1" w:name="_Toc15659"/>
      <w:bookmarkStart w:id="2" w:name="_Toc40778418"/>
      <w:bookmarkStart w:id="3" w:name="项目名称"/>
      <w:bookmarkStart w:id="4" w:name="_Toc40445697"/>
      <w:bookmarkStart w:id="5" w:name="_Toc40446028"/>
      <w:r>
        <w:rPr>
          <w:rFonts w:hint="eastAsia"/>
          <w:bCs/>
        </w:rPr>
        <w:t>天保至麻栗坡高速公路TJ-2标项</w:t>
      </w:r>
      <w:r>
        <w:rPr>
          <w:rFonts w:hint="eastAsia"/>
        </w:rPr>
        <w:t>目</w:t>
      </w:r>
      <w:bookmarkEnd w:id="0"/>
      <w:bookmarkEnd w:id="1"/>
      <w:bookmarkEnd w:id="2"/>
      <w:bookmarkEnd w:id="3"/>
      <w:bookmarkEnd w:id="4"/>
      <w:bookmarkEnd w:id="5"/>
    </w:p>
    <w:p>
      <w:pPr>
        <w:pStyle w:val="64"/>
      </w:pPr>
      <w:bookmarkStart w:id="6" w:name="设备类型"/>
      <w:bookmarkStart w:id="7" w:name="_Toc40446029"/>
      <w:bookmarkStart w:id="8" w:name="_Toc40445698"/>
      <w:bookmarkStart w:id="9" w:name="_Toc40273440"/>
      <w:bookmarkStart w:id="10" w:name="_Toc13281"/>
      <w:bookmarkStart w:id="11" w:name="方案名称"/>
      <w:bookmarkStart w:id="12" w:name="_Toc40778419"/>
      <w:r>
        <w:rPr>
          <w:rFonts w:hint="eastAsia"/>
          <w:lang w:eastAsia="zh-CN"/>
        </w:rPr>
        <w:t>畴阳河大桥</w:t>
      </w:r>
      <w:r>
        <w:rPr>
          <w:rFonts w:hint="eastAsia"/>
        </w:rPr>
        <w:t>塔式起重机</w:t>
      </w:r>
      <w:bookmarkEnd w:id="6"/>
      <w:bookmarkStart w:id="13" w:name="方案类别"/>
      <w:r>
        <w:rPr>
          <w:rFonts w:hint="eastAsia"/>
        </w:rPr>
        <w:t>安装（拆除）方案</w:t>
      </w:r>
      <w:bookmarkEnd w:id="7"/>
      <w:bookmarkEnd w:id="8"/>
      <w:bookmarkEnd w:id="9"/>
      <w:bookmarkEnd w:id="10"/>
      <w:bookmarkEnd w:id="11"/>
      <w:bookmarkEnd w:id="12"/>
      <w:bookmarkEnd w:id="13"/>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pStyle w:val="79"/>
      </w:pPr>
      <w:bookmarkStart w:id="14" w:name="安拆单位"/>
      <w:r>
        <w:rPr>
          <w:rFonts w:hint="eastAsia"/>
        </w:rPr>
        <w:t>重庆钱桥建筑设备租赁有限公司</w:t>
      </w:r>
      <w:bookmarkEnd w:id="14"/>
    </w:p>
    <w:p>
      <w:pPr>
        <w:pStyle w:val="79"/>
      </w:pPr>
      <w:r>
        <w:rPr>
          <w:rFonts w:hint="eastAsia"/>
        </w:rPr>
        <w:t>二</w:t>
      </w:r>
      <w:r>
        <w:t>〇二</w:t>
      </w:r>
      <w:r>
        <w:rPr>
          <w:rFonts w:hint="eastAsia"/>
        </w:rPr>
        <w:t>三年四月十四日</w:t>
      </w:r>
      <w:r>
        <w:br w:type="page"/>
      </w:r>
    </w:p>
    <w:p>
      <w:pPr>
        <w:ind w:firstLine="480"/>
      </w:pPr>
    </w:p>
    <w:p>
      <w:pPr>
        <w:ind w:left="0" w:leftChars="0" w:firstLine="0" w:firstLineChars="0"/>
      </w:pPr>
      <w:r>
        <w:drawing>
          <wp:inline distT="0" distB="0" distL="114300" distR="114300">
            <wp:extent cx="5774055" cy="7560945"/>
            <wp:effectExtent l="0" t="0" r="17145" b="1905"/>
            <wp:docPr id="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
                    <pic:cNvPicPr>
                      <a:picLocks noChangeAspect="1"/>
                    </pic:cNvPicPr>
                  </pic:nvPicPr>
                  <pic:blipFill>
                    <a:blip r:embed="rId18"/>
                    <a:stretch>
                      <a:fillRect/>
                    </a:stretch>
                  </pic:blipFill>
                  <pic:spPr>
                    <a:xfrm>
                      <a:off x="0" y="0"/>
                      <a:ext cx="5774055" cy="7560945"/>
                    </a:xfrm>
                    <a:prstGeom prst="rect">
                      <a:avLst/>
                    </a:prstGeom>
                    <a:noFill/>
                    <a:ln>
                      <a:noFill/>
                    </a:ln>
                  </pic:spPr>
                </pic:pic>
              </a:graphicData>
            </a:graphic>
          </wp:inline>
        </w:drawing>
      </w:r>
    </w:p>
    <w:p>
      <w:pPr>
        <w:ind w:firstLine="480"/>
      </w:pPr>
    </w:p>
    <w:p>
      <w:pPr>
        <w:ind w:firstLine="480"/>
      </w:pPr>
    </w:p>
    <w:p>
      <w:pPr>
        <w:ind w:firstLine="480"/>
      </w:pPr>
    </w:p>
    <w:p>
      <w:pPr>
        <w:ind w:firstLine="0" w:firstLineChars="0"/>
        <w:rPr>
          <w:b/>
          <w:color w:val="000000" w:themeColor="text1"/>
          <w:sz w:val="48"/>
          <w:szCs w:val="32"/>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18" w:right="1418" w:bottom="1418" w:left="1418" w:header="851" w:footer="992" w:gutter="0"/>
          <w:cols w:space="425" w:num="1"/>
          <w:docGrid w:linePitch="498" w:charSpace="17788"/>
        </w:sectPr>
      </w:pPr>
    </w:p>
    <w:p>
      <w:pPr>
        <w:pStyle w:val="28"/>
        <w:spacing w:line="480" w:lineRule="exact"/>
        <w:ind w:firstLine="643" w:firstLineChars="0"/>
        <w:jc w:val="center"/>
        <w:rPr>
          <w:rFonts w:ascii="Times New Roman" w:hAnsi="Times New Roman" w:eastAsia="宋体" w:cs="Times New Roman"/>
          <w:b/>
          <w:color w:val="000000"/>
          <w:kern w:val="2"/>
          <w:sz w:val="28"/>
          <w:szCs w:val="32"/>
          <w:lang w:val="en-US" w:eastAsia="zh-CN" w:bidi="ar-SA"/>
        </w:rPr>
      </w:pPr>
      <w:r>
        <w:rPr>
          <w:rFonts w:hint="eastAsia"/>
          <w:b/>
          <w:bCs/>
          <w:sz w:val="32"/>
          <w:szCs w:val="32"/>
        </w:rPr>
        <w:t>目    录</w:t>
      </w:r>
      <w:r>
        <w:rPr>
          <w:color w:val="000000"/>
          <w:sz w:val="48"/>
          <w:szCs w:val="32"/>
        </w:rPr>
        <w:fldChar w:fldCharType="begin"/>
      </w:r>
      <w:r>
        <w:rPr>
          <w:color w:val="000000"/>
          <w:sz w:val="48"/>
          <w:szCs w:val="32"/>
        </w:rPr>
        <w:instrText xml:space="preserve">TOC \o "1-2" \h \u </w:instrText>
      </w:r>
      <w:r>
        <w:rPr>
          <w:color w:val="000000"/>
          <w:sz w:val="48"/>
          <w:szCs w:val="32"/>
        </w:rPr>
        <w:fldChar w:fldCharType="separate"/>
      </w:r>
    </w:p>
    <w:p>
      <w:pPr>
        <w:pStyle w:val="28"/>
        <w:tabs>
          <w:tab w:val="right" w:leader="dot" w:pos="9070"/>
          <w:tab w:val="clear" w:pos="9060"/>
        </w:tabs>
      </w:pPr>
      <w:r>
        <w:rPr>
          <w:color w:val="000000"/>
          <w:szCs w:val="32"/>
        </w:rPr>
        <w:fldChar w:fldCharType="begin"/>
      </w:r>
      <w:r>
        <w:rPr>
          <w:szCs w:val="32"/>
        </w:rPr>
        <w:instrText xml:space="preserve"> HYPERLINK \l _Toc8863 </w:instrText>
      </w:r>
      <w:r>
        <w:rPr>
          <w:szCs w:val="32"/>
        </w:rPr>
        <w:fldChar w:fldCharType="separate"/>
      </w:r>
      <w:r>
        <w:rPr>
          <w:rFonts w:hint="default" w:ascii="Times New Roman" w:hAnsi="Times New Roman" w:eastAsia="宋体"/>
        </w:rPr>
        <w:t xml:space="preserve">1 </w:t>
      </w:r>
      <w:r>
        <w:rPr>
          <w:rFonts w:hint="eastAsia"/>
        </w:rPr>
        <w:t>编制说明、依据及适用范围</w:t>
      </w:r>
      <w:r>
        <w:tab/>
      </w:r>
      <w:r>
        <w:fldChar w:fldCharType="begin"/>
      </w:r>
      <w:r>
        <w:instrText xml:space="preserve"> PAGEREF _Toc8863 \h </w:instrText>
      </w:r>
      <w:r>
        <w:fldChar w:fldCharType="separate"/>
      </w:r>
      <w:r>
        <w:t>1</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_Toc5398 </w:instrText>
      </w:r>
      <w:r>
        <w:rPr>
          <w:szCs w:val="32"/>
        </w:rPr>
        <w:fldChar w:fldCharType="separate"/>
      </w:r>
      <w:r>
        <w:rPr>
          <w:rFonts w:hint="default" w:ascii="Times New Roman" w:hAnsi="Times New Roman" w:eastAsia="宋体"/>
        </w:rPr>
        <w:t xml:space="preserve">1.1 </w:t>
      </w:r>
      <w:r>
        <w:rPr>
          <w:rFonts w:hint="eastAsia"/>
        </w:rPr>
        <w:t>编制说明</w:t>
      </w:r>
      <w:r>
        <w:tab/>
      </w:r>
      <w:r>
        <w:fldChar w:fldCharType="begin"/>
      </w:r>
      <w:r>
        <w:instrText xml:space="preserve"> PAGEREF _Toc5398 \h </w:instrText>
      </w:r>
      <w:r>
        <w:fldChar w:fldCharType="separate"/>
      </w:r>
      <w:r>
        <w:t>1</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_Toc21833 </w:instrText>
      </w:r>
      <w:r>
        <w:rPr>
          <w:szCs w:val="32"/>
        </w:rPr>
        <w:fldChar w:fldCharType="separate"/>
      </w:r>
      <w:r>
        <w:rPr>
          <w:rFonts w:hint="default" w:ascii="Times New Roman" w:hAnsi="Times New Roman" w:eastAsia="宋体"/>
        </w:rPr>
        <w:t xml:space="preserve">1.2 </w:t>
      </w:r>
      <w:r>
        <w:rPr>
          <w:rFonts w:hint="eastAsia"/>
        </w:rPr>
        <w:t>编制依据</w:t>
      </w:r>
      <w:r>
        <w:tab/>
      </w:r>
      <w:r>
        <w:fldChar w:fldCharType="begin"/>
      </w:r>
      <w:r>
        <w:instrText xml:space="preserve"> PAGEREF _Toc21833 \h </w:instrText>
      </w:r>
      <w:r>
        <w:fldChar w:fldCharType="separate"/>
      </w:r>
      <w:r>
        <w:t>1</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_Toc1691 </w:instrText>
      </w:r>
      <w:r>
        <w:rPr>
          <w:szCs w:val="32"/>
        </w:rPr>
        <w:fldChar w:fldCharType="separate"/>
      </w:r>
      <w:r>
        <w:rPr>
          <w:rFonts w:hint="default" w:ascii="Times New Roman" w:hAnsi="Times New Roman" w:eastAsia="宋体"/>
        </w:rPr>
        <w:t xml:space="preserve">1.3 </w:t>
      </w:r>
      <w:r>
        <w:rPr>
          <w:rFonts w:hint="eastAsia"/>
        </w:rPr>
        <w:t>适用范围</w:t>
      </w:r>
      <w:r>
        <w:tab/>
      </w:r>
      <w:r>
        <w:fldChar w:fldCharType="begin"/>
      </w:r>
      <w:r>
        <w:instrText xml:space="preserve"> PAGEREF _Toc1691 \h </w:instrText>
      </w:r>
      <w:r>
        <w:fldChar w:fldCharType="separate"/>
      </w:r>
      <w:r>
        <w:t>2</w:t>
      </w:r>
      <w:r>
        <w:fldChar w:fldCharType="end"/>
      </w:r>
      <w:r>
        <w:rPr>
          <w:color w:val="000000"/>
          <w:szCs w:val="32"/>
        </w:rPr>
        <w:fldChar w:fldCharType="end"/>
      </w:r>
    </w:p>
    <w:p>
      <w:pPr>
        <w:pStyle w:val="28"/>
        <w:tabs>
          <w:tab w:val="right" w:leader="dot" w:pos="9070"/>
          <w:tab w:val="clear" w:pos="9060"/>
        </w:tabs>
      </w:pPr>
      <w:r>
        <w:rPr>
          <w:color w:val="000000"/>
          <w:szCs w:val="32"/>
        </w:rPr>
        <w:fldChar w:fldCharType="begin"/>
      </w:r>
      <w:r>
        <w:rPr>
          <w:szCs w:val="32"/>
        </w:rPr>
        <w:instrText xml:space="preserve"> HYPERLINK \l _Toc13008 </w:instrText>
      </w:r>
      <w:r>
        <w:rPr>
          <w:szCs w:val="32"/>
        </w:rPr>
        <w:fldChar w:fldCharType="separate"/>
      </w:r>
      <w:r>
        <w:rPr>
          <w:rFonts w:hint="default" w:ascii="Times New Roman" w:hAnsi="Times New Roman" w:eastAsia="宋体"/>
        </w:rPr>
        <w:t xml:space="preserve">2 </w:t>
      </w:r>
      <w:r>
        <w:rPr>
          <w:rFonts w:hint="eastAsia"/>
        </w:rPr>
        <w:t>工程概况</w:t>
      </w:r>
      <w:r>
        <w:tab/>
      </w:r>
      <w:r>
        <w:fldChar w:fldCharType="begin"/>
      </w:r>
      <w:r>
        <w:instrText xml:space="preserve"> PAGEREF _Toc13008 \h </w:instrText>
      </w:r>
      <w:r>
        <w:fldChar w:fldCharType="separate"/>
      </w:r>
      <w:r>
        <w:t>3</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_Toc27619 </w:instrText>
      </w:r>
      <w:r>
        <w:rPr>
          <w:szCs w:val="32"/>
        </w:rPr>
        <w:fldChar w:fldCharType="separate"/>
      </w:r>
      <w:r>
        <w:rPr>
          <w:rFonts w:hint="default" w:ascii="Times New Roman" w:hAnsi="Times New Roman" w:eastAsia="宋体"/>
        </w:rPr>
        <w:t xml:space="preserve">2.1 </w:t>
      </w:r>
      <w:r>
        <w:rPr>
          <w:rFonts w:hint="eastAsia"/>
        </w:rPr>
        <w:t>工程概况</w:t>
      </w:r>
      <w:r>
        <w:tab/>
      </w:r>
      <w:r>
        <w:fldChar w:fldCharType="begin"/>
      </w:r>
      <w:r>
        <w:instrText xml:space="preserve"> PAGEREF _Toc27619 \h </w:instrText>
      </w:r>
      <w:r>
        <w:fldChar w:fldCharType="separate"/>
      </w:r>
      <w:r>
        <w:t>3</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_Toc19714 </w:instrText>
      </w:r>
      <w:r>
        <w:rPr>
          <w:szCs w:val="32"/>
        </w:rPr>
        <w:fldChar w:fldCharType="separate"/>
      </w:r>
      <w:r>
        <w:rPr>
          <w:rFonts w:hint="default" w:ascii="Times New Roman" w:hAnsi="Times New Roman" w:eastAsia="宋体"/>
        </w:rPr>
        <w:t xml:space="preserve">2.2 </w:t>
      </w:r>
      <w:r>
        <w:rPr>
          <w:rFonts w:hint="eastAsia"/>
        </w:rPr>
        <w:t>工程特点</w:t>
      </w:r>
      <w:r>
        <w:tab/>
      </w:r>
      <w:r>
        <w:fldChar w:fldCharType="begin"/>
      </w:r>
      <w:r>
        <w:instrText xml:space="preserve"> PAGEREF _Toc19714 \h </w:instrText>
      </w:r>
      <w:r>
        <w:fldChar w:fldCharType="separate"/>
      </w:r>
      <w:r>
        <w:t>13</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_Toc29772 </w:instrText>
      </w:r>
      <w:r>
        <w:rPr>
          <w:szCs w:val="32"/>
        </w:rPr>
        <w:fldChar w:fldCharType="separate"/>
      </w:r>
      <w:r>
        <w:rPr>
          <w:rFonts w:hint="default" w:ascii="Times New Roman" w:hAnsi="Times New Roman" w:eastAsia="宋体"/>
        </w:rPr>
        <w:t xml:space="preserve">2.3 </w:t>
      </w:r>
      <w:r>
        <w:rPr>
          <w:rFonts w:hint="eastAsia"/>
        </w:rPr>
        <w:t>施工平面布置</w:t>
      </w:r>
      <w:r>
        <w:tab/>
      </w:r>
      <w:r>
        <w:fldChar w:fldCharType="begin"/>
      </w:r>
      <w:r>
        <w:instrText xml:space="preserve"> PAGEREF _Toc29772 \h </w:instrText>
      </w:r>
      <w:r>
        <w:fldChar w:fldCharType="separate"/>
      </w:r>
      <w:r>
        <w:t>13</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_Toc3944 </w:instrText>
      </w:r>
      <w:r>
        <w:rPr>
          <w:szCs w:val="32"/>
        </w:rPr>
        <w:fldChar w:fldCharType="separate"/>
      </w:r>
      <w:r>
        <w:rPr>
          <w:rFonts w:hint="default" w:ascii="Times New Roman" w:hAnsi="Times New Roman" w:eastAsia="宋体"/>
        </w:rPr>
        <w:t xml:space="preserve">2.4 </w:t>
      </w:r>
      <w:r>
        <w:rPr>
          <w:rFonts w:hint="eastAsia"/>
        </w:rPr>
        <w:t>施工要求</w:t>
      </w:r>
      <w:r>
        <w:tab/>
      </w:r>
      <w:r>
        <w:fldChar w:fldCharType="begin"/>
      </w:r>
      <w:r>
        <w:instrText xml:space="preserve"> PAGEREF _Toc3944 \h </w:instrText>
      </w:r>
      <w:r>
        <w:fldChar w:fldCharType="separate"/>
      </w:r>
      <w:r>
        <w:t>14</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_Toc30808 </w:instrText>
      </w:r>
      <w:r>
        <w:rPr>
          <w:szCs w:val="32"/>
        </w:rPr>
        <w:fldChar w:fldCharType="separate"/>
      </w:r>
      <w:r>
        <w:rPr>
          <w:rFonts w:hint="default" w:ascii="Times New Roman" w:hAnsi="Times New Roman" w:eastAsia="宋体"/>
        </w:rPr>
        <w:t xml:space="preserve">2.5 </w:t>
      </w:r>
      <w:r>
        <w:rPr>
          <w:rFonts w:hint="eastAsia"/>
        </w:rPr>
        <w:t>技术保证条件</w:t>
      </w:r>
      <w:r>
        <w:tab/>
      </w:r>
      <w:r>
        <w:fldChar w:fldCharType="begin"/>
      </w:r>
      <w:r>
        <w:instrText xml:space="preserve"> PAGEREF _Toc30808 \h </w:instrText>
      </w:r>
      <w:r>
        <w:fldChar w:fldCharType="separate"/>
      </w:r>
      <w:r>
        <w:t>16</w:t>
      </w:r>
      <w:r>
        <w:fldChar w:fldCharType="end"/>
      </w:r>
      <w:r>
        <w:rPr>
          <w:color w:val="000000"/>
          <w:szCs w:val="32"/>
        </w:rPr>
        <w:fldChar w:fldCharType="end"/>
      </w:r>
    </w:p>
    <w:p>
      <w:pPr>
        <w:pStyle w:val="28"/>
        <w:tabs>
          <w:tab w:val="right" w:leader="dot" w:pos="9070"/>
          <w:tab w:val="clear" w:pos="9060"/>
        </w:tabs>
      </w:pPr>
      <w:r>
        <w:rPr>
          <w:color w:val="000000"/>
          <w:szCs w:val="32"/>
        </w:rPr>
        <w:fldChar w:fldCharType="begin"/>
      </w:r>
      <w:r>
        <w:rPr>
          <w:szCs w:val="32"/>
        </w:rPr>
        <w:instrText xml:space="preserve"> HYPERLINK \l _Toc1837 </w:instrText>
      </w:r>
      <w:r>
        <w:rPr>
          <w:szCs w:val="32"/>
        </w:rPr>
        <w:fldChar w:fldCharType="separate"/>
      </w:r>
      <w:r>
        <w:rPr>
          <w:rFonts w:hint="default" w:ascii="Times New Roman" w:hAnsi="Times New Roman" w:eastAsia="宋体"/>
        </w:rPr>
        <w:t xml:space="preserve">3 </w:t>
      </w:r>
      <w:r>
        <w:rPr>
          <w:rFonts w:hint="eastAsia"/>
        </w:rPr>
        <w:t>施工计划</w:t>
      </w:r>
      <w:r>
        <w:tab/>
      </w:r>
      <w:r>
        <w:fldChar w:fldCharType="begin"/>
      </w:r>
      <w:r>
        <w:instrText xml:space="preserve"> PAGEREF _Toc1837 \h </w:instrText>
      </w:r>
      <w:r>
        <w:fldChar w:fldCharType="separate"/>
      </w:r>
      <w:r>
        <w:t>17</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_Toc21614 </w:instrText>
      </w:r>
      <w:r>
        <w:rPr>
          <w:szCs w:val="32"/>
        </w:rPr>
        <w:fldChar w:fldCharType="separate"/>
      </w:r>
      <w:r>
        <w:rPr>
          <w:rFonts w:hint="default" w:ascii="Times New Roman" w:hAnsi="Times New Roman" w:eastAsia="宋体"/>
        </w:rPr>
        <w:t xml:space="preserve">3.1 </w:t>
      </w:r>
      <w:r>
        <w:rPr>
          <w:rFonts w:hint="eastAsia"/>
        </w:rPr>
        <w:t>施工进度计划</w:t>
      </w:r>
      <w:r>
        <w:tab/>
      </w:r>
      <w:r>
        <w:fldChar w:fldCharType="begin"/>
      </w:r>
      <w:r>
        <w:instrText xml:space="preserve"> PAGEREF _Toc21614 \h </w:instrText>
      </w:r>
      <w:r>
        <w:fldChar w:fldCharType="separate"/>
      </w:r>
      <w:r>
        <w:t>17</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_Toc15201 </w:instrText>
      </w:r>
      <w:r>
        <w:rPr>
          <w:szCs w:val="32"/>
        </w:rPr>
        <w:fldChar w:fldCharType="separate"/>
      </w:r>
      <w:r>
        <w:rPr>
          <w:rFonts w:hint="default" w:ascii="Times New Roman" w:hAnsi="Times New Roman" w:eastAsia="宋体"/>
        </w:rPr>
        <w:t xml:space="preserve">3.2 </w:t>
      </w:r>
      <w:r>
        <w:rPr>
          <w:rFonts w:hint="eastAsia"/>
        </w:rPr>
        <w:t>材料计划</w:t>
      </w:r>
      <w:r>
        <w:tab/>
      </w:r>
      <w:r>
        <w:fldChar w:fldCharType="begin"/>
      </w:r>
      <w:r>
        <w:instrText xml:space="preserve"> PAGEREF _Toc15201 \h </w:instrText>
      </w:r>
      <w:r>
        <w:fldChar w:fldCharType="separate"/>
      </w:r>
      <w:r>
        <w:t>17</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_Toc9879 </w:instrText>
      </w:r>
      <w:r>
        <w:rPr>
          <w:szCs w:val="32"/>
        </w:rPr>
        <w:fldChar w:fldCharType="separate"/>
      </w:r>
      <w:r>
        <w:rPr>
          <w:rFonts w:hint="default" w:ascii="Times New Roman" w:hAnsi="Times New Roman" w:eastAsia="宋体"/>
        </w:rPr>
        <w:t xml:space="preserve">3.3 </w:t>
      </w:r>
      <w:r>
        <w:rPr>
          <w:rFonts w:hint="eastAsia"/>
        </w:rPr>
        <w:t>设备及工具计划</w:t>
      </w:r>
      <w:r>
        <w:tab/>
      </w:r>
      <w:r>
        <w:fldChar w:fldCharType="begin"/>
      </w:r>
      <w:r>
        <w:instrText xml:space="preserve"> PAGEREF _Toc9879 \h </w:instrText>
      </w:r>
      <w:r>
        <w:fldChar w:fldCharType="separate"/>
      </w:r>
      <w:r>
        <w:t>18</w:t>
      </w:r>
      <w:r>
        <w:fldChar w:fldCharType="end"/>
      </w:r>
      <w:r>
        <w:rPr>
          <w:color w:val="000000"/>
          <w:szCs w:val="32"/>
        </w:rPr>
        <w:fldChar w:fldCharType="end"/>
      </w:r>
    </w:p>
    <w:p>
      <w:pPr>
        <w:pStyle w:val="28"/>
        <w:tabs>
          <w:tab w:val="right" w:leader="dot" w:pos="9070"/>
          <w:tab w:val="clear" w:pos="9060"/>
        </w:tabs>
      </w:pPr>
      <w:r>
        <w:rPr>
          <w:color w:val="000000"/>
          <w:szCs w:val="32"/>
        </w:rPr>
        <w:fldChar w:fldCharType="begin"/>
      </w:r>
      <w:r>
        <w:rPr>
          <w:szCs w:val="32"/>
        </w:rPr>
        <w:instrText xml:space="preserve"> HYPERLINK \l _Toc8243 </w:instrText>
      </w:r>
      <w:r>
        <w:rPr>
          <w:szCs w:val="32"/>
        </w:rPr>
        <w:fldChar w:fldCharType="separate"/>
      </w:r>
      <w:r>
        <w:rPr>
          <w:rFonts w:hint="default" w:ascii="Times New Roman" w:hAnsi="Times New Roman" w:eastAsia="宋体"/>
        </w:rPr>
        <w:t xml:space="preserve">4 </w:t>
      </w:r>
      <w:r>
        <w:rPr>
          <w:rFonts w:hint="eastAsia"/>
        </w:rPr>
        <w:t>施工工艺</w:t>
      </w:r>
      <w:r>
        <w:tab/>
      </w:r>
      <w:r>
        <w:fldChar w:fldCharType="begin"/>
      </w:r>
      <w:r>
        <w:instrText xml:space="preserve"> PAGEREF _Toc8243 \h </w:instrText>
      </w:r>
      <w:r>
        <w:fldChar w:fldCharType="separate"/>
      </w:r>
      <w:r>
        <w:t>20</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_Toc28497 </w:instrText>
      </w:r>
      <w:r>
        <w:rPr>
          <w:szCs w:val="32"/>
        </w:rPr>
        <w:fldChar w:fldCharType="separate"/>
      </w:r>
      <w:r>
        <w:rPr>
          <w:rFonts w:hint="default" w:ascii="Times New Roman" w:hAnsi="Times New Roman" w:eastAsia="宋体"/>
        </w:rPr>
        <w:t xml:space="preserve">4.1 </w:t>
      </w:r>
      <w:r>
        <w:rPr>
          <w:rFonts w:hint="eastAsia"/>
        </w:rPr>
        <w:t>施工方案概述</w:t>
      </w:r>
      <w:r>
        <w:tab/>
      </w:r>
      <w:r>
        <w:fldChar w:fldCharType="begin"/>
      </w:r>
      <w:r>
        <w:instrText xml:space="preserve"> PAGEREF _Toc28497 \h </w:instrText>
      </w:r>
      <w:r>
        <w:fldChar w:fldCharType="separate"/>
      </w:r>
      <w:r>
        <w:t>20</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_Toc17686 </w:instrText>
      </w:r>
      <w:r>
        <w:rPr>
          <w:szCs w:val="32"/>
        </w:rPr>
        <w:fldChar w:fldCharType="separate"/>
      </w:r>
      <w:r>
        <w:rPr>
          <w:rFonts w:hint="default" w:ascii="Times New Roman" w:hAnsi="Times New Roman" w:eastAsia="宋体"/>
        </w:rPr>
        <w:t xml:space="preserve">4.2 </w:t>
      </w:r>
      <w:r>
        <w:rPr>
          <w:rFonts w:hint="eastAsia"/>
        </w:rPr>
        <w:t>主要设备选型</w:t>
      </w:r>
      <w:r>
        <w:tab/>
      </w:r>
      <w:r>
        <w:fldChar w:fldCharType="begin"/>
      </w:r>
      <w:r>
        <w:instrText xml:space="preserve"> PAGEREF _Toc17686 \h </w:instrText>
      </w:r>
      <w:r>
        <w:fldChar w:fldCharType="separate"/>
      </w:r>
      <w:r>
        <w:t>20</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_Toc21918 </w:instrText>
      </w:r>
      <w:r>
        <w:rPr>
          <w:szCs w:val="32"/>
        </w:rPr>
        <w:fldChar w:fldCharType="separate"/>
      </w:r>
      <w:r>
        <w:rPr>
          <w:rFonts w:hint="default" w:ascii="Times New Roman" w:hAnsi="Times New Roman" w:eastAsia="宋体"/>
        </w:rPr>
        <w:t xml:space="preserve">4.3 </w:t>
      </w:r>
      <w:r>
        <w:rPr>
          <w:rFonts w:hint="eastAsia"/>
        </w:rPr>
        <w:t>施工准备</w:t>
      </w:r>
      <w:r>
        <w:tab/>
      </w:r>
      <w:r>
        <w:fldChar w:fldCharType="begin"/>
      </w:r>
      <w:r>
        <w:instrText xml:space="preserve"> PAGEREF _Toc21918 \h </w:instrText>
      </w:r>
      <w:r>
        <w:fldChar w:fldCharType="separate"/>
      </w:r>
      <w:r>
        <w:t>24</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_Toc7403 </w:instrText>
      </w:r>
      <w:r>
        <w:rPr>
          <w:szCs w:val="32"/>
        </w:rPr>
        <w:fldChar w:fldCharType="separate"/>
      </w:r>
      <w:r>
        <w:rPr>
          <w:rFonts w:hint="default" w:ascii="Times New Roman" w:hAnsi="Times New Roman" w:eastAsia="宋体"/>
        </w:rPr>
        <w:t xml:space="preserve">4.4 </w:t>
      </w:r>
      <w:r>
        <w:rPr>
          <w:rFonts w:hint="eastAsia"/>
        </w:rPr>
        <w:t>施工工艺流程图</w:t>
      </w:r>
      <w:r>
        <w:tab/>
      </w:r>
      <w:r>
        <w:fldChar w:fldCharType="begin"/>
      </w:r>
      <w:r>
        <w:instrText xml:space="preserve"> PAGEREF _Toc7403 \h </w:instrText>
      </w:r>
      <w:r>
        <w:fldChar w:fldCharType="separate"/>
      </w:r>
      <w:r>
        <w:t>25</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_Toc4357 </w:instrText>
      </w:r>
      <w:r>
        <w:rPr>
          <w:szCs w:val="32"/>
        </w:rPr>
        <w:fldChar w:fldCharType="separate"/>
      </w:r>
      <w:r>
        <w:rPr>
          <w:rFonts w:hint="default" w:ascii="Times New Roman" w:hAnsi="Times New Roman" w:eastAsia="宋体"/>
        </w:rPr>
        <w:t xml:space="preserve">4.5 </w:t>
      </w:r>
      <w:r>
        <w:rPr>
          <w:rFonts w:hint="eastAsia"/>
        </w:rPr>
        <w:t>施工方法</w:t>
      </w:r>
      <w:r>
        <w:tab/>
      </w:r>
      <w:r>
        <w:fldChar w:fldCharType="begin"/>
      </w:r>
      <w:r>
        <w:instrText xml:space="preserve"> PAGEREF _Toc4357 \h </w:instrText>
      </w:r>
      <w:r>
        <w:fldChar w:fldCharType="separate"/>
      </w:r>
      <w:r>
        <w:t>28</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_Toc30888 </w:instrText>
      </w:r>
      <w:r>
        <w:rPr>
          <w:szCs w:val="32"/>
        </w:rPr>
        <w:fldChar w:fldCharType="separate"/>
      </w:r>
      <w:r>
        <w:rPr>
          <w:rFonts w:hint="default" w:ascii="Times New Roman" w:hAnsi="Times New Roman" w:eastAsia="宋体"/>
        </w:rPr>
        <w:t xml:space="preserve">4.6 </w:t>
      </w:r>
      <w:r>
        <w:rPr>
          <w:rFonts w:hint="eastAsia"/>
        </w:rPr>
        <w:t>检查要求</w:t>
      </w:r>
      <w:r>
        <w:tab/>
      </w:r>
      <w:r>
        <w:fldChar w:fldCharType="begin"/>
      </w:r>
      <w:r>
        <w:instrText xml:space="preserve"> PAGEREF _Toc30888 \h </w:instrText>
      </w:r>
      <w:r>
        <w:fldChar w:fldCharType="separate"/>
      </w:r>
      <w:r>
        <w:t>77</w:t>
      </w:r>
      <w:r>
        <w:fldChar w:fldCharType="end"/>
      </w:r>
      <w:r>
        <w:rPr>
          <w:color w:val="000000"/>
          <w:szCs w:val="32"/>
        </w:rPr>
        <w:fldChar w:fldCharType="end"/>
      </w:r>
    </w:p>
    <w:p>
      <w:pPr>
        <w:pStyle w:val="28"/>
        <w:tabs>
          <w:tab w:val="right" w:leader="dot" w:pos="9070"/>
          <w:tab w:val="clear" w:pos="9060"/>
        </w:tabs>
      </w:pPr>
      <w:r>
        <w:rPr>
          <w:color w:val="000000"/>
          <w:szCs w:val="32"/>
        </w:rPr>
        <w:fldChar w:fldCharType="begin"/>
      </w:r>
      <w:r>
        <w:rPr>
          <w:szCs w:val="32"/>
        </w:rPr>
        <w:instrText xml:space="preserve"> HYPERLINK \l _Toc20508 </w:instrText>
      </w:r>
      <w:r>
        <w:rPr>
          <w:szCs w:val="32"/>
        </w:rPr>
        <w:fldChar w:fldCharType="separate"/>
      </w:r>
      <w:r>
        <w:rPr>
          <w:rFonts w:hint="default" w:ascii="Times New Roman" w:hAnsi="Times New Roman" w:eastAsia="宋体"/>
        </w:rPr>
        <w:t xml:space="preserve">5 </w:t>
      </w:r>
      <w:r>
        <w:rPr>
          <w:rFonts w:hint="eastAsia"/>
        </w:rPr>
        <w:t>质量管理</w:t>
      </w:r>
      <w:r>
        <w:t>措施</w:t>
      </w:r>
      <w:r>
        <w:tab/>
      </w:r>
      <w:r>
        <w:fldChar w:fldCharType="begin"/>
      </w:r>
      <w:r>
        <w:instrText xml:space="preserve"> PAGEREF _Toc20508 \h </w:instrText>
      </w:r>
      <w:r>
        <w:fldChar w:fldCharType="separate"/>
      </w:r>
      <w:r>
        <w:t>79</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_Toc20504 </w:instrText>
      </w:r>
      <w:r>
        <w:rPr>
          <w:szCs w:val="32"/>
        </w:rPr>
        <w:fldChar w:fldCharType="separate"/>
      </w:r>
      <w:r>
        <w:rPr>
          <w:rFonts w:hint="default" w:ascii="Times New Roman" w:hAnsi="Times New Roman" w:eastAsia="宋体"/>
        </w:rPr>
        <w:t xml:space="preserve">5.1 </w:t>
      </w:r>
      <w:r>
        <w:rPr>
          <w:rFonts w:hint="eastAsia"/>
        </w:rPr>
        <w:t>质量管理组织机构</w:t>
      </w:r>
      <w:r>
        <w:tab/>
      </w:r>
      <w:r>
        <w:fldChar w:fldCharType="begin"/>
      </w:r>
      <w:r>
        <w:instrText xml:space="preserve"> PAGEREF _Toc20504 \h </w:instrText>
      </w:r>
      <w:r>
        <w:fldChar w:fldCharType="separate"/>
      </w:r>
      <w:r>
        <w:t>79</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_Toc26828 </w:instrText>
      </w:r>
      <w:r>
        <w:rPr>
          <w:szCs w:val="32"/>
        </w:rPr>
        <w:fldChar w:fldCharType="separate"/>
      </w:r>
      <w:r>
        <w:rPr>
          <w:rFonts w:hint="default" w:ascii="Times New Roman" w:hAnsi="Times New Roman" w:eastAsia="宋体"/>
        </w:rPr>
        <w:t xml:space="preserve">5.2 </w:t>
      </w:r>
      <w:r>
        <w:rPr>
          <w:rFonts w:hint="eastAsia"/>
        </w:rPr>
        <w:t>质量保证措施</w:t>
      </w:r>
      <w:r>
        <w:tab/>
      </w:r>
      <w:r>
        <w:fldChar w:fldCharType="begin"/>
      </w:r>
      <w:r>
        <w:instrText xml:space="preserve"> PAGEREF _Toc26828 \h </w:instrText>
      </w:r>
      <w:r>
        <w:fldChar w:fldCharType="separate"/>
      </w:r>
      <w:r>
        <w:t>79</w:t>
      </w:r>
      <w:r>
        <w:fldChar w:fldCharType="end"/>
      </w:r>
      <w:r>
        <w:rPr>
          <w:color w:val="000000"/>
          <w:szCs w:val="32"/>
        </w:rPr>
        <w:fldChar w:fldCharType="end"/>
      </w:r>
    </w:p>
    <w:p>
      <w:pPr>
        <w:pStyle w:val="28"/>
        <w:tabs>
          <w:tab w:val="right" w:leader="dot" w:pos="9070"/>
          <w:tab w:val="clear" w:pos="9060"/>
        </w:tabs>
      </w:pPr>
      <w:r>
        <w:rPr>
          <w:color w:val="000000"/>
          <w:szCs w:val="32"/>
        </w:rPr>
        <w:fldChar w:fldCharType="begin"/>
      </w:r>
      <w:r>
        <w:rPr>
          <w:szCs w:val="32"/>
        </w:rPr>
        <w:instrText xml:space="preserve"> HYPERLINK \l _Toc4513 </w:instrText>
      </w:r>
      <w:r>
        <w:rPr>
          <w:szCs w:val="32"/>
        </w:rPr>
        <w:fldChar w:fldCharType="separate"/>
      </w:r>
      <w:r>
        <w:rPr>
          <w:rFonts w:hint="default" w:ascii="Times New Roman" w:hAnsi="Times New Roman" w:eastAsia="宋体"/>
        </w:rPr>
        <w:t xml:space="preserve">6 </w:t>
      </w:r>
      <w:r>
        <w:rPr>
          <w:rFonts w:hint="eastAsia"/>
        </w:rPr>
        <w:t>施工风险源辨识及安全保障措施</w:t>
      </w:r>
      <w:r>
        <w:tab/>
      </w:r>
      <w:r>
        <w:fldChar w:fldCharType="begin"/>
      </w:r>
      <w:r>
        <w:instrText xml:space="preserve"> PAGEREF _Toc4513 \h </w:instrText>
      </w:r>
      <w:r>
        <w:fldChar w:fldCharType="separate"/>
      </w:r>
      <w:r>
        <w:t>81</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_Toc18306 </w:instrText>
      </w:r>
      <w:r>
        <w:rPr>
          <w:szCs w:val="32"/>
        </w:rPr>
        <w:fldChar w:fldCharType="separate"/>
      </w:r>
      <w:r>
        <w:rPr>
          <w:rFonts w:hint="default" w:ascii="Times New Roman" w:hAnsi="Times New Roman" w:eastAsia="宋体"/>
        </w:rPr>
        <w:t xml:space="preserve">6.1 </w:t>
      </w:r>
      <w:r>
        <w:rPr>
          <w:rFonts w:hint="eastAsia"/>
        </w:rPr>
        <w:t>风险源辨识及分析</w:t>
      </w:r>
      <w:r>
        <w:tab/>
      </w:r>
      <w:r>
        <w:fldChar w:fldCharType="begin"/>
      </w:r>
      <w:r>
        <w:instrText xml:space="preserve"> PAGEREF _Toc18306 \h </w:instrText>
      </w:r>
      <w:r>
        <w:fldChar w:fldCharType="separate"/>
      </w:r>
      <w:r>
        <w:t>81</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_Toc14644 </w:instrText>
      </w:r>
      <w:r>
        <w:rPr>
          <w:szCs w:val="32"/>
        </w:rPr>
        <w:fldChar w:fldCharType="separate"/>
      </w:r>
      <w:r>
        <w:rPr>
          <w:rFonts w:hint="default" w:ascii="Times New Roman" w:hAnsi="Times New Roman" w:eastAsia="宋体"/>
        </w:rPr>
        <w:t xml:space="preserve">6.2 </w:t>
      </w:r>
      <w:r>
        <w:rPr>
          <w:rFonts w:hint="eastAsia"/>
        </w:rPr>
        <w:t>组织保障措施</w:t>
      </w:r>
      <w:r>
        <w:tab/>
      </w:r>
      <w:r>
        <w:fldChar w:fldCharType="begin"/>
      </w:r>
      <w:r>
        <w:instrText xml:space="preserve"> PAGEREF _Toc14644 \h </w:instrText>
      </w:r>
      <w:r>
        <w:fldChar w:fldCharType="separate"/>
      </w:r>
      <w:r>
        <w:t>84</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_Toc31952 </w:instrText>
      </w:r>
      <w:r>
        <w:rPr>
          <w:szCs w:val="32"/>
        </w:rPr>
        <w:fldChar w:fldCharType="separate"/>
      </w:r>
      <w:r>
        <w:rPr>
          <w:rFonts w:hint="default" w:ascii="Times New Roman" w:hAnsi="Times New Roman" w:eastAsia="宋体"/>
          <w:shd w:val="clear" w:fill="FFFFFF" w:themeFill="background1"/>
        </w:rPr>
        <w:t xml:space="preserve">6.3 </w:t>
      </w:r>
      <w:r>
        <w:rPr>
          <w:rFonts w:hint="eastAsia"/>
          <w:shd w:val="clear" w:color="auto" w:fill="FFFFFF" w:themeFill="background1"/>
        </w:rPr>
        <w:t>施工安全技术控制措施</w:t>
      </w:r>
      <w:r>
        <w:tab/>
      </w:r>
      <w:r>
        <w:fldChar w:fldCharType="begin"/>
      </w:r>
      <w:r>
        <w:instrText xml:space="preserve"> PAGEREF _Toc31952 \h </w:instrText>
      </w:r>
      <w:r>
        <w:fldChar w:fldCharType="separate"/>
      </w:r>
      <w:r>
        <w:t>86</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_Toc12247 </w:instrText>
      </w:r>
      <w:r>
        <w:rPr>
          <w:szCs w:val="32"/>
        </w:rPr>
        <w:fldChar w:fldCharType="separate"/>
      </w:r>
      <w:r>
        <w:rPr>
          <w:rFonts w:hint="default" w:ascii="Times New Roman" w:hAnsi="Times New Roman" w:eastAsia="宋体"/>
        </w:rPr>
        <w:t xml:space="preserve">6.4 </w:t>
      </w:r>
      <w:r>
        <w:rPr>
          <w:rFonts w:hint="eastAsia"/>
        </w:rPr>
        <w:t>监测监控措施</w:t>
      </w:r>
      <w:r>
        <w:tab/>
      </w:r>
      <w:r>
        <w:fldChar w:fldCharType="begin"/>
      </w:r>
      <w:r>
        <w:instrText xml:space="preserve"> PAGEREF _Toc12247 \h </w:instrText>
      </w:r>
      <w:r>
        <w:fldChar w:fldCharType="separate"/>
      </w:r>
      <w:r>
        <w:t>94</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_Toc1372 </w:instrText>
      </w:r>
      <w:r>
        <w:rPr>
          <w:szCs w:val="32"/>
        </w:rPr>
        <w:fldChar w:fldCharType="separate"/>
      </w:r>
      <w:r>
        <w:rPr>
          <w:rFonts w:hint="default" w:ascii="Times New Roman" w:hAnsi="Times New Roman" w:eastAsia="宋体"/>
        </w:rPr>
        <w:t xml:space="preserve">6.5 </w:t>
      </w:r>
      <w:r>
        <w:rPr>
          <w:rFonts w:hint="eastAsia"/>
        </w:rPr>
        <w:t>特殊季节保证措施</w:t>
      </w:r>
      <w:r>
        <w:tab/>
      </w:r>
      <w:r>
        <w:fldChar w:fldCharType="begin"/>
      </w:r>
      <w:r>
        <w:instrText xml:space="preserve"> PAGEREF _Toc1372 \h </w:instrText>
      </w:r>
      <w:r>
        <w:fldChar w:fldCharType="separate"/>
      </w:r>
      <w:r>
        <w:t>94</w:t>
      </w:r>
      <w:r>
        <w:fldChar w:fldCharType="end"/>
      </w:r>
      <w:r>
        <w:rPr>
          <w:color w:val="000000"/>
          <w:szCs w:val="32"/>
        </w:rPr>
        <w:fldChar w:fldCharType="end"/>
      </w:r>
    </w:p>
    <w:p>
      <w:pPr>
        <w:pStyle w:val="28"/>
        <w:tabs>
          <w:tab w:val="right" w:leader="dot" w:pos="9070"/>
          <w:tab w:val="clear" w:pos="9060"/>
        </w:tabs>
      </w:pPr>
      <w:r>
        <w:rPr>
          <w:color w:val="000000"/>
          <w:szCs w:val="32"/>
        </w:rPr>
        <w:fldChar w:fldCharType="begin"/>
      </w:r>
      <w:r>
        <w:rPr>
          <w:szCs w:val="32"/>
        </w:rPr>
        <w:instrText xml:space="preserve"> HYPERLINK \l _Toc16492 </w:instrText>
      </w:r>
      <w:r>
        <w:rPr>
          <w:szCs w:val="32"/>
        </w:rPr>
        <w:fldChar w:fldCharType="separate"/>
      </w:r>
      <w:r>
        <w:rPr>
          <w:rFonts w:hint="default" w:ascii="Times New Roman" w:hAnsi="Times New Roman" w:eastAsia="宋体"/>
        </w:rPr>
        <w:t xml:space="preserve">7 </w:t>
      </w:r>
      <w:r>
        <w:rPr>
          <w:rFonts w:hint="eastAsia"/>
        </w:rPr>
        <w:t>施工管理及作业人员配备和分工</w:t>
      </w:r>
      <w:r>
        <w:tab/>
      </w:r>
      <w:r>
        <w:fldChar w:fldCharType="begin"/>
      </w:r>
      <w:r>
        <w:instrText xml:space="preserve"> PAGEREF _Toc16492 \h </w:instrText>
      </w:r>
      <w:r>
        <w:fldChar w:fldCharType="separate"/>
      </w:r>
      <w:r>
        <w:t>97</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_Toc1554 </w:instrText>
      </w:r>
      <w:r>
        <w:rPr>
          <w:szCs w:val="32"/>
        </w:rPr>
        <w:fldChar w:fldCharType="separate"/>
      </w:r>
      <w:r>
        <w:rPr>
          <w:rFonts w:hint="default" w:ascii="Times New Roman" w:hAnsi="Times New Roman" w:eastAsia="宋体"/>
        </w:rPr>
        <w:t xml:space="preserve">7.1 </w:t>
      </w:r>
      <w:r>
        <w:rPr>
          <w:rFonts w:hint="eastAsia"/>
        </w:rPr>
        <w:t>施工管理人员配备和分工</w:t>
      </w:r>
      <w:r>
        <w:tab/>
      </w:r>
      <w:r>
        <w:fldChar w:fldCharType="begin"/>
      </w:r>
      <w:r>
        <w:instrText xml:space="preserve"> PAGEREF _Toc1554 \h </w:instrText>
      </w:r>
      <w:r>
        <w:fldChar w:fldCharType="separate"/>
      </w:r>
      <w:r>
        <w:t>97</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_Toc5012 </w:instrText>
      </w:r>
      <w:r>
        <w:rPr>
          <w:szCs w:val="32"/>
        </w:rPr>
        <w:fldChar w:fldCharType="separate"/>
      </w:r>
      <w:r>
        <w:rPr>
          <w:rFonts w:hint="default" w:ascii="Times New Roman" w:hAnsi="Times New Roman" w:eastAsia="宋体"/>
        </w:rPr>
        <w:t xml:space="preserve">7.2 </w:t>
      </w:r>
      <w:r>
        <w:rPr>
          <w:rFonts w:hint="eastAsia"/>
        </w:rPr>
        <w:t>施工作业人员配备及分工</w:t>
      </w:r>
      <w:r>
        <w:tab/>
      </w:r>
      <w:r>
        <w:fldChar w:fldCharType="begin"/>
      </w:r>
      <w:r>
        <w:instrText xml:space="preserve"> PAGEREF _Toc5012 \h </w:instrText>
      </w:r>
      <w:r>
        <w:fldChar w:fldCharType="separate"/>
      </w:r>
      <w:r>
        <w:t>97</w:t>
      </w:r>
      <w:r>
        <w:fldChar w:fldCharType="end"/>
      </w:r>
      <w:r>
        <w:rPr>
          <w:color w:val="000000"/>
          <w:szCs w:val="32"/>
        </w:rPr>
        <w:fldChar w:fldCharType="end"/>
      </w:r>
    </w:p>
    <w:p>
      <w:pPr>
        <w:pStyle w:val="28"/>
        <w:tabs>
          <w:tab w:val="right" w:leader="dot" w:pos="9070"/>
          <w:tab w:val="clear" w:pos="9060"/>
        </w:tabs>
      </w:pPr>
      <w:r>
        <w:rPr>
          <w:color w:val="000000"/>
          <w:szCs w:val="32"/>
        </w:rPr>
        <w:fldChar w:fldCharType="begin"/>
      </w:r>
      <w:r>
        <w:rPr>
          <w:szCs w:val="32"/>
        </w:rPr>
        <w:instrText xml:space="preserve"> HYPERLINK \l _Toc18146 </w:instrText>
      </w:r>
      <w:r>
        <w:rPr>
          <w:szCs w:val="32"/>
        </w:rPr>
        <w:fldChar w:fldCharType="separate"/>
      </w:r>
      <w:r>
        <w:rPr>
          <w:rFonts w:hint="default" w:ascii="Times New Roman" w:hAnsi="Times New Roman" w:eastAsia="宋体"/>
        </w:rPr>
        <w:t xml:space="preserve">8 </w:t>
      </w:r>
      <w:r>
        <w:rPr>
          <w:rFonts w:hint="eastAsia"/>
        </w:rPr>
        <w:t>验收要求</w:t>
      </w:r>
      <w:r>
        <w:tab/>
      </w:r>
      <w:r>
        <w:fldChar w:fldCharType="begin"/>
      </w:r>
      <w:r>
        <w:instrText xml:space="preserve"> PAGEREF _Toc18146 \h </w:instrText>
      </w:r>
      <w:r>
        <w:fldChar w:fldCharType="separate"/>
      </w:r>
      <w:r>
        <w:t>98</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_Toc29675 </w:instrText>
      </w:r>
      <w:r>
        <w:rPr>
          <w:szCs w:val="32"/>
        </w:rPr>
        <w:fldChar w:fldCharType="separate"/>
      </w:r>
      <w:r>
        <w:rPr>
          <w:rFonts w:hint="default" w:ascii="Times New Roman" w:hAnsi="Times New Roman" w:eastAsia="宋体"/>
        </w:rPr>
        <w:t xml:space="preserve">8.1 </w:t>
      </w:r>
      <w:r>
        <w:rPr>
          <w:rFonts w:hint="eastAsia"/>
        </w:rPr>
        <w:t>验收标准</w:t>
      </w:r>
      <w:r>
        <w:tab/>
      </w:r>
      <w:r>
        <w:fldChar w:fldCharType="begin"/>
      </w:r>
      <w:r>
        <w:instrText xml:space="preserve"> PAGEREF _Toc29675 \h </w:instrText>
      </w:r>
      <w:r>
        <w:fldChar w:fldCharType="separate"/>
      </w:r>
      <w:r>
        <w:t>98</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_Toc18595 </w:instrText>
      </w:r>
      <w:r>
        <w:rPr>
          <w:szCs w:val="32"/>
        </w:rPr>
        <w:fldChar w:fldCharType="separate"/>
      </w:r>
      <w:r>
        <w:rPr>
          <w:rFonts w:hint="default" w:ascii="Times New Roman" w:hAnsi="Times New Roman" w:eastAsia="宋体"/>
        </w:rPr>
        <w:t xml:space="preserve">8.2 </w:t>
      </w:r>
      <w:r>
        <w:t>验收程序</w:t>
      </w:r>
      <w:r>
        <w:tab/>
      </w:r>
      <w:r>
        <w:fldChar w:fldCharType="begin"/>
      </w:r>
      <w:r>
        <w:instrText xml:space="preserve"> PAGEREF _Toc18595 \h </w:instrText>
      </w:r>
      <w:r>
        <w:fldChar w:fldCharType="separate"/>
      </w:r>
      <w:r>
        <w:t>98</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_Toc25843 </w:instrText>
      </w:r>
      <w:r>
        <w:rPr>
          <w:szCs w:val="32"/>
        </w:rPr>
        <w:fldChar w:fldCharType="separate"/>
      </w:r>
      <w:r>
        <w:rPr>
          <w:rFonts w:hint="default" w:ascii="Times New Roman" w:hAnsi="Times New Roman" w:eastAsia="宋体"/>
        </w:rPr>
        <w:t xml:space="preserve">8.3 </w:t>
      </w:r>
      <w:r>
        <w:rPr>
          <w:rFonts w:hint="eastAsia"/>
        </w:rPr>
        <w:t>验收内容</w:t>
      </w:r>
      <w:r>
        <w:tab/>
      </w:r>
      <w:r>
        <w:fldChar w:fldCharType="begin"/>
      </w:r>
      <w:r>
        <w:instrText xml:space="preserve"> PAGEREF _Toc25843 \h </w:instrText>
      </w:r>
      <w:r>
        <w:fldChar w:fldCharType="separate"/>
      </w:r>
      <w:r>
        <w:t>98</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_Toc30410 </w:instrText>
      </w:r>
      <w:r>
        <w:rPr>
          <w:szCs w:val="32"/>
        </w:rPr>
        <w:fldChar w:fldCharType="separate"/>
      </w:r>
      <w:r>
        <w:rPr>
          <w:rFonts w:hint="default" w:ascii="Times New Roman" w:hAnsi="Times New Roman" w:eastAsia="宋体"/>
        </w:rPr>
        <w:t xml:space="preserve">8.4 </w:t>
      </w:r>
      <w:r>
        <w:rPr>
          <w:rFonts w:hint="eastAsia"/>
        </w:rPr>
        <w:t>验收人员</w:t>
      </w:r>
      <w:r>
        <w:tab/>
      </w:r>
      <w:r>
        <w:fldChar w:fldCharType="begin"/>
      </w:r>
      <w:r>
        <w:instrText xml:space="preserve"> PAGEREF _Toc30410 \h </w:instrText>
      </w:r>
      <w:r>
        <w:fldChar w:fldCharType="separate"/>
      </w:r>
      <w:r>
        <w:t>99</w:t>
      </w:r>
      <w:r>
        <w:fldChar w:fldCharType="end"/>
      </w:r>
      <w:r>
        <w:rPr>
          <w:color w:val="000000"/>
          <w:szCs w:val="32"/>
        </w:rPr>
        <w:fldChar w:fldCharType="end"/>
      </w:r>
    </w:p>
    <w:p>
      <w:pPr>
        <w:pStyle w:val="28"/>
        <w:tabs>
          <w:tab w:val="right" w:leader="dot" w:pos="9070"/>
          <w:tab w:val="clear" w:pos="9060"/>
        </w:tabs>
      </w:pPr>
      <w:r>
        <w:rPr>
          <w:color w:val="000000"/>
          <w:szCs w:val="32"/>
        </w:rPr>
        <w:fldChar w:fldCharType="begin"/>
      </w:r>
      <w:r>
        <w:rPr>
          <w:szCs w:val="32"/>
        </w:rPr>
        <w:instrText xml:space="preserve"> HYPERLINK \l _Toc15382 </w:instrText>
      </w:r>
      <w:r>
        <w:rPr>
          <w:szCs w:val="32"/>
        </w:rPr>
        <w:fldChar w:fldCharType="separate"/>
      </w:r>
      <w:r>
        <w:rPr>
          <w:rFonts w:hint="default" w:ascii="Times New Roman" w:hAnsi="Times New Roman" w:eastAsia="宋体"/>
        </w:rPr>
        <w:t xml:space="preserve">9 </w:t>
      </w:r>
      <w:r>
        <w:rPr>
          <w:rFonts w:hint="eastAsia"/>
        </w:rPr>
        <w:t>应急处置措施</w:t>
      </w:r>
      <w:r>
        <w:tab/>
      </w:r>
      <w:r>
        <w:fldChar w:fldCharType="begin"/>
      </w:r>
      <w:r>
        <w:instrText xml:space="preserve"> PAGEREF _Toc15382 \h </w:instrText>
      </w:r>
      <w:r>
        <w:fldChar w:fldCharType="separate"/>
      </w:r>
      <w:r>
        <w:t>100</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_Toc2701 </w:instrText>
      </w:r>
      <w:r>
        <w:rPr>
          <w:szCs w:val="32"/>
        </w:rPr>
        <w:fldChar w:fldCharType="separate"/>
      </w:r>
      <w:r>
        <w:rPr>
          <w:rFonts w:hint="default" w:ascii="Times New Roman" w:hAnsi="Times New Roman" w:eastAsia="宋体"/>
        </w:rPr>
        <w:t xml:space="preserve">9.1 </w:t>
      </w:r>
      <w:r>
        <w:rPr>
          <w:rFonts w:hint="eastAsia"/>
        </w:rPr>
        <w:t>组织机构</w:t>
      </w:r>
      <w:r>
        <w:tab/>
      </w:r>
      <w:r>
        <w:fldChar w:fldCharType="begin"/>
      </w:r>
      <w:r>
        <w:instrText xml:space="preserve"> PAGEREF _Toc2701 \h </w:instrText>
      </w:r>
      <w:r>
        <w:fldChar w:fldCharType="separate"/>
      </w:r>
      <w:r>
        <w:t>100</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_Toc14689 </w:instrText>
      </w:r>
      <w:r>
        <w:rPr>
          <w:szCs w:val="32"/>
        </w:rPr>
        <w:fldChar w:fldCharType="separate"/>
      </w:r>
      <w:r>
        <w:rPr>
          <w:rFonts w:hint="default" w:ascii="Times New Roman" w:hAnsi="Times New Roman" w:eastAsia="宋体"/>
        </w:rPr>
        <w:t xml:space="preserve">9.2 </w:t>
      </w:r>
      <w:r>
        <w:rPr>
          <w:rFonts w:hint="eastAsia"/>
        </w:rPr>
        <w:t>处置流程</w:t>
      </w:r>
      <w:r>
        <w:tab/>
      </w:r>
      <w:r>
        <w:fldChar w:fldCharType="begin"/>
      </w:r>
      <w:r>
        <w:instrText xml:space="preserve"> PAGEREF _Toc14689 \h </w:instrText>
      </w:r>
      <w:r>
        <w:fldChar w:fldCharType="separate"/>
      </w:r>
      <w:r>
        <w:t>100</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_Toc11945 </w:instrText>
      </w:r>
      <w:r>
        <w:rPr>
          <w:szCs w:val="32"/>
        </w:rPr>
        <w:fldChar w:fldCharType="separate"/>
      </w:r>
      <w:r>
        <w:rPr>
          <w:rFonts w:hint="default" w:ascii="Times New Roman" w:hAnsi="Times New Roman" w:eastAsia="宋体"/>
        </w:rPr>
        <w:t xml:space="preserve">9.3 </w:t>
      </w:r>
      <w:r>
        <w:rPr>
          <w:rFonts w:hint="eastAsia"/>
        </w:rPr>
        <w:t>应急处置措施</w:t>
      </w:r>
      <w:r>
        <w:tab/>
      </w:r>
      <w:r>
        <w:fldChar w:fldCharType="begin"/>
      </w:r>
      <w:r>
        <w:instrText xml:space="preserve"> PAGEREF _Toc11945 \h </w:instrText>
      </w:r>
      <w:r>
        <w:fldChar w:fldCharType="separate"/>
      </w:r>
      <w:r>
        <w:t>100</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_Toc6197 </w:instrText>
      </w:r>
      <w:r>
        <w:rPr>
          <w:szCs w:val="32"/>
        </w:rPr>
        <w:fldChar w:fldCharType="separate"/>
      </w:r>
      <w:r>
        <w:rPr>
          <w:rFonts w:hint="default" w:ascii="Times New Roman" w:hAnsi="Times New Roman" w:eastAsia="宋体"/>
        </w:rPr>
        <w:t xml:space="preserve">9.4 </w:t>
      </w:r>
      <w:r>
        <w:rPr>
          <w:rFonts w:hint="eastAsia"/>
        </w:rPr>
        <w:t>应急车辆、物资及设备</w:t>
      </w:r>
      <w:r>
        <w:tab/>
      </w:r>
      <w:r>
        <w:fldChar w:fldCharType="begin"/>
      </w:r>
      <w:r>
        <w:instrText xml:space="preserve"> PAGEREF _Toc6197 \h </w:instrText>
      </w:r>
      <w:r>
        <w:fldChar w:fldCharType="separate"/>
      </w:r>
      <w:r>
        <w:t>107</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_Toc21333 </w:instrText>
      </w:r>
      <w:r>
        <w:rPr>
          <w:szCs w:val="32"/>
        </w:rPr>
        <w:fldChar w:fldCharType="separate"/>
      </w:r>
      <w:r>
        <w:rPr>
          <w:rFonts w:hint="default" w:ascii="Times New Roman" w:hAnsi="Times New Roman" w:eastAsia="宋体"/>
        </w:rPr>
        <w:t xml:space="preserve">9.5 </w:t>
      </w:r>
      <w:r>
        <w:rPr>
          <w:rFonts w:hint="eastAsia"/>
        </w:rPr>
        <w:t>应急医院及线路图</w:t>
      </w:r>
      <w:r>
        <w:tab/>
      </w:r>
      <w:r>
        <w:fldChar w:fldCharType="begin"/>
      </w:r>
      <w:r>
        <w:instrText xml:space="preserve"> PAGEREF _Toc21333 \h </w:instrText>
      </w:r>
      <w:r>
        <w:fldChar w:fldCharType="separate"/>
      </w:r>
      <w:r>
        <w:t>108</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_Toc32474 </w:instrText>
      </w:r>
      <w:r>
        <w:rPr>
          <w:szCs w:val="32"/>
        </w:rPr>
        <w:fldChar w:fldCharType="separate"/>
      </w:r>
      <w:r>
        <w:rPr>
          <w:rFonts w:hint="default" w:ascii="Times New Roman" w:hAnsi="Times New Roman" w:eastAsia="宋体" w:cs="宋体"/>
          <w:szCs w:val="24"/>
        </w:rPr>
        <w:t xml:space="preserve">9.6 </w:t>
      </w:r>
      <w:r>
        <w:rPr>
          <w:rFonts w:hint="eastAsia"/>
        </w:rPr>
        <w:t>事故善后及恢复生产</w:t>
      </w:r>
      <w:r>
        <w:tab/>
      </w:r>
      <w:r>
        <w:fldChar w:fldCharType="begin"/>
      </w:r>
      <w:r>
        <w:instrText xml:space="preserve"> PAGEREF _Toc32474 \h </w:instrText>
      </w:r>
      <w:r>
        <w:fldChar w:fldCharType="separate"/>
      </w:r>
      <w:r>
        <w:t>109</w:t>
      </w:r>
      <w:r>
        <w:fldChar w:fldCharType="end"/>
      </w:r>
      <w:r>
        <w:rPr>
          <w:color w:val="000000"/>
          <w:szCs w:val="32"/>
        </w:rPr>
        <w:fldChar w:fldCharType="end"/>
      </w:r>
    </w:p>
    <w:p>
      <w:pPr>
        <w:pStyle w:val="28"/>
        <w:tabs>
          <w:tab w:val="right" w:leader="dot" w:pos="9070"/>
          <w:tab w:val="clear" w:pos="9060"/>
        </w:tabs>
      </w:pPr>
      <w:r>
        <w:rPr>
          <w:color w:val="000000"/>
          <w:szCs w:val="32"/>
        </w:rPr>
        <w:fldChar w:fldCharType="begin"/>
      </w:r>
      <w:r>
        <w:rPr>
          <w:szCs w:val="32"/>
        </w:rPr>
        <w:instrText xml:space="preserve"> HYPERLINK \l _Toc22793 </w:instrText>
      </w:r>
      <w:r>
        <w:rPr>
          <w:szCs w:val="32"/>
        </w:rPr>
        <w:fldChar w:fldCharType="separate"/>
      </w:r>
      <w:r>
        <w:rPr>
          <w:rFonts w:hint="default" w:ascii="Times New Roman" w:hAnsi="Times New Roman" w:eastAsia="宋体"/>
        </w:rPr>
        <w:t xml:space="preserve">10 </w:t>
      </w:r>
      <w:r>
        <w:rPr>
          <w:rFonts w:hint="eastAsia"/>
        </w:rPr>
        <w:t>计算书及相关图纸</w:t>
      </w:r>
      <w:r>
        <w:tab/>
      </w:r>
      <w:r>
        <w:fldChar w:fldCharType="begin"/>
      </w:r>
      <w:r>
        <w:instrText xml:space="preserve"> PAGEREF _Toc22793 \h </w:instrText>
      </w:r>
      <w:r>
        <w:fldChar w:fldCharType="separate"/>
      </w:r>
      <w:r>
        <w:t>110</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_Toc6643 </w:instrText>
      </w:r>
      <w:r>
        <w:rPr>
          <w:szCs w:val="32"/>
        </w:rPr>
        <w:fldChar w:fldCharType="separate"/>
      </w:r>
      <w:r>
        <w:rPr>
          <w:rFonts w:hint="default" w:ascii="Times New Roman" w:hAnsi="Times New Roman" w:eastAsia="宋体"/>
        </w:rPr>
        <w:t xml:space="preserve">10.1 </w:t>
      </w:r>
      <w:r>
        <w:rPr>
          <w:rFonts w:hint="eastAsia"/>
        </w:rPr>
        <w:t>地基承载力计算</w:t>
      </w:r>
      <w:r>
        <w:tab/>
      </w:r>
      <w:r>
        <w:fldChar w:fldCharType="begin"/>
      </w:r>
      <w:r>
        <w:instrText xml:space="preserve"> PAGEREF _Toc6643 \h </w:instrText>
      </w:r>
      <w:r>
        <w:fldChar w:fldCharType="separate"/>
      </w:r>
      <w:r>
        <w:t>110</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_Toc30657 </w:instrText>
      </w:r>
      <w:r>
        <w:rPr>
          <w:szCs w:val="32"/>
        </w:rPr>
        <w:fldChar w:fldCharType="separate"/>
      </w:r>
      <w:r>
        <w:rPr>
          <w:rFonts w:hint="default" w:ascii="Times New Roman" w:hAnsi="Times New Roman" w:eastAsia="宋体"/>
        </w:rPr>
        <w:t xml:space="preserve">10.2 </w:t>
      </w:r>
      <w:r>
        <w:rPr>
          <w:rFonts w:hint="eastAsia"/>
        </w:rPr>
        <w:t>吊索具选型计算</w:t>
      </w:r>
      <w:r>
        <w:tab/>
      </w:r>
      <w:r>
        <w:fldChar w:fldCharType="begin"/>
      </w:r>
      <w:r>
        <w:instrText xml:space="preserve"> PAGEREF _Toc30657 \h </w:instrText>
      </w:r>
      <w:r>
        <w:fldChar w:fldCharType="separate"/>
      </w:r>
      <w:r>
        <w:t>115</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_Toc4070 </w:instrText>
      </w:r>
      <w:r>
        <w:rPr>
          <w:szCs w:val="32"/>
        </w:rPr>
        <w:fldChar w:fldCharType="separate"/>
      </w:r>
      <w:r>
        <w:rPr>
          <w:rFonts w:hint="default" w:ascii="Times New Roman" w:hAnsi="Times New Roman" w:eastAsia="宋体" w:cstheme="majorBidi"/>
          <w:bCs/>
          <w:kern w:val="2"/>
          <w:szCs w:val="32"/>
          <w:lang w:val="en-US" w:eastAsia="zh-CN" w:bidi="ar-SA"/>
        </w:rPr>
        <w:t xml:space="preserve">10.3 </w:t>
      </w:r>
      <w:r>
        <w:rPr>
          <w:rFonts w:hint="eastAsia" w:ascii="Times New Roman" w:hAnsi="Times New Roman" w:eastAsia="宋体" w:cstheme="majorBidi"/>
          <w:bCs/>
          <w:kern w:val="2"/>
          <w:szCs w:val="32"/>
          <w:lang w:val="en-US" w:eastAsia="zh-CN" w:bidi="ar-SA"/>
        </w:rPr>
        <w:t>附着计算</w:t>
      </w:r>
      <w:r>
        <w:tab/>
      </w:r>
      <w:r>
        <w:fldChar w:fldCharType="begin"/>
      </w:r>
      <w:r>
        <w:instrText xml:space="preserve"> PAGEREF _Toc4070 \h </w:instrText>
      </w:r>
      <w:r>
        <w:fldChar w:fldCharType="separate"/>
      </w:r>
      <w:r>
        <w:t>118</w:t>
      </w:r>
      <w:r>
        <w:fldChar w:fldCharType="end"/>
      </w:r>
      <w:r>
        <w:rPr>
          <w:color w:val="000000"/>
          <w:szCs w:val="32"/>
        </w:rPr>
        <w:fldChar w:fldCharType="end"/>
      </w:r>
    </w:p>
    <w:p>
      <w:pPr>
        <w:pStyle w:val="28"/>
        <w:tabs>
          <w:tab w:val="right" w:leader="dot" w:pos="9070"/>
          <w:tab w:val="clear" w:pos="9060"/>
        </w:tabs>
      </w:pPr>
      <w:r>
        <w:rPr>
          <w:color w:val="000000"/>
          <w:szCs w:val="32"/>
        </w:rPr>
        <w:fldChar w:fldCharType="begin"/>
      </w:r>
      <w:r>
        <w:rPr>
          <w:szCs w:val="32"/>
        </w:rPr>
        <w:instrText xml:space="preserve"> HYPERLINK \l _Toc14651 </w:instrText>
      </w:r>
      <w:r>
        <w:rPr>
          <w:szCs w:val="32"/>
        </w:rPr>
        <w:fldChar w:fldCharType="separate"/>
      </w:r>
      <w:r>
        <w:rPr>
          <w:rFonts w:hint="default" w:ascii="Times New Roman" w:hAnsi="Times New Roman" w:eastAsia="宋体"/>
        </w:rPr>
        <w:t xml:space="preserve">11 </w:t>
      </w:r>
      <w:r>
        <w:rPr>
          <w:rFonts w:hint="eastAsia"/>
        </w:rPr>
        <w:t>附件</w:t>
      </w:r>
      <w:r>
        <w:tab/>
      </w:r>
      <w:r>
        <w:fldChar w:fldCharType="begin"/>
      </w:r>
      <w:r>
        <w:instrText xml:space="preserve"> PAGEREF _Toc14651 \h </w:instrText>
      </w:r>
      <w:r>
        <w:fldChar w:fldCharType="separate"/>
      </w:r>
      <w:r>
        <w:t>191</w:t>
      </w:r>
      <w:r>
        <w:fldChar w:fldCharType="end"/>
      </w:r>
      <w:r>
        <w:rPr>
          <w:color w:val="000000"/>
          <w:szCs w:val="32"/>
        </w:rPr>
        <w:fldChar w:fldCharType="end"/>
      </w:r>
    </w:p>
    <w:p>
      <w:pPr>
        <w:pStyle w:val="33"/>
        <w:tabs>
          <w:tab w:val="right" w:leader="dot" w:pos="9070"/>
          <w:tab w:val="clear" w:pos="9060"/>
        </w:tabs>
      </w:pPr>
    </w:p>
    <w:p>
      <w:pPr>
        <w:tabs>
          <w:tab w:val="right" w:leader="dot" w:pos="9060"/>
        </w:tabs>
        <w:spacing w:line="480" w:lineRule="exact"/>
        <w:ind w:firstLine="0" w:firstLineChars="0"/>
        <w:jc w:val="center"/>
        <w:rPr>
          <w:color w:val="000000" w:themeColor="text1"/>
          <w:sz w:val="48"/>
          <w:szCs w:val="32"/>
          <w14:textFill>
            <w14:solidFill>
              <w14:schemeClr w14:val="tx1"/>
            </w14:solidFill>
          </w14:textFill>
        </w:rPr>
        <w:sectPr>
          <w:headerReference r:id="rId11" w:type="default"/>
          <w:footerReference r:id="rId12" w:type="default"/>
          <w:pgSz w:w="11906" w:h="16838"/>
          <w:pgMar w:top="1418" w:right="1418" w:bottom="1418" w:left="1418" w:header="851" w:footer="992" w:gutter="0"/>
          <w:pgNumType w:fmt="upperRoman" w:start="1"/>
          <w:cols w:space="425" w:num="1"/>
          <w:docGrid w:linePitch="498" w:charSpace="17788"/>
        </w:sectPr>
      </w:pPr>
      <w:r>
        <w:rPr>
          <w:color w:val="000000"/>
          <w:szCs w:val="32"/>
        </w:rPr>
        <w:fldChar w:fldCharType="end"/>
      </w:r>
    </w:p>
    <w:p>
      <w:pPr>
        <w:pStyle w:val="2"/>
      </w:pPr>
      <w:bookmarkStart w:id="15" w:name="_Toc26437"/>
      <w:bookmarkStart w:id="16" w:name="_Toc40778426"/>
      <w:bookmarkStart w:id="17" w:name="_Toc8863"/>
      <w:bookmarkStart w:id="18" w:name="_Toc29570"/>
      <w:r>
        <w:rPr>
          <w:rFonts w:hint="eastAsia"/>
        </w:rPr>
        <w:t>编制</w:t>
      </w:r>
      <w:bookmarkEnd w:id="15"/>
      <w:bookmarkEnd w:id="16"/>
      <w:r>
        <w:rPr>
          <w:rFonts w:hint="eastAsia"/>
        </w:rPr>
        <w:t>说明、依据及适用范围</w:t>
      </w:r>
      <w:bookmarkEnd w:id="17"/>
      <w:bookmarkEnd w:id="18"/>
    </w:p>
    <w:p>
      <w:pPr>
        <w:pStyle w:val="3"/>
      </w:pPr>
      <w:bookmarkStart w:id="19" w:name="_Toc15521"/>
      <w:bookmarkStart w:id="20" w:name="_Toc2002"/>
      <w:bookmarkStart w:id="21" w:name="_Toc21803"/>
      <w:bookmarkStart w:id="22" w:name="_Toc40778430"/>
      <w:bookmarkStart w:id="23" w:name="_Toc10416"/>
      <w:bookmarkStart w:id="24" w:name="_Toc5398"/>
      <w:r>
        <w:rPr>
          <w:rFonts w:hint="eastAsia"/>
        </w:rPr>
        <w:t>编制</w:t>
      </w:r>
      <w:bookmarkEnd w:id="19"/>
      <w:bookmarkEnd w:id="20"/>
      <w:bookmarkEnd w:id="21"/>
      <w:bookmarkEnd w:id="22"/>
      <w:r>
        <w:rPr>
          <w:rFonts w:hint="eastAsia"/>
        </w:rPr>
        <w:t>说明</w:t>
      </w:r>
      <w:bookmarkEnd w:id="23"/>
      <w:bookmarkEnd w:id="24"/>
      <w:bookmarkStart w:id="254" w:name="_GoBack"/>
      <w:bookmarkEnd w:id="254"/>
    </w:p>
    <w:p>
      <w:pPr>
        <w:ind w:firstLine="480"/>
      </w:pPr>
      <w:r>
        <w:rPr>
          <w:rFonts w:hint="eastAsia"/>
        </w:rPr>
        <w:t>因</w:t>
      </w:r>
      <w:r>
        <w:fldChar w:fldCharType="begin"/>
      </w:r>
      <w:r>
        <w:instrText xml:space="preserve"> </w:instrText>
      </w:r>
      <w:r>
        <w:rPr>
          <w:rFonts w:hint="eastAsia"/>
        </w:rPr>
        <w:instrText xml:space="preserve">REF 项目名称</w:instrText>
      </w:r>
      <w:r>
        <w:instrText xml:space="preserve">  \* MERGEFORMAT </w:instrText>
      </w:r>
      <w:r>
        <w:fldChar w:fldCharType="separate"/>
      </w:r>
      <w:r>
        <w:rPr>
          <w:rFonts w:hint="eastAsia"/>
        </w:rPr>
        <w:t>天保至麻栗坡高速公路TJ-2标项目</w:t>
      </w:r>
      <w:r>
        <w:fldChar w:fldCharType="end"/>
      </w:r>
      <w:r>
        <w:rPr>
          <w:rFonts w:hint="eastAsia"/>
        </w:rPr>
        <w:t>施工需要，需要采用</w:t>
      </w:r>
      <w:r>
        <w:rPr>
          <w:rFonts w:hint="eastAsia"/>
          <w:lang w:val="en-US" w:eastAsia="zh-CN"/>
        </w:rPr>
        <w:t>4</w:t>
      </w:r>
      <w:r>
        <w:rPr>
          <w:rFonts w:hint="eastAsia"/>
        </w:rPr>
        <w:t>台</w:t>
      </w:r>
      <w:r>
        <w:rPr>
          <w:rFonts w:hint="eastAsia"/>
          <w:lang w:val="en-US" w:eastAsia="zh-CN"/>
        </w:rPr>
        <w:t>XGT6515-10S</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塔式起重机</w:t>
      </w:r>
      <w:r>
        <w:fldChar w:fldCharType="end"/>
      </w:r>
      <w:r>
        <w:rPr>
          <w:rFonts w:hint="eastAsia"/>
        </w:rPr>
        <w:t>用于</w:t>
      </w:r>
      <w:r>
        <w:fldChar w:fldCharType="begin"/>
      </w:r>
      <w:r>
        <w:instrText xml:space="preserve"> REF 设备位置 \h </w:instrText>
      </w:r>
      <w:r>
        <w:fldChar w:fldCharType="separate"/>
      </w:r>
      <w:r>
        <w:rPr>
          <w:rFonts w:hint="eastAsia"/>
          <w:lang w:eastAsia="zh-CN"/>
        </w:rPr>
        <w:t>畴阳河大桥</w:t>
      </w:r>
      <w:r>
        <w:fldChar w:fldCharType="end"/>
      </w:r>
      <w:r>
        <w:rPr>
          <w:rFonts w:hint="eastAsia"/>
          <w:lang w:val="en-US" w:eastAsia="zh-CN"/>
        </w:rPr>
        <w:t>桥墩</w:t>
      </w:r>
      <w:r>
        <w:rPr>
          <w:rFonts w:hint="eastAsia"/>
        </w:rPr>
        <w:t>施工，为认真、全面、系统地做好设备安装安全和质量等工作，防止环境污染，合理安排施工工期，编制本设备安装拆除专项施工方案。</w:t>
      </w:r>
    </w:p>
    <w:p>
      <w:pPr>
        <w:ind w:firstLine="480"/>
      </w:pPr>
      <w:r>
        <w:rPr>
          <w:rFonts w:hint="eastAsia"/>
        </w:rPr>
        <w:t>本单位负责</w:t>
      </w:r>
      <w:r>
        <w:fldChar w:fldCharType="begin"/>
      </w:r>
      <w:r>
        <w:instrText xml:space="preserve"> REF 设备型号1 \h </w:instrText>
      </w:r>
      <w:r>
        <w:fldChar w:fldCharType="separate"/>
      </w:r>
      <w:r>
        <w:rPr>
          <w:rFonts w:hint="eastAsia"/>
          <w:lang w:eastAsia="zh-CN"/>
        </w:rPr>
        <w:t>XGT6515-10S</w:t>
      </w:r>
      <w:r>
        <w:fldChar w:fldCharType="end"/>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塔式起重机</w:t>
      </w:r>
      <w:r>
        <w:fldChar w:fldCharType="end"/>
      </w:r>
      <w:r>
        <w:rPr>
          <w:rFonts w:hint="eastAsia"/>
        </w:rPr>
        <w:t>的安装拆除、安全装置调试、附着安装、试验验收等具体实施工作。</w:t>
      </w:r>
    </w:p>
    <w:p>
      <w:pPr>
        <w:pStyle w:val="3"/>
      </w:pPr>
      <w:bookmarkStart w:id="25" w:name="_Toc10843"/>
      <w:bookmarkStart w:id="26" w:name="_Toc40778428"/>
      <w:bookmarkStart w:id="27" w:name="_Toc21833"/>
      <w:bookmarkStart w:id="28" w:name="_Toc17411"/>
      <w:bookmarkStart w:id="29" w:name="_Toc18637"/>
      <w:bookmarkStart w:id="30" w:name="_Toc31747"/>
      <w:r>
        <w:rPr>
          <w:rFonts w:hint="eastAsia"/>
        </w:rPr>
        <w:t>编制依据</w:t>
      </w:r>
      <w:bookmarkEnd w:id="25"/>
      <w:bookmarkEnd w:id="26"/>
      <w:bookmarkEnd w:id="27"/>
      <w:bookmarkEnd w:id="28"/>
      <w:bookmarkEnd w:id="29"/>
      <w:bookmarkEnd w:id="30"/>
    </w:p>
    <w:p>
      <w:pPr>
        <w:ind w:left="480" w:firstLine="0" w:firstLineChars="0"/>
      </w:pPr>
      <w:r>
        <w:t>本方案的</w:t>
      </w:r>
      <w:r>
        <w:rPr>
          <w:rFonts w:hint="eastAsia"/>
        </w:rPr>
        <w:t>编制依据详见</w:t>
      </w:r>
      <w:r>
        <w:fldChar w:fldCharType="begin"/>
      </w:r>
      <w:r>
        <w:instrText xml:space="preserve"> </w:instrText>
      </w:r>
      <w:r>
        <w:rPr>
          <w:rFonts w:hint="eastAsia"/>
        </w:rPr>
        <w:instrText xml:space="preserve">REF _Ref89870064 \h</w:instrText>
      </w:r>
      <w:r>
        <w:instrText xml:space="preserve">  \* MERGEFORMAT </w:instrText>
      </w:r>
      <w:r>
        <w:fldChar w:fldCharType="separate"/>
      </w:r>
      <w:r>
        <w:rPr>
          <w:rFonts w:hint="eastAsia"/>
        </w:rPr>
        <w:t>表</w:t>
      </w:r>
      <w:r>
        <w:t>1.2</w:t>
      </w:r>
      <w:r>
        <w:rPr>
          <w:rFonts w:hint="eastAsia"/>
        </w:rPr>
        <w:t>-</w:t>
      </w:r>
      <w:r>
        <w:t>1</w:t>
      </w:r>
      <w:r>
        <w:fldChar w:fldCharType="end"/>
      </w:r>
      <w:r>
        <w:rPr>
          <w:rFonts w:hint="eastAsia"/>
        </w:rPr>
        <w:t>。</w:t>
      </w:r>
    </w:p>
    <w:p>
      <w:pPr>
        <w:pStyle w:val="16"/>
      </w:pPr>
      <w:bookmarkStart w:id="31" w:name="_Ref89870064"/>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1.2</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bookmarkEnd w:id="31"/>
      <w:r>
        <w:rPr>
          <w:rFonts w:hint="eastAsia"/>
        </w:rPr>
        <w:t xml:space="preserve"> </w:t>
      </w:r>
      <w:bookmarkStart w:id="32" w:name="_Ref117609224"/>
      <w:r>
        <w:rPr>
          <w:rFonts w:hint="eastAsia"/>
        </w:rPr>
        <w:t>编制依据</w:t>
      </w:r>
      <w:bookmarkEnd w:id="32"/>
      <w:r>
        <w:rPr>
          <w:rFonts w:hint="eastAsia"/>
        </w:rPr>
        <w:t>表</w:t>
      </w:r>
    </w:p>
    <w:tbl>
      <w:tblPr>
        <w:tblStyle w:val="14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2190"/>
        <w:gridCol w:w="4526"/>
        <w:gridCol w:w="10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418" w:type="pct"/>
            <w:shd w:val="clear" w:color="auto" w:fill="auto"/>
            <w:vAlign w:val="center"/>
          </w:tcPr>
          <w:p>
            <w:pPr>
              <w:pStyle w:val="17"/>
              <w:rPr>
                <w:b/>
              </w:rPr>
            </w:pPr>
            <w:r>
              <w:rPr>
                <w:rFonts w:hint="eastAsia"/>
                <w:b/>
              </w:rPr>
              <w:t>序号</w:t>
            </w:r>
          </w:p>
        </w:tc>
        <w:tc>
          <w:tcPr>
            <w:tcW w:w="1284" w:type="pct"/>
            <w:shd w:val="clear" w:color="auto" w:fill="auto"/>
            <w:vAlign w:val="center"/>
          </w:tcPr>
          <w:p>
            <w:pPr>
              <w:pStyle w:val="17"/>
              <w:rPr>
                <w:b/>
              </w:rPr>
            </w:pPr>
            <w:r>
              <w:rPr>
                <w:rFonts w:hint="eastAsia"/>
                <w:b/>
              </w:rPr>
              <w:t>标准号（文件日期）</w:t>
            </w:r>
          </w:p>
        </w:tc>
        <w:tc>
          <w:tcPr>
            <w:tcW w:w="2654" w:type="pct"/>
            <w:shd w:val="clear" w:color="auto" w:fill="auto"/>
            <w:vAlign w:val="center"/>
          </w:tcPr>
          <w:p>
            <w:pPr>
              <w:pStyle w:val="17"/>
              <w:rPr>
                <w:b/>
              </w:rPr>
            </w:pPr>
            <w:r>
              <w:rPr>
                <w:rFonts w:hint="eastAsia"/>
                <w:b/>
              </w:rPr>
              <w:t>标准（文件）名称</w:t>
            </w:r>
          </w:p>
        </w:tc>
        <w:tc>
          <w:tcPr>
            <w:tcW w:w="641" w:type="pct"/>
            <w:shd w:val="clear" w:color="auto" w:fill="auto"/>
            <w:vAlign w:val="center"/>
          </w:tcPr>
          <w:p>
            <w:pPr>
              <w:pStyle w:val="17"/>
              <w:rPr>
                <w:b/>
              </w:rPr>
            </w:pPr>
            <w:r>
              <w:rPr>
                <w:rFonts w:hint="eastAsia"/>
                <w:b/>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p>
        </w:tc>
        <w:tc>
          <w:tcPr>
            <w:tcW w:w="2654" w:type="pct"/>
            <w:shd w:val="clear" w:color="auto" w:fill="auto"/>
            <w:vAlign w:val="center"/>
          </w:tcPr>
          <w:p>
            <w:pPr>
              <w:pStyle w:val="17"/>
            </w:pPr>
            <w:r>
              <w:fldChar w:fldCharType="begin"/>
            </w:r>
            <w:r>
              <w:instrText xml:space="preserve"> </w:instrText>
            </w:r>
            <w:r>
              <w:rPr>
                <w:rFonts w:hint="eastAsia"/>
              </w:rPr>
              <w:instrText xml:space="preserve">REF 项目名称 \h</w:instrText>
            </w:r>
            <w:r>
              <w:instrText xml:space="preserve">  \* MERGEFORMAT </w:instrText>
            </w:r>
            <w:r>
              <w:fldChar w:fldCharType="separate"/>
            </w:r>
            <w:r>
              <w:rPr>
                <w:rFonts w:hint="eastAsia"/>
              </w:rPr>
              <w:t>天保至麻栗坡高速公路TJ-2标项目</w:t>
            </w:r>
            <w:r>
              <w:fldChar w:fldCharType="end"/>
            </w:r>
            <w:r>
              <w:rPr>
                <w:rFonts w:hint="eastAsia"/>
              </w:rPr>
              <w:t>地质勘察报告</w:t>
            </w:r>
          </w:p>
        </w:tc>
        <w:tc>
          <w:tcPr>
            <w:tcW w:w="641" w:type="pct"/>
            <w:shd w:val="clear" w:color="auto" w:fill="auto"/>
            <w:vAlign w:val="center"/>
          </w:tcPr>
          <w:p>
            <w:pPr>
              <w:pStyle w:val="17"/>
            </w:pPr>
            <w:r>
              <w:rPr>
                <w:rFonts w:hint="eastAsia"/>
              </w:rPr>
              <w:t>勘察文件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p>
        </w:tc>
        <w:tc>
          <w:tcPr>
            <w:tcW w:w="2654" w:type="pct"/>
            <w:shd w:val="clear" w:color="auto" w:fill="auto"/>
            <w:vAlign w:val="center"/>
          </w:tcPr>
          <w:p>
            <w:pPr>
              <w:pStyle w:val="17"/>
            </w:pPr>
            <w:r>
              <w:fldChar w:fldCharType="begin"/>
            </w:r>
            <w:r>
              <w:instrText xml:space="preserve"> </w:instrText>
            </w:r>
            <w:r>
              <w:rPr>
                <w:rFonts w:hint="eastAsia"/>
              </w:rPr>
              <w:instrText xml:space="preserve">REF 项目名称 \h</w:instrText>
            </w:r>
            <w:r>
              <w:instrText xml:space="preserve">  \* MERGEFORMAT </w:instrText>
            </w:r>
            <w:r>
              <w:fldChar w:fldCharType="separate"/>
            </w:r>
            <w:r>
              <w:rPr>
                <w:rFonts w:hint="eastAsia"/>
              </w:rPr>
              <w:t>天保至麻栗坡高速公路TJ-2标项目</w:t>
            </w:r>
            <w:r>
              <w:fldChar w:fldCharType="end"/>
            </w:r>
            <w:r>
              <w:rPr>
                <w:rFonts w:hint="eastAsia"/>
              </w:rPr>
              <w:t>施工组织设计</w:t>
            </w:r>
          </w:p>
        </w:tc>
        <w:tc>
          <w:tcPr>
            <w:tcW w:w="641" w:type="pct"/>
            <w:shd w:val="clear" w:color="auto" w:fill="auto"/>
            <w:vAlign w:val="center"/>
          </w:tcPr>
          <w:p>
            <w:pPr>
              <w:pStyle w:val="17"/>
            </w:pPr>
            <w:r>
              <w:rPr>
                <w:rFonts w:hint="eastAsia"/>
              </w:rPr>
              <w:t>设计文件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rPr>
                <w:rFonts w:hint="eastAsia"/>
              </w:rPr>
              <w:t>主席令第4号</w:t>
            </w:r>
          </w:p>
        </w:tc>
        <w:tc>
          <w:tcPr>
            <w:tcW w:w="2654" w:type="pct"/>
            <w:shd w:val="clear" w:color="auto" w:fill="auto"/>
            <w:vAlign w:val="center"/>
          </w:tcPr>
          <w:p>
            <w:pPr>
              <w:pStyle w:val="17"/>
            </w:pPr>
            <w:r>
              <w:rPr>
                <w:rFonts w:hint="eastAsia"/>
              </w:rPr>
              <w:t>中华人民共和国特种设备安全法</w:t>
            </w:r>
          </w:p>
        </w:tc>
        <w:tc>
          <w:tcPr>
            <w:tcW w:w="641" w:type="pct"/>
            <w:vMerge w:val="restart"/>
            <w:shd w:val="clear" w:color="auto" w:fill="auto"/>
            <w:vAlign w:val="center"/>
          </w:tcPr>
          <w:p>
            <w:pPr>
              <w:pStyle w:val="17"/>
            </w:pPr>
            <w:r>
              <w:rPr>
                <w:rFonts w:hint="eastAsia"/>
              </w:rPr>
              <w:t>法律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rPr>
                <w:rFonts w:hint="eastAsia"/>
              </w:rPr>
              <w:t>主席令第</w:t>
            </w:r>
            <w:r>
              <w:t>9</w:t>
            </w:r>
            <w:r>
              <w:rPr>
                <w:rFonts w:hint="eastAsia"/>
              </w:rPr>
              <w:t>号</w:t>
            </w:r>
          </w:p>
        </w:tc>
        <w:tc>
          <w:tcPr>
            <w:tcW w:w="2654" w:type="pct"/>
            <w:shd w:val="clear" w:color="auto" w:fill="auto"/>
            <w:vAlign w:val="center"/>
          </w:tcPr>
          <w:p>
            <w:pPr>
              <w:pStyle w:val="17"/>
            </w:pPr>
            <w:r>
              <w:rPr>
                <w:rFonts w:hint="eastAsia"/>
              </w:rPr>
              <w:t>中华人民共和国环境保护法</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rPr>
                <w:rFonts w:hint="eastAsia"/>
              </w:rPr>
              <w:t>主席令第</w:t>
            </w:r>
            <w:r>
              <w:t>29</w:t>
            </w:r>
            <w:r>
              <w:rPr>
                <w:rFonts w:hint="eastAsia"/>
              </w:rPr>
              <w:t>号</w:t>
            </w:r>
          </w:p>
        </w:tc>
        <w:tc>
          <w:tcPr>
            <w:tcW w:w="2654" w:type="pct"/>
            <w:shd w:val="clear" w:color="auto" w:fill="auto"/>
            <w:vAlign w:val="center"/>
          </w:tcPr>
          <w:p>
            <w:pPr>
              <w:pStyle w:val="17"/>
            </w:pPr>
            <w:r>
              <w:rPr>
                <w:rFonts w:hint="eastAsia"/>
              </w:rPr>
              <w:t>中华人民共和国建筑法</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rPr>
                <w:rFonts w:hint="eastAsia"/>
              </w:rPr>
              <w:t>主席令第</w:t>
            </w:r>
            <w:r>
              <w:t>69</w:t>
            </w:r>
            <w:r>
              <w:rPr>
                <w:rFonts w:hint="eastAsia"/>
              </w:rPr>
              <w:t>号</w:t>
            </w:r>
          </w:p>
        </w:tc>
        <w:tc>
          <w:tcPr>
            <w:tcW w:w="2654" w:type="pct"/>
            <w:shd w:val="clear" w:color="auto" w:fill="auto"/>
            <w:vAlign w:val="center"/>
          </w:tcPr>
          <w:p>
            <w:pPr>
              <w:pStyle w:val="17"/>
            </w:pPr>
            <w:r>
              <w:rPr>
                <w:rFonts w:hint="eastAsia"/>
              </w:rPr>
              <w:t>中华人民共和国突发事件应对法</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rPr>
                <w:rFonts w:hint="eastAsia"/>
              </w:rPr>
              <w:t>主席令第</w:t>
            </w:r>
            <w:r>
              <w:t>88</w:t>
            </w:r>
            <w:r>
              <w:rPr>
                <w:rFonts w:hint="eastAsia"/>
              </w:rPr>
              <w:t>号</w:t>
            </w:r>
          </w:p>
        </w:tc>
        <w:tc>
          <w:tcPr>
            <w:tcW w:w="2654" w:type="pct"/>
            <w:shd w:val="clear" w:color="auto" w:fill="auto"/>
            <w:vAlign w:val="center"/>
          </w:tcPr>
          <w:p>
            <w:pPr>
              <w:pStyle w:val="17"/>
            </w:pPr>
            <w:r>
              <w:t>中华人民共和国安全生产法</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rPr>
                <w:rFonts w:hint="eastAsia"/>
              </w:rPr>
              <w:t>国务院令第279号</w:t>
            </w:r>
          </w:p>
        </w:tc>
        <w:tc>
          <w:tcPr>
            <w:tcW w:w="2654" w:type="pct"/>
            <w:shd w:val="clear" w:color="auto" w:fill="auto"/>
            <w:vAlign w:val="center"/>
          </w:tcPr>
          <w:p>
            <w:pPr>
              <w:pStyle w:val="17"/>
            </w:pPr>
            <w:r>
              <w:rPr>
                <w:rFonts w:hint="eastAsia"/>
              </w:rPr>
              <w:t>建设工程质量管理条例</w:t>
            </w:r>
          </w:p>
        </w:tc>
        <w:tc>
          <w:tcPr>
            <w:tcW w:w="641" w:type="pct"/>
            <w:vMerge w:val="restart"/>
            <w:shd w:val="clear" w:color="auto" w:fill="auto"/>
            <w:vAlign w:val="center"/>
          </w:tcPr>
          <w:p>
            <w:pPr>
              <w:pStyle w:val="17"/>
            </w:pPr>
            <w:r>
              <w:rPr>
                <w:rFonts w:hint="eastAsia"/>
              </w:rPr>
              <w:t>法规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rPr>
                <w:rFonts w:hint="eastAsia"/>
              </w:rPr>
              <w:t>国务院令第393号</w:t>
            </w:r>
          </w:p>
        </w:tc>
        <w:tc>
          <w:tcPr>
            <w:tcW w:w="2654" w:type="pct"/>
            <w:shd w:val="clear" w:color="auto" w:fill="auto"/>
            <w:vAlign w:val="center"/>
          </w:tcPr>
          <w:p>
            <w:pPr>
              <w:pStyle w:val="17"/>
            </w:pPr>
            <w:r>
              <w:rPr>
                <w:rFonts w:hint="eastAsia"/>
              </w:rPr>
              <w:t>建设工程安全生产管理条例</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t>国务院令第397号</w:t>
            </w:r>
          </w:p>
        </w:tc>
        <w:tc>
          <w:tcPr>
            <w:tcW w:w="2654" w:type="pct"/>
            <w:shd w:val="clear" w:color="auto" w:fill="auto"/>
            <w:vAlign w:val="center"/>
          </w:tcPr>
          <w:p>
            <w:pPr>
              <w:pStyle w:val="17"/>
            </w:pPr>
            <w:r>
              <w:t>安全生产许可证条例（2014年修订）</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rPr>
                <w:rFonts w:hint="eastAsia"/>
              </w:rPr>
              <w:t>国务院令第549号</w:t>
            </w:r>
          </w:p>
        </w:tc>
        <w:tc>
          <w:tcPr>
            <w:tcW w:w="2654" w:type="pct"/>
            <w:shd w:val="clear" w:color="auto" w:fill="auto"/>
            <w:vAlign w:val="center"/>
          </w:tcPr>
          <w:p>
            <w:pPr>
              <w:pStyle w:val="17"/>
            </w:pPr>
            <w:r>
              <w:rPr>
                <w:rFonts w:hint="eastAsia"/>
              </w:rPr>
              <w:t>特种设备安全监察条例</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rPr>
                <w:rFonts w:hint="eastAsia"/>
              </w:rPr>
              <w:t>安监局令第</w:t>
            </w:r>
            <w:r>
              <w:t>30</w:t>
            </w:r>
            <w:r>
              <w:rPr>
                <w:rFonts w:hint="eastAsia"/>
              </w:rPr>
              <w:t>号</w:t>
            </w:r>
          </w:p>
        </w:tc>
        <w:tc>
          <w:tcPr>
            <w:tcW w:w="2654" w:type="pct"/>
            <w:shd w:val="clear" w:color="auto" w:fill="auto"/>
            <w:vAlign w:val="center"/>
          </w:tcPr>
          <w:p>
            <w:pPr>
              <w:pStyle w:val="17"/>
            </w:pPr>
            <w:r>
              <w:rPr>
                <w:rFonts w:hint="eastAsia"/>
              </w:rPr>
              <w:t>特种作业人员安全技术培训考核管理办法</w:t>
            </w:r>
          </w:p>
        </w:tc>
        <w:tc>
          <w:tcPr>
            <w:tcW w:w="641" w:type="pct"/>
            <w:shd w:val="clear" w:color="auto" w:fill="auto"/>
            <w:vAlign w:val="center"/>
          </w:tcPr>
          <w:p>
            <w:pPr>
              <w:pStyle w:val="17"/>
            </w:pPr>
            <w:r>
              <w:rPr>
                <w:rFonts w:hint="eastAsia"/>
              </w:rPr>
              <w:t>应急管理部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rPr>
                <w:rFonts w:hint="eastAsia"/>
              </w:rPr>
              <w:t>质检总局令第1</w:t>
            </w:r>
            <w:r>
              <w:t>15</w:t>
            </w:r>
            <w:r>
              <w:rPr>
                <w:rFonts w:hint="eastAsia"/>
              </w:rPr>
              <w:t>号</w:t>
            </w:r>
          </w:p>
        </w:tc>
        <w:tc>
          <w:tcPr>
            <w:tcW w:w="2654" w:type="pct"/>
            <w:shd w:val="clear" w:color="auto" w:fill="auto"/>
            <w:vAlign w:val="center"/>
          </w:tcPr>
          <w:p>
            <w:pPr>
              <w:pStyle w:val="17"/>
            </w:pPr>
            <w:r>
              <w:rPr>
                <w:rFonts w:hint="eastAsia"/>
              </w:rPr>
              <w:t>特种设备事故报告和调查处理规定</w:t>
            </w:r>
          </w:p>
        </w:tc>
        <w:tc>
          <w:tcPr>
            <w:tcW w:w="641" w:type="pct"/>
            <w:vMerge w:val="restart"/>
            <w:shd w:val="clear" w:color="auto" w:fill="auto"/>
            <w:vAlign w:val="center"/>
          </w:tcPr>
          <w:p>
            <w:pPr>
              <w:pStyle w:val="17"/>
            </w:pPr>
            <w:r>
              <w:rPr>
                <w:rFonts w:hint="eastAsia"/>
              </w:rPr>
              <w:t>国家市场监督管理总局特种设备安全监察局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rPr>
                <w:rFonts w:hint="eastAsia"/>
              </w:rPr>
              <w:t>质检总局令第140号</w:t>
            </w:r>
          </w:p>
        </w:tc>
        <w:tc>
          <w:tcPr>
            <w:tcW w:w="2654" w:type="pct"/>
            <w:shd w:val="clear" w:color="auto" w:fill="auto"/>
            <w:vAlign w:val="center"/>
          </w:tcPr>
          <w:p>
            <w:pPr>
              <w:pStyle w:val="17"/>
            </w:pPr>
            <w:r>
              <w:rPr>
                <w:rFonts w:hint="eastAsia"/>
              </w:rPr>
              <w:t>特种设备作业人员监督管理办法</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rPr>
                <w:rFonts w:hint="eastAsia"/>
              </w:rPr>
              <w:t>2</w:t>
            </w:r>
            <w:r>
              <w:t>015</w:t>
            </w:r>
            <w:r>
              <w:rPr>
                <w:rFonts w:hint="eastAsia"/>
              </w:rPr>
              <w:t>年第5号</w:t>
            </w:r>
          </w:p>
        </w:tc>
        <w:tc>
          <w:tcPr>
            <w:tcW w:w="2654" w:type="pct"/>
            <w:shd w:val="clear" w:color="auto" w:fill="auto"/>
            <w:vAlign w:val="center"/>
          </w:tcPr>
          <w:p>
            <w:pPr>
              <w:pStyle w:val="17"/>
            </w:pPr>
            <w:r>
              <w:rPr>
                <w:rFonts w:hint="eastAsia"/>
              </w:rPr>
              <w:t>特种设备现场安全监督检查规则</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t>TSG Q7014-2008</w:t>
            </w:r>
          </w:p>
        </w:tc>
        <w:tc>
          <w:tcPr>
            <w:tcW w:w="2654" w:type="pct"/>
            <w:shd w:val="clear" w:color="auto" w:fill="auto"/>
            <w:vAlign w:val="center"/>
          </w:tcPr>
          <w:p>
            <w:pPr>
              <w:pStyle w:val="17"/>
            </w:pPr>
            <w:r>
              <w:rPr>
                <w:rFonts w:hint="eastAsia"/>
              </w:rPr>
              <w:t>起重机械安全保护装置型式试验细则</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rPr>
                <w:rFonts w:hint="eastAsia"/>
              </w:rPr>
              <w:t>TSG</w:t>
            </w:r>
            <w:r>
              <w:t xml:space="preserve"> </w:t>
            </w:r>
            <w:r>
              <w:rPr>
                <w:rFonts w:hint="eastAsia"/>
              </w:rPr>
              <w:t>Q</w:t>
            </w:r>
            <w:r>
              <w:t>7016-2016</w:t>
            </w:r>
          </w:p>
        </w:tc>
        <w:tc>
          <w:tcPr>
            <w:tcW w:w="2654" w:type="pct"/>
            <w:shd w:val="clear" w:color="auto" w:fill="auto"/>
            <w:vAlign w:val="center"/>
          </w:tcPr>
          <w:p>
            <w:pPr>
              <w:pStyle w:val="17"/>
            </w:pPr>
            <w:r>
              <w:rPr>
                <w:rFonts w:hint="eastAsia"/>
              </w:rPr>
              <w:t>起重机械安装改造重大修理监督检验规则</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rPr>
                <w:rFonts w:hint="eastAsia"/>
              </w:rPr>
              <w:t>TSG 08-2017</w:t>
            </w:r>
          </w:p>
        </w:tc>
        <w:tc>
          <w:tcPr>
            <w:tcW w:w="2654" w:type="pct"/>
            <w:shd w:val="clear" w:color="auto" w:fill="auto"/>
            <w:vAlign w:val="center"/>
          </w:tcPr>
          <w:p>
            <w:pPr>
              <w:pStyle w:val="17"/>
            </w:pPr>
            <w:r>
              <w:rPr>
                <w:rFonts w:hint="eastAsia"/>
              </w:rPr>
              <w:t>特种设备使用管理规则</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rPr>
                <w:rFonts w:hint="eastAsia"/>
              </w:rPr>
              <w:t>TSG 07-2019</w:t>
            </w:r>
          </w:p>
        </w:tc>
        <w:tc>
          <w:tcPr>
            <w:tcW w:w="2654" w:type="pct"/>
            <w:shd w:val="clear" w:color="auto" w:fill="auto"/>
            <w:vAlign w:val="center"/>
          </w:tcPr>
          <w:p>
            <w:pPr>
              <w:pStyle w:val="17"/>
            </w:pPr>
            <w:r>
              <w:rPr>
                <w:rFonts w:hint="eastAsia"/>
              </w:rPr>
              <w:t>特种设备生产和充装单位许可规则</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t>JGJ 46-2005</w:t>
            </w:r>
          </w:p>
        </w:tc>
        <w:tc>
          <w:tcPr>
            <w:tcW w:w="2654" w:type="pct"/>
            <w:shd w:val="clear" w:color="auto" w:fill="auto"/>
            <w:vAlign w:val="center"/>
          </w:tcPr>
          <w:p>
            <w:pPr>
              <w:pStyle w:val="17"/>
            </w:pPr>
            <w:r>
              <w:rPr>
                <w:rFonts w:hint="eastAsia"/>
              </w:rPr>
              <w:t>施工现场临时用电安全技术规范</w:t>
            </w:r>
          </w:p>
        </w:tc>
        <w:tc>
          <w:tcPr>
            <w:tcW w:w="641" w:type="pct"/>
            <w:vMerge w:val="restart"/>
            <w:shd w:val="clear" w:color="auto" w:fill="auto"/>
            <w:vAlign w:val="center"/>
          </w:tcPr>
          <w:p>
            <w:pPr>
              <w:pStyle w:val="17"/>
            </w:pPr>
            <w:r>
              <w:t>住房和城乡建设部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t>JGJ 276-2012</w:t>
            </w:r>
          </w:p>
        </w:tc>
        <w:tc>
          <w:tcPr>
            <w:tcW w:w="2654" w:type="pct"/>
            <w:shd w:val="clear" w:color="auto" w:fill="auto"/>
            <w:vAlign w:val="center"/>
          </w:tcPr>
          <w:p>
            <w:pPr>
              <w:pStyle w:val="17"/>
            </w:pPr>
            <w:r>
              <w:rPr>
                <w:rFonts w:hint="eastAsia"/>
              </w:rPr>
              <w:t>建筑施工起重吊装工程安全技术规范</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t>JGJ 80-2016</w:t>
            </w:r>
          </w:p>
        </w:tc>
        <w:tc>
          <w:tcPr>
            <w:tcW w:w="2654" w:type="pct"/>
            <w:shd w:val="clear" w:color="auto" w:fill="auto"/>
            <w:vAlign w:val="center"/>
          </w:tcPr>
          <w:p>
            <w:pPr>
              <w:pStyle w:val="17"/>
            </w:pPr>
            <w:r>
              <w:rPr>
                <w:rFonts w:hint="eastAsia"/>
              </w:rPr>
              <w:t>建筑施工高处作业安全技术规范</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rPr>
                <w:rFonts w:hint="eastAsia"/>
              </w:rPr>
              <w:t>JGJ</w:t>
            </w:r>
            <w:r>
              <w:t>/</w:t>
            </w:r>
            <w:r>
              <w:rPr>
                <w:rFonts w:hint="eastAsia"/>
              </w:rPr>
              <w:t>T</w:t>
            </w:r>
            <w:r>
              <w:t xml:space="preserve"> 187-2019</w:t>
            </w:r>
          </w:p>
        </w:tc>
        <w:tc>
          <w:tcPr>
            <w:tcW w:w="2654" w:type="pct"/>
            <w:shd w:val="clear" w:color="auto" w:fill="auto"/>
            <w:vAlign w:val="center"/>
          </w:tcPr>
          <w:p>
            <w:pPr>
              <w:pStyle w:val="17"/>
            </w:pPr>
            <w:r>
              <w:rPr>
                <w:rFonts w:hint="eastAsia"/>
              </w:rPr>
              <w:t>塔式起重机混凝土基础工程技术标准</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rPr>
                <w:rFonts w:hint="eastAsia"/>
              </w:rPr>
              <w:t>交通运输部〔2017〕25号</w:t>
            </w:r>
          </w:p>
        </w:tc>
        <w:tc>
          <w:tcPr>
            <w:tcW w:w="2654" w:type="pct"/>
            <w:shd w:val="clear" w:color="auto" w:fill="auto"/>
            <w:vAlign w:val="center"/>
          </w:tcPr>
          <w:p>
            <w:pPr>
              <w:pStyle w:val="17"/>
            </w:pPr>
            <w:r>
              <w:rPr>
                <w:rFonts w:hint="eastAsia"/>
              </w:rPr>
              <w:t>公路水运工程安全生产监督管理办法</w:t>
            </w:r>
          </w:p>
        </w:tc>
        <w:tc>
          <w:tcPr>
            <w:tcW w:w="641" w:type="pct"/>
            <w:vMerge w:val="restart"/>
            <w:shd w:val="clear" w:color="auto" w:fill="auto"/>
            <w:vAlign w:val="center"/>
          </w:tcPr>
          <w:p>
            <w:pPr>
              <w:pStyle w:val="17"/>
            </w:pPr>
            <w:r>
              <w:rPr>
                <w:rFonts w:hint="eastAsia"/>
              </w:rPr>
              <w:t>交通运输部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t>JTG F9-2015</w:t>
            </w:r>
          </w:p>
        </w:tc>
        <w:tc>
          <w:tcPr>
            <w:tcW w:w="2654" w:type="pct"/>
            <w:shd w:val="clear" w:color="auto" w:fill="auto"/>
            <w:vAlign w:val="center"/>
          </w:tcPr>
          <w:p>
            <w:pPr>
              <w:pStyle w:val="17"/>
            </w:pPr>
            <w:r>
              <w:rPr>
                <w:rFonts w:hint="eastAsia"/>
              </w:rPr>
              <w:t>公路工程施工安全技术规范</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rPr>
                <w:rFonts w:hint="eastAsia"/>
              </w:rPr>
              <w:t>GB</w:t>
            </w:r>
            <w:r>
              <w:t xml:space="preserve"> </w:t>
            </w:r>
            <w:r>
              <w:rPr>
                <w:rFonts w:hint="eastAsia"/>
              </w:rPr>
              <w:t>50278-2010</w:t>
            </w:r>
          </w:p>
        </w:tc>
        <w:tc>
          <w:tcPr>
            <w:tcW w:w="2654" w:type="pct"/>
            <w:shd w:val="clear" w:color="auto" w:fill="auto"/>
            <w:vAlign w:val="center"/>
          </w:tcPr>
          <w:p>
            <w:pPr>
              <w:pStyle w:val="17"/>
            </w:pPr>
            <w:r>
              <w:rPr>
                <w:rFonts w:hint="eastAsia"/>
              </w:rPr>
              <w:t>起重设备安装工程施工及验收规范</w:t>
            </w:r>
          </w:p>
        </w:tc>
        <w:tc>
          <w:tcPr>
            <w:tcW w:w="641" w:type="pct"/>
            <w:vMerge w:val="restart"/>
            <w:shd w:val="clear" w:color="auto" w:fill="auto"/>
            <w:vAlign w:val="center"/>
          </w:tcPr>
          <w:p>
            <w:pPr>
              <w:pStyle w:val="17"/>
            </w:pPr>
            <w:r>
              <w:rPr>
                <w:rFonts w:hint="eastAsia"/>
              </w:rPr>
              <w:t>国家标准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rPr>
                <w:rFonts w:hint="eastAsia"/>
              </w:rPr>
              <w:t>GB 50231-2009</w:t>
            </w:r>
          </w:p>
        </w:tc>
        <w:tc>
          <w:tcPr>
            <w:tcW w:w="2654" w:type="pct"/>
            <w:shd w:val="clear" w:color="auto" w:fill="auto"/>
            <w:vAlign w:val="center"/>
          </w:tcPr>
          <w:p>
            <w:pPr>
              <w:pStyle w:val="17"/>
            </w:pPr>
            <w:r>
              <w:rPr>
                <w:rFonts w:hint="eastAsia"/>
              </w:rPr>
              <w:t>机械设备安装工程施工及验收通用规范</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rPr>
                <w:rFonts w:hint="eastAsia"/>
              </w:rPr>
              <w:t>GB 50256-2014</w:t>
            </w:r>
          </w:p>
        </w:tc>
        <w:tc>
          <w:tcPr>
            <w:tcW w:w="2654" w:type="pct"/>
            <w:shd w:val="clear" w:color="auto" w:fill="auto"/>
            <w:vAlign w:val="center"/>
          </w:tcPr>
          <w:p>
            <w:pPr>
              <w:pStyle w:val="17"/>
            </w:pPr>
            <w:r>
              <w:rPr>
                <w:rFonts w:hint="eastAsia"/>
              </w:rPr>
              <w:t>电气装置安装工程起重机电气装置施工及验收规范</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rPr>
                <w:rFonts w:hint="eastAsia"/>
              </w:rPr>
              <w:t>GB 50009-2012</w:t>
            </w:r>
          </w:p>
        </w:tc>
        <w:tc>
          <w:tcPr>
            <w:tcW w:w="2654" w:type="pct"/>
            <w:shd w:val="clear" w:color="auto" w:fill="auto"/>
            <w:vAlign w:val="center"/>
          </w:tcPr>
          <w:p>
            <w:pPr>
              <w:pStyle w:val="17"/>
            </w:pPr>
            <w:r>
              <w:rPr>
                <w:rFonts w:hint="eastAsia"/>
              </w:rPr>
              <w:t>建筑结构荷载规范</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rPr>
                <w:rFonts w:hint="eastAsia"/>
              </w:rPr>
              <w:t>GB 50007-2011</w:t>
            </w:r>
          </w:p>
        </w:tc>
        <w:tc>
          <w:tcPr>
            <w:tcW w:w="2654" w:type="pct"/>
            <w:shd w:val="clear" w:color="auto" w:fill="auto"/>
            <w:vAlign w:val="center"/>
          </w:tcPr>
          <w:p>
            <w:pPr>
              <w:pStyle w:val="17"/>
            </w:pPr>
            <w:r>
              <w:rPr>
                <w:rFonts w:hint="eastAsia"/>
              </w:rPr>
              <w:t>建筑地基基础设计规范</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rPr>
                <w:rFonts w:hint="eastAsia"/>
              </w:rPr>
              <w:t>GB</w:t>
            </w:r>
            <w:r>
              <w:t xml:space="preserve"> 8918-2006</w:t>
            </w:r>
          </w:p>
        </w:tc>
        <w:tc>
          <w:tcPr>
            <w:tcW w:w="2654" w:type="pct"/>
            <w:shd w:val="clear" w:color="auto" w:fill="auto"/>
            <w:vAlign w:val="center"/>
          </w:tcPr>
          <w:p>
            <w:pPr>
              <w:pStyle w:val="17"/>
            </w:pPr>
            <w:r>
              <w:rPr>
                <w:rFonts w:hint="eastAsia"/>
              </w:rPr>
              <w:t>重要用途钢丝绳</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t>GB/T 5031-2008</w:t>
            </w:r>
          </w:p>
        </w:tc>
        <w:tc>
          <w:tcPr>
            <w:tcW w:w="2654" w:type="pct"/>
            <w:shd w:val="clear" w:color="auto" w:fill="auto"/>
            <w:vAlign w:val="center"/>
          </w:tcPr>
          <w:p>
            <w:pPr>
              <w:pStyle w:val="17"/>
            </w:pPr>
            <w:r>
              <w:t>塔式起重机</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t>GB/T 23723.3-2010</w:t>
            </w:r>
          </w:p>
        </w:tc>
        <w:tc>
          <w:tcPr>
            <w:tcW w:w="2654" w:type="pct"/>
            <w:shd w:val="clear" w:color="auto" w:fill="auto"/>
            <w:vAlign w:val="center"/>
          </w:tcPr>
          <w:p>
            <w:pPr>
              <w:pStyle w:val="17"/>
            </w:pPr>
            <w:r>
              <w:t>起重机 安全使用 第3部分：塔式起重机</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t>GB/T 13752-2017</w:t>
            </w:r>
          </w:p>
        </w:tc>
        <w:tc>
          <w:tcPr>
            <w:tcW w:w="2654" w:type="pct"/>
            <w:shd w:val="clear" w:color="auto" w:fill="auto"/>
            <w:vAlign w:val="center"/>
          </w:tcPr>
          <w:p>
            <w:pPr>
              <w:pStyle w:val="17"/>
            </w:pPr>
            <w:r>
              <w:t>塔式起重机设计规范</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rPr>
                <w:rFonts w:hint="eastAsia"/>
              </w:rPr>
              <w:t>GB/T 16762-2020</w:t>
            </w:r>
          </w:p>
        </w:tc>
        <w:tc>
          <w:tcPr>
            <w:tcW w:w="2654" w:type="pct"/>
            <w:shd w:val="clear" w:color="auto" w:fill="auto"/>
            <w:vAlign w:val="center"/>
          </w:tcPr>
          <w:p>
            <w:pPr>
              <w:pStyle w:val="17"/>
            </w:pPr>
            <w:r>
              <w:rPr>
                <w:rFonts w:hint="eastAsia"/>
              </w:rPr>
              <w:t>一般用途钢丝绳吊索特性和技术条件</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t>GB/T 25854-2010</w:t>
            </w:r>
          </w:p>
        </w:tc>
        <w:tc>
          <w:tcPr>
            <w:tcW w:w="2654" w:type="pct"/>
            <w:shd w:val="clear" w:color="auto" w:fill="auto"/>
            <w:vAlign w:val="center"/>
          </w:tcPr>
          <w:p>
            <w:pPr>
              <w:pStyle w:val="17"/>
            </w:pPr>
            <w:r>
              <w:t>一般起重用D形和弓形锻造卸扣</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t>GB/T 11345</w:t>
            </w:r>
            <w:r>
              <w:rPr>
                <w:rFonts w:hint="eastAsia"/>
              </w:rPr>
              <w:t>-</w:t>
            </w:r>
            <w:r>
              <w:t>2015</w:t>
            </w:r>
          </w:p>
        </w:tc>
        <w:tc>
          <w:tcPr>
            <w:tcW w:w="2654" w:type="pct"/>
            <w:shd w:val="clear" w:color="auto" w:fill="auto"/>
            <w:vAlign w:val="center"/>
          </w:tcPr>
          <w:p>
            <w:pPr>
              <w:pStyle w:val="17"/>
            </w:pPr>
            <w:r>
              <w:t>钢焊缝手工超声波探伤方法和探伤结果分级</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p>
        </w:tc>
        <w:tc>
          <w:tcPr>
            <w:tcW w:w="2654" w:type="pct"/>
            <w:shd w:val="clear" w:color="auto" w:fill="auto"/>
            <w:vAlign w:val="center"/>
          </w:tcPr>
          <w:p>
            <w:pPr>
              <w:pStyle w:val="17"/>
            </w:pPr>
            <w:bookmarkStart w:id="33" w:name="大临基础施工方案"/>
            <w:r>
              <w:rPr>
                <w:rFonts w:hint="eastAsia"/>
              </w:rPr>
              <w:t>马鹿塘特大桥主墩承台专项施工方案</w:t>
            </w:r>
            <w:bookmarkEnd w:id="33"/>
          </w:p>
        </w:tc>
        <w:tc>
          <w:tcPr>
            <w:tcW w:w="641" w:type="pct"/>
            <w:shd w:val="clear" w:color="auto" w:fill="auto"/>
            <w:vAlign w:val="center"/>
          </w:tcPr>
          <w:p>
            <w:pPr>
              <w:pStyle w:val="17"/>
            </w:pPr>
            <w:r>
              <w:rPr>
                <w:rFonts w:hint="eastAsia"/>
              </w:rPr>
              <w:t>项目方案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p>
        </w:tc>
        <w:tc>
          <w:tcPr>
            <w:tcW w:w="2654" w:type="pct"/>
            <w:shd w:val="clear" w:color="auto" w:fill="auto"/>
            <w:vAlign w:val="center"/>
          </w:tcPr>
          <w:p>
            <w:pPr>
              <w:pStyle w:val="17"/>
            </w:pPr>
            <w:r>
              <w:fldChar w:fldCharType="begin"/>
            </w:r>
            <w:r>
              <w:instrText xml:space="preserve"> </w:instrText>
            </w:r>
            <w:r>
              <w:rPr>
                <w:rFonts w:hint="eastAsia"/>
              </w:rPr>
              <w:instrText xml:space="preserve">REF 设备型号1 \h</w:instrText>
            </w:r>
            <w:r>
              <w:instrText xml:space="preserve">  \* MERGEFORMAT </w:instrText>
            </w:r>
            <w:r>
              <w:fldChar w:fldCharType="separate"/>
            </w:r>
            <w:r>
              <w:rPr>
                <w:rFonts w:hint="eastAsia"/>
                <w:lang w:eastAsia="zh-CN"/>
              </w:rPr>
              <w:t>XGT6515-10S</w:t>
            </w:r>
            <w:r>
              <w:fldChar w:fldCharType="end"/>
            </w:r>
            <w:r>
              <w:fldChar w:fldCharType="begin"/>
            </w:r>
            <w:r>
              <w:instrText xml:space="preserve"> REF 设备类型 \h  \* MERGEFORMAT </w:instrText>
            </w:r>
            <w:r>
              <w:fldChar w:fldCharType="separate"/>
            </w:r>
            <w:r>
              <w:rPr>
                <w:rFonts w:hint="eastAsia"/>
              </w:rPr>
              <w:t>塔式起重机</w:t>
            </w:r>
            <w:r>
              <w:fldChar w:fldCharType="end"/>
            </w:r>
            <w:r>
              <w:rPr>
                <w:rFonts w:hint="eastAsia"/>
              </w:rPr>
              <w:t>说明书</w:t>
            </w:r>
          </w:p>
        </w:tc>
        <w:tc>
          <w:tcPr>
            <w:tcW w:w="641" w:type="pct"/>
            <w:vMerge w:val="restart"/>
            <w:shd w:val="clear" w:color="auto" w:fill="auto"/>
            <w:vAlign w:val="center"/>
          </w:tcPr>
          <w:p>
            <w:pPr>
              <w:pStyle w:val="17"/>
            </w:pPr>
            <w:r>
              <w:rPr>
                <w:rFonts w:hint="eastAsia"/>
              </w:rPr>
              <w:t>技术资料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p>
        </w:tc>
        <w:tc>
          <w:tcPr>
            <w:tcW w:w="2654" w:type="pct"/>
            <w:shd w:val="clear" w:color="auto" w:fill="auto"/>
            <w:vAlign w:val="center"/>
          </w:tcPr>
          <w:p>
            <w:pPr>
              <w:pStyle w:val="17"/>
            </w:pPr>
            <w:r>
              <w:fldChar w:fldCharType="begin"/>
            </w:r>
            <w:r>
              <w:instrText xml:space="preserve"> </w:instrText>
            </w:r>
            <w:r>
              <w:rPr>
                <w:rFonts w:hint="eastAsia"/>
              </w:rPr>
              <w:instrText xml:space="preserve">REF 起重设备1型号 \h</w:instrText>
            </w:r>
            <w:r>
              <w:instrText xml:space="preserve"> </w:instrText>
            </w:r>
            <w:r>
              <w:fldChar w:fldCharType="separate"/>
            </w:r>
            <w:r>
              <w:t>100</w:t>
            </w:r>
            <w:r>
              <w:rPr>
                <w:rFonts w:hint="eastAsia"/>
              </w:rPr>
              <w:t>t</w:t>
            </w:r>
            <w:r>
              <w:fldChar w:fldCharType="end"/>
            </w:r>
            <w:r>
              <w:fldChar w:fldCharType="begin"/>
            </w:r>
            <w:r>
              <w:instrText xml:space="preserve"> REF 起重设备1类型 \h </w:instrText>
            </w:r>
            <w:r>
              <w:fldChar w:fldCharType="separate"/>
            </w:r>
            <w:r>
              <w:rPr>
                <w:rFonts w:hint="eastAsia"/>
              </w:rPr>
              <w:t>汽车式起重机</w:t>
            </w:r>
            <w:r>
              <w:fldChar w:fldCharType="end"/>
            </w:r>
            <w:r>
              <w:rPr>
                <w:rFonts w:hint="eastAsia"/>
              </w:rPr>
              <w:t>资料</w:t>
            </w:r>
          </w:p>
        </w:tc>
        <w:tc>
          <w:tcPr>
            <w:tcW w:w="641" w:type="pct"/>
            <w:vMerge w:val="continue"/>
            <w:shd w:val="clear" w:color="auto" w:fill="auto"/>
            <w:vAlign w:val="center"/>
          </w:tcPr>
          <w:p>
            <w:pPr>
              <w:pStyle w:val="17"/>
            </w:pPr>
          </w:p>
        </w:tc>
      </w:tr>
    </w:tbl>
    <w:p>
      <w:pPr>
        <w:pStyle w:val="3"/>
      </w:pPr>
      <w:bookmarkStart w:id="34" w:name="_Toc18665"/>
      <w:bookmarkStart w:id="35" w:name="_Toc1691"/>
      <w:r>
        <w:rPr>
          <w:rFonts w:hint="eastAsia"/>
        </w:rPr>
        <w:t>适用范围</w:t>
      </w:r>
      <w:bookmarkEnd w:id="34"/>
      <w:bookmarkEnd w:id="35"/>
    </w:p>
    <w:p>
      <w:pPr>
        <w:ind w:firstLine="480"/>
      </w:pPr>
      <w:bookmarkStart w:id="36" w:name="_Toc17866"/>
      <w:bookmarkStart w:id="37" w:name="_Toc40778431"/>
      <w:r>
        <w:rPr>
          <w:rFonts w:hint="eastAsia"/>
        </w:rPr>
        <w:t>本方案适用于</w:t>
      </w:r>
      <w:r>
        <w:fldChar w:fldCharType="begin"/>
      </w:r>
      <w:r>
        <w:instrText xml:space="preserve"> </w:instrText>
      </w:r>
      <w:r>
        <w:rPr>
          <w:rFonts w:hint="eastAsia"/>
        </w:rPr>
        <w:instrText xml:space="preserve">REF 项目名称</w:instrText>
      </w:r>
      <w:r>
        <w:instrText xml:space="preserve"> </w:instrText>
      </w:r>
      <w:r>
        <w:fldChar w:fldCharType="separate"/>
      </w:r>
      <w:r>
        <w:rPr>
          <w:rFonts w:hint="eastAsia"/>
          <w:bCs/>
        </w:rPr>
        <w:t>天保至麻栗坡高速公路TJ-2标项</w:t>
      </w:r>
      <w:r>
        <w:rPr>
          <w:rFonts w:hint="eastAsia"/>
        </w:rPr>
        <w:t>目</w:t>
      </w:r>
      <w:r>
        <w:fldChar w:fldCharType="end"/>
      </w:r>
      <w:r>
        <w:fldChar w:fldCharType="begin"/>
      </w:r>
      <w:r>
        <w:instrText xml:space="preserve"> REF 设备位置 \h </w:instrText>
      </w:r>
      <w:r>
        <w:fldChar w:fldCharType="separate"/>
      </w:r>
      <w:r>
        <w:rPr>
          <w:rFonts w:hint="eastAsia"/>
          <w:lang w:eastAsia="zh-CN"/>
        </w:rPr>
        <w:t>畴阳河大桥</w:t>
      </w:r>
      <w:r>
        <w:fldChar w:fldCharType="end"/>
      </w:r>
      <w:r>
        <w:rPr>
          <w:rFonts w:hint="eastAsia"/>
          <w:lang w:val="en-US" w:eastAsia="zh-CN"/>
        </w:rPr>
        <w:t>4</w:t>
      </w:r>
      <w:r>
        <w:rPr>
          <w:rFonts w:hint="eastAsia"/>
        </w:rPr>
        <w:t>台</w:t>
      </w:r>
      <w:r>
        <w:fldChar w:fldCharType="begin"/>
      </w:r>
      <w:r>
        <w:instrText xml:space="preserve"> </w:instrText>
      </w:r>
      <w:r>
        <w:rPr>
          <w:rFonts w:hint="eastAsia"/>
        </w:rPr>
        <w:instrText xml:space="preserve">REF 设备型号1 \h</w:instrText>
      </w:r>
      <w:r>
        <w:instrText xml:space="preserve"> </w:instrText>
      </w:r>
      <w:r>
        <w:fldChar w:fldCharType="separate"/>
      </w:r>
      <w:r>
        <w:rPr>
          <w:rFonts w:hint="eastAsia"/>
          <w:lang w:eastAsia="zh-CN"/>
        </w:rPr>
        <w:t>XGT6515-10S</w:t>
      </w:r>
      <w:r>
        <w:fldChar w:fldCharType="end"/>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塔式起重机</w:t>
      </w:r>
      <w:r>
        <w:fldChar w:fldCharType="end"/>
      </w:r>
      <w:r>
        <w:rPr>
          <w:rFonts w:hint="eastAsia"/>
        </w:rPr>
        <w:t>安装（拆除）施工作业</w:t>
      </w:r>
      <w:r>
        <w:t>，主要包括</w:t>
      </w:r>
      <w:r>
        <w:rPr>
          <w:rFonts w:hint="eastAsia"/>
        </w:rPr>
        <w:t>设备</w:t>
      </w:r>
      <w:r>
        <w:t>安装、顶升、扶墙施工、拆除等施工有关的工艺流程、注意事项及验收标准</w:t>
      </w:r>
      <w:r>
        <w:rPr>
          <w:rFonts w:hint="eastAsia"/>
        </w:rPr>
        <w:t>。</w:t>
      </w:r>
      <w:r>
        <w:br w:type="page"/>
      </w:r>
    </w:p>
    <w:p>
      <w:pPr>
        <w:pStyle w:val="2"/>
      </w:pPr>
      <w:bookmarkStart w:id="38" w:name="_Toc3812"/>
      <w:bookmarkStart w:id="39" w:name="_Toc40778420"/>
      <w:bookmarkStart w:id="40" w:name="_Toc24395"/>
      <w:bookmarkStart w:id="41" w:name="_Toc13008"/>
      <w:r>
        <w:rPr>
          <w:rFonts w:hint="eastAsia"/>
        </w:rPr>
        <w:t>工程概况</w:t>
      </w:r>
      <w:bookmarkEnd w:id="38"/>
      <w:bookmarkEnd w:id="39"/>
      <w:bookmarkEnd w:id="40"/>
      <w:bookmarkEnd w:id="41"/>
    </w:p>
    <w:p>
      <w:pPr>
        <w:pStyle w:val="3"/>
      </w:pPr>
      <w:bookmarkStart w:id="42" w:name="_Toc28632"/>
      <w:bookmarkStart w:id="43" w:name="_Toc40778421"/>
      <w:bookmarkStart w:id="44" w:name="_Toc12207"/>
      <w:bookmarkStart w:id="45" w:name="_Toc27619"/>
      <w:r>
        <w:rPr>
          <w:rFonts w:hint="eastAsia"/>
        </w:rPr>
        <w:t>工程概况</w:t>
      </w:r>
      <w:bookmarkEnd w:id="42"/>
      <w:bookmarkEnd w:id="43"/>
      <w:bookmarkEnd w:id="44"/>
      <w:bookmarkEnd w:id="45"/>
    </w:p>
    <w:p>
      <w:pPr>
        <w:pStyle w:val="4"/>
      </w:pPr>
      <w:r>
        <w:rPr>
          <w:rFonts w:hint="eastAsia"/>
        </w:rPr>
        <w:t>工程项目简介</w:t>
      </w:r>
    </w:p>
    <w:p>
      <w:pPr>
        <w:ind w:firstLine="480"/>
      </w:pPr>
      <w:bookmarkStart w:id="46" w:name="_Hlk50453250"/>
      <w:r>
        <w:rPr>
          <w:rFonts w:hint="eastAsia"/>
        </w:rPr>
        <w:t>国家高速公路网G5615天保至猴桥高速公路天保至文山段位于云南省东南部文山州境内，路线自南向北途经文山州麻栗坡县、西畴县、文山市。</w:t>
      </w:r>
    </w:p>
    <w:bookmarkEnd w:id="46"/>
    <w:p>
      <w:pPr>
        <w:ind w:firstLine="480"/>
      </w:pPr>
      <w:r>
        <w:rPr>
          <w:rFonts w:hint="eastAsia"/>
        </w:rPr>
        <w:t>五分公司承建天麻高速TJ-2标，项目起于曼那隧道进口（K15+140）至岩腊山2号隧道中段(K34+647)，线路总长19.507km，本标段桥隧比为87.7%。主要结构物包括：隧道7座/12.92km(单幅)；主线桥梁8座/4.212km（单幅），匝道桥5座（0.545km），预制架设T梁和箱梁共计907榀（40mT梁815榀，30m箱梁92榀）；路基4段/2.4km，挖方501.18万方，填方38.2万方，互通1处，停车区1处。</w:t>
      </w:r>
    </w:p>
    <w:p>
      <w:pPr>
        <w:ind w:firstLine="480"/>
      </w:pPr>
      <w:r>
        <w:rPr>
          <w:rFonts w:hint="eastAsia"/>
        </w:rPr>
        <w:t>项目地理位置如</w:t>
      </w:r>
      <w:r>
        <w:fldChar w:fldCharType="begin"/>
      </w:r>
      <w:r>
        <w:instrText xml:space="preserve"> </w:instrText>
      </w:r>
      <w:r>
        <w:rPr>
          <w:rFonts w:hint="eastAsia"/>
        </w:rPr>
        <w:instrText xml:space="preserve">REF _Ref93301894 \h</w:instrText>
      </w:r>
      <w:r>
        <w:instrText xml:space="preserve"> </w:instrText>
      </w:r>
      <w:r>
        <w:fldChar w:fldCharType="separate"/>
      </w:r>
      <w:r>
        <w:rPr>
          <w:rFonts w:hint="eastAsia"/>
        </w:rPr>
        <w:t>图</w:t>
      </w:r>
      <w:r>
        <w:t>2.1.1</w:t>
      </w:r>
      <w:r>
        <w:rPr>
          <w:rFonts w:hint="eastAsia"/>
        </w:rPr>
        <w:t>-</w:t>
      </w:r>
      <w:r>
        <w:t>1</w:t>
      </w:r>
      <w:r>
        <w:fldChar w:fldCharType="end"/>
      </w:r>
      <w:r>
        <w:rPr>
          <w:rFonts w:hint="eastAsia"/>
        </w:rPr>
        <w:t>所示。</w:t>
      </w:r>
    </w:p>
    <w:p>
      <w:pPr>
        <w:pStyle w:val="117"/>
      </w:pPr>
      <w:r>
        <w:drawing>
          <wp:inline distT="0" distB="0" distL="114300" distR="114300">
            <wp:extent cx="5273675" cy="3634105"/>
            <wp:effectExtent l="19050" t="19050" r="22225" b="23495"/>
            <wp:docPr id="21" name="图片 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111"/>
                    <pic:cNvPicPr>
                      <a:picLocks noChangeAspect="1"/>
                    </pic:cNvPicPr>
                  </pic:nvPicPr>
                  <pic:blipFill>
                    <a:blip r:embed="rId19"/>
                    <a:stretch>
                      <a:fillRect/>
                    </a:stretch>
                  </pic:blipFill>
                  <pic:spPr>
                    <a:xfrm>
                      <a:off x="0" y="0"/>
                      <a:ext cx="5274000" cy="3634354"/>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116"/>
      </w:pPr>
      <w:bookmarkStart w:id="47" w:name="_Ref93301894"/>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2.1.1</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1</w:t>
      </w:r>
      <w:r>
        <w:fldChar w:fldCharType="end"/>
      </w:r>
      <w:bookmarkEnd w:id="47"/>
      <w:r>
        <w:t xml:space="preserve"> </w:t>
      </w:r>
      <w:r>
        <w:rPr>
          <w:rFonts w:hint="eastAsia"/>
        </w:rPr>
        <w:t>项目地理位置图</w:t>
      </w:r>
    </w:p>
    <w:p>
      <w:pPr>
        <w:pStyle w:val="4"/>
      </w:pPr>
      <w:r>
        <w:rPr>
          <w:rFonts w:hint="eastAsia"/>
        </w:rPr>
        <w:t>自然条件及使用环境</w:t>
      </w:r>
    </w:p>
    <w:p>
      <w:pPr>
        <w:pStyle w:val="5"/>
      </w:pPr>
      <w:r>
        <w:rPr>
          <w:rFonts w:hint="eastAsia"/>
        </w:rPr>
        <w:t>气候条件</w:t>
      </w:r>
    </w:p>
    <w:p>
      <w:pPr>
        <w:ind w:firstLine="480"/>
      </w:pPr>
      <w:r>
        <w:rPr>
          <w:rFonts w:hint="eastAsia"/>
        </w:rPr>
        <w:t>本项目所在区域干雨季节分明，立体气候明显，年均气温15.9℃，全年昼夜温差11.8℃。最冷月（1月）平均温度6.5～13.5℃，最热月（7月）平均温度17.0～28.5℃。极端最高气温35.9℃，极端最低气温3.0℃。年均无霜期340～362天，初霜出现于12月，冬霜出现于1月底，雪天平均十年一遇。常年均降雨量1294毫米，全年降雨量约28亿立方米，受东南季风不稳定性的影响，降水季节分配不匀，降雨多集中于6～9月，约占全年降雨量的70.5%，夏季常发生洪涝灾害。年日照时数1500～1600小时，年均积温6829.3℃。年均相对湿度为82%。灾害性气候不明显。</w:t>
      </w:r>
    </w:p>
    <w:p>
      <w:pPr>
        <w:pStyle w:val="5"/>
      </w:pPr>
      <w:r>
        <w:t>水文条件</w:t>
      </w:r>
    </w:p>
    <w:p>
      <w:pPr>
        <w:pStyle w:val="78"/>
        <w:numPr>
          <w:ilvl w:val="0"/>
          <w:numId w:val="7"/>
        </w:numPr>
        <w:ind w:firstLineChars="0"/>
        <w:rPr>
          <w:szCs w:val="24"/>
        </w:rPr>
      </w:pPr>
      <w:r>
        <w:rPr>
          <w:rFonts w:hint="eastAsia" w:ascii="宋体" w:hAnsi="宋体"/>
        </w:rPr>
        <w:t>地表水</w:t>
      </w:r>
    </w:p>
    <w:p>
      <w:pPr>
        <w:ind w:firstLine="480"/>
      </w:pPr>
      <w:r>
        <w:rPr>
          <w:rFonts w:hint="eastAsia" w:ascii="宋体" w:hAnsi="宋体"/>
        </w:rPr>
        <w:t>桥址区地表水较发育，地表水为大气降水形成的暂时性地表面流及冲沟流水，地表水断面流量受降雨量控制，主要顺坡及沟向低处排泄，汇流于南温河水库，部分沿裂隙下渗补给地下水。</w:t>
      </w:r>
    </w:p>
    <w:p>
      <w:pPr>
        <w:pStyle w:val="78"/>
        <w:numPr>
          <w:ilvl w:val="0"/>
          <w:numId w:val="7"/>
        </w:numPr>
        <w:ind w:firstLineChars="0"/>
        <w:rPr>
          <w:rFonts w:ascii="宋体" w:hAnsi="宋体"/>
        </w:rPr>
      </w:pPr>
      <w:r>
        <w:rPr>
          <w:rFonts w:hint="eastAsia" w:ascii="宋体" w:hAnsi="宋体"/>
        </w:rPr>
        <w:t>地下水</w:t>
      </w:r>
    </w:p>
    <w:p>
      <w:pPr>
        <w:ind w:firstLine="480"/>
      </w:pPr>
      <w:r>
        <w:rPr>
          <w:rFonts w:hint="eastAsia" w:ascii="宋体" w:hAnsi="宋体"/>
        </w:rPr>
        <w:t>根据桥址区地下水的赋存条件和水力特征，地下水类型主要为第四系松散岩类孔隙水、基岩裂隙水。其中松散岩类孔隙水赋存于第四系全新统残坡积砂质黏性土与砾质粘性土孔隙中，主要由大气降水补给；基岩裂隙水赋存于基岩裂隙中，主要赋存于花岗片麻岩风化基岩层中，主要受孔隙潜水及地下径流的补给，勘探期间，钻孔揭露地下水位标高约</w:t>
      </w:r>
      <w:r>
        <w:rPr>
          <w:rFonts w:hint="eastAsia"/>
        </w:rPr>
        <w:t>559.1</w:t>
      </w:r>
      <w:r>
        <w:rPr>
          <w:rFonts w:hint="eastAsia" w:ascii="宋体" w:hAnsi="宋体"/>
        </w:rPr>
        <w:t>～</w:t>
      </w:r>
      <w:r>
        <w:rPr>
          <w:rFonts w:hint="eastAsia"/>
        </w:rPr>
        <w:t>623.23m</w:t>
      </w:r>
      <w:r>
        <w:rPr>
          <w:rFonts w:hint="eastAsia" w:ascii="宋体" w:hAnsi="宋体"/>
        </w:rPr>
        <w:t>。</w:t>
      </w:r>
    </w:p>
    <w:p>
      <w:pPr>
        <w:pStyle w:val="5"/>
      </w:pPr>
      <w:r>
        <w:t>地质条件</w:t>
      </w:r>
    </w:p>
    <w:p>
      <w:pPr>
        <w:ind w:firstLine="480"/>
        <w:rPr>
          <w:lang w:bidi="ar"/>
        </w:rPr>
      </w:pPr>
      <w:r>
        <w:rPr>
          <w:rFonts w:hint="eastAsia"/>
          <w:lang w:bidi="ar"/>
        </w:rPr>
        <w:t>根据工程地质调绘及钻孔揭示资料，桥址区在勘探深度范围内上覆地层主要为第四系全新统残坡积层，下伏花岗片麻岩(Gn)组成。桥址区在勘探深度范围内可分为5个工程地质层，现由上而下分述如下：</w:t>
      </w:r>
    </w:p>
    <w:p>
      <w:pPr>
        <w:pStyle w:val="78"/>
        <w:numPr>
          <w:ilvl w:val="0"/>
          <w:numId w:val="8"/>
        </w:numPr>
        <w:ind w:firstLineChars="0"/>
        <w:rPr>
          <w:lang w:bidi="ar"/>
        </w:rPr>
      </w:pPr>
      <w:r>
        <w:rPr>
          <w:rFonts w:hint="eastAsia"/>
          <w:lang w:bidi="ar"/>
        </w:rPr>
        <w:t>78-2砂质黏性土（Q</w:t>
      </w:r>
      <w:r>
        <w:rPr>
          <w:rFonts w:hint="eastAsia"/>
          <w:vertAlign w:val="subscript"/>
          <w:lang w:bidi="ar"/>
        </w:rPr>
        <w:t>4</w:t>
      </w:r>
      <w:r>
        <w:rPr>
          <w:rFonts w:hint="eastAsia"/>
          <w:vertAlign w:val="superscript"/>
          <w:lang w:bidi="ar"/>
        </w:rPr>
        <w:t>el+dl</w:t>
      </w:r>
      <w:r>
        <w:rPr>
          <w:rFonts w:hint="eastAsia"/>
          <w:lang w:bidi="ar"/>
        </w:rPr>
        <w:t>）：黄褐色，稍湿，可塑，土质不均，含砂约20%-40%，含角砾约10%，表层约30cm含大量植物根系。，钻探揭示层厚约1.40～10.00m，承载力基本容许值[f</w:t>
      </w:r>
      <w:r>
        <w:rPr>
          <w:rFonts w:hint="eastAsia"/>
          <w:vertAlign w:val="subscript"/>
          <w:lang w:bidi="ar"/>
        </w:rPr>
        <w:t>a0</w:t>
      </w:r>
      <w:r>
        <w:rPr>
          <w:rFonts w:hint="eastAsia"/>
          <w:lang w:bidi="ar"/>
        </w:rPr>
        <w:t>]=180kPa，摩阻力标准值q</w:t>
      </w:r>
      <w:r>
        <w:rPr>
          <w:rFonts w:hint="eastAsia"/>
          <w:vertAlign w:val="subscript"/>
          <w:lang w:bidi="ar"/>
        </w:rPr>
        <w:t>ik</w:t>
      </w:r>
      <w:r>
        <w:rPr>
          <w:rFonts w:hint="eastAsia"/>
          <w:lang w:bidi="ar"/>
        </w:rPr>
        <w:t>=60kPa。</w:t>
      </w:r>
    </w:p>
    <w:p>
      <w:pPr>
        <w:pStyle w:val="78"/>
        <w:numPr>
          <w:ilvl w:val="0"/>
          <w:numId w:val="8"/>
        </w:numPr>
        <w:ind w:firstLineChars="0"/>
        <w:rPr>
          <w:lang w:bidi="ar"/>
        </w:rPr>
      </w:pPr>
      <w:r>
        <w:rPr>
          <w:rFonts w:hint="eastAsia"/>
          <w:lang w:bidi="ar"/>
        </w:rPr>
        <w:t>80-2砾质黏性土（Q</w:t>
      </w:r>
      <w:r>
        <w:rPr>
          <w:rFonts w:hint="eastAsia"/>
          <w:vertAlign w:val="subscript"/>
          <w:lang w:bidi="ar"/>
        </w:rPr>
        <w:t>4</w:t>
      </w:r>
      <w:r>
        <w:rPr>
          <w:rFonts w:hint="eastAsia"/>
          <w:vertAlign w:val="superscript"/>
          <w:lang w:bidi="ar"/>
        </w:rPr>
        <w:t>el+dl</w:t>
      </w:r>
      <w:r>
        <w:rPr>
          <w:rFonts w:hint="eastAsia"/>
          <w:lang w:bidi="ar"/>
        </w:rPr>
        <w:t>）：砾质黏性土：黄褐色，稍湿，可塑，土质不均，含砾约20%-30%，表层约30cm含大量植物根系。钻探揭示层厚约4.20m，承载力基本容许值[f</w:t>
      </w:r>
      <w:r>
        <w:rPr>
          <w:rFonts w:hint="eastAsia"/>
          <w:vertAlign w:val="subscript"/>
          <w:lang w:bidi="ar"/>
        </w:rPr>
        <w:t>a0</w:t>
      </w:r>
      <w:r>
        <w:rPr>
          <w:rFonts w:hint="eastAsia"/>
          <w:lang w:bidi="ar"/>
        </w:rPr>
        <w:t>]=200kPa，摩阻力标准值q</w:t>
      </w:r>
      <w:r>
        <w:rPr>
          <w:rFonts w:hint="eastAsia"/>
          <w:vertAlign w:val="subscript"/>
          <w:lang w:bidi="ar"/>
        </w:rPr>
        <w:t>ik</w:t>
      </w:r>
      <w:r>
        <w:rPr>
          <w:rFonts w:hint="eastAsia"/>
          <w:lang w:bidi="ar"/>
        </w:rPr>
        <w:t>=65kPa。</w:t>
      </w:r>
    </w:p>
    <w:p>
      <w:pPr>
        <w:pStyle w:val="78"/>
        <w:numPr>
          <w:ilvl w:val="0"/>
          <w:numId w:val="8"/>
        </w:numPr>
        <w:ind w:firstLineChars="0"/>
        <w:rPr>
          <w:lang w:bidi="ar"/>
        </w:rPr>
      </w:pPr>
      <w:r>
        <w:rPr>
          <w:rFonts w:hint="eastAsia"/>
          <w:lang w:bidi="ar"/>
        </w:rPr>
        <w:t>65-1全风化花岗片麻岩（Gn）：黄褐色，原岩结构构造已破坏，长石已风化成高岭土，残留矿物主要为石英。层厚：3.50～38.30m，承载力基本容许值[f</w:t>
      </w:r>
      <w:r>
        <w:rPr>
          <w:rFonts w:hint="eastAsia"/>
          <w:vertAlign w:val="subscript"/>
          <w:lang w:bidi="ar"/>
        </w:rPr>
        <w:t>a0</w:t>
      </w:r>
      <w:r>
        <w:rPr>
          <w:rFonts w:hint="eastAsia"/>
          <w:lang w:bidi="ar"/>
        </w:rPr>
        <w:t>]=320kPa，摩阻力标准值q</w:t>
      </w:r>
      <w:r>
        <w:rPr>
          <w:rFonts w:hint="eastAsia"/>
          <w:vertAlign w:val="subscript"/>
          <w:lang w:bidi="ar"/>
        </w:rPr>
        <w:t>ik</w:t>
      </w:r>
      <w:r>
        <w:rPr>
          <w:rFonts w:hint="eastAsia"/>
          <w:lang w:bidi="ar"/>
        </w:rPr>
        <w:t>=55kPa。</w:t>
      </w:r>
    </w:p>
    <w:p>
      <w:pPr>
        <w:pStyle w:val="78"/>
        <w:numPr>
          <w:ilvl w:val="0"/>
          <w:numId w:val="8"/>
        </w:numPr>
        <w:ind w:firstLineChars="0"/>
        <w:rPr>
          <w:lang w:bidi="ar"/>
        </w:rPr>
      </w:pPr>
      <w:r>
        <w:rPr>
          <w:rFonts w:hint="eastAsia"/>
          <w:lang w:bidi="ar"/>
        </w:rPr>
        <w:t>65-2强风化花岗片麻岩（Gn）：灰白色，粗粒结构，片麻构造，主要矿物成分为长石、石英与黑云母等，节理裂隙发育，裂面铁质浸染，岩芯呈短柱状，，少量呈碎块状。层厚：0.60～59.30m，承载力基本容许值[f</w:t>
      </w:r>
      <w:r>
        <w:rPr>
          <w:rFonts w:hint="eastAsia"/>
          <w:vertAlign w:val="subscript"/>
          <w:lang w:bidi="ar"/>
        </w:rPr>
        <w:t>a0</w:t>
      </w:r>
      <w:r>
        <w:rPr>
          <w:rFonts w:hint="eastAsia"/>
          <w:lang w:bidi="ar"/>
        </w:rPr>
        <w:t>]=700kPa，摩阻力标准值q</w:t>
      </w:r>
      <w:r>
        <w:rPr>
          <w:rFonts w:hint="eastAsia"/>
          <w:vertAlign w:val="subscript"/>
          <w:lang w:bidi="ar"/>
        </w:rPr>
        <w:t>ik</w:t>
      </w:r>
      <w:r>
        <w:rPr>
          <w:rFonts w:hint="eastAsia"/>
          <w:lang w:bidi="ar"/>
        </w:rPr>
        <w:t>=120kPa。</w:t>
      </w:r>
    </w:p>
    <w:p>
      <w:pPr>
        <w:pStyle w:val="78"/>
        <w:numPr>
          <w:ilvl w:val="0"/>
          <w:numId w:val="8"/>
        </w:numPr>
        <w:ind w:firstLineChars="0"/>
      </w:pPr>
      <w:r>
        <w:rPr>
          <w:rFonts w:hint="eastAsia"/>
          <w:lang w:bidi="ar"/>
        </w:rPr>
        <w:t>65-3中风化花岗片麻岩（Gn）：青灰色，粗粒结构，片麻构造，主要矿物成分以长石，石英与黑云母等。节理裂隙稍发育，岩芯呈短柱状，少量碎块状。锤击声脆。本次钻探揭露最大层厚37.60m（未揭穿），承载力基本容许值[f</w:t>
      </w:r>
      <w:r>
        <w:rPr>
          <w:rFonts w:hint="eastAsia"/>
          <w:vertAlign w:val="subscript"/>
          <w:lang w:bidi="ar"/>
        </w:rPr>
        <w:t>a0</w:t>
      </w:r>
      <w:r>
        <w:rPr>
          <w:rFonts w:hint="eastAsia"/>
          <w:lang w:bidi="ar"/>
        </w:rPr>
        <w:t>]=1500kPa，摩阻力标准值q</w:t>
      </w:r>
      <w:r>
        <w:rPr>
          <w:rFonts w:hint="eastAsia"/>
          <w:vertAlign w:val="subscript"/>
          <w:lang w:bidi="ar"/>
        </w:rPr>
        <w:t>ik</w:t>
      </w:r>
      <w:r>
        <w:rPr>
          <w:rFonts w:hint="eastAsia"/>
          <w:lang w:bidi="ar"/>
        </w:rPr>
        <w:t>=180kPa。</w:t>
      </w:r>
    </w:p>
    <w:p>
      <w:pPr>
        <w:pStyle w:val="4"/>
      </w:pPr>
      <w:r>
        <w:rPr>
          <w:rFonts w:hint="eastAsia"/>
        </w:rPr>
        <w:t>设备概况</w:t>
      </w:r>
    </w:p>
    <w:p>
      <w:pPr>
        <w:pStyle w:val="5"/>
      </w:pPr>
      <w:r>
        <w:rPr>
          <w:rFonts w:hint="eastAsia"/>
        </w:rPr>
        <w:t>设备基本概况</w:t>
      </w:r>
    </w:p>
    <w:p>
      <w:pPr>
        <w:pStyle w:val="78"/>
        <w:numPr>
          <w:ilvl w:val="0"/>
          <w:numId w:val="9"/>
        </w:numPr>
        <w:ind w:firstLineChars="0"/>
      </w:pPr>
      <w:r>
        <w:rPr>
          <w:rFonts w:hint="eastAsia"/>
        </w:rPr>
        <w:t>用途：</w:t>
      </w:r>
      <w:r>
        <w:fldChar w:fldCharType="begin"/>
      </w:r>
      <w:r>
        <w:instrText xml:space="preserve"> </w:instrText>
      </w:r>
      <w:r>
        <w:rPr>
          <w:rFonts w:hint="eastAsia"/>
        </w:rPr>
        <w:instrText xml:space="preserve">REF 设备位置</w:instrText>
      </w:r>
      <w:r>
        <w:instrText xml:space="preserve"> </w:instrText>
      </w:r>
      <w:r>
        <w:fldChar w:fldCharType="separate"/>
      </w:r>
      <w:r>
        <w:rPr>
          <w:rFonts w:hint="eastAsia"/>
          <w:lang w:eastAsia="zh-CN"/>
        </w:rPr>
        <w:t>畴阳河大桥</w:t>
      </w:r>
      <w:r>
        <w:fldChar w:fldCharType="end"/>
      </w:r>
      <w:r>
        <w:rPr>
          <w:rFonts w:hint="eastAsia"/>
        </w:rPr>
        <w:t>施工；</w:t>
      </w:r>
    </w:p>
    <w:p>
      <w:pPr>
        <w:pStyle w:val="78"/>
        <w:numPr>
          <w:ilvl w:val="0"/>
          <w:numId w:val="9"/>
        </w:numPr>
        <w:ind w:firstLineChars="0"/>
      </w:pPr>
      <w:r>
        <w:t>设备数量：</w:t>
      </w:r>
      <w:r>
        <w:fldChar w:fldCharType="begin"/>
      </w:r>
      <w:r>
        <w:instrText xml:space="preserve"> </w:instrText>
      </w:r>
      <w:r>
        <w:rPr>
          <w:rFonts w:hint="eastAsia"/>
        </w:rPr>
        <w:instrText xml:space="preserve">REF 设备型号1 \h</w:instrText>
      </w:r>
      <w:r>
        <w:instrText xml:space="preserve"> </w:instrText>
      </w:r>
      <w:r>
        <w:fldChar w:fldCharType="separate"/>
      </w:r>
      <w:r>
        <w:rPr>
          <w:rFonts w:hint="eastAsia"/>
          <w:lang w:eastAsia="zh-CN"/>
        </w:rPr>
        <w:t>XGT6515-10S</w:t>
      </w:r>
      <w:r>
        <w:fldChar w:fldCharType="end"/>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塔式起重机</w:t>
      </w:r>
      <w:r>
        <w:fldChar w:fldCharType="end"/>
      </w:r>
      <w:r>
        <w:rPr>
          <w:rFonts w:hint="eastAsia"/>
        </w:rPr>
        <w:t>各</w:t>
      </w:r>
      <w:r>
        <w:rPr>
          <w:rFonts w:hint="eastAsia"/>
          <w:lang w:val="en-US" w:eastAsia="zh-CN"/>
        </w:rPr>
        <w:t>4</w:t>
      </w:r>
      <w:r>
        <w:rPr>
          <w:rFonts w:hint="eastAsia"/>
        </w:rPr>
        <w:t>台。</w:t>
      </w:r>
    </w:p>
    <w:p>
      <w:pPr>
        <w:pStyle w:val="5"/>
      </w:pPr>
      <w:r>
        <w:rPr>
          <w:rFonts w:hint="eastAsia"/>
        </w:rPr>
        <w:t>设备主要技术参数</w:t>
      </w:r>
    </w:p>
    <w:p>
      <w:pPr>
        <w:pStyle w:val="159"/>
      </w:pPr>
      <w:r>
        <w:fldChar w:fldCharType="begin"/>
      </w:r>
      <w:r>
        <w:instrText xml:space="preserve"> </w:instrText>
      </w:r>
      <w:r>
        <w:rPr>
          <w:rFonts w:hint="eastAsia"/>
        </w:rPr>
        <w:instrText xml:space="preserve">REF 设备型号1 \h</w:instrText>
      </w:r>
      <w:r>
        <w:instrText xml:space="preserve">  \* MERGEFORMAT </w:instrText>
      </w:r>
      <w:r>
        <w:fldChar w:fldCharType="separate"/>
      </w:r>
      <w:r>
        <w:rPr>
          <w:rFonts w:hint="eastAsia"/>
          <w:lang w:eastAsia="zh-CN"/>
        </w:rPr>
        <w:t>XGT6515-10S</w:t>
      </w:r>
      <w:r>
        <w:fldChar w:fldCharType="end"/>
      </w:r>
      <w:r>
        <w:fldChar w:fldCharType="begin"/>
      </w:r>
      <w:r>
        <w:instrText xml:space="preserve"> </w:instrText>
      </w:r>
      <w:r>
        <w:rPr>
          <w:rFonts w:hint="eastAsia"/>
        </w:rPr>
        <w:instrText xml:space="preserve">REF 设备类型 \h</w:instrText>
      </w:r>
      <w:r>
        <w:instrText xml:space="preserve">  \* MERGEFORMAT </w:instrText>
      </w:r>
      <w:r>
        <w:fldChar w:fldCharType="separate"/>
      </w:r>
      <w:r>
        <w:rPr>
          <w:rFonts w:hint="eastAsia"/>
        </w:rPr>
        <w:t>塔式起重机</w:t>
      </w:r>
      <w:r>
        <w:fldChar w:fldCharType="end"/>
      </w:r>
    </w:p>
    <w:p>
      <w:pPr>
        <w:pStyle w:val="78"/>
        <w:numPr>
          <w:ilvl w:val="0"/>
          <w:numId w:val="10"/>
        </w:numPr>
        <w:ind w:firstLineChars="0"/>
      </w:pPr>
      <w:r>
        <w:rPr>
          <w:rFonts w:hint="eastAsia"/>
        </w:rPr>
        <w:t>整机性能参数</w:t>
      </w:r>
    </w:p>
    <w:p>
      <w:pPr>
        <w:ind w:firstLine="480"/>
      </w:pPr>
      <w:r>
        <w:rPr>
          <w:rFonts w:hint="eastAsia"/>
        </w:rPr>
        <w:t>设备整机性能参数如</w:t>
      </w:r>
      <w:r>
        <w:fldChar w:fldCharType="begin"/>
      </w:r>
      <w:r>
        <w:instrText xml:space="preserve"> </w:instrText>
      </w:r>
      <w:r>
        <w:rPr>
          <w:rFonts w:hint="eastAsia"/>
        </w:rPr>
        <w:instrText xml:space="preserve">REF _Ref123718926 \h</w:instrText>
      </w:r>
      <w:r>
        <w:instrText xml:space="preserve">  \* MERGEFORMAT </w:instrText>
      </w:r>
      <w:r>
        <w:fldChar w:fldCharType="separate"/>
      </w:r>
      <w:r>
        <w:rPr>
          <w:rFonts w:hint="eastAsia"/>
        </w:rPr>
        <w:t>表</w:t>
      </w:r>
      <w:r>
        <w:t>2.1.3</w:t>
      </w:r>
      <w:r>
        <w:rPr>
          <w:rFonts w:hint="eastAsia"/>
        </w:rPr>
        <w:t>-</w:t>
      </w:r>
      <w:r>
        <w:t>1</w:t>
      </w:r>
      <w:r>
        <w:fldChar w:fldCharType="end"/>
      </w:r>
      <w:r>
        <w:rPr>
          <w:rFonts w:hint="eastAsia"/>
        </w:rPr>
        <w:t>所示。</w:t>
      </w:r>
    </w:p>
    <w:p>
      <w:pPr>
        <w:pStyle w:val="16"/>
      </w:pPr>
      <w:bookmarkStart w:id="48" w:name="_Ref123718926"/>
      <w:r>
        <w:rPr>
          <w:rFonts w:hint="eastAsia"/>
        </w:rPr>
        <w:t>表</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2.1.3</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bookmarkEnd w:id="48"/>
      <w:r>
        <w:rPr>
          <w:rFonts w:hint="eastAsia"/>
        </w:rPr>
        <w:t xml:space="preserve"> 设备整机性能参数表</w:t>
      </w:r>
    </w:p>
    <w:p>
      <w:pPr>
        <w:widowControl w:val="0"/>
        <w:spacing w:line="360" w:lineRule="auto"/>
        <w:ind w:firstLine="528" w:firstLineChars="200"/>
        <w:jc w:val="center"/>
        <w:rPr>
          <w:rFonts w:hint="eastAsia" w:ascii="文鼎书宋简" w:hAnsi="宋体" w:eastAsia="文鼎书宋简" w:cs="宋体"/>
          <w:color w:val="000000"/>
          <w:spacing w:val="12"/>
          <w:kern w:val="0"/>
          <w:sz w:val="24"/>
          <w:szCs w:val="28"/>
          <w:lang w:val="en-US" w:eastAsia="zh-CN" w:bidi="ar-SA"/>
        </w:rPr>
      </w:pPr>
      <w:r>
        <w:rPr>
          <w:rFonts w:ascii="等线" w:hAnsi="等线" w:eastAsia="仿宋" w:cs="Times New Roman"/>
          <w:color w:val="000000"/>
          <w:spacing w:val="12"/>
          <w:kern w:val="0"/>
          <w:sz w:val="24"/>
          <w:szCs w:val="22"/>
          <w:lang w:val="en-US" w:eastAsia="zh-CN" w:bidi="ar-SA"/>
        </w:rPr>
        <w:drawing>
          <wp:inline distT="0" distB="0" distL="114300" distR="114300">
            <wp:extent cx="4627245" cy="6006465"/>
            <wp:effectExtent l="0" t="0" r="5715" b="1333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0"/>
                    <a:stretch>
                      <a:fillRect/>
                    </a:stretch>
                  </pic:blipFill>
                  <pic:spPr>
                    <a:xfrm>
                      <a:off x="0" y="0"/>
                      <a:ext cx="4627245" cy="6006465"/>
                    </a:xfrm>
                    <a:prstGeom prst="rect">
                      <a:avLst/>
                    </a:prstGeom>
                    <a:noFill/>
                    <a:ln>
                      <a:noFill/>
                    </a:ln>
                  </pic:spPr>
                </pic:pic>
              </a:graphicData>
            </a:graphic>
          </wp:inline>
        </w:drawing>
      </w:r>
    </w:p>
    <w:p>
      <w:pPr>
        <w:pStyle w:val="78"/>
        <w:numPr>
          <w:ilvl w:val="0"/>
          <w:numId w:val="10"/>
        </w:numPr>
        <w:ind w:firstLineChars="0"/>
      </w:pPr>
      <w:r>
        <w:rPr>
          <w:rFonts w:hint="eastAsia"/>
        </w:rPr>
        <w:t>载荷性能表</w:t>
      </w:r>
    </w:p>
    <w:p>
      <w:pPr>
        <w:ind w:firstLine="480"/>
      </w:pPr>
      <w:r>
        <w:rPr>
          <w:rFonts w:hint="eastAsia"/>
        </w:rPr>
        <w:t>设备载荷性能如</w:t>
      </w:r>
      <w:r>
        <w:fldChar w:fldCharType="begin"/>
      </w:r>
      <w:r>
        <w:instrText xml:space="preserve"> </w:instrText>
      </w:r>
      <w:r>
        <w:rPr>
          <w:rFonts w:hint="eastAsia"/>
        </w:rPr>
        <w:instrText xml:space="preserve">REF _Ref129267132 \h</w:instrText>
      </w:r>
      <w:r>
        <w:instrText xml:space="preserve"> </w:instrText>
      </w:r>
      <w:r>
        <w:fldChar w:fldCharType="separate"/>
      </w:r>
      <w:r>
        <w:rPr>
          <w:rFonts w:hint="eastAsia"/>
        </w:rPr>
        <w:t>表</w:t>
      </w:r>
      <w:r>
        <w:t>2.1.3</w:t>
      </w:r>
      <w:r>
        <w:rPr>
          <w:rFonts w:hint="eastAsia"/>
        </w:rPr>
        <w:t>-</w:t>
      </w:r>
      <w:r>
        <w:t>2</w:t>
      </w:r>
      <w:r>
        <w:fldChar w:fldCharType="end"/>
      </w:r>
      <w:r>
        <w:rPr>
          <w:rFonts w:hint="eastAsia"/>
        </w:rPr>
        <w:t>所示。</w:t>
      </w:r>
    </w:p>
    <w:p>
      <w:pPr>
        <w:pStyle w:val="16"/>
      </w:pPr>
      <w:bookmarkStart w:id="49" w:name="_Ref129267132"/>
      <w:r>
        <w:rPr>
          <w:rFonts w:hint="eastAsia"/>
        </w:rPr>
        <w:t>表</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2.1.3</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2</w:t>
      </w:r>
      <w:r>
        <w:fldChar w:fldCharType="end"/>
      </w:r>
      <w:bookmarkEnd w:id="49"/>
      <w:r>
        <w:rPr>
          <w:rFonts w:hint="eastAsia"/>
        </w:rPr>
        <w:t xml:space="preserve"> 载荷性能表</w:t>
      </w:r>
    </w:p>
    <w:p>
      <w:pPr>
        <w:pStyle w:val="17"/>
      </w:pPr>
      <w:r>
        <w:rPr>
          <w:sz w:val="24"/>
        </w:rPr>
        <mc:AlternateContent>
          <mc:Choice Requires="wps">
            <w:drawing>
              <wp:anchor distT="0" distB="0" distL="114300" distR="114300" simplePos="0" relativeHeight="251667456" behindDoc="0" locked="0" layoutInCell="1" allowOverlap="1">
                <wp:simplePos x="0" y="0"/>
                <wp:positionH relativeFrom="column">
                  <wp:posOffset>-123825</wp:posOffset>
                </wp:positionH>
                <wp:positionV relativeFrom="paragraph">
                  <wp:posOffset>2364105</wp:posOffset>
                </wp:positionV>
                <wp:extent cx="3999865" cy="489585"/>
                <wp:effectExtent l="13970" t="13970" r="24765" b="14605"/>
                <wp:wrapNone/>
                <wp:docPr id="10" name="矩形 10"/>
                <wp:cNvGraphicFramePr/>
                <a:graphic xmlns:a="http://schemas.openxmlformats.org/drawingml/2006/main">
                  <a:graphicData uri="http://schemas.microsoft.com/office/word/2010/wordprocessingShape">
                    <wps:wsp>
                      <wps:cNvSpPr/>
                      <wps:spPr>
                        <a:xfrm>
                          <a:off x="1029970" y="2138680"/>
                          <a:ext cx="3999865" cy="489585"/>
                        </a:xfrm>
                        <a:prstGeom prst="rect">
                          <a:avLst/>
                        </a:prstGeom>
                        <a:noFill/>
                        <a:ln w="28575" cap="flat" cmpd="sng" algn="ctr">
                          <a:solidFill>
                            <a:srgbClr val="FF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75pt;margin-top:186.15pt;height:38.55pt;width:314.95pt;z-index:251667456;v-text-anchor:middle;mso-width-relative:page;mso-height-relative:page;" filled="f" stroked="t" coordsize="21600,21600" o:gfxdata="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o6Oon2wAAAAsBAAAPAAAAAAAAAAEA&#10;IAAAACIAAABkcnMvZG93bnJldi54bWxQSwECFAAUAAAACACHTuJAZ8rkBX4CAADnBAAADgAAAAAA&#10;AAABACAAAAAqAQAAZHJzL2Uyb0RvYy54bWxQSwUGAAAAAAYABgBZAQAAGgYAAAAA&#10;">
                <v:fill on="f" focussize="0,0"/>
                <v:stroke weight="2.25pt" color="#FF0000 [3204]" miterlimit="8" joinstyle="miter"/>
                <v:imagedata o:title=""/>
                <o:lock v:ext="edit" aspectratio="f"/>
              </v:rect>
            </w:pict>
          </mc:Fallback>
        </mc:AlternateContent>
      </w:r>
      <w:r>
        <w:rPr>
          <w:sz w:val="24"/>
        </w:rPr>
        <mc:AlternateContent>
          <mc:Choice Requires="wps">
            <w:drawing>
              <wp:anchor distT="0" distB="0" distL="114300" distR="114300" simplePos="0" relativeHeight="251659264" behindDoc="0" locked="0" layoutInCell="1" allowOverlap="1">
                <wp:simplePos x="0" y="0"/>
                <wp:positionH relativeFrom="column">
                  <wp:posOffset>-113030</wp:posOffset>
                </wp:positionH>
                <wp:positionV relativeFrom="paragraph">
                  <wp:posOffset>927100</wp:posOffset>
                </wp:positionV>
                <wp:extent cx="5436870" cy="489585"/>
                <wp:effectExtent l="13970" t="13970" r="20320" b="14605"/>
                <wp:wrapNone/>
                <wp:docPr id="14" name="矩形 14"/>
                <wp:cNvGraphicFramePr/>
                <a:graphic xmlns:a="http://schemas.openxmlformats.org/drawingml/2006/main">
                  <a:graphicData uri="http://schemas.microsoft.com/office/word/2010/wordprocessingShape">
                    <wps:wsp>
                      <wps:cNvSpPr/>
                      <wps:spPr>
                        <a:xfrm>
                          <a:off x="819150" y="1763395"/>
                          <a:ext cx="5436870" cy="489585"/>
                        </a:xfrm>
                        <a:prstGeom prst="rect">
                          <a:avLst/>
                        </a:prstGeom>
                        <a:noFill/>
                        <a:ln w="28575" cap="flat" cmpd="sng" algn="ctr">
                          <a:solidFill>
                            <a:srgbClr val="FF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pt;margin-top:73pt;height:38.55pt;width:428.1pt;z-index:251659264;v-text-anchor:middle;mso-width-relative:page;mso-height-relative:page;" filled="f" stroked="t" coordsize="21600,21600" o:gfxdata="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BgEWNkAAAALAQAADwAAAAAAAAABACAA&#10;AAAiAAAAZHJzL2Rvd25yZXYueG1sUEsBAhQAFAAAAAgAh07iQAx9KsN+AgAA5gQAAA4AAAAAAAAA&#10;AQAgAAAAKAEAAGRycy9lMm9Eb2MueG1sUEsFBgAAAAAGAAYAWQEAABgGAAAAAA==&#10;">
                <v:fill on="f" focussize="0,0"/>
                <v:stroke weight="2.25pt" color="#FF0000 [3204]" miterlimit="8" joinstyle="miter"/>
                <v:imagedata o:title=""/>
                <o:lock v:ext="edit" aspectratio="f"/>
              </v:rect>
            </w:pict>
          </mc:Fallback>
        </mc:AlternateContent>
      </w:r>
      <w:r>
        <w:rPr>
          <w:rFonts w:hint="default"/>
          <w:color w:val="auto"/>
          <w:lang w:val="en-US"/>
        </w:rPr>
        <w:drawing>
          <wp:inline distT="0" distB="0" distL="114300" distR="114300">
            <wp:extent cx="5483860" cy="2830195"/>
            <wp:effectExtent l="0" t="0" r="2540" b="4445"/>
            <wp:docPr id="235" name="图片 235" descr="1648518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descr="1648518224(1)"/>
                    <pic:cNvPicPr>
                      <a:picLocks noChangeAspect="1"/>
                    </pic:cNvPicPr>
                  </pic:nvPicPr>
                  <pic:blipFill>
                    <a:blip r:embed="rId21"/>
                    <a:stretch>
                      <a:fillRect/>
                    </a:stretch>
                  </pic:blipFill>
                  <pic:spPr>
                    <a:xfrm>
                      <a:off x="0" y="0"/>
                      <a:ext cx="5483860" cy="2830195"/>
                    </a:xfrm>
                    <a:prstGeom prst="rect">
                      <a:avLst/>
                    </a:prstGeom>
                  </pic:spPr>
                </pic:pic>
              </a:graphicData>
            </a:graphic>
          </wp:inline>
        </w:drawing>
      </w:r>
    </w:p>
    <w:p>
      <w:pPr>
        <w:pStyle w:val="5"/>
      </w:pPr>
      <w:r>
        <w:rPr>
          <w:rFonts w:hint="eastAsia"/>
        </w:rPr>
        <w:t>设备结构图</w:t>
      </w:r>
    </w:p>
    <w:p>
      <w:pPr>
        <w:pStyle w:val="159"/>
      </w:pPr>
      <w:r>
        <w:fldChar w:fldCharType="begin"/>
      </w:r>
      <w:r>
        <w:instrText xml:space="preserve"> </w:instrText>
      </w:r>
      <w:r>
        <w:rPr>
          <w:rFonts w:hint="eastAsia"/>
        </w:rPr>
        <w:instrText xml:space="preserve">REF 设备型号1 \h</w:instrText>
      </w:r>
      <w:r>
        <w:instrText xml:space="preserve">  \* MERGEFORMAT </w:instrText>
      </w:r>
      <w:r>
        <w:fldChar w:fldCharType="separate"/>
      </w:r>
      <w:r>
        <w:rPr>
          <w:rFonts w:hint="eastAsia"/>
          <w:lang w:eastAsia="zh-CN"/>
        </w:rPr>
        <w:t>XGT6515-10S</w:t>
      </w:r>
      <w:r>
        <w:fldChar w:fldCharType="end"/>
      </w:r>
      <w:r>
        <w:fldChar w:fldCharType="begin"/>
      </w:r>
      <w:r>
        <w:instrText xml:space="preserve"> </w:instrText>
      </w:r>
      <w:r>
        <w:rPr>
          <w:rFonts w:hint="eastAsia"/>
        </w:rPr>
        <w:instrText xml:space="preserve">REF 设备类型 \h</w:instrText>
      </w:r>
      <w:r>
        <w:instrText xml:space="preserve">  \* MERGEFORMAT </w:instrText>
      </w:r>
      <w:r>
        <w:fldChar w:fldCharType="separate"/>
      </w:r>
      <w:r>
        <w:rPr>
          <w:rFonts w:hint="eastAsia"/>
        </w:rPr>
        <w:t>塔式起重机</w:t>
      </w:r>
      <w:r>
        <w:fldChar w:fldCharType="end"/>
      </w:r>
    </w:p>
    <w:p>
      <w:pPr>
        <w:ind w:firstLine="480"/>
      </w:pPr>
      <w:r>
        <w:t>设备结构图</w:t>
      </w:r>
      <w:r>
        <w:rPr>
          <w:rFonts w:hint="eastAsia"/>
        </w:rPr>
        <w:t>如</w:t>
      </w:r>
      <w:r>
        <w:fldChar w:fldCharType="begin"/>
      </w:r>
      <w:r>
        <w:instrText xml:space="preserve"> REF _Ref123718718 \h </w:instrText>
      </w:r>
      <w:r>
        <w:fldChar w:fldCharType="separate"/>
      </w:r>
      <w:r>
        <w:rPr>
          <w:rFonts w:hint="eastAsia"/>
        </w:rPr>
        <w:t>图</w:t>
      </w:r>
      <w:r>
        <w:t>2.1.3</w:t>
      </w:r>
      <w:r>
        <w:rPr>
          <w:rFonts w:hint="eastAsia"/>
        </w:rPr>
        <w:t>-</w:t>
      </w:r>
      <w:r>
        <w:t>1</w:t>
      </w:r>
      <w:r>
        <w:fldChar w:fldCharType="end"/>
      </w:r>
      <w:r>
        <w:rPr>
          <w:rFonts w:hint="eastAsia"/>
        </w:rPr>
        <w:t>所示。</w:t>
      </w:r>
    </w:p>
    <w:p>
      <w:pPr>
        <w:pStyle w:val="117"/>
      </w:pPr>
      <w:r>
        <w:rPr>
          <w:rFonts w:eastAsia="宋体" w:cs="Times New Roman"/>
        </w:rPr>
        <w:drawing>
          <wp:inline distT="0" distB="0" distL="114300" distR="114300">
            <wp:extent cx="5757545" cy="4933315"/>
            <wp:effectExtent l="0" t="0" r="3175" b="4445"/>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22"/>
                    <a:stretch>
                      <a:fillRect/>
                    </a:stretch>
                  </pic:blipFill>
                  <pic:spPr>
                    <a:xfrm>
                      <a:off x="0" y="0"/>
                      <a:ext cx="5757545" cy="4933315"/>
                    </a:xfrm>
                    <a:prstGeom prst="rect">
                      <a:avLst/>
                    </a:prstGeom>
                    <a:noFill/>
                    <a:ln>
                      <a:noFill/>
                    </a:ln>
                  </pic:spPr>
                </pic:pic>
              </a:graphicData>
            </a:graphic>
          </wp:inline>
        </w:drawing>
      </w:r>
    </w:p>
    <w:p>
      <w:pPr>
        <w:pStyle w:val="116"/>
      </w:pPr>
      <w:bookmarkStart w:id="50" w:name="_Ref123718718"/>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2.1.3</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1</w:t>
      </w:r>
      <w:r>
        <w:fldChar w:fldCharType="end"/>
      </w:r>
      <w:bookmarkEnd w:id="50"/>
      <w:r>
        <w:t xml:space="preserve"> 设备结构图</w:t>
      </w:r>
      <w:r>
        <w:rPr>
          <w:rFonts w:hint="eastAsia"/>
        </w:rPr>
        <w:t>（mm）</w:t>
      </w:r>
    </w:p>
    <w:p>
      <w:pPr>
        <w:pStyle w:val="4"/>
      </w:pPr>
      <w:r>
        <w:rPr>
          <w:rFonts w:hint="eastAsia"/>
        </w:rPr>
        <w:t>设备布置情况</w:t>
      </w:r>
    </w:p>
    <w:p>
      <w:pPr>
        <w:ind w:firstLine="480"/>
      </w:pPr>
      <w:r>
        <w:rPr>
          <w:rFonts w:hint="eastAsia"/>
        </w:rPr>
        <w:t>设备安装及使用信息如</w:t>
      </w:r>
      <w:r>
        <w:fldChar w:fldCharType="begin"/>
      </w:r>
      <w:r>
        <w:instrText xml:space="preserve"> </w:instrText>
      </w:r>
      <w:r>
        <w:rPr>
          <w:rFonts w:hint="eastAsia"/>
        </w:rPr>
        <w:instrText xml:space="preserve">REF _Ref132102606 \h</w:instrText>
      </w:r>
      <w:r>
        <w:instrText xml:space="preserve"> </w:instrText>
      </w:r>
      <w:r>
        <w:fldChar w:fldCharType="separate"/>
      </w:r>
      <w:r>
        <w:rPr>
          <w:rFonts w:hint="eastAsia"/>
        </w:rPr>
        <w:t>表</w:t>
      </w:r>
      <w:r>
        <w:t>2.1.4</w:t>
      </w:r>
      <w:r>
        <w:rPr>
          <w:rFonts w:hint="eastAsia"/>
        </w:rPr>
        <w:t>-</w:t>
      </w:r>
      <w:r>
        <w:t>1</w:t>
      </w:r>
      <w:r>
        <w:fldChar w:fldCharType="end"/>
      </w:r>
      <w:r>
        <w:rPr>
          <w:rFonts w:hint="eastAsia"/>
        </w:rPr>
        <w:t>、</w:t>
      </w:r>
      <w:r>
        <w:fldChar w:fldCharType="begin"/>
      </w:r>
      <w:r>
        <w:instrText xml:space="preserve"> </w:instrText>
      </w:r>
      <w:r>
        <w:rPr>
          <w:rFonts w:hint="eastAsia"/>
        </w:rPr>
        <w:instrText xml:space="preserve">REF _Ref130455117 \h</w:instrText>
      </w:r>
      <w:r>
        <w:instrText xml:space="preserve"> </w:instrText>
      </w:r>
      <w:r>
        <w:fldChar w:fldCharType="separate"/>
      </w:r>
      <w:r>
        <w:rPr>
          <w:rFonts w:hint="eastAsia"/>
        </w:rPr>
        <w:t>表</w:t>
      </w:r>
      <w:r>
        <w:t>2.1.4</w:t>
      </w:r>
      <w:r>
        <w:rPr>
          <w:rFonts w:hint="eastAsia"/>
        </w:rPr>
        <w:t>-</w:t>
      </w:r>
      <w:r>
        <w:t>2</w:t>
      </w:r>
      <w:r>
        <w:fldChar w:fldCharType="end"/>
      </w:r>
      <w:r>
        <w:rPr>
          <w:rFonts w:hint="eastAsia"/>
        </w:rPr>
        <w:t>所示。</w:t>
      </w:r>
    </w:p>
    <w:p>
      <w:pPr>
        <w:pStyle w:val="16"/>
      </w:pPr>
      <w:bookmarkStart w:id="51" w:name="_Ref132102606"/>
      <w:r>
        <w:rPr>
          <w:rFonts w:hint="eastAsia"/>
        </w:rPr>
        <w:t>表</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2.1.4</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3 </w:instrText>
      </w:r>
      <w:r>
        <w:fldChar w:fldCharType="separate"/>
      </w:r>
      <w:r>
        <w:t>1</w:t>
      </w:r>
      <w:r>
        <w:fldChar w:fldCharType="end"/>
      </w:r>
      <w:bookmarkEnd w:id="51"/>
      <w:r>
        <w:rPr>
          <w:rFonts w:hint="eastAsia"/>
        </w:rPr>
        <w:t xml:space="preserve"> </w:t>
      </w:r>
      <w:r>
        <w:fldChar w:fldCharType="begin"/>
      </w:r>
      <w:r>
        <w:instrText xml:space="preserve"> </w:instrText>
      </w:r>
      <w:r>
        <w:rPr>
          <w:rFonts w:hint="eastAsia"/>
        </w:rPr>
        <w:instrText xml:space="preserve">REF 设备型号1 \h</w:instrText>
      </w:r>
      <w:r>
        <w:instrText xml:space="preserve">  \* MERGEFORMAT </w:instrText>
      </w:r>
      <w:r>
        <w:fldChar w:fldCharType="separate"/>
      </w:r>
      <w:r>
        <w:rPr>
          <w:rFonts w:hint="eastAsia"/>
          <w:lang w:eastAsia="zh-CN"/>
        </w:rPr>
        <w:t>XGT6515-10S</w:t>
      </w:r>
      <w:r>
        <w:fldChar w:fldCharType="end"/>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塔式起重机</w:t>
      </w:r>
      <w:r>
        <w:fldChar w:fldCharType="end"/>
      </w:r>
      <w:r>
        <w:rPr>
          <w:rFonts w:hint="eastAsia"/>
        </w:rPr>
        <w:t>安装及使用信息表</w:t>
      </w:r>
    </w:p>
    <w:tbl>
      <w:tblPr>
        <w:tblStyle w:val="41"/>
        <w:tblW w:w="97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1544"/>
        <w:gridCol w:w="1265"/>
        <w:gridCol w:w="1219"/>
        <w:gridCol w:w="1201"/>
        <w:gridCol w:w="1067"/>
        <w:gridCol w:w="1212"/>
        <w:gridCol w:w="1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74" w:type="dxa"/>
            <w:tcBorders>
              <w:top w:val="single" w:color="auto" w:sz="8" w:space="0"/>
              <w:left w:val="single" w:color="auto" w:sz="8"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塔机编号</w:t>
            </w:r>
          </w:p>
        </w:tc>
        <w:tc>
          <w:tcPr>
            <w:tcW w:w="1544" w:type="dxa"/>
            <w:tcBorders>
              <w:top w:val="single" w:color="auto" w:sz="8" w:space="0"/>
              <w:left w:val="single" w:color="auto" w:sz="8"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塔机型号</w:t>
            </w:r>
          </w:p>
        </w:tc>
        <w:tc>
          <w:tcPr>
            <w:tcW w:w="1265" w:type="dxa"/>
            <w:tcBorders>
              <w:top w:val="single" w:color="auto" w:sz="8"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初装高度m</w:t>
            </w:r>
          </w:p>
        </w:tc>
        <w:tc>
          <w:tcPr>
            <w:tcW w:w="1219" w:type="dxa"/>
            <w:tcBorders>
              <w:top w:val="single" w:color="auto" w:sz="8"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最终安装高度m</w:t>
            </w:r>
          </w:p>
        </w:tc>
        <w:tc>
          <w:tcPr>
            <w:tcW w:w="1201" w:type="dxa"/>
            <w:tcBorders>
              <w:top w:val="single" w:color="auto" w:sz="8"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预埋形式</w:t>
            </w:r>
          </w:p>
        </w:tc>
        <w:tc>
          <w:tcPr>
            <w:tcW w:w="1067" w:type="dxa"/>
            <w:tcBorders>
              <w:top w:val="single" w:color="auto" w:sz="8"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起重臂长度</w:t>
            </w:r>
          </w:p>
        </w:tc>
        <w:tc>
          <w:tcPr>
            <w:tcW w:w="1212" w:type="dxa"/>
            <w:tcBorders>
              <w:top w:val="single" w:color="auto" w:sz="8"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起重臂</w:t>
            </w:r>
          </w:p>
          <w:p>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顶升方向</w:t>
            </w:r>
          </w:p>
        </w:tc>
        <w:tc>
          <w:tcPr>
            <w:tcW w:w="1344" w:type="dxa"/>
            <w:tcBorders>
              <w:top w:val="single" w:color="auto" w:sz="8"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基础顶标高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74" w:type="dxa"/>
            <w:tcBorders>
              <w:top w:val="single" w:color="auto" w:sz="4" w:space="0"/>
              <w:left w:val="single" w:color="auto" w:sz="8"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左8#墩塔机</w:t>
            </w:r>
          </w:p>
        </w:tc>
        <w:tc>
          <w:tcPr>
            <w:tcW w:w="1544" w:type="dxa"/>
            <w:tcBorders>
              <w:top w:val="single" w:color="auto" w:sz="4" w:space="0"/>
              <w:left w:val="single" w:color="auto" w:sz="8"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fldChar w:fldCharType="begin"/>
            </w:r>
            <w:r>
              <w:rPr>
                <w:rFonts w:hint="eastAsia" w:ascii="Times New Roman" w:hAnsi="Times New Roman" w:eastAsia="仿宋_GB2312" w:cs="Times New Roman"/>
                <w:kern w:val="0"/>
                <w:sz w:val="21"/>
                <w:szCs w:val="21"/>
                <w:highlight w:val="none"/>
                <w:lang w:val="en-US" w:eastAsia="zh-CN" w:bidi="ar-SA"/>
              </w:rPr>
              <w:instrText xml:space="preserve"> REF 设备型号1 \h  \* MERGEFORMAT </w:instrText>
            </w:r>
            <w:r>
              <w:rPr>
                <w:rFonts w:hint="eastAsia" w:ascii="Times New Roman" w:hAnsi="Times New Roman" w:eastAsia="仿宋_GB2312" w:cs="Times New Roman"/>
                <w:kern w:val="0"/>
                <w:sz w:val="21"/>
                <w:szCs w:val="21"/>
                <w:highlight w:val="none"/>
                <w:lang w:val="en-US" w:eastAsia="zh-CN" w:bidi="ar-SA"/>
              </w:rPr>
              <w:fldChar w:fldCharType="separate"/>
            </w:r>
            <w:r>
              <w:rPr>
                <w:rFonts w:hint="eastAsia" w:ascii="Times New Roman" w:hAnsi="Times New Roman" w:eastAsia="仿宋_GB2312" w:cs="Times New Roman"/>
                <w:kern w:val="0"/>
                <w:sz w:val="21"/>
                <w:szCs w:val="21"/>
                <w:highlight w:val="none"/>
                <w:lang w:val="en-US" w:eastAsia="zh-CN" w:bidi="ar-SA"/>
              </w:rPr>
              <w:t>XGT6515-10S</w:t>
            </w:r>
            <w:r>
              <w:rPr>
                <w:rFonts w:hint="eastAsia" w:ascii="Times New Roman" w:hAnsi="Times New Roman" w:eastAsia="仿宋_GB2312" w:cs="Times New Roman"/>
                <w:kern w:val="0"/>
                <w:sz w:val="21"/>
                <w:szCs w:val="21"/>
                <w:highlight w:val="none"/>
                <w:lang w:val="en-US" w:eastAsia="zh-CN" w:bidi="ar-SA"/>
              </w:rPr>
              <w:fldChar w:fldCharType="end"/>
            </w:r>
          </w:p>
        </w:tc>
        <w:tc>
          <w:tcPr>
            <w:tcW w:w="1265"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58.65</w:t>
            </w:r>
          </w:p>
        </w:tc>
        <w:tc>
          <w:tcPr>
            <w:tcW w:w="1219"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70.65</w:t>
            </w:r>
          </w:p>
        </w:tc>
        <w:tc>
          <w:tcPr>
            <w:tcW w:w="1201"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预埋支腿</w:t>
            </w:r>
          </w:p>
        </w:tc>
        <w:tc>
          <w:tcPr>
            <w:tcW w:w="1067"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55m</w:t>
            </w:r>
          </w:p>
        </w:tc>
        <w:tc>
          <w:tcPr>
            <w:tcW w:w="1212"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北</w:t>
            </w:r>
          </w:p>
        </w:tc>
        <w:tc>
          <w:tcPr>
            <w:tcW w:w="1344"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+840.736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74" w:type="dxa"/>
            <w:tcBorders>
              <w:top w:val="single" w:color="auto" w:sz="4" w:space="0"/>
              <w:left w:val="single" w:color="auto" w:sz="8"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右10#墩塔机</w:t>
            </w:r>
          </w:p>
        </w:tc>
        <w:tc>
          <w:tcPr>
            <w:tcW w:w="1544" w:type="dxa"/>
            <w:tcBorders>
              <w:top w:val="single" w:color="auto" w:sz="4" w:space="0"/>
              <w:left w:val="single" w:color="auto" w:sz="8"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fldChar w:fldCharType="begin"/>
            </w:r>
            <w:r>
              <w:rPr>
                <w:rFonts w:hint="eastAsia" w:ascii="Times New Roman" w:hAnsi="Times New Roman" w:eastAsia="仿宋_GB2312" w:cs="Times New Roman"/>
                <w:kern w:val="0"/>
                <w:sz w:val="21"/>
                <w:szCs w:val="21"/>
                <w:highlight w:val="none"/>
                <w:lang w:val="en-US" w:eastAsia="zh-CN" w:bidi="ar-SA"/>
              </w:rPr>
              <w:instrText xml:space="preserve"> REF 设备型号1 \h  \* MERGEFORMAT </w:instrText>
            </w:r>
            <w:r>
              <w:rPr>
                <w:rFonts w:hint="eastAsia" w:ascii="Times New Roman" w:hAnsi="Times New Roman" w:eastAsia="仿宋_GB2312" w:cs="Times New Roman"/>
                <w:kern w:val="0"/>
                <w:sz w:val="21"/>
                <w:szCs w:val="21"/>
                <w:highlight w:val="none"/>
                <w:lang w:val="en-US" w:eastAsia="zh-CN" w:bidi="ar-SA"/>
              </w:rPr>
              <w:fldChar w:fldCharType="separate"/>
            </w:r>
            <w:r>
              <w:rPr>
                <w:rFonts w:hint="eastAsia" w:ascii="Times New Roman" w:hAnsi="Times New Roman" w:eastAsia="仿宋_GB2312" w:cs="Times New Roman"/>
                <w:kern w:val="0"/>
                <w:sz w:val="21"/>
                <w:szCs w:val="21"/>
                <w:highlight w:val="none"/>
                <w:lang w:val="en-US" w:eastAsia="zh-CN" w:bidi="ar-SA"/>
              </w:rPr>
              <w:t>XGT6515-10S</w:t>
            </w:r>
            <w:r>
              <w:rPr>
                <w:rFonts w:hint="eastAsia" w:ascii="Times New Roman" w:hAnsi="Times New Roman" w:eastAsia="仿宋_GB2312" w:cs="Times New Roman"/>
                <w:kern w:val="0"/>
                <w:sz w:val="21"/>
                <w:szCs w:val="21"/>
                <w:highlight w:val="none"/>
                <w:lang w:val="en-US" w:eastAsia="zh-CN" w:bidi="ar-SA"/>
              </w:rPr>
              <w:fldChar w:fldCharType="end"/>
            </w:r>
          </w:p>
        </w:tc>
        <w:tc>
          <w:tcPr>
            <w:tcW w:w="1265"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52.65</w:t>
            </w:r>
          </w:p>
        </w:tc>
        <w:tc>
          <w:tcPr>
            <w:tcW w:w="1219"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55.65</w:t>
            </w:r>
          </w:p>
        </w:tc>
        <w:tc>
          <w:tcPr>
            <w:tcW w:w="1201"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预埋支腿</w:t>
            </w:r>
          </w:p>
        </w:tc>
        <w:tc>
          <w:tcPr>
            <w:tcW w:w="1067"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55m</w:t>
            </w:r>
          </w:p>
        </w:tc>
        <w:tc>
          <w:tcPr>
            <w:tcW w:w="1212"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北</w:t>
            </w:r>
          </w:p>
        </w:tc>
        <w:tc>
          <w:tcPr>
            <w:tcW w:w="1344"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+850.094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74" w:type="dxa"/>
            <w:tcBorders>
              <w:top w:val="single" w:color="auto" w:sz="4" w:space="0"/>
              <w:left w:val="single" w:color="auto" w:sz="8"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左10#墩塔机</w:t>
            </w:r>
          </w:p>
        </w:tc>
        <w:tc>
          <w:tcPr>
            <w:tcW w:w="1544" w:type="dxa"/>
            <w:tcBorders>
              <w:top w:val="single" w:color="auto" w:sz="4" w:space="0"/>
              <w:left w:val="single" w:color="auto" w:sz="8"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fldChar w:fldCharType="begin"/>
            </w:r>
            <w:r>
              <w:rPr>
                <w:rFonts w:hint="eastAsia" w:ascii="Times New Roman" w:hAnsi="Times New Roman" w:eastAsia="仿宋_GB2312" w:cs="Times New Roman"/>
                <w:kern w:val="0"/>
                <w:sz w:val="21"/>
                <w:szCs w:val="21"/>
                <w:highlight w:val="none"/>
                <w:lang w:val="en-US" w:eastAsia="zh-CN" w:bidi="ar-SA"/>
              </w:rPr>
              <w:instrText xml:space="preserve"> REF 设备型号1 \h  \* MERGEFORMAT </w:instrText>
            </w:r>
            <w:r>
              <w:rPr>
                <w:rFonts w:hint="eastAsia" w:ascii="Times New Roman" w:hAnsi="Times New Roman" w:eastAsia="仿宋_GB2312" w:cs="Times New Roman"/>
                <w:kern w:val="0"/>
                <w:sz w:val="21"/>
                <w:szCs w:val="21"/>
                <w:highlight w:val="none"/>
                <w:lang w:val="en-US" w:eastAsia="zh-CN" w:bidi="ar-SA"/>
              </w:rPr>
              <w:fldChar w:fldCharType="separate"/>
            </w:r>
            <w:r>
              <w:rPr>
                <w:rFonts w:hint="eastAsia" w:ascii="Times New Roman" w:hAnsi="Times New Roman" w:eastAsia="仿宋_GB2312" w:cs="Times New Roman"/>
                <w:kern w:val="0"/>
                <w:sz w:val="21"/>
                <w:szCs w:val="21"/>
                <w:highlight w:val="none"/>
                <w:lang w:val="en-US" w:eastAsia="zh-CN" w:bidi="ar-SA"/>
              </w:rPr>
              <w:t>XGT6515-10S</w:t>
            </w:r>
            <w:r>
              <w:rPr>
                <w:rFonts w:hint="eastAsia" w:ascii="Times New Roman" w:hAnsi="Times New Roman" w:eastAsia="仿宋_GB2312" w:cs="Times New Roman"/>
                <w:kern w:val="0"/>
                <w:sz w:val="21"/>
                <w:szCs w:val="21"/>
                <w:highlight w:val="none"/>
                <w:lang w:val="en-US" w:eastAsia="zh-CN" w:bidi="ar-SA"/>
              </w:rPr>
              <w:fldChar w:fldCharType="end"/>
            </w:r>
          </w:p>
        </w:tc>
        <w:tc>
          <w:tcPr>
            <w:tcW w:w="1265"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58.65</w:t>
            </w:r>
          </w:p>
        </w:tc>
        <w:tc>
          <w:tcPr>
            <w:tcW w:w="1219"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58.65</w:t>
            </w:r>
          </w:p>
        </w:tc>
        <w:tc>
          <w:tcPr>
            <w:tcW w:w="1201"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预埋支腿</w:t>
            </w:r>
          </w:p>
        </w:tc>
        <w:tc>
          <w:tcPr>
            <w:tcW w:w="1067"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50m</w:t>
            </w:r>
          </w:p>
        </w:tc>
        <w:tc>
          <w:tcPr>
            <w:tcW w:w="1212"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东</w:t>
            </w:r>
          </w:p>
        </w:tc>
        <w:tc>
          <w:tcPr>
            <w:tcW w:w="1344"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+854.937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74" w:type="dxa"/>
            <w:tcBorders>
              <w:top w:val="single" w:color="auto" w:sz="4" w:space="0"/>
              <w:left w:val="single" w:color="auto" w:sz="8"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eastAsia="仿宋_GB2312" w:cs="Times New Roman"/>
                <w:kern w:val="0"/>
                <w:sz w:val="21"/>
                <w:szCs w:val="21"/>
                <w:highlight w:val="none"/>
                <w:lang w:val="en-US" w:eastAsia="zh-CN" w:bidi="ar-SA"/>
              </w:rPr>
              <w:t>右12</w:t>
            </w:r>
            <w:r>
              <w:rPr>
                <w:rFonts w:hint="eastAsia" w:ascii="Times New Roman" w:hAnsi="Times New Roman" w:eastAsia="仿宋_GB2312" w:cs="Times New Roman"/>
                <w:kern w:val="0"/>
                <w:sz w:val="21"/>
                <w:szCs w:val="21"/>
                <w:highlight w:val="none"/>
                <w:lang w:val="en-US" w:eastAsia="zh-CN" w:bidi="ar-SA"/>
              </w:rPr>
              <w:t>#墩塔机</w:t>
            </w:r>
          </w:p>
        </w:tc>
        <w:tc>
          <w:tcPr>
            <w:tcW w:w="1544" w:type="dxa"/>
            <w:tcBorders>
              <w:top w:val="single" w:color="auto" w:sz="4" w:space="0"/>
              <w:left w:val="single" w:color="auto" w:sz="8"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fldChar w:fldCharType="begin"/>
            </w:r>
            <w:r>
              <w:rPr>
                <w:rFonts w:hint="eastAsia" w:ascii="Times New Roman" w:hAnsi="Times New Roman" w:eastAsia="仿宋_GB2312" w:cs="Times New Roman"/>
                <w:kern w:val="0"/>
                <w:sz w:val="21"/>
                <w:szCs w:val="21"/>
                <w:highlight w:val="none"/>
                <w:lang w:val="en-US" w:eastAsia="zh-CN" w:bidi="ar-SA"/>
              </w:rPr>
              <w:instrText xml:space="preserve"> REF 设备型号1 \h  \* MERGEFORMAT </w:instrText>
            </w:r>
            <w:r>
              <w:rPr>
                <w:rFonts w:hint="eastAsia" w:ascii="Times New Roman" w:hAnsi="Times New Roman" w:eastAsia="仿宋_GB2312" w:cs="Times New Roman"/>
                <w:kern w:val="0"/>
                <w:sz w:val="21"/>
                <w:szCs w:val="21"/>
                <w:highlight w:val="none"/>
                <w:lang w:val="en-US" w:eastAsia="zh-CN" w:bidi="ar-SA"/>
              </w:rPr>
              <w:fldChar w:fldCharType="separate"/>
            </w:r>
            <w:r>
              <w:rPr>
                <w:rFonts w:hint="eastAsia" w:ascii="Times New Roman" w:hAnsi="Times New Roman" w:eastAsia="仿宋_GB2312" w:cs="Times New Roman"/>
                <w:kern w:val="0"/>
                <w:sz w:val="21"/>
                <w:szCs w:val="21"/>
                <w:highlight w:val="none"/>
                <w:lang w:val="en-US" w:eastAsia="zh-CN" w:bidi="ar-SA"/>
              </w:rPr>
              <w:t>XGT6515-10S</w:t>
            </w:r>
            <w:r>
              <w:rPr>
                <w:rFonts w:hint="eastAsia" w:ascii="Times New Roman" w:hAnsi="Times New Roman" w:eastAsia="仿宋_GB2312" w:cs="Times New Roman"/>
                <w:kern w:val="0"/>
                <w:sz w:val="21"/>
                <w:szCs w:val="21"/>
                <w:highlight w:val="none"/>
                <w:lang w:val="en-US" w:eastAsia="zh-CN" w:bidi="ar-SA"/>
              </w:rPr>
              <w:fldChar w:fldCharType="end"/>
            </w:r>
          </w:p>
        </w:tc>
        <w:tc>
          <w:tcPr>
            <w:tcW w:w="1265"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58.65</w:t>
            </w:r>
          </w:p>
        </w:tc>
        <w:tc>
          <w:tcPr>
            <w:tcW w:w="1219"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67.65</w:t>
            </w:r>
          </w:p>
        </w:tc>
        <w:tc>
          <w:tcPr>
            <w:tcW w:w="1201"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预埋支腿</w:t>
            </w:r>
          </w:p>
        </w:tc>
        <w:tc>
          <w:tcPr>
            <w:tcW w:w="1067"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3</w:t>
            </w:r>
            <w:r>
              <w:rPr>
                <w:rFonts w:hint="eastAsia" w:ascii="Times New Roman" w:hAnsi="Times New Roman" w:eastAsia="仿宋_GB2312" w:cs="Times New Roman"/>
                <w:kern w:val="0"/>
                <w:sz w:val="21"/>
                <w:szCs w:val="21"/>
                <w:highlight w:val="none"/>
                <w:lang w:val="en-US" w:eastAsia="zh-CN" w:bidi="ar-SA"/>
              </w:rPr>
              <w:t>0m</w:t>
            </w:r>
          </w:p>
        </w:tc>
        <w:tc>
          <w:tcPr>
            <w:tcW w:w="1212"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南</w:t>
            </w:r>
          </w:p>
        </w:tc>
        <w:tc>
          <w:tcPr>
            <w:tcW w:w="1344"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+839.718</w:t>
            </w:r>
          </w:p>
        </w:tc>
      </w:tr>
    </w:tbl>
    <w:p>
      <w:pPr>
        <w:ind w:firstLine="480"/>
        <w:rPr>
          <w:rFonts w:hint="eastAsia"/>
        </w:rPr>
      </w:pPr>
    </w:p>
    <w:p>
      <w:pPr>
        <w:ind w:firstLine="480"/>
        <w:rPr>
          <w:rFonts w:hint="eastAsia"/>
        </w:rPr>
      </w:pPr>
    </w:p>
    <w:p>
      <w:pPr>
        <w:ind w:firstLine="480"/>
        <w:rPr>
          <w:rFonts w:hint="eastAsia"/>
        </w:rPr>
      </w:pPr>
    </w:p>
    <w:p>
      <w:pPr>
        <w:ind w:firstLine="480"/>
      </w:pPr>
      <w:r>
        <w:rPr>
          <w:rFonts w:hint="eastAsia"/>
        </w:rPr>
        <w:t>塔吊存在大臂交叉现象，塔吊水平、垂直距离满足安全距离要求。</w:t>
      </w:r>
    </w:p>
    <w:p>
      <w:pPr>
        <w:ind w:firstLine="480"/>
        <w:rPr>
          <w:bCs/>
        </w:rPr>
        <w:sectPr>
          <w:headerReference r:id="rId13" w:type="default"/>
          <w:footerReference r:id="rId14" w:type="default"/>
          <w:pgSz w:w="11906" w:h="16838"/>
          <w:pgMar w:top="1440" w:right="1800" w:bottom="1440" w:left="1800" w:header="851" w:footer="992" w:gutter="0"/>
          <w:pgNumType w:start="1"/>
          <w:cols w:space="425" w:num="1"/>
          <w:docGrid w:type="lines" w:linePitch="312" w:charSpace="0"/>
        </w:sectPr>
      </w:pPr>
      <w:r>
        <w:rPr>
          <w:rFonts w:hint="eastAsia"/>
          <w:bCs/>
        </w:rPr>
        <w:t>设备在安装部位平面布置图、初装立面布置图与终装立面布置图如</w:t>
      </w:r>
      <w:r>
        <w:rPr>
          <w:bCs/>
        </w:rPr>
        <w:fldChar w:fldCharType="begin"/>
      </w:r>
      <w:r>
        <w:rPr>
          <w:bCs/>
        </w:rPr>
        <w:instrText xml:space="preserve"> </w:instrText>
      </w:r>
      <w:r>
        <w:rPr>
          <w:rFonts w:hint="eastAsia"/>
          <w:bCs/>
        </w:rPr>
        <w:instrText xml:space="preserve">REF _Ref123718991 \h</w:instrText>
      </w:r>
      <w:r>
        <w:rPr>
          <w:bCs/>
        </w:rPr>
        <w:instrText xml:space="preserve"> </w:instrText>
      </w:r>
      <w:r>
        <w:rPr>
          <w:bCs/>
        </w:rPr>
        <w:fldChar w:fldCharType="separate"/>
      </w:r>
      <w:r>
        <w:rPr>
          <w:rFonts w:hint="eastAsia"/>
        </w:rPr>
        <w:t>图</w:t>
      </w:r>
      <w:r>
        <w:t>2.1.4</w:t>
      </w:r>
      <w:r>
        <w:rPr>
          <w:rFonts w:hint="eastAsia"/>
        </w:rPr>
        <w:t>-</w:t>
      </w:r>
      <w:r>
        <w:t>1</w:t>
      </w:r>
      <w:r>
        <w:rPr>
          <w:bCs/>
        </w:rPr>
        <w:fldChar w:fldCharType="end"/>
      </w:r>
      <w:r>
        <w:rPr>
          <w:rFonts w:hint="eastAsia"/>
          <w:bCs/>
        </w:rPr>
        <w:t>、</w:t>
      </w:r>
      <w:r>
        <w:rPr>
          <w:bCs/>
        </w:rPr>
        <w:fldChar w:fldCharType="begin"/>
      </w:r>
      <w:r>
        <w:rPr>
          <w:bCs/>
        </w:rPr>
        <w:instrText xml:space="preserve"> REF _Ref123718992 \h </w:instrText>
      </w:r>
      <w:r>
        <w:rPr>
          <w:bCs/>
        </w:rPr>
        <w:fldChar w:fldCharType="separate"/>
      </w:r>
      <w:r>
        <w:rPr>
          <w:rFonts w:hint="eastAsia"/>
        </w:rPr>
        <w:t>图</w:t>
      </w:r>
      <w:r>
        <w:t>2.1.4</w:t>
      </w:r>
      <w:r>
        <w:rPr>
          <w:rFonts w:hint="eastAsia"/>
        </w:rPr>
        <w:t>-</w:t>
      </w:r>
      <w:r>
        <w:t>2</w:t>
      </w:r>
      <w:r>
        <w:rPr>
          <w:bCs/>
        </w:rPr>
        <w:fldChar w:fldCharType="end"/>
      </w:r>
      <w:r>
        <w:rPr>
          <w:rFonts w:hint="eastAsia"/>
          <w:bCs/>
        </w:rPr>
        <w:t>、</w:t>
      </w:r>
      <w:r>
        <w:rPr>
          <w:bCs/>
        </w:rPr>
        <w:fldChar w:fldCharType="begin"/>
      </w:r>
      <w:r>
        <w:rPr>
          <w:bCs/>
        </w:rPr>
        <w:instrText xml:space="preserve"> </w:instrText>
      </w:r>
      <w:r>
        <w:rPr>
          <w:rFonts w:hint="eastAsia"/>
          <w:bCs/>
        </w:rPr>
        <w:instrText xml:space="preserve">REF _Ref134088310 \h</w:instrText>
      </w:r>
      <w:r>
        <w:rPr>
          <w:bCs/>
        </w:rPr>
        <w:instrText xml:space="preserve"> </w:instrText>
      </w:r>
      <w:r>
        <w:rPr>
          <w:bCs/>
        </w:rPr>
        <w:fldChar w:fldCharType="separate"/>
      </w:r>
      <w:r>
        <w:rPr>
          <w:rFonts w:hint="eastAsia"/>
        </w:rPr>
        <w:t>图</w:t>
      </w:r>
      <w:r>
        <w:t>2.1.4</w:t>
      </w:r>
      <w:r>
        <w:rPr>
          <w:rFonts w:hint="eastAsia"/>
        </w:rPr>
        <w:t>-</w:t>
      </w:r>
      <w:r>
        <w:t>3</w:t>
      </w:r>
      <w:r>
        <w:rPr>
          <w:bCs/>
        </w:rPr>
        <w:fldChar w:fldCharType="end"/>
      </w:r>
      <w:r>
        <w:rPr>
          <w:rFonts w:hint="eastAsia"/>
          <w:bCs/>
        </w:rPr>
        <w:t>与</w:t>
      </w:r>
      <w:r>
        <w:rPr>
          <w:bCs/>
        </w:rPr>
        <w:fldChar w:fldCharType="begin"/>
      </w:r>
      <w:r>
        <w:rPr>
          <w:bCs/>
        </w:rPr>
        <w:instrText xml:space="preserve"> </w:instrText>
      </w:r>
      <w:r>
        <w:rPr>
          <w:rFonts w:hint="eastAsia"/>
          <w:bCs/>
        </w:rPr>
        <w:instrText xml:space="preserve">REF _Ref130219351 \h</w:instrText>
      </w:r>
      <w:r>
        <w:rPr>
          <w:bCs/>
        </w:rPr>
        <w:instrText xml:space="preserve"> </w:instrText>
      </w:r>
      <w:r>
        <w:rPr>
          <w:bCs/>
        </w:rPr>
        <w:fldChar w:fldCharType="separate"/>
      </w:r>
      <w:r>
        <w:rPr>
          <w:rFonts w:hint="eastAsia"/>
        </w:rPr>
        <w:t>图</w:t>
      </w:r>
      <w:r>
        <w:t>2.1.4</w:t>
      </w:r>
      <w:r>
        <w:rPr>
          <w:rFonts w:hint="eastAsia"/>
        </w:rPr>
        <w:t>-</w:t>
      </w:r>
      <w:r>
        <w:t>4</w:t>
      </w:r>
      <w:r>
        <w:rPr>
          <w:bCs/>
        </w:rPr>
        <w:fldChar w:fldCharType="end"/>
      </w:r>
      <w:r>
        <w:rPr>
          <w:rFonts w:hint="eastAsia"/>
          <w:bCs/>
        </w:rPr>
        <w:t>所示。</w:t>
      </w:r>
    </w:p>
    <w:p>
      <w:r>
        <w:drawing>
          <wp:inline distT="0" distB="0" distL="114300" distR="114300">
            <wp:extent cx="8280400" cy="4521835"/>
            <wp:effectExtent l="0" t="0" r="1016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3"/>
                    <a:stretch>
                      <a:fillRect/>
                    </a:stretch>
                  </pic:blipFill>
                  <pic:spPr>
                    <a:xfrm>
                      <a:off x="0" y="0"/>
                      <a:ext cx="8280400" cy="4521835"/>
                    </a:xfrm>
                    <a:prstGeom prst="rect">
                      <a:avLst/>
                    </a:prstGeom>
                    <a:noFill/>
                    <a:ln>
                      <a:noFill/>
                    </a:ln>
                  </pic:spPr>
                </pic:pic>
              </a:graphicData>
            </a:graphic>
          </wp:inline>
        </w:drawing>
      </w:r>
    </w:p>
    <w:p/>
    <w:p>
      <w:pPr>
        <w:pStyle w:val="116"/>
        <w:rPr>
          <w:bCs/>
        </w:rPr>
      </w:pPr>
      <w:bookmarkStart w:id="52" w:name="_Ref123718991"/>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2.1.4</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1</w:t>
      </w:r>
      <w:r>
        <w:fldChar w:fldCharType="end"/>
      </w:r>
      <w:bookmarkEnd w:id="52"/>
      <w:r>
        <w:t xml:space="preserve"> </w:t>
      </w:r>
      <w:r>
        <w:rPr>
          <w:rFonts w:hint="eastAsia"/>
          <w:bCs/>
        </w:rPr>
        <w:t>设备在安装部位平面布置图（mm）</w:t>
      </w:r>
    </w:p>
    <w:p>
      <w:pPr>
        <w:pStyle w:val="117"/>
      </w:pPr>
    </w:p>
    <w:p>
      <w:pPr>
        <w:pStyle w:val="116"/>
      </w:pPr>
    </w:p>
    <w:p>
      <w:r>
        <w:drawing>
          <wp:inline distT="0" distB="0" distL="114300" distR="114300">
            <wp:extent cx="8077200" cy="337566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4"/>
                    <a:stretch>
                      <a:fillRect/>
                    </a:stretch>
                  </pic:blipFill>
                  <pic:spPr>
                    <a:xfrm>
                      <a:off x="0" y="0"/>
                      <a:ext cx="8077200" cy="3375660"/>
                    </a:xfrm>
                    <a:prstGeom prst="rect">
                      <a:avLst/>
                    </a:prstGeom>
                    <a:noFill/>
                    <a:ln>
                      <a:noFill/>
                    </a:ln>
                  </pic:spPr>
                </pic:pic>
              </a:graphicData>
            </a:graphic>
          </wp:inline>
        </w:drawing>
      </w:r>
      <w:r>
        <w:drawing>
          <wp:inline distT="0" distB="0" distL="114300" distR="114300">
            <wp:extent cx="8257540" cy="4263390"/>
            <wp:effectExtent l="0" t="0" r="2540" b="381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25"/>
                    <a:stretch>
                      <a:fillRect/>
                    </a:stretch>
                  </pic:blipFill>
                  <pic:spPr>
                    <a:xfrm>
                      <a:off x="0" y="0"/>
                      <a:ext cx="8257540" cy="4263390"/>
                    </a:xfrm>
                    <a:prstGeom prst="rect">
                      <a:avLst/>
                    </a:prstGeom>
                    <a:noFill/>
                    <a:ln>
                      <a:noFill/>
                    </a:ln>
                  </pic:spPr>
                </pic:pic>
              </a:graphicData>
            </a:graphic>
          </wp:inline>
        </w:drawing>
      </w:r>
    </w:p>
    <w:p/>
    <w:p>
      <w:pPr>
        <w:pStyle w:val="116"/>
        <w:rPr>
          <w:bCs/>
        </w:rPr>
      </w:pPr>
      <w:bookmarkStart w:id="53" w:name="_Ref123718992"/>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2.1.4</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2</w:t>
      </w:r>
      <w:r>
        <w:fldChar w:fldCharType="end"/>
      </w:r>
      <w:bookmarkEnd w:id="53"/>
      <w:r>
        <w:t xml:space="preserve"> </w:t>
      </w:r>
      <w:r>
        <w:rPr>
          <w:bCs/>
        </w:rPr>
        <w:fldChar w:fldCharType="begin"/>
      </w:r>
      <w:r>
        <w:instrText xml:space="preserve"> REF 设备型号1 \h </w:instrText>
      </w:r>
      <w:r>
        <w:rPr>
          <w:bCs/>
        </w:rPr>
        <w:fldChar w:fldCharType="separate"/>
      </w:r>
      <w:r>
        <w:rPr>
          <w:rFonts w:hint="eastAsia"/>
          <w:lang w:eastAsia="zh-CN"/>
        </w:rPr>
        <w:t>XGT6515-10S</w:t>
      </w:r>
      <w:r>
        <w:rPr>
          <w:bCs/>
        </w:rPr>
        <w:fldChar w:fldCharType="end"/>
      </w:r>
      <w:r>
        <w:rPr>
          <w:bCs/>
        </w:rPr>
        <w:fldChar w:fldCharType="begin"/>
      </w:r>
      <w:r>
        <w:rPr>
          <w:bCs/>
        </w:rPr>
        <w:instrText xml:space="preserve"> REF 设备类型 \h </w:instrText>
      </w:r>
      <w:r>
        <w:rPr>
          <w:bCs/>
        </w:rPr>
        <w:fldChar w:fldCharType="separate"/>
      </w:r>
      <w:r>
        <w:rPr>
          <w:rFonts w:hint="eastAsia"/>
        </w:rPr>
        <w:t>塔式起重机</w:t>
      </w:r>
      <w:r>
        <w:rPr>
          <w:bCs/>
        </w:rPr>
        <w:fldChar w:fldCharType="end"/>
      </w:r>
      <w:r>
        <w:rPr>
          <w:rFonts w:hint="eastAsia"/>
          <w:bCs/>
        </w:rPr>
        <w:t>在立面布置图（mm）</w:t>
      </w:r>
    </w:p>
    <w:p>
      <w:pPr>
        <w:pStyle w:val="117"/>
      </w:pPr>
    </w:p>
    <w:p>
      <w:pPr>
        <w:pStyle w:val="116"/>
        <w:rPr>
          <w:bCs/>
        </w:rPr>
        <w:sectPr>
          <w:headerReference r:id="rId15" w:type="default"/>
          <w:pgSz w:w="16838" w:h="11906" w:orient="landscape"/>
          <w:pgMar w:top="1440" w:right="1800" w:bottom="1440" w:left="1800" w:header="851" w:footer="992" w:gutter="0"/>
          <w:cols w:space="425" w:num="1"/>
          <w:docGrid w:type="lines" w:linePitch="326" w:charSpace="0"/>
        </w:sectPr>
      </w:pPr>
    </w:p>
    <w:p>
      <w:pPr>
        <w:pStyle w:val="3"/>
      </w:pPr>
      <w:bookmarkStart w:id="54" w:name="_Toc19714"/>
      <w:r>
        <w:rPr>
          <w:rFonts w:hint="eastAsia"/>
        </w:rPr>
        <w:t>工程特点</w:t>
      </w:r>
      <w:bookmarkEnd w:id="54"/>
    </w:p>
    <w:p>
      <w:pPr>
        <w:pStyle w:val="78"/>
        <w:numPr>
          <w:ilvl w:val="0"/>
          <w:numId w:val="11"/>
        </w:numPr>
        <w:ind w:firstLineChars="0"/>
      </w:pPr>
      <w:r>
        <w:t>现场</w:t>
      </w:r>
      <w:r>
        <w:rPr>
          <w:rFonts w:hint="eastAsia"/>
        </w:rPr>
        <w:t>安拆</w:t>
      </w:r>
      <w:r>
        <w:t>场地受限，大型设备吊装难度大；</w:t>
      </w:r>
    </w:p>
    <w:p>
      <w:pPr>
        <w:pStyle w:val="78"/>
        <w:numPr>
          <w:ilvl w:val="0"/>
          <w:numId w:val="11"/>
        </w:numPr>
        <w:ind w:firstLineChars="0"/>
      </w:pPr>
      <w:r>
        <w:t>构建数量多，现场无法堆放，需多次进行转运；</w:t>
      </w:r>
    </w:p>
    <w:p>
      <w:pPr>
        <w:pStyle w:val="78"/>
        <w:numPr>
          <w:ilvl w:val="0"/>
          <w:numId w:val="11"/>
        </w:numPr>
        <w:ind w:firstLineChars="0"/>
      </w:pPr>
      <w:r>
        <w:rPr>
          <w:rFonts w:hint="eastAsia"/>
        </w:rPr>
        <w:t>本施工过程包含高空作业，安全风险较大。</w:t>
      </w:r>
    </w:p>
    <w:p>
      <w:pPr>
        <w:pStyle w:val="3"/>
      </w:pPr>
      <w:bookmarkStart w:id="55" w:name="_Toc29772"/>
      <w:bookmarkStart w:id="56" w:name="_Toc93050658"/>
      <w:r>
        <w:rPr>
          <w:rFonts w:hint="eastAsia"/>
        </w:rPr>
        <w:t>施工平面布置</w:t>
      </w:r>
      <w:bookmarkEnd w:id="55"/>
      <w:bookmarkEnd w:id="56"/>
    </w:p>
    <w:p>
      <w:pPr>
        <w:ind w:firstLine="480"/>
        <w:rPr>
          <w:rFonts w:hint="eastAsia"/>
        </w:rPr>
      </w:pPr>
      <w:r>
        <w:rPr>
          <w:rFonts w:hint="eastAsia"/>
        </w:rPr>
        <w:t>施工平面布置如</w:t>
      </w:r>
      <w:r>
        <w:fldChar w:fldCharType="begin"/>
      </w:r>
      <w:r>
        <w:instrText xml:space="preserve"> </w:instrText>
      </w:r>
      <w:r>
        <w:rPr>
          <w:rFonts w:hint="eastAsia"/>
        </w:rPr>
        <w:instrText xml:space="preserve">REF _Ref121247929 \h</w:instrText>
      </w:r>
      <w:r>
        <w:instrText xml:space="preserve"> </w:instrText>
      </w:r>
      <w:r>
        <w:fldChar w:fldCharType="separate"/>
      </w:r>
      <w:r>
        <w:rPr>
          <w:rFonts w:hint="eastAsia"/>
        </w:rPr>
        <w:t>图</w:t>
      </w:r>
      <w:r>
        <w:t>2.3</w:t>
      </w:r>
      <w:r>
        <w:rPr>
          <w:rFonts w:hint="eastAsia"/>
        </w:rPr>
        <w:t>-</w:t>
      </w:r>
      <w:r>
        <w:t>1</w:t>
      </w:r>
      <w:r>
        <w:fldChar w:fldCharType="end"/>
      </w:r>
      <w:r>
        <w:rPr>
          <w:rFonts w:hint="eastAsia"/>
        </w:rPr>
        <w:t>所示。</w:t>
      </w:r>
    </w:p>
    <w:p>
      <w:pPr>
        <w:ind w:firstLine="480"/>
      </w:pPr>
      <w:r>
        <w:drawing>
          <wp:inline distT="0" distB="0" distL="114300" distR="114300">
            <wp:extent cx="4634230" cy="4511675"/>
            <wp:effectExtent l="0" t="0" r="13970" b="14605"/>
            <wp:docPr id="4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2"/>
                    <pic:cNvPicPr>
                      <a:picLocks noChangeAspect="1"/>
                    </pic:cNvPicPr>
                  </pic:nvPicPr>
                  <pic:blipFill>
                    <a:blip r:embed="rId26"/>
                    <a:stretch>
                      <a:fillRect/>
                    </a:stretch>
                  </pic:blipFill>
                  <pic:spPr>
                    <a:xfrm>
                      <a:off x="0" y="0"/>
                      <a:ext cx="4634230" cy="4511675"/>
                    </a:xfrm>
                    <a:prstGeom prst="rect">
                      <a:avLst/>
                    </a:prstGeom>
                    <a:noFill/>
                    <a:ln>
                      <a:noFill/>
                    </a:ln>
                  </pic:spPr>
                </pic:pic>
              </a:graphicData>
            </a:graphic>
          </wp:inline>
        </w:drawing>
      </w:r>
    </w:p>
    <w:p>
      <w:pPr>
        <w:pStyle w:val="116"/>
      </w:pPr>
      <w:r>
        <w:drawing>
          <wp:inline distT="0" distB="0" distL="114300" distR="114300">
            <wp:extent cx="3733800" cy="3909060"/>
            <wp:effectExtent l="0" t="0" r="0" b="7620"/>
            <wp:docPr id="5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3"/>
                    <pic:cNvPicPr>
                      <a:picLocks noChangeAspect="1"/>
                    </pic:cNvPicPr>
                  </pic:nvPicPr>
                  <pic:blipFill>
                    <a:blip r:embed="rId27"/>
                    <a:stretch>
                      <a:fillRect/>
                    </a:stretch>
                  </pic:blipFill>
                  <pic:spPr>
                    <a:xfrm>
                      <a:off x="0" y="0"/>
                      <a:ext cx="3733800" cy="3909060"/>
                    </a:xfrm>
                    <a:prstGeom prst="rect">
                      <a:avLst/>
                    </a:prstGeom>
                    <a:noFill/>
                    <a:ln>
                      <a:noFill/>
                    </a:ln>
                  </pic:spPr>
                </pic:pic>
              </a:graphicData>
            </a:graphic>
          </wp:inline>
        </w:drawing>
      </w:r>
    </w:p>
    <w:p>
      <w:pPr>
        <w:pStyle w:val="116"/>
        <w:rPr>
          <w:bCs/>
        </w:rPr>
      </w:pPr>
      <w:bookmarkStart w:id="57" w:name="_Ref121247929"/>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2.3</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2 </w:instrText>
      </w:r>
      <w:r>
        <w:fldChar w:fldCharType="separate"/>
      </w:r>
      <w:r>
        <w:t>1</w:t>
      </w:r>
      <w:r>
        <w:fldChar w:fldCharType="end"/>
      </w:r>
      <w:bookmarkEnd w:id="57"/>
      <w:r>
        <w:t xml:space="preserve"> </w:t>
      </w:r>
      <w:r>
        <w:rPr>
          <w:rFonts w:hint="eastAsia"/>
          <w:bCs/>
        </w:rPr>
        <w:t>施工平面布置图（mm）</w:t>
      </w:r>
    </w:p>
    <w:p>
      <w:pPr>
        <w:pStyle w:val="3"/>
      </w:pPr>
      <w:bookmarkStart w:id="58" w:name="_Toc3944"/>
      <w:r>
        <w:rPr>
          <w:rFonts w:hint="eastAsia"/>
        </w:rPr>
        <w:t>施工要求</w:t>
      </w:r>
      <w:bookmarkEnd w:id="58"/>
    </w:p>
    <w:p>
      <w:pPr>
        <w:pStyle w:val="4"/>
      </w:pPr>
      <w:r>
        <w:rPr>
          <w:rFonts w:hint="eastAsia"/>
        </w:rPr>
        <w:t>工期要求</w:t>
      </w:r>
    </w:p>
    <w:p>
      <w:pPr>
        <w:ind w:firstLine="480"/>
        <w:rPr>
          <w:rFonts w:hint="eastAsia" w:eastAsia="宋体"/>
          <w:color w:val="0000FF"/>
          <w:lang w:eastAsia="zh-CN"/>
        </w:rPr>
      </w:pPr>
      <w:r>
        <w:rPr>
          <w:rFonts w:hint="eastAsia"/>
          <w:color w:val="0000FF"/>
        </w:rPr>
        <w:t>根据总体施工进度安排</w:t>
      </w:r>
      <w:r>
        <w:rPr>
          <w:rFonts w:hint="eastAsia"/>
          <w:color w:val="0000FF"/>
          <w:lang w:eastAsia="zh-CN"/>
        </w:rPr>
        <w:t>：</w:t>
      </w:r>
    </w:p>
    <w:p>
      <w:pPr>
        <w:ind w:firstLine="480"/>
        <w:rPr>
          <w:rFonts w:hint="eastAsia"/>
          <w:color w:val="0000FF"/>
        </w:rPr>
      </w:pPr>
      <w:r>
        <w:rPr>
          <w:rFonts w:hint="eastAsia"/>
          <w:color w:val="0000FF"/>
          <w:lang w:val="en-US" w:eastAsia="zh-CN"/>
        </w:rPr>
        <w:t>左8#墩塔机</w:t>
      </w:r>
      <w:r>
        <w:rPr>
          <w:color w:val="0000FF"/>
        </w:rPr>
        <w:fldChar w:fldCharType="begin"/>
      </w:r>
      <w:r>
        <w:rPr>
          <w:color w:val="0000FF"/>
        </w:rPr>
        <w:instrText xml:space="preserve"> </w:instrText>
      </w:r>
      <w:r>
        <w:rPr>
          <w:rFonts w:hint="eastAsia"/>
          <w:color w:val="0000FF"/>
        </w:rPr>
        <w:instrText xml:space="preserve">REF 设备型号1 \h</w:instrText>
      </w:r>
      <w:r>
        <w:rPr>
          <w:color w:val="0000FF"/>
        </w:rPr>
        <w:instrText xml:space="preserve">  \* MERGEFORMAT </w:instrText>
      </w:r>
      <w:r>
        <w:rPr>
          <w:color w:val="0000FF"/>
        </w:rPr>
        <w:fldChar w:fldCharType="separate"/>
      </w:r>
      <w:r>
        <w:rPr>
          <w:rFonts w:hint="eastAsia"/>
          <w:color w:val="0000FF"/>
          <w:lang w:eastAsia="zh-CN"/>
        </w:rPr>
        <w:t>XGT6515-10S</w:t>
      </w:r>
      <w:r>
        <w:rPr>
          <w:color w:val="0000FF"/>
        </w:rPr>
        <w:fldChar w:fldCharType="end"/>
      </w:r>
      <w:r>
        <w:rPr>
          <w:color w:val="0000FF"/>
        </w:rPr>
        <w:fldChar w:fldCharType="begin"/>
      </w:r>
      <w:r>
        <w:rPr>
          <w:color w:val="0000FF"/>
        </w:rPr>
        <w:instrText xml:space="preserve"> REF 设备类型 \h  \* MERGEFORMAT </w:instrText>
      </w:r>
      <w:r>
        <w:rPr>
          <w:color w:val="0000FF"/>
        </w:rPr>
        <w:fldChar w:fldCharType="separate"/>
      </w:r>
      <w:r>
        <w:rPr>
          <w:rFonts w:hint="eastAsia"/>
          <w:color w:val="0000FF"/>
        </w:rPr>
        <w:t>塔式起重机</w:t>
      </w:r>
      <w:r>
        <w:rPr>
          <w:color w:val="0000FF"/>
        </w:rPr>
        <w:fldChar w:fldCharType="end"/>
      </w:r>
      <w:r>
        <w:rPr>
          <w:color w:val="0000FF"/>
        </w:rPr>
        <w:t>安装</w:t>
      </w:r>
      <w:r>
        <w:rPr>
          <w:rFonts w:hint="eastAsia"/>
          <w:color w:val="0000FF"/>
        </w:rPr>
        <w:t>施工工期为</w:t>
      </w:r>
      <w:r>
        <w:rPr>
          <w:rFonts w:hint="eastAsia"/>
          <w:color w:val="0000FF"/>
          <w:lang w:val="en-US" w:eastAsia="zh-CN"/>
        </w:rPr>
        <w:t>4</w:t>
      </w:r>
      <w:r>
        <w:rPr>
          <w:rFonts w:hint="eastAsia"/>
          <w:color w:val="0000FF"/>
        </w:rPr>
        <w:t>天，施工计划开始时间为202</w:t>
      </w:r>
      <w:r>
        <w:rPr>
          <w:color w:val="0000FF"/>
        </w:rPr>
        <w:t>3</w:t>
      </w:r>
      <w:r>
        <w:rPr>
          <w:rFonts w:hint="eastAsia"/>
          <w:color w:val="0000FF"/>
        </w:rPr>
        <w:t>年</w:t>
      </w:r>
      <w:r>
        <w:rPr>
          <w:rFonts w:hint="eastAsia"/>
          <w:color w:val="0000FF"/>
          <w:lang w:val="en-US" w:eastAsia="zh-CN"/>
        </w:rPr>
        <w:t>9</w:t>
      </w:r>
      <w:r>
        <w:rPr>
          <w:rFonts w:hint="eastAsia"/>
          <w:color w:val="0000FF"/>
        </w:rPr>
        <w:t>月</w:t>
      </w:r>
      <w:r>
        <w:rPr>
          <w:rFonts w:hint="eastAsia"/>
          <w:color w:val="0000FF"/>
          <w:lang w:val="en-US" w:eastAsia="zh-CN"/>
        </w:rPr>
        <w:t>15</w:t>
      </w:r>
      <w:r>
        <w:rPr>
          <w:rFonts w:hint="eastAsia"/>
          <w:color w:val="0000FF"/>
        </w:rPr>
        <w:t>日，完成时间为202</w:t>
      </w:r>
      <w:r>
        <w:rPr>
          <w:color w:val="0000FF"/>
        </w:rPr>
        <w:t>3</w:t>
      </w:r>
      <w:r>
        <w:rPr>
          <w:rFonts w:hint="eastAsia"/>
          <w:color w:val="0000FF"/>
        </w:rPr>
        <w:t>年</w:t>
      </w:r>
      <w:r>
        <w:rPr>
          <w:rFonts w:hint="eastAsia"/>
          <w:color w:val="0000FF"/>
          <w:lang w:val="en-US" w:eastAsia="zh-CN"/>
        </w:rPr>
        <w:t>9</w:t>
      </w:r>
      <w:r>
        <w:rPr>
          <w:rFonts w:hint="eastAsia"/>
          <w:color w:val="0000FF"/>
        </w:rPr>
        <w:t>月</w:t>
      </w:r>
      <w:r>
        <w:rPr>
          <w:rFonts w:hint="eastAsia"/>
          <w:color w:val="0000FF"/>
          <w:lang w:val="en-US" w:eastAsia="zh-CN"/>
        </w:rPr>
        <w:t>19</w:t>
      </w:r>
      <w:r>
        <w:rPr>
          <w:rFonts w:hint="eastAsia"/>
          <w:color w:val="0000FF"/>
        </w:rPr>
        <w:t>日。</w:t>
      </w:r>
    </w:p>
    <w:p>
      <w:pPr>
        <w:ind w:firstLine="480"/>
        <w:rPr>
          <w:rFonts w:hint="eastAsia"/>
          <w:color w:val="0000FF"/>
        </w:rPr>
      </w:pPr>
      <w:r>
        <w:rPr>
          <w:rFonts w:hint="eastAsia" w:ascii="Calibri" w:eastAsia="宋体"/>
          <w:color w:val="0000FF"/>
          <w:lang w:val="en-US" w:eastAsia="zh-CN"/>
        </w:rPr>
        <w:t>右10#墩塔机</w:t>
      </w:r>
      <w:r>
        <w:rPr>
          <w:color w:val="0000FF"/>
        </w:rPr>
        <w:fldChar w:fldCharType="begin"/>
      </w:r>
      <w:r>
        <w:rPr>
          <w:color w:val="0000FF"/>
        </w:rPr>
        <w:instrText xml:space="preserve"> </w:instrText>
      </w:r>
      <w:r>
        <w:rPr>
          <w:rFonts w:hint="eastAsia"/>
          <w:color w:val="0000FF"/>
        </w:rPr>
        <w:instrText xml:space="preserve">REF 设备型号1 \h</w:instrText>
      </w:r>
      <w:r>
        <w:rPr>
          <w:color w:val="0000FF"/>
        </w:rPr>
        <w:instrText xml:space="preserve">  \* MERGEFORMAT </w:instrText>
      </w:r>
      <w:r>
        <w:rPr>
          <w:color w:val="0000FF"/>
        </w:rPr>
        <w:fldChar w:fldCharType="separate"/>
      </w:r>
      <w:r>
        <w:rPr>
          <w:rFonts w:hint="eastAsia" w:eastAsia="宋体"/>
          <w:color w:val="0000FF"/>
          <w:lang w:eastAsia="zh-CN"/>
        </w:rPr>
        <w:t>XGT6515-10S</w:t>
      </w:r>
      <w:r>
        <w:rPr>
          <w:color w:val="0000FF"/>
        </w:rPr>
        <w:fldChar w:fldCharType="end"/>
      </w:r>
      <w:r>
        <w:rPr>
          <w:color w:val="0000FF"/>
        </w:rPr>
        <w:fldChar w:fldCharType="begin"/>
      </w:r>
      <w:r>
        <w:rPr>
          <w:color w:val="0000FF"/>
        </w:rPr>
        <w:instrText xml:space="preserve"> REF 设备类型 \h  \* MERGEFORMAT </w:instrText>
      </w:r>
      <w:r>
        <w:rPr>
          <w:color w:val="0000FF"/>
        </w:rPr>
        <w:fldChar w:fldCharType="separate"/>
      </w:r>
      <w:r>
        <w:rPr>
          <w:rFonts w:hint="eastAsia"/>
          <w:color w:val="0000FF"/>
        </w:rPr>
        <w:t>塔式起重机</w:t>
      </w:r>
      <w:r>
        <w:rPr>
          <w:color w:val="0000FF"/>
        </w:rPr>
        <w:fldChar w:fldCharType="end"/>
      </w:r>
      <w:r>
        <w:rPr>
          <w:color w:val="0000FF"/>
        </w:rPr>
        <w:t>安装</w:t>
      </w:r>
      <w:r>
        <w:rPr>
          <w:rFonts w:hint="eastAsia"/>
          <w:color w:val="0000FF"/>
        </w:rPr>
        <w:t>施工工期为</w:t>
      </w:r>
      <w:r>
        <w:rPr>
          <w:rFonts w:hint="eastAsia" w:ascii="Calibri" w:eastAsia="宋体"/>
          <w:color w:val="0000FF"/>
          <w:lang w:val="en-US" w:eastAsia="zh-CN"/>
        </w:rPr>
        <w:t>4</w:t>
      </w:r>
      <w:r>
        <w:rPr>
          <w:rFonts w:hint="eastAsia"/>
          <w:color w:val="0000FF"/>
        </w:rPr>
        <w:t>天，施工计划开始时间为202</w:t>
      </w:r>
      <w:r>
        <w:rPr>
          <w:color w:val="0000FF"/>
        </w:rPr>
        <w:t>3</w:t>
      </w:r>
      <w:r>
        <w:rPr>
          <w:rFonts w:hint="eastAsia"/>
          <w:color w:val="0000FF"/>
        </w:rPr>
        <w:t>年</w:t>
      </w:r>
      <w:r>
        <w:rPr>
          <w:rFonts w:hint="eastAsia" w:ascii="Calibri" w:eastAsia="宋体"/>
          <w:color w:val="0000FF"/>
          <w:lang w:val="en-US" w:eastAsia="zh-CN"/>
        </w:rPr>
        <w:t>9</w:t>
      </w:r>
      <w:r>
        <w:rPr>
          <w:rFonts w:hint="eastAsia"/>
          <w:color w:val="0000FF"/>
        </w:rPr>
        <w:t>月</w:t>
      </w:r>
      <w:r>
        <w:rPr>
          <w:rFonts w:hint="eastAsia" w:ascii="Calibri" w:eastAsia="宋体"/>
          <w:color w:val="0000FF"/>
          <w:lang w:val="en-US" w:eastAsia="zh-CN"/>
        </w:rPr>
        <w:t>25</w:t>
      </w:r>
      <w:r>
        <w:rPr>
          <w:rFonts w:hint="eastAsia"/>
          <w:color w:val="0000FF"/>
        </w:rPr>
        <w:t>日，完成时间为202</w:t>
      </w:r>
      <w:r>
        <w:rPr>
          <w:color w:val="0000FF"/>
        </w:rPr>
        <w:t>3</w:t>
      </w:r>
      <w:r>
        <w:rPr>
          <w:rFonts w:hint="eastAsia"/>
          <w:color w:val="0000FF"/>
        </w:rPr>
        <w:t>年</w:t>
      </w:r>
      <w:r>
        <w:rPr>
          <w:rFonts w:hint="eastAsia" w:ascii="Calibri" w:eastAsia="宋体"/>
          <w:color w:val="0000FF"/>
          <w:lang w:val="en-US" w:eastAsia="zh-CN"/>
        </w:rPr>
        <w:t>9</w:t>
      </w:r>
      <w:r>
        <w:rPr>
          <w:rFonts w:hint="eastAsia"/>
          <w:color w:val="0000FF"/>
        </w:rPr>
        <w:t>月</w:t>
      </w:r>
      <w:r>
        <w:rPr>
          <w:rFonts w:hint="eastAsia"/>
          <w:color w:val="0000FF"/>
          <w:lang w:val="en-US" w:eastAsia="zh-CN"/>
        </w:rPr>
        <w:t>29</w:t>
      </w:r>
      <w:r>
        <w:rPr>
          <w:rFonts w:hint="eastAsia"/>
          <w:color w:val="0000FF"/>
        </w:rPr>
        <w:t>日。</w:t>
      </w:r>
    </w:p>
    <w:p>
      <w:pPr>
        <w:ind w:firstLine="480"/>
        <w:rPr>
          <w:rFonts w:hint="eastAsia"/>
          <w:color w:val="0000FF"/>
        </w:rPr>
      </w:pPr>
      <w:r>
        <w:rPr>
          <w:rFonts w:hint="eastAsia" w:ascii="Calibri" w:eastAsia="宋体"/>
          <w:color w:val="0000FF"/>
          <w:lang w:val="en-US" w:eastAsia="zh-CN"/>
        </w:rPr>
        <w:t>左10#墩塔机</w:t>
      </w:r>
      <w:r>
        <w:rPr>
          <w:color w:val="0000FF"/>
        </w:rPr>
        <w:fldChar w:fldCharType="begin"/>
      </w:r>
      <w:r>
        <w:rPr>
          <w:color w:val="0000FF"/>
        </w:rPr>
        <w:instrText xml:space="preserve"> </w:instrText>
      </w:r>
      <w:r>
        <w:rPr>
          <w:rFonts w:hint="eastAsia"/>
          <w:color w:val="0000FF"/>
        </w:rPr>
        <w:instrText xml:space="preserve">REF 设备型号1 \h</w:instrText>
      </w:r>
      <w:r>
        <w:rPr>
          <w:color w:val="0000FF"/>
        </w:rPr>
        <w:instrText xml:space="preserve">  \* MERGEFORMAT </w:instrText>
      </w:r>
      <w:r>
        <w:rPr>
          <w:color w:val="0000FF"/>
        </w:rPr>
        <w:fldChar w:fldCharType="separate"/>
      </w:r>
      <w:r>
        <w:rPr>
          <w:rFonts w:hint="eastAsia" w:eastAsia="宋体"/>
          <w:color w:val="0000FF"/>
          <w:lang w:eastAsia="zh-CN"/>
        </w:rPr>
        <w:t>XGT6515-10S</w:t>
      </w:r>
      <w:r>
        <w:rPr>
          <w:color w:val="0000FF"/>
        </w:rPr>
        <w:fldChar w:fldCharType="end"/>
      </w:r>
      <w:r>
        <w:rPr>
          <w:color w:val="0000FF"/>
        </w:rPr>
        <w:fldChar w:fldCharType="begin"/>
      </w:r>
      <w:r>
        <w:rPr>
          <w:color w:val="0000FF"/>
        </w:rPr>
        <w:instrText xml:space="preserve"> REF 设备类型 \h  \* MERGEFORMAT </w:instrText>
      </w:r>
      <w:r>
        <w:rPr>
          <w:color w:val="0000FF"/>
        </w:rPr>
        <w:fldChar w:fldCharType="separate"/>
      </w:r>
      <w:r>
        <w:rPr>
          <w:rFonts w:hint="eastAsia"/>
          <w:color w:val="0000FF"/>
        </w:rPr>
        <w:t>塔式起重机</w:t>
      </w:r>
      <w:r>
        <w:rPr>
          <w:color w:val="0000FF"/>
        </w:rPr>
        <w:fldChar w:fldCharType="end"/>
      </w:r>
      <w:r>
        <w:rPr>
          <w:color w:val="0000FF"/>
        </w:rPr>
        <w:t>安装</w:t>
      </w:r>
      <w:r>
        <w:rPr>
          <w:rFonts w:hint="eastAsia"/>
          <w:color w:val="0000FF"/>
        </w:rPr>
        <w:t>施工工期为</w:t>
      </w:r>
      <w:r>
        <w:rPr>
          <w:rFonts w:hint="eastAsia" w:ascii="Calibri" w:eastAsia="宋体"/>
          <w:color w:val="0000FF"/>
          <w:lang w:val="en-US" w:eastAsia="zh-CN"/>
        </w:rPr>
        <w:t>4</w:t>
      </w:r>
      <w:r>
        <w:rPr>
          <w:rFonts w:hint="eastAsia"/>
          <w:color w:val="0000FF"/>
        </w:rPr>
        <w:t>天，施工计划开始时间为202</w:t>
      </w:r>
      <w:r>
        <w:rPr>
          <w:rFonts w:hint="eastAsia"/>
          <w:color w:val="0000FF"/>
          <w:lang w:val="en-US" w:eastAsia="zh-CN"/>
        </w:rPr>
        <w:t>4</w:t>
      </w:r>
      <w:r>
        <w:rPr>
          <w:rFonts w:hint="eastAsia"/>
          <w:color w:val="0000FF"/>
        </w:rPr>
        <w:t>年</w:t>
      </w:r>
      <w:r>
        <w:rPr>
          <w:rFonts w:hint="eastAsia" w:ascii="Calibri" w:eastAsia="宋体"/>
          <w:color w:val="0000FF"/>
          <w:lang w:val="en-US" w:eastAsia="zh-CN"/>
        </w:rPr>
        <w:t>1</w:t>
      </w:r>
      <w:r>
        <w:rPr>
          <w:rFonts w:hint="eastAsia"/>
          <w:color w:val="0000FF"/>
        </w:rPr>
        <w:t>月</w:t>
      </w:r>
      <w:r>
        <w:rPr>
          <w:rFonts w:hint="eastAsia" w:ascii="Calibri" w:eastAsia="宋体"/>
          <w:color w:val="0000FF"/>
          <w:lang w:val="en-US" w:eastAsia="zh-CN"/>
        </w:rPr>
        <w:t>1</w:t>
      </w:r>
      <w:r>
        <w:rPr>
          <w:rFonts w:hint="eastAsia"/>
          <w:color w:val="0000FF"/>
        </w:rPr>
        <w:t>日，完成时间为202</w:t>
      </w:r>
      <w:r>
        <w:rPr>
          <w:rFonts w:hint="eastAsia"/>
          <w:color w:val="0000FF"/>
          <w:lang w:val="en-US" w:eastAsia="zh-CN"/>
        </w:rPr>
        <w:t>4</w:t>
      </w:r>
      <w:r>
        <w:rPr>
          <w:rFonts w:hint="eastAsia"/>
          <w:color w:val="0000FF"/>
        </w:rPr>
        <w:t>年</w:t>
      </w:r>
      <w:r>
        <w:rPr>
          <w:rFonts w:hint="eastAsia" w:ascii="Calibri" w:eastAsia="宋体"/>
          <w:color w:val="0000FF"/>
          <w:lang w:val="en-US" w:eastAsia="zh-CN"/>
        </w:rPr>
        <w:t>1</w:t>
      </w:r>
      <w:r>
        <w:rPr>
          <w:rFonts w:hint="eastAsia"/>
          <w:color w:val="0000FF"/>
        </w:rPr>
        <w:t>月</w:t>
      </w:r>
      <w:r>
        <w:rPr>
          <w:rFonts w:hint="eastAsia"/>
          <w:color w:val="0000FF"/>
          <w:lang w:val="en-US" w:eastAsia="zh-CN"/>
        </w:rPr>
        <w:t>5</w:t>
      </w:r>
      <w:r>
        <w:rPr>
          <w:rFonts w:hint="eastAsia"/>
          <w:color w:val="0000FF"/>
        </w:rPr>
        <w:t>日。</w:t>
      </w:r>
    </w:p>
    <w:p>
      <w:pPr>
        <w:ind w:firstLine="480"/>
        <w:rPr>
          <w:rFonts w:hint="eastAsia"/>
          <w:color w:val="0000FF"/>
        </w:rPr>
      </w:pPr>
      <w:r>
        <w:rPr>
          <w:rFonts w:hint="eastAsia" w:ascii="Calibri" w:eastAsia="宋体"/>
          <w:color w:val="0000FF"/>
          <w:lang w:val="en-US" w:eastAsia="zh-CN"/>
        </w:rPr>
        <w:t>右12#墩塔机</w:t>
      </w:r>
      <w:r>
        <w:rPr>
          <w:color w:val="0000FF"/>
        </w:rPr>
        <w:fldChar w:fldCharType="begin"/>
      </w:r>
      <w:r>
        <w:rPr>
          <w:color w:val="0000FF"/>
        </w:rPr>
        <w:instrText xml:space="preserve"> </w:instrText>
      </w:r>
      <w:r>
        <w:rPr>
          <w:rFonts w:hint="eastAsia"/>
          <w:color w:val="0000FF"/>
        </w:rPr>
        <w:instrText xml:space="preserve">REF 设备型号1 \h</w:instrText>
      </w:r>
      <w:r>
        <w:rPr>
          <w:color w:val="0000FF"/>
        </w:rPr>
        <w:instrText xml:space="preserve">  \* MERGEFORMAT </w:instrText>
      </w:r>
      <w:r>
        <w:rPr>
          <w:color w:val="0000FF"/>
        </w:rPr>
        <w:fldChar w:fldCharType="separate"/>
      </w:r>
      <w:r>
        <w:rPr>
          <w:rFonts w:hint="eastAsia" w:eastAsia="宋体"/>
          <w:color w:val="0000FF"/>
          <w:lang w:eastAsia="zh-CN"/>
        </w:rPr>
        <w:t>XGT6515-10S</w:t>
      </w:r>
      <w:r>
        <w:rPr>
          <w:color w:val="0000FF"/>
        </w:rPr>
        <w:fldChar w:fldCharType="end"/>
      </w:r>
      <w:r>
        <w:rPr>
          <w:color w:val="0000FF"/>
        </w:rPr>
        <w:fldChar w:fldCharType="begin"/>
      </w:r>
      <w:r>
        <w:rPr>
          <w:color w:val="0000FF"/>
        </w:rPr>
        <w:instrText xml:space="preserve"> REF 设备类型 \h  \* MERGEFORMAT </w:instrText>
      </w:r>
      <w:r>
        <w:rPr>
          <w:color w:val="0000FF"/>
        </w:rPr>
        <w:fldChar w:fldCharType="separate"/>
      </w:r>
      <w:r>
        <w:rPr>
          <w:rFonts w:hint="eastAsia"/>
          <w:color w:val="0000FF"/>
        </w:rPr>
        <w:t>塔式起重机</w:t>
      </w:r>
      <w:r>
        <w:rPr>
          <w:color w:val="0000FF"/>
        </w:rPr>
        <w:fldChar w:fldCharType="end"/>
      </w:r>
      <w:r>
        <w:rPr>
          <w:color w:val="0000FF"/>
        </w:rPr>
        <w:t>安装</w:t>
      </w:r>
      <w:r>
        <w:rPr>
          <w:rFonts w:hint="eastAsia"/>
          <w:color w:val="0000FF"/>
        </w:rPr>
        <w:t>施工工期为</w:t>
      </w:r>
      <w:r>
        <w:rPr>
          <w:rFonts w:hint="eastAsia" w:ascii="Calibri" w:eastAsia="宋体"/>
          <w:color w:val="0000FF"/>
          <w:lang w:val="en-US" w:eastAsia="zh-CN"/>
        </w:rPr>
        <w:t>4</w:t>
      </w:r>
      <w:r>
        <w:rPr>
          <w:rFonts w:hint="eastAsia"/>
          <w:color w:val="0000FF"/>
        </w:rPr>
        <w:t>天，施工计划开始时间为202</w:t>
      </w:r>
      <w:r>
        <w:rPr>
          <w:rFonts w:hint="eastAsia"/>
          <w:color w:val="0000FF"/>
          <w:lang w:val="en-US" w:eastAsia="zh-CN"/>
        </w:rPr>
        <w:t>4</w:t>
      </w:r>
      <w:r>
        <w:rPr>
          <w:rFonts w:hint="eastAsia"/>
          <w:color w:val="0000FF"/>
        </w:rPr>
        <w:t>年</w:t>
      </w:r>
      <w:r>
        <w:rPr>
          <w:rFonts w:hint="eastAsia" w:ascii="Calibri" w:eastAsia="宋体"/>
          <w:color w:val="0000FF"/>
          <w:lang w:val="en-US" w:eastAsia="zh-CN"/>
        </w:rPr>
        <w:t>1</w:t>
      </w:r>
      <w:r>
        <w:rPr>
          <w:rFonts w:hint="eastAsia"/>
          <w:color w:val="0000FF"/>
        </w:rPr>
        <w:t>月</w:t>
      </w:r>
      <w:r>
        <w:rPr>
          <w:rFonts w:hint="eastAsia" w:ascii="Calibri" w:eastAsia="宋体"/>
          <w:color w:val="0000FF"/>
          <w:lang w:val="en-US" w:eastAsia="zh-CN"/>
        </w:rPr>
        <w:t>11</w:t>
      </w:r>
      <w:r>
        <w:rPr>
          <w:rFonts w:hint="eastAsia"/>
          <w:color w:val="0000FF"/>
        </w:rPr>
        <w:t>日，完成时间为202</w:t>
      </w:r>
      <w:r>
        <w:rPr>
          <w:rFonts w:hint="eastAsia"/>
          <w:color w:val="0000FF"/>
          <w:lang w:val="en-US" w:eastAsia="zh-CN"/>
        </w:rPr>
        <w:t>4</w:t>
      </w:r>
      <w:r>
        <w:rPr>
          <w:rFonts w:hint="eastAsia"/>
          <w:color w:val="0000FF"/>
        </w:rPr>
        <w:t>年</w:t>
      </w:r>
      <w:r>
        <w:rPr>
          <w:rFonts w:hint="eastAsia" w:ascii="Calibri" w:eastAsia="宋体"/>
          <w:color w:val="0000FF"/>
          <w:lang w:val="en-US" w:eastAsia="zh-CN"/>
        </w:rPr>
        <w:t>1</w:t>
      </w:r>
      <w:r>
        <w:rPr>
          <w:rFonts w:hint="eastAsia"/>
          <w:color w:val="0000FF"/>
        </w:rPr>
        <w:t>月</w:t>
      </w:r>
      <w:r>
        <w:rPr>
          <w:rFonts w:hint="eastAsia"/>
          <w:color w:val="0000FF"/>
          <w:lang w:val="en-US" w:eastAsia="zh-CN"/>
        </w:rPr>
        <w:t>15</w:t>
      </w:r>
      <w:r>
        <w:rPr>
          <w:rFonts w:hint="eastAsia"/>
          <w:color w:val="0000FF"/>
        </w:rPr>
        <w:t>日。</w:t>
      </w:r>
    </w:p>
    <w:p>
      <w:pPr>
        <w:ind w:firstLine="480"/>
        <w:rPr>
          <w:rFonts w:hint="eastAsia" w:ascii="Times New Roman" w:hAnsi="Times New Roman" w:eastAsia="宋体" w:cs="Times New Roman"/>
          <w:color w:val="0000FF"/>
        </w:rPr>
      </w:pPr>
      <w:r>
        <w:rPr>
          <w:rFonts w:hint="eastAsia" w:ascii="Times New Roman" w:hAnsi="Times New Roman" w:eastAsia="宋体" w:cs="Times New Roman"/>
          <w:color w:val="0000FF"/>
          <w:lang w:val="en-US" w:eastAsia="zh-CN"/>
        </w:rPr>
        <w:t>左8#墩塔机</w:t>
      </w:r>
      <w:r>
        <w:rPr>
          <w:rFonts w:ascii="Times New Roman" w:hAnsi="Times New Roman" w:eastAsia="宋体" w:cs="Times New Roman"/>
          <w:color w:val="0000FF"/>
        </w:rPr>
        <w:fldChar w:fldCharType="begin"/>
      </w:r>
      <w:r>
        <w:rPr>
          <w:rFonts w:ascii="Times New Roman" w:hAnsi="Times New Roman" w:eastAsia="宋体" w:cs="Times New Roman"/>
          <w:color w:val="0000FF"/>
        </w:rPr>
        <w:instrText xml:space="preserve"> </w:instrText>
      </w:r>
      <w:r>
        <w:rPr>
          <w:rFonts w:hint="eastAsia" w:ascii="Times New Roman" w:hAnsi="Times New Roman" w:eastAsia="宋体" w:cs="Times New Roman"/>
          <w:color w:val="0000FF"/>
        </w:rPr>
        <w:instrText xml:space="preserve">REF 设备型号1 \h</w:instrText>
      </w:r>
      <w:r>
        <w:rPr>
          <w:rFonts w:ascii="Times New Roman" w:hAnsi="Times New Roman" w:eastAsia="宋体" w:cs="Times New Roman"/>
          <w:color w:val="0000FF"/>
        </w:rPr>
        <w:instrText xml:space="preserve">  \* MERGEFORMAT </w:instrText>
      </w:r>
      <w:r>
        <w:rPr>
          <w:rFonts w:ascii="Times New Roman" w:hAnsi="Times New Roman" w:eastAsia="宋体" w:cs="Times New Roman"/>
          <w:color w:val="0000FF"/>
        </w:rPr>
        <w:fldChar w:fldCharType="separate"/>
      </w:r>
      <w:r>
        <w:rPr>
          <w:rFonts w:hint="eastAsia" w:ascii="Times New Roman" w:hAnsi="Times New Roman" w:eastAsia="宋体" w:cs="Times New Roman"/>
          <w:color w:val="0000FF"/>
          <w:lang w:eastAsia="zh-CN"/>
        </w:rPr>
        <w:t>XGT6515-10S</w:t>
      </w:r>
      <w:r>
        <w:rPr>
          <w:rFonts w:ascii="Times New Roman" w:hAnsi="Times New Roman" w:eastAsia="宋体" w:cs="Times New Roman"/>
          <w:color w:val="0000FF"/>
        </w:rPr>
        <w:fldChar w:fldCharType="end"/>
      </w:r>
      <w:r>
        <w:rPr>
          <w:rFonts w:ascii="Times New Roman" w:hAnsi="Times New Roman" w:eastAsia="宋体" w:cs="Times New Roman"/>
          <w:color w:val="0000FF"/>
        </w:rPr>
        <w:fldChar w:fldCharType="begin"/>
      </w:r>
      <w:r>
        <w:rPr>
          <w:rFonts w:ascii="Times New Roman" w:hAnsi="Times New Roman" w:eastAsia="宋体" w:cs="Times New Roman"/>
          <w:color w:val="0000FF"/>
        </w:rPr>
        <w:instrText xml:space="preserve"> REF 设备类型 \h  \* MERGEFORMAT </w:instrText>
      </w:r>
      <w:r>
        <w:rPr>
          <w:rFonts w:ascii="Times New Roman" w:hAnsi="Times New Roman" w:eastAsia="宋体" w:cs="Times New Roman"/>
          <w:color w:val="0000FF"/>
        </w:rPr>
        <w:fldChar w:fldCharType="separate"/>
      </w:r>
      <w:r>
        <w:rPr>
          <w:rFonts w:hint="eastAsia" w:ascii="Times New Roman" w:hAnsi="Times New Roman" w:eastAsia="宋体" w:cs="Times New Roman"/>
          <w:color w:val="0000FF"/>
        </w:rPr>
        <w:t>塔式起重机</w:t>
      </w:r>
      <w:r>
        <w:rPr>
          <w:rFonts w:ascii="Times New Roman" w:hAnsi="Times New Roman" w:eastAsia="宋体" w:cs="Times New Roman"/>
          <w:color w:val="0000FF"/>
        </w:rPr>
        <w:fldChar w:fldCharType="end"/>
      </w:r>
      <w:r>
        <w:rPr>
          <w:rFonts w:hint="eastAsia" w:ascii="Times New Roman" w:hAnsi="Times New Roman" w:eastAsia="宋体" w:cs="Times New Roman"/>
          <w:color w:val="0000FF"/>
          <w:lang w:val="en-US" w:eastAsia="zh-CN"/>
        </w:rPr>
        <w:t>拆卸</w:t>
      </w:r>
      <w:r>
        <w:rPr>
          <w:rFonts w:hint="eastAsia" w:ascii="Times New Roman" w:hAnsi="Times New Roman" w:eastAsia="宋体" w:cs="Times New Roman"/>
          <w:color w:val="0000FF"/>
        </w:rPr>
        <w:t>施工工期为</w:t>
      </w:r>
      <w:r>
        <w:rPr>
          <w:rFonts w:hint="eastAsia" w:ascii="Times New Roman" w:hAnsi="Times New Roman" w:eastAsia="宋体" w:cs="Times New Roman"/>
          <w:color w:val="0000FF"/>
          <w:lang w:val="en-US" w:eastAsia="zh-CN"/>
        </w:rPr>
        <w:t>4</w:t>
      </w:r>
      <w:r>
        <w:rPr>
          <w:rFonts w:hint="eastAsia" w:ascii="Times New Roman" w:hAnsi="Times New Roman" w:eastAsia="宋体" w:cs="Times New Roman"/>
          <w:color w:val="0000FF"/>
        </w:rPr>
        <w:t>天，施工计划开始时间为202</w:t>
      </w:r>
      <w:r>
        <w:rPr>
          <w:rFonts w:ascii="Times New Roman" w:hAnsi="Times New Roman" w:eastAsia="宋体" w:cs="Times New Roman"/>
          <w:color w:val="0000FF"/>
        </w:rPr>
        <w:t>3</w:t>
      </w:r>
      <w:r>
        <w:rPr>
          <w:rFonts w:hint="eastAsia" w:ascii="Times New Roman" w:hAnsi="Times New Roman" w:eastAsia="宋体" w:cs="Times New Roman"/>
          <w:color w:val="0000FF"/>
        </w:rPr>
        <w:t>年</w:t>
      </w:r>
      <w:r>
        <w:rPr>
          <w:rFonts w:hint="eastAsia" w:ascii="Times New Roman" w:hAnsi="Times New Roman" w:eastAsia="宋体" w:cs="Times New Roman"/>
          <w:color w:val="0000FF"/>
          <w:lang w:val="en-US" w:eastAsia="zh-CN"/>
        </w:rPr>
        <w:t>12</w:t>
      </w:r>
      <w:r>
        <w:rPr>
          <w:rFonts w:hint="eastAsia" w:ascii="Times New Roman" w:hAnsi="Times New Roman" w:eastAsia="宋体" w:cs="Times New Roman"/>
          <w:color w:val="0000FF"/>
        </w:rPr>
        <w:t>月</w:t>
      </w:r>
      <w:r>
        <w:rPr>
          <w:rFonts w:hint="eastAsia" w:ascii="Times New Roman" w:hAnsi="Times New Roman" w:eastAsia="宋体" w:cs="Times New Roman"/>
          <w:color w:val="0000FF"/>
          <w:lang w:val="en-US" w:eastAsia="zh-CN"/>
        </w:rPr>
        <w:t>15</w:t>
      </w:r>
      <w:r>
        <w:rPr>
          <w:rFonts w:hint="eastAsia" w:ascii="Times New Roman" w:hAnsi="Times New Roman" w:eastAsia="宋体" w:cs="Times New Roman"/>
          <w:color w:val="0000FF"/>
        </w:rPr>
        <w:t>日，完成时间为202</w:t>
      </w:r>
      <w:r>
        <w:rPr>
          <w:rFonts w:ascii="Times New Roman" w:hAnsi="Times New Roman" w:eastAsia="宋体" w:cs="Times New Roman"/>
          <w:color w:val="0000FF"/>
        </w:rPr>
        <w:t>3</w:t>
      </w:r>
      <w:r>
        <w:rPr>
          <w:rFonts w:hint="eastAsia" w:ascii="Times New Roman" w:hAnsi="Times New Roman" w:eastAsia="宋体" w:cs="Times New Roman"/>
          <w:color w:val="0000FF"/>
        </w:rPr>
        <w:t>年</w:t>
      </w:r>
      <w:r>
        <w:rPr>
          <w:rFonts w:hint="eastAsia" w:ascii="Times New Roman" w:hAnsi="Times New Roman" w:eastAsia="宋体" w:cs="Times New Roman"/>
          <w:color w:val="0000FF"/>
          <w:lang w:val="en-US" w:eastAsia="zh-CN"/>
        </w:rPr>
        <w:t>12</w:t>
      </w:r>
      <w:r>
        <w:rPr>
          <w:rFonts w:hint="eastAsia" w:ascii="Times New Roman" w:hAnsi="Times New Roman" w:eastAsia="宋体" w:cs="Times New Roman"/>
          <w:color w:val="0000FF"/>
        </w:rPr>
        <w:t>月</w:t>
      </w:r>
      <w:r>
        <w:rPr>
          <w:rFonts w:hint="eastAsia" w:ascii="Times New Roman" w:hAnsi="Times New Roman" w:eastAsia="宋体" w:cs="Times New Roman"/>
          <w:color w:val="0000FF"/>
          <w:lang w:val="en-US" w:eastAsia="zh-CN"/>
        </w:rPr>
        <w:t>19</w:t>
      </w:r>
      <w:r>
        <w:rPr>
          <w:rFonts w:hint="eastAsia" w:ascii="Times New Roman" w:hAnsi="Times New Roman" w:eastAsia="宋体" w:cs="Times New Roman"/>
          <w:color w:val="0000FF"/>
        </w:rPr>
        <w:t>日。</w:t>
      </w:r>
    </w:p>
    <w:p>
      <w:pPr>
        <w:ind w:firstLine="480"/>
        <w:rPr>
          <w:rFonts w:hint="eastAsia" w:ascii="Times New Roman" w:hAnsi="Times New Roman" w:eastAsia="宋体" w:cs="Times New Roman"/>
          <w:color w:val="0000FF"/>
        </w:rPr>
      </w:pPr>
      <w:r>
        <w:rPr>
          <w:rFonts w:hint="eastAsia" w:ascii="Calibri" w:hAnsi="Times New Roman" w:eastAsia="宋体" w:cs="Times New Roman"/>
          <w:color w:val="0000FF"/>
          <w:lang w:val="en-US" w:eastAsia="zh-CN"/>
        </w:rPr>
        <w:t>右10#墩塔机</w:t>
      </w:r>
      <w:r>
        <w:rPr>
          <w:rFonts w:ascii="Times New Roman" w:hAnsi="Times New Roman" w:eastAsia="宋体" w:cs="Times New Roman"/>
          <w:color w:val="0000FF"/>
        </w:rPr>
        <w:fldChar w:fldCharType="begin"/>
      </w:r>
      <w:r>
        <w:rPr>
          <w:rFonts w:ascii="Times New Roman" w:hAnsi="Times New Roman" w:eastAsia="宋体" w:cs="Times New Roman"/>
          <w:color w:val="0000FF"/>
        </w:rPr>
        <w:instrText xml:space="preserve"> </w:instrText>
      </w:r>
      <w:r>
        <w:rPr>
          <w:rFonts w:hint="eastAsia" w:ascii="Times New Roman" w:hAnsi="Times New Roman" w:eastAsia="宋体" w:cs="Times New Roman"/>
          <w:color w:val="0000FF"/>
        </w:rPr>
        <w:instrText xml:space="preserve">REF 设备型号1 \h</w:instrText>
      </w:r>
      <w:r>
        <w:rPr>
          <w:rFonts w:ascii="Times New Roman" w:hAnsi="Times New Roman" w:eastAsia="宋体" w:cs="Times New Roman"/>
          <w:color w:val="0000FF"/>
        </w:rPr>
        <w:instrText xml:space="preserve">  \* MERGEFORMAT </w:instrText>
      </w:r>
      <w:r>
        <w:rPr>
          <w:rFonts w:ascii="Times New Roman" w:hAnsi="Times New Roman" w:eastAsia="宋体" w:cs="Times New Roman"/>
          <w:color w:val="0000FF"/>
        </w:rPr>
        <w:fldChar w:fldCharType="separate"/>
      </w:r>
      <w:r>
        <w:rPr>
          <w:rFonts w:hint="eastAsia" w:ascii="Times New Roman" w:hAnsi="Times New Roman" w:eastAsia="宋体" w:cs="Times New Roman"/>
          <w:color w:val="0000FF"/>
          <w:lang w:eastAsia="zh-CN"/>
        </w:rPr>
        <w:t>XGT6515-10S</w:t>
      </w:r>
      <w:r>
        <w:rPr>
          <w:rFonts w:ascii="Times New Roman" w:hAnsi="Times New Roman" w:eastAsia="宋体" w:cs="Times New Roman"/>
          <w:color w:val="0000FF"/>
        </w:rPr>
        <w:fldChar w:fldCharType="end"/>
      </w:r>
      <w:r>
        <w:rPr>
          <w:rFonts w:ascii="Times New Roman" w:hAnsi="Times New Roman" w:eastAsia="宋体" w:cs="Times New Roman"/>
          <w:color w:val="0000FF"/>
        </w:rPr>
        <w:fldChar w:fldCharType="begin"/>
      </w:r>
      <w:r>
        <w:rPr>
          <w:rFonts w:ascii="Times New Roman" w:hAnsi="Times New Roman" w:eastAsia="宋体" w:cs="Times New Roman"/>
          <w:color w:val="0000FF"/>
        </w:rPr>
        <w:instrText xml:space="preserve"> REF 设备类型 \h  \* MERGEFORMAT </w:instrText>
      </w:r>
      <w:r>
        <w:rPr>
          <w:rFonts w:ascii="Times New Roman" w:hAnsi="Times New Roman" w:eastAsia="宋体" w:cs="Times New Roman"/>
          <w:color w:val="0000FF"/>
        </w:rPr>
        <w:fldChar w:fldCharType="separate"/>
      </w:r>
      <w:r>
        <w:rPr>
          <w:rFonts w:hint="eastAsia" w:ascii="Times New Roman" w:hAnsi="Times New Roman" w:eastAsia="宋体" w:cs="Times New Roman"/>
          <w:color w:val="0000FF"/>
        </w:rPr>
        <w:t>塔式起重机</w:t>
      </w:r>
      <w:r>
        <w:rPr>
          <w:rFonts w:ascii="Times New Roman" w:hAnsi="Times New Roman" w:eastAsia="宋体" w:cs="Times New Roman"/>
          <w:color w:val="0000FF"/>
        </w:rPr>
        <w:fldChar w:fldCharType="end"/>
      </w:r>
      <w:r>
        <w:rPr>
          <w:rFonts w:hint="eastAsia" w:ascii="Times New Roman" w:hAnsi="Times New Roman" w:eastAsia="宋体" w:cs="Times New Roman"/>
          <w:color w:val="0000FF"/>
          <w:lang w:val="en-US" w:eastAsia="zh-CN"/>
        </w:rPr>
        <w:t>拆卸</w:t>
      </w:r>
      <w:r>
        <w:rPr>
          <w:rFonts w:hint="eastAsia" w:ascii="Times New Roman" w:hAnsi="Times New Roman" w:eastAsia="宋体" w:cs="Times New Roman"/>
          <w:color w:val="0000FF"/>
        </w:rPr>
        <w:t>施工工期为</w:t>
      </w:r>
      <w:r>
        <w:rPr>
          <w:rFonts w:hint="eastAsia" w:ascii="Calibri" w:hAnsi="Times New Roman" w:eastAsia="宋体" w:cs="Times New Roman"/>
          <w:color w:val="0000FF"/>
          <w:lang w:val="en-US" w:eastAsia="zh-CN"/>
        </w:rPr>
        <w:t>4</w:t>
      </w:r>
      <w:r>
        <w:rPr>
          <w:rFonts w:hint="eastAsia" w:ascii="Times New Roman" w:hAnsi="Times New Roman" w:eastAsia="宋体" w:cs="Times New Roman"/>
          <w:color w:val="0000FF"/>
        </w:rPr>
        <w:t>天，施工计划开始时间为202</w:t>
      </w:r>
      <w:r>
        <w:rPr>
          <w:rFonts w:ascii="Times New Roman" w:hAnsi="Times New Roman" w:eastAsia="宋体" w:cs="Times New Roman"/>
          <w:color w:val="0000FF"/>
        </w:rPr>
        <w:t>3</w:t>
      </w:r>
      <w:r>
        <w:rPr>
          <w:rFonts w:hint="eastAsia" w:ascii="Times New Roman" w:hAnsi="Times New Roman" w:eastAsia="宋体" w:cs="Times New Roman"/>
          <w:color w:val="0000FF"/>
        </w:rPr>
        <w:t>年</w:t>
      </w:r>
      <w:r>
        <w:rPr>
          <w:rFonts w:hint="eastAsia" w:ascii="Calibri" w:hAnsi="Times New Roman" w:eastAsia="宋体" w:cs="Times New Roman"/>
          <w:color w:val="0000FF"/>
          <w:lang w:val="en-US" w:eastAsia="zh-CN"/>
        </w:rPr>
        <w:t>12</w:t>
      </w:r>
      <w:r>
        <w:rPr>
          <w:rFonts w:hint="eastAsia" w:ascii="Times New Roman" w:hAnsi="Times New Roman" w:eastAsia="宋体" w:cs="Times New Roman"/>
          <w:color w:val="0000FF"/>
        </w:rPr>
        <w:t>月</w:t>
      </w:r>
      <w:r>
        <w:rPr>
          <w:rFonts w:hint="eastAsia" w:ascii="Calibri" w:hAnsi="Times New Roman" w:eastAsia="宋体" w:cs="Times New Roman"/>
          <w:color w:val="0000FF"/>
          <w:lang w:val="en-US" w:eastAsia="zh-CN"/>
        </w:rPr>
        <w:t>19</w:t>
      </w:r>
      <w:r>
        <w:rPr>
          <w:rFonts w:hint="eastAsia" w:ascii="Times New Roman" w:hAnsi="Times New Roman" w:eastAsia="宋体" w:cs="Times New Roman"/>
          <w:color w:val="0000FF"/>
        </w:rPr>
        <w:t>日，完成时间为202</w:t>
      </w:r>
      <w:r>
        <w:rPr>
          <w:rFonts w:ascii="Times New Roman" w:hAnsi="Times New Roman" w:eastAsia="宋体" w:cs="Times New Roman"/>
          <w:color w:val="0000FF"/>
        </w:rPr>
        <w:t>3</w:t>
      </w:r>
      <w:r>
        <w:rPr>
          <w:rFonts w:hint="eastAsia" w:ascii="Times New Roman" w:hAnsi="Times New Roman" w:eastAsia="宋体" w:cs="Times New Roman"/>
          <w:color w:val="0000FF"/>
        </w:rPr>
        <w:t>年</w:t>
      </w:r>
      <w:r>
        <w:rPr>
          <w:rFonts w:hint="eastAsia" w:ascii="Calibri" w:hAnsi="Times New Roman" w:eastAsia="宋体" w:cs="Times New Roman"/>
          <w:color w:val="0000FF"/>
          <w:lang w:val="en-US" w:eastAsia="zh-CN"/>
        </w:rPr>
        <w:t>12</w:t>
      </w:r>
      <w:r>
        <w:rPr>
          <w:rFonts w:hint="eastAsia" w:ascii="Times New Roman" w:hAnsi="Times New Roman" w:eastAsia="宋体" w:cs="Times New Roman"/>
          <w:color w:val="0000FF"/>
        </w:rPr>
        <w:t>月</w:t>
      </w:r>
      <w:r>
        <w:rPr>
          <w:rFonts w:hint="eastAsia" w:ascii="Times New Roman" w:hAnsi="Times New Roman" w:eastAsia="宋体" w:cs="Times New Roman"/>
          <w:color w:val="0000FF"/>
          <w:lang w:val="en-US" w:eastAsia="zh-CN"/>
        </w:rPr>
        <w:t>24</w:t>
      </w:r>
      <w:r>
        <w:rPr>
          <w:rFonts w:hint="eastAsia" w:ascii="Times New Roman" w:hAnsi="Times New Roman" w:eastAsia="宋体" w:cs="Times New Roman"/>
          <w:color w:val="0000FF"/>
        </w:rPr>
        <w:t>日。</w:t>
      </w:r>
    </w:p>
    <w:p>
      <w:pPr>
        <w:ind w:firstLine="480"/>
        <w:rPr>
          <w:rFonts w:hint="eastAsia" w:ascii="Times New Roman" w:hAnsi="Times New Roman" w:eastAsia="宋体" w:cs="Times New Roman"/>
          <w:color w:val="0000FF"/>
        </w:rPr>
      </w:pPr>
      <w:r>
        <w:rPr>
          <w:rFonts w:hint="eastAsia" w:ascii="Calibri" w:hAnsi="Times New Roman" w:eastAsia="宋体" w:cs="Times New Roman"/>
          <w:color w:val="0000FF"/>
          <w:lang w:val="en-US" w:eastAsia="zh-CN"/>
        </w:rPr>
        <w:t>左10#墩塔机</w:t>
      </w:r>
      <w:r>
        <w:rPr>
          <w:rFonts w:ascii="Times New Roman" w:hAnsi="Times New Roman" w:eastAsia="宋体" w:cs="Times New Roman"/>
          <w:color w:val="0000FF"/>
        </w:rPr>
        <w:fldChar w:fldCharType="begin"/>
      </w:r>
      <w:r>
        <w:rPr>
          <w:rFonts w:ascii="Times New Roman" w:hAnsi="Times New Roman" w:eastAsia="宋体" w:cs="Times New Roman"/>
          <w:color w:val="0000FF"/>
        </w:rPr>
        <w:instrText xml:space="preserve"> </w:instrText>
      </w:r>
      <w:r>
        <w:rPr>
          <w:rFonts w:hint="eastAsia" w:ascii="Times New Roman" w:hAnsi="Times New Roman" w:eastAsia="宋体" w:cs="Times New Roman"/>
          <w:color w:val="0000FF"/>
        </w:rPr>
        <w:instrText xml:space="preserve">REF 设备型号1 \h</w:instrText>
      </w:r>
      <w:r>
        <w:rPr>
          <w:rFonts w:ascii="Times New Roman" w:hAnsi="Times New Roman" w:eastAsia="宋体" w:cs="Times New Roman"/>
          <w:color w:val="0000FF"/>
        </w:rPr>
        <w:instrText xml:space="preserve">  \* MERGEFORMAT </w:instrText>
      </w:r>
      <w:r>
        <w:rPr>
          <w:rFonts w:ascii="Times New Roman" w:hAnsi="Times New Roman" w:eastAsia="宋体" w:cs="Times New Roman"/>
          <w:color w:val="0000FF"/>
        </w:rPr>
        <w:fldChar w:fldCharType="separate"/>
      </w:r>
      <w:r>
        <w:rPr>
          <w:rFonts w:hint="eastAsia" w:ascii="Times New Roman" w:hAnsi="Times New Roman" w:eastAsia="宋体" w:cs="Times New Roman"/>
          <w:color w:val="0000FF"/>
          <w:lang w:eastAsia="zh-CN"/>
        </w:rPr>
        <w:t>XGT6515-10S</w:t>
      </w:r>
      <w:r>
        <w:rPr>
          <w:rFonts w:ascii="Times New Roman" w:hAnsi="Times New Roman" w:eastAsia="宋体" w:cs="Times New Roman"/>
          <w:color w:val="0000FF"/>
        </w:rPr>
        <w:fldChar w:fldCharType="end"/>
      </w:r>
      <w:r>
        <w:rPr>
          <w:rFonts w:ascii="Times New Roman" w:hAnsi="Times New Roman" w:eastAsia="宋体" w:cs="Times New Roman"/>
          <w:color w:val="0000FF"/>
        </w:rPr>
        <w:fldChar w:fldCharType="begin"/>
      </w:r>
      <w:r>
        <w:rPr>
          <w:rFonts w:ascii="Times New Roman" w:hAnsi="Times New Roman" w:eastAsia="宋体" w:cs="Times New Roman"/>
          <w:color w:val="0000FF"/>
        </w:rPr>
        <w:instrText xml:space="preserve"> REF 设备类型 \h  \* MERGEFORMAT </w:instrText>
      </w:r>
      <w:r>
        <w:rPr>
          <w:rFonts w:ascii="Times New Roman" w:hAnsi="Times New Roman" w:eastAsia="宋体" w:cs="Times New Roman"/>
          <w:color w:val="0000FF"/>
        </w:rPr>
        <w:fldChar w:fldCharType="separate"/>
      </w:r>
      <w:r>
        <w:rPr>
          <w:rFonts w:hint="eastAsia" w:ascii="Times New Roman" w:hAnsi="Times New Roman" w:eastAsia="宋体" w:cs="Times New Roman"/>
          <w:color w:val="0000FF"/>
        </w:rPr>
        <w:t>塔式起重机</w:t>
      </w:r>
      <w:r>
        <w:rPr>
          <w:rFonts w:ascii="Times New Roman" w:hAnsi="Times New Roman" w:eastAsia="宋体" w:cs="Times New Roman"/>
          <w:color w:val="0000FF"/>
        </w:rPr>
        <w:fldChar w:fldCharType="end"/>
      </w:r>
      <w:r>
        <w:rPr>
          <w:rFonts w:hint="eastAsia" w:ascii="Times New Roman" w:hAnsi="Times New Roman" w:eastAsia="宋体" w:cs="Times New Roman"/>
          <w:color w:val="0000FF"/>
          <w:lang w:val="en-US" w:eastAsia="zh-CN"/>
        </w:rPr>
        <w:t>拆卸</w:t>
      </w:r>
      <w:r>
        <w:rPr>
          <w:rFonts w:hint="eastAsia" w:ascii="Times New Roman" w:hAnsi="Times New Roman" w:eastAsia="宋体" w:cs="Times New Roman"/>
          <w:color w:val="0000FF"/>
        </w:rPr>
        <w:t>施工工期为</w:t>
      </w:r>
      <w:r>
        <w:rPr>
          <w:rFonts w:hint="eastAsia" w:ascii="Calibri" w:hAnsi="Times New Roman" w:eastAsia="宋体" w:cs="Times New Roman"/>
          <w:color w:val="0000FF"/>
          <w:lang w:val="en-US" w:eastAsia="zh-CN"/>
        </w:rPr>
        <w:t>4</w:t>
      </w:r>
      <w:r>
        <w:rPr>
          <w:rFonts w:hint="eastAsia" w:ascii="Times New Roman" w:hAnsi="Times New Roman" w:eastAsia="宋体" w:cs="Times New Roman"/>
          <w:color w:val="0000FF"/>
        </w:rPr>
        <w:t>天，施工计划开始时间为202</w:t>
      </w:r>
      <w:r>
        <w:rPr>
          <w:rFonts w:hint="eastAsia" w:ascii="Times New Roman" w:hAnsi="Times New Roman" w:eastAsia="宋体" w:cs="Times New Roman"/>
          <w:color w:val="0000FF"/>
          <w:lang w:val="en-US" w:eastAsia="zh-CN"/>
        </w:rPr>
        <w:t>4</w:t>
      </w:r>
      <w:r>
        <w:rPr>
          <w:rFonts w:hint="eastAsia" w:ascii="Times New Roman" w:hAnsi="Times New Roman" w:eastAsia="宋体" w:cs="Times New Roman"/>
          <w:color w:val="0000FF"/>
        </w:rPr>
        <w:t>年</w:t>
      </w:r>
      <w:r>
        <w:rPr>
          <w:rFonts w:hint="eastAsia" w:ascii="Calibri" w:hAnsi="Times New Roman" w:eastAsia="宋体" w:cs="Times New Roman"/>
          <w:color w:val="0000FF"/>
          <w:lang w:val="en-US" w:eastAsia="zh-CN"/>
        </w:rPr>
        <w:t>5</w:t>
      </w:r>
      <w:r>
        <w:rPr>
          <w:rFonts w:hint="eastAsia" w:ascii="Times New Roman" w:hAnsi="Times New Roman" w:eastAsia="宋体" w:cs="Times New Roman"/>
          <w:color w:val="0000FF"/>
        </w:rPr>
        <w:t>月</w:t>
      </w:r>
      <w:r>
        <w:rPr>
          <w:rFonts w:hint="eastAsia" w:ascii="Calibri" w:hAnsi="Times New Roman" w:eastAsia="宋体" w:cs="Times New Roman"/>
          <w:color w:val="0000FF"/>
          <w:lang w:val="en-US" w:eastAsia="zh-CN"/>
        </w:rPr>
        <w:t>1</w:t>
      </w:r>
      <w:r>
        <w:rPr>
          <w:rFonts w:hint="eastAsia" w:ascii="Times New Roman" w:hAnsi="Times New Roman" w:eastAsia="宋体" w:cs="Times New Roman"/>
          <w:color w:val="0000FF"/>
        </w:rPr>
        <w:t>日，完成时间为202</w:t>
      </w:r>
      <w:r>
        <w:rPr>
          <w:rFonts w:hint="eastAsia" w:ascii="Times New Roman" w:hAnsi="Times New Roman" w:eastAsia="宋体" w:cs="Times New Roman"/>
          <w:color w:val="0000FF"/>
          <w:lang w:val="en-US" w:eastAsia="zh-CN"/>
        </w:rPr>
        <w:t>4</w:t>
      </w:r>
      <w:r>
        <w:rPr>
          <w:rFonts w:hint="eastAsia" w:ascii="Times New Roman" w:hAnsi="Times New Roman" w:eastAsia="宋体" w:cs="Times New Roman"/>
          <w:color w:val="0000FF"/>
        </w:rPr>
        <w:t>年</w:t>
      </w:r>
      <w:r>
        <w:rPr>
          <w:rFonts w:hint="eastAsia" w:ascii="Calibri" w:hAnsi="Times New Roman" w:eastAsia="宋体" w:cs="Times New Roman"/>
          <w:color w:val="0000FF"/>
          <w:lang w:val="en-US" w:eastAsia="zh-CN"/>
        </w:rPr>
        <w:t>5</w:t>
      </w:r>
      <w:r>
        <w:rPr>
          <w:rFonts w:hint="eastAsia" w:ascii="Times New Roman" w:hAnsi="Times New Roman" w:eastAsia="宋体" w:cs="Times New Roman"/>
          <w:color w:val="0000FF"/>
        </w:rPr>
        <w:t>月</w:t>
      </w:r>
      <w:r>
        <w:rPr>
          <w:rFonts w:hint="eastAsia" w:ascii="Times New Roman" w:hAnsi="Times New Roman" w:eastAsia="宋体" w:cs="Times New Roman"/>
          <w:color w:val="0000FF"/>
          <w:lang w:val="en-US" w:eastAsia="zh-CN"/>
        </w:rPr>
        <w:t>5</w:t>
      </w:r>
      <w:r>
        <w:rPr>
          <w:rFonts w:hint="eastAsia" w:ascii="Times New Roman" w:hAnsi="Times New Roman" w:eastAsia="宋体" w:cs="Times New Roman"/>
          <w:color w:val="0000FF"/>
        </w:rPr>
        <w:t>日。</w:t>
      </w:r>
    </w:p>
    <w:p>
      <w:pPr>
        <w:ind w:firstLine="480"/>
        <w:rPr>
          <w:rFonts w:hint="eastAsia" w:ascii="Times New Roman" w:hAnsi="Times New Roman" w:eastAsia="宋体" w:cs="Times New Roman"/>
          <w:color w:val="0000FF"/>
        </w:rPr>
      </w:pPr>
      <w:r>
        <w:rPr>
          <w:rFonts w:hint="eastAsia" w:ascii="Calibri" w:hAnsi="Times New Roman" w:eastAsia="宋体" w:cs="Times New Roman"/>
          <w:color w:val="0000FF"/>
          <w:lang w:val="en-US" w:eastAsia="zh-CN"/>
        </w:rPr>
        <w:t>右12#墩塔机</w:t>
      </w:r>
      <w:r>
        <w:rPr>
          <w:rFonts w:ascii="Times New Roman" w:hAnsi="Times New Roman" w:eastAsia="宋体" w:cs="Times New Roman"/>
          <w:color w:val="0000FF"/>
        </w:rPr>
        <w:fldChar w:fldCharType="begin"/>
      </w:r>
      <w:r>
        <w:rPr>
          <w:rFonts w:ascii="Times New Roman" w:hAnsi="Times New Roman" w:eastAsia="宋体" w:cs="Times New Roman"/>
          <w:color w:val="0000FF"/>
        </w:rPr>
        <w:instrText xml:space="preserve"> </w:instrText>
      </w:r>
      <w:r>
        <w:rPr>
          <w:rFonts w:hint="eastAsia" w:ascii="Times New Roman" w:hAnsi="Times New Roman" w:eastAsia="宋体" w:cs="Times New Roman"/>
          <w:color w:val="0000FF"/>
        </w:rPr>
        <w:instrText xml:space="preserve">REF 设备型号1 \h</w:instrText>
      </w:r>
      <w:r>
        <w:rPr>
          <w:rFonts w:ascii="Times New Roman" w:hAnsi="Times New Roman" w:eastAsia="宋体" w:cs="Times New Roman"/>
          <w:color w:val="0000FF"/>
        </w:rPr>
        <w:instrText xml:space="preserve">  \* MERGEFORMAT </w:instrText>
      </w:r>
      <w:r>
        <w:rPr>
          <w:rFonts w:ascii="Times New Roman" w:hAnsi="Times New Roman" w:eastAsia="宋体" w:cs="Times New Roman"/>
          <w:color w:val="0000FF"/>
        </w:rPr>
        <w:fldChar w:fldCharType="separate"/>
      </w:r>
      <w:r>
        <w:rPr>
          <w:rFonts w:hint="eastAsia" w:ascii="Times New Roman" w:hAnsi="Times New Roman" w:eastAsia="宋体" w:cs="Times New Roman"/>
          <w:color w:val="0000FF"/>
          <w:lang w:eastAsia="zh-CN"/>
        </w:rPr>
        <w:t>XGT6515-10S</w:t>
      </w:r>
      <w:r>
        <w:rPr>
          <w:rFonts w:ascii="Times New Roman" w:hAnsi="Times New Roman" w:eastAsia="宋体" w:cs="Times New Roman"/>
          <w:color w:val="0000FF"/>
        </w:rPr>
        <w:fldChar w:fldCharType="end"/>
      </w:r>
      <w:r>
        <w:rPr>
          <w:rFonts w:ascii="Times New Roman" w:hAnsi="Times New Roman" w:eastAsia="宋体" w:cs="Times New Roman"/>
          <w:color w:val="0000FF"/>
        </w:rPr>
        <w:fldChar w:fldCharType="begin"/>
      </w:r>
      <w:r>
        <w:rPr>
          <w:rFonts w:ascii="Times New Roman" w:hAnsi="Times New Roman" w:eastAsia="宋体" w:cs="Times New Roman"/>
          <w:color w:val="0000FF"/>
        </w:rPr>
        <w:instrText xml:space="preserve"> REF 设备类型 \h  \* MERGEFORMAT </w:instrText>
      </w:r>
      <w:r>
        <w:rPr>
          <w:rFonts w:ascii="Times New Roman" w:hAnsi="Times New Roman" w:eastAsia="宋体" w:cs="Times New Roman"/>
          <w:color w:val="0000FF"/>
        </w:rPr>
        <w:fldChar w:fldCharType="separate"/>
      </w:r>
      <w:r>
        <w:rPr>
          <w:rFonts w:hint="eastAsia" w:ascii="Times New Roman" w:hAnsi="Times New Roman" w:eastAsia="宋体" w:cs="Times New Roman"/>
          <w:color w:val="0000FF"/>
        </w:rPr>
        <w:t>塔式起重机</w:t>
      </w:r>
      <w:r>
        <w:rPr>
          <w:rFonts w:ascii="Times New Roman" w:hAnsi="Times New Roman" w:eastAsia="宋体" w:cs="Times New Roman"/>
          <w:color w:val="0000FF"/>
        </w:rPr>
        <w:fldChar w:fldCharType="end"/>
      </w:r>
      <w:r>
        <w:rPr>
          <w:rFonts w:hint="eastAsia" w:ascii="Times New Roman" w:hAnsi="Times New Roman" w:eastAsia="宋体" w:cs="Times New Roman"/>
          <w:color w:val="0000FF"/>
          <w:lang w:val="en-US" w:eastAsia="zh-CN"/>
        </w:rPr>
        <w:t>拆卸</w:t>
      </w:r>
      <w:r>
        <w:rPr>
          <w:rFonts w:hint="eastAsia" w:ascii="Times New Roman" w:hAnsi="Times New Roman" w:eastAsia="宋体" w:cs="Times New Roman"/>
          <w:color w:val="0000FF"/>
        </w:rPr>
        <w:t>施工工期为</w:t>
      </w:r>
      <w:r>
        <w:rPr>
          <w:rFonts w:hint="eastAsia" w:ascii="Calibri" w:hAnsi="Times New Roman" w:eastAsia="宋体" w:cs="Times New Roman"/>
          <w:color w:val="0000FF"/>
          <w:lang w:val="en-US" w:eastAsia="zh-CN"/>
        </w:rPr>
        <w:t>4</w:t>
      </w:r>
      <w:r>
        <w:rPr>
          <w:rFonts w:hint="eastAsia" w:ascii="Times New Roman" w:hAnsi="Times New Roman" w:eastAsia="宋体" w:cs="Times New Roman"/>
          <w:color w:val="0000FF"/>
        </w:rPr>
        <w:t>天，施工计划开始时间为202</w:t>
      </w:r>
      <w:r>
        <w:rPr>
          <w:rFonts w:hint="eastAsia" w:ascii="Times New Roman" w:hAnsi="Times New Roman" w:eastAsia="宋体" w:cs="Times New Roman"/>
          <w:color w:val="0000FF"/>
          <w:lang w:val="en-US" w:eastAsia="zh-CN"/>
        </w:rPr>
        <w:t>4</w:t>
      </w:r>
      <w:r>
        <w:rPr>
          <w:rFonts w:hint="eastAsia" w:ascii="Times New Roman" w:hAnsi="Times New Roman" w:eastAsia="宋体" w:cs="Times New Roman"/>
          <w:color w:val="0000FF"/>
        </w:rPr>
        <w:t>年</w:t>
      </w:r>
      <w:r>
        <w:rPr>
          <w:rFonts w:hint="eastAsia" w:ascii="Calibri" w:hAnsi="Times New Roman" w:eastAsia="宋体" w:cs="Times New Roman"/>
          <w:color w:val="0000FF"/>
          <w:lang w:val="en-US" w:eastAsia="zh-CN"/>
        </w:rPr>
        <w:t>5</w:t>
      </w:r>
      <w:r>
        <w:rPr>
          <w:rFonts w:hint="eastAsia" w:ascii="Times New Roman" w:hAnsi="Times New Roman" w:eastAsia="宋体" w:cs="Times New Roman"/>
          <w:color w:val="0000FF"/>
        </w:rPr>
        <w:t>月</w:t>
      </w:r>
      <w:r>
        <w:rPr>
          <w:rFonts w:hint="eastAsia" w:ascii="Calibri" w:hAnsi="Times New Roman" w:eastAsia="宋体" w:cs="Times New Roman"/>
          <w:color w:val="0000FF"/>
          <w:lang w:val="en-US" w:eastAsia="zh-CN"/>
        </w:rPr>
        <w:t>11</w:t>
      </w:r>
      <w:r>
        <w:rPr>
          <w:rFonts w:hint="eastAsia" w:ascii="Times New Roman" w:hAnsi="Times New Roman" w:eastAsia="宋体" w:cs="Times New Roman"/>
          <w:color w:val="0000FF"/>
        </w:rPr>
        <w:t>日，完成时间为202</w:t>
      </w:r>
      <w:r>
        <w:rPr>
          <w:rFonts w:hint="eastAsia" w:ascii="Times New Roman" w:hAnsi="Times New Roman" w:eastAsia="宋体" w:cs="Times New Roman"/>
          <w:color w:val="0000FF"/>
          <w:lang w:val="en-US" w:eastAsia="zh-CN"/>
        </w:rPr>
        <w:t>4</w:t>
      </w:r>
      <w:r>
        <w:rPr>
          <w:rFonts w:hint="eastAsia" w:ascii="Times New Roman" w:hAnsi="Times New Roman" w:eastAsia="宋体" w:cs="Times New Roman"/>
          <w:color w:val="0000FF"/>
        </w:rPr>
        <w:t>年</w:t>
      </w:r>
      <w:r>
        <w:rPr>
          <w:rFonts w:hint="eastAsia" w:ascii="Calibri" w:hAnsi="Times New Roman" w:eastAsia="宋体" w:cs="Times New Roman"/>
          <w:color w:val="0000FF"/>
          <w:lang w:val="en-US" w:eastAsia="zh-CN"/>
        </w:rPr>
        <w:t>5</w:t>
      </w:r>
      <w:r>
        <w:rPr>
          <w:rFonts w:hint="eastAsia" w:ascii="Times New Roman" w:hAnsi="Times New Roman" w:eastAsia="宋体" w:cs="Times New Roman"/>
          <w:color w:val="0000FF"/>
        </w:rPr>
        <w:t>月</w:t>
      </w:r>
      <w:r>
        <w:rPr>
          <w:rFonts w:hint="eastAsia" w:ascii="Times New Roman" w:hAnsi="Times New Roman" w:eastAsia="宋体" w:cs="Times New Roman"/>
          <w:color w:val="0000FF"/>
          <w:lang w:val="en-US" w:eastAsia="zh-CN"/>
        </w:rPr>
        <w:t>15</w:t>
      </w:r>
      <w:r>
        <w:rPr>
          <w:rFonts w:hint="eastAsia" w:ascii="Times New Roman" w:hAnsi="Times New Roman" w:eastAsia="宋体" w:cs="Times New Roman"/>
          <w:color w:val="0000FF"/>
        </w:rPr>
        <w:t>日。</w:t>
      </w:r>
    </w:p>
    <w:p>
      <w:pPr>
        <w:pStyle w:val="4"/>
      </w:pPr>
      <w:r>
        <w:rPr>
          <w:rFonts w:hint="eastAsia"/>
        </w:rPr>
        <w:t>质量要求</w:t>
      </w:r>
    </w:p>
    <w:p>
      <w:pPr>
        <w:numPr>
          <w:ilvl w:val="0"/>
          <w:numId w:val="12"/>
        </w:numPr>
      </w:pPr>
      <w:r>
        <w:t>不发生质量事故，不发生造成社会恶劣影响的其他事件</w:t>
      </w:r>
      <w:r>
        <w:rPr>
          <w:rFonts w:hint="eastAsia"/>
        </w:rPr>
        <w:t>；</w:t>
      </w:r>
    </w:p>
    <w:p>
      <w:pPr>
        <w:numPr>
          <w:ilvl w:val="0"/>
          <w:numId w:val="12"/>
        </w:numPr>
      </w:pPr>
      <w:r>
        <w:rPr>
          <w:rFonts w:hint="eastAsia"/>
        </w:rPr>
        <w:t>工程质量符合合同、图纸及规范要求。</w:t>
      </w:r>
    </w:p>
    <w:p>
      <w:pPr>
        <w:pStyle w:val="4"/>
      </w:pPr>
      <w:r>
        <w:rPr>
          <w:rFonts w:hint="eastAsia"/>
        </w:rPr>
        <w:t>安全文明施工要求</w:t>
      </w:r>
    </w:p>
    <w:p>
      <w:pPr>
        <w:numPr>
          <w:ilvl w:val="0"/>
          <w:numId w:val="13"/>
        </w:numPr>
      </w:pPr>
      <w:r>
        <w:rPr>
          <w:rFonts w:hint="eastAsia"/>
        </w:rPr>
        <w:t>一般及较大安全事故发生率为0；</w:t>
      </w:r>
    </w:p>
    <w:p>
      <w:pPr>
        <w:numPr>
          <w:ilvl w:val="0"/>
          <w:numId w:val="13"/>
        </w:numPr>
      </w:pPr>
      <w:r>
        <w:rPr>
          <w:rFonts w:hint="eastAsia"/>
        </w:rPr>
        <w:t>人员受伤事故发生率为0；</w:t>
      </w:r>
    </w:p>
    <w:p>
      <w:pPr>
        <w:numPr>
          <w:ilvl w:val="0"/>
          <w:numId w:val="13"/>
        </w:numPr>
      </w:pPr>
      <w:r>
        <w:rPr>
          <w:rFonts w:hint="eastAsia"/>
        </w:rPr>
        <w:t>所有进场施工人员安全教育考核率达100%，特殊岗位操作人员持证上岗率达100%；</w:t>
      </w:r>
    </w:p>
    <w:p>
      <w:pPr>
        <w:numPr>
          <w:ilvl w:val="0"/>
          <w:numId w:val="13"/>
        </w:numPr>
      </w:pPr>
      <w:r>
        <w:rPr>
          <w:rFonts w:hint="eastAsia"/>
        </w:rPr>
        <w:t>各种防护用品、设施合格率达100%，施工安全技术交底率达100%。</w:t>
      </w:r>
    </w:p>
    <w:p>
      <w:pPr>
        <w:pStyle w:val="4"/>
      </w:pPr>
      <w:r>
        <w:rPr>
          <w:rFonts w:hint="eastAsia"/>
        </w:rPr>
        <w:t>环境保护要求</w:t>
      </w:r>
    </w:p>
    <w:p>
      <w:pPr>
        <w:ind w:firstLine="480"/>
      </w:pPr>
      <w:r>
        <w:t>严格执行上级单位及主管部门关于环境保护的规定，建立健全环水保管理体系，加强各项环境保护工程措施。</w:t>
      </w:r>
    </w:p>
    <w:p>
      <w:pPr>
        <w:pStyle w:val="4"/>
      </w:pPr>
      <w:r>
        <w:rPr>
          <w:rFonts w:hint="eastAsia"/>
        </w:rPr>
        <w:t>节能减排要求</w:t>
      </w:r>
    </w:p>
    <w:p>
      <w:pPr>
        <w:ind w:firstLine="480"/>
      </w:pPr>
      <w:r>
        <w:t>根据</w:t>
      </w:r>
      <w:r>
        <w:rPr>
          <w:rFonts w:hint="eastAsia"/>
        </w:rPr>
        <w:t>施工</w:t>
      </w:r>
      <w:r>
        <w:t>进度和实际需要及时对工地机械设备进行调整和优化，提高机械设备的使用率和满载率；加强机械设备的维修保养，及时检修，减少设备的故障率和跑、冒、漏、滴的发生。</w:t>
      </w:r>
    </w:p>
    <w:p>
      <w:pPr>
        <w:pStyle w:val="4"/>
      </w:pPr>
      <w:r>
        <w:rPr>
          <w:rFonts w:hint="eastAsia"/>
        </w:rPr>
        <w:t>安装场地</w:t>
      </w:r>
      <w:r>
        <w:t>要求</w:t>
      </w:r>
    </w:p>
    <w:p>
      <w:pPr>
        <w:numPr>
          <w:ilvl w:val="0"/>
          <w:numId w:val="14"/>
        </w:numPr>
        <w:ind w:firstLineChars="0"/>
      </w:pPr>
      <w:r>
        <w:rPr>
          <w:rFonts w:hint="eastAsia"/>
        </w:rPr>
        <w:t>安装场地大小应满足设备各部件顺利装卸车、拼装拆解以及试验；</w:t>
      </w:r>
    </w:p>
    <w:p>
      <w:pPr>
        <w:numPr>
          <w:ilvl w:val="0"/>
          <w:numId w:val="14"/>
        </w:numPr>
        <w:ind w:firstLineChars="0"/>
      </w:pPr>
      <w:r>
        <w:rPr>
          <w:rFonts w:hint="eastAsia"/>
        </w:rPr>
        <w:t>安装场地承载力应大于极限起重吊装工况下起重设备对安装场地的压力。</w:t>
      </w:r>
    </w:p>
    <w:p>
      <w:pPr>
        <w:pStyle w:val="4"/>
      </w:pPr>
      <w:r>
        <w:rPr>
          <w:rFonts w:hint="eastAsia"/>
        </w:rPr>
        <w:t>运输及进场</w:t>
      </w:r>
      <w:r>
        <w:t>要求</w:t>
      </w:r>
    </w:p>
    <w:p>
      <w:pPr>
        <w:numPr>
          <w:ilvl w:val="0"/>
          <w:numId w:val="15"/>
        </w:numPr>
        <w:ind w:firstLineChars="0"/>
      </w:pPr>
      <w:r>
        <w:rPr>
          <w:rFonts w:hint="eastAsia"/>
        </w:rPr>
        <w:t>设备机械部件运输时应在运输车上做好支撑，并绑扎牢固，避免行驶过程中由于晃动等情况致使部件结构损坏；</w:t>
      </w:r>
    </w:p>
    <w:p>
      <w:pPr>
        <w:numPr>
          <w:ilvl w:val="0"/>
          <w:numId w:val="15"/>
        </w:numPr>
        <w:ind w:firstLineChars="0"/>
      </w:pPr>
      <w:r>
        <w:rPr>
          <w:rFonts w:hint="eastAsia"/>
        </w:rPr>
        <w:t>设备各电气部件应在运输车上遮盖防雨布，保持电气设备干燥；</w:t>
      </w:r>
    </w:p>
    <w:p>
      <w:pPr>
        <w:numPr>
          <w:ilvl w:val="0"/>
          <w:numId w:val="15"/>
        </w:numPr>
      </w:pPr>
      <w:r>
        <w:rPr>
          <w:rFonts w:hint="eastAsia"/>
        </w:rPr>
        <w:t>设备各部件进场时项目设备部应进行预验收，检查部件数量是否与运输清单一致，检查各部件结构的完整性。</w:t>
      </w:r>
    </w:p>
    <w:p>
      <w:pPr>
        <w:pStyle w:val="3"/>
      </w:pPr>
      <w:bookmarkStart w:id="59" w:name="_Toc93050660"/>
      <w:bookmarkStart w:id="60" w:name="_Toc30808"/>
      <w:r>
        <w:rPr>
          <w:rFonts w:hint="eastAsia"/>
        </w:rPr>
        <w:t>技术保证条件</w:t>
      </w:r>
      <w:bookmarkEnd w:id="59"/>
      <w:bookmarkEnd w:id="60"/>
    </w:p>
    <w:p>
      <w:pPr>
        <w:numPr>
          <w:ilvl w:val="0"/>
          <w:numId w:val="16"/>
        </w:numPr>
        <w:ind w:firstLineChars="0"/>
      </w:pPr>
      <w:r>
        <w:rPr>
          <w:rFonts w:hint="eastAsia"/>
        </w:rPr>
        <w:t>对安装的起吊构件的重量、幅度进行详细的核算；</w:t>
      </w:r>
    </w:p>
    <w:p>
      <w:pPr>
        <w:numPr>
          <w:ilvl w:val="0"/>
          <w:numId w:val="16"/>
        </w:numPr>
      </w:pPr>
      <w:r>
        <w:rPr>
          <w:rFonts w:hint="eastAsia"/>
        </w:rPr>
        <w:t>对进场设备进行进场检验，对基础进行验收，确保设备性能及施工条件可靠；</w:t>
      </w:r>
    </w:p>
    <w:p>
      <w:pPr>
        <w:numPr>
          <w:ilvl w:val="0"/>
          <w:numId w:val="16"/>
        </w:numPr>
      </w:pPr>
      <w:r>
        <w:rPr>
          <w:rFonts w:hint="eastAsia"/>
        </w:rPr>
        <w:t>方案模拟现场的实际作业情况，保证安装场地空间足够，避免吊装过程中的干涉；</w:t>
      </w:r>
    </w:p>
    <w:p>
      <w:pPr>
        <w:numPr>
          <w:ilvl w:val="0"/>
          <w:numId w:val="16"/>
        </w:numPr>
      </w:pPr>
      <w:r>
        <w:rPr>
          <w:rFonts w:hint="eastAsia"/>
        </w:rPr>
        <w:t>合理安排安拆工序，协调好场地堆放及构件倒运顺序；</w:t>
      </w:r>
    </w:p>
    <w:p>
      <w:pPr>
        <w:numPr>
          <w:ilvl w:val="0"/>
          <w:numId w:val="16"/>
        </w:numPr>
      </w:pPr>
      <w:r>
        <w:rPr>
          <w:rFonts w:hint="eastAsia"/>
        </w:rPr>
        <w:t>加强技术交底，确保作业过程安全。</w:t>
      </w:r>
      <w:r>
        <w:rPr>
          <w:color w:val="000000" w:themeColor="text1"/>
          <w14:textFill>
            <w14:solidFill>
              <w14:schemeClr w14:val="tx1"/>
            </w14:solidFill>
          </w14:textFill>
        </w:rPr>
        <w:br w:type="page"/>
      </w:r>
    </w:p>
    <w:p>
      <w:pPr>
        <w:pStyle w:val="2"/>
      </w:pPr>
      <w:bookmarkStart w:id="61" w:name="_Toc21990"/>
      <w:bookmarkStart w:id="62" w:name="_Toc1837"/>
      <w:r>
        <w:rPr>
          <w:rFonts w:hint="eastAsia"/>
        </w:rPr>
        <w:t>施工计划</w:t>
      </w:r>
      <w:bookmarkEnd w:id="36"/>
      <w:bookmarkEnd w:id="37"/>
      <w:bookmarkEnd w:id="61"/>
      <w:bookmarkEnd w:id="62"/>
    </w:p>
    <w:p>
      <w:pPr>
        <w:pStyle w:val="3"/>
      </w:pPr>
      <w:bookmarkStart w:id="63" w:name="_Toc58527527"/>
      <w:bookmarkStart w:id="64" w:name="_Toc10409781"/>
      <w:bookmarkStart w:id="65" w:name="_Toc21614"/>
      <w:r>
        <w:rPr>
          <w:rFonts w:hint="eastAsia"/>
        </w:rPr>
        <w:t>施工进度计划</w:t>
      </w:r>
      <w:bookmarkEnd w:id="63"/>
      <w:bookmarkEnd w:id="64"/>
      <w:bookmarkEnd w:id="65"/>
    </w:p>
    <w:p>
      <w:pPr>
        <w:ind w:firstLine="480"/>
      </w:pPr>
      <w:r>
        <w:fldChar w:fldCharType="begin"/>
      </w:r>
      <w:r>
        <w:instrText xml:space="preserve"> </w:instrText>
      </w:r>
      <w:r>
        <w:rPr>
          <w:rFonts w:hint="eastAsia"/>
        </w:rPr>
        <w:instrText xml:space="preserve">REF 设备型号1 \h</w:instrText>
      </w:r>
      <w:r>
        <w:instrText xml:space="preserve">  \* MERGEFORMAT </w:instrText>
      </w:r>
      <w:r>
        <w:fldChar w:fldCharType="separate"/>
      </w:r>
      <w:r>
        <w:rPr>
          <w:rFonts w:hint="eastAsia"/>
          <w:lang w:eastAsia="zh-CN"/>
        </w:rPr>
        <w:t>XGT6515-10S</w:t>
      </w:r>
      <w:r>
        <w:fldChar w:fldCharType="end"/>
      </w:r>
      <w:r>
        <w:fldChar w:fldCharType="begin"/>
      </w:r>
      <w:r>
        <w:instrText xml:space="preserve"> REF 设备类型 \h  \* MERGEFORMAT </w:instrText>
      </w:r>
      <w:r>
        <w:fldChar w:fldCharType="separate"/>
      </w:r>
      <w:r>
        <w:rPr>
          <w:rFonts w:hint="eastAsia"/>
        </w:rPr>
        <w:t>塔式起重机</w:t>
      </w:r>
      <w:r>
        <w:fldChar w:fldCharType="end"/>
      </w:r>
      <w:r>
        <w:t>安装</w:t>
      </w:r>
      <w:r>
        <w:rPr>
          <w:rFonts w:hint="eastAsia"/>
        </w:rPr>
        <w:t>施工进度计划见</w:t>
      </w:r>
      <w:r>
        <w:fldChar w:fldCharType="begin"/>
      </w:r>
      <w:r>
        <w:instrText xml:space="preserve"> </w:instrText>
      </w:r>
      <w:r>
        <w:rPr>
          <w:rFonts w:hint="eastAsia"/>
        </w:rPr>
        <w:instrText xml:space="preserve">REF _Ref124167010 \h</w:instrText>
      </w:r>
      <w:r>
        <w:instrText xml:space="preserve">  \* MERGEFORMAT </w:instrText>
      </w:r>
      <w:r>
        <w:fldChar w:fldCharType="separate"/>
      </w:r>
      <w:r>
        <w:rPr>
          <w:rFonts w:hint="eastAsia"/>
        </w:rPr>
        <w:t>表</w:t>
      </w:r>
      <w:r>
        <w:t>3.1</w:t>
      </w:r>
      <w:r>
        <w:rPr>
          <w:rFonts w:hint="eastAsia"/>
        </w:rPr>
        <w:t>-</w:t>
      </w:r>
      <w:r>
        <w:t>1</w:t>
      </w:r>
      <w:r>
        <w:fldChar w:fldCharType="end"/>
      </w:r>
      <w:r>
        <w:rPr>
          <w:rFonts w:hint="eastAsia"/>
        </w:rPr>
        <w:t>所示。</w:t>
      </w:r>
    </w:p>
    <w:p>
      <w:pPr>
        <w:pStyle w:val="16"/>
        <w:rPr>
          <w:rFonts w:hint="eastAsia"/>
          <w:color w:val="auto"/>
        </w:rPr>
      </w:pPr>
      <w:bookmarkStart w:id="66" w:name="_Ref124167010"/>
      <w:r>
        <w:rPr>
          <w:rFonts w:hint="eastAsia"/>
          <w:color w:val="auto"/>
        </w:rPr>
        <w:t>表</w:t>
      </w:r>
      <w:r>
        <w:rPr>
          <w:color w:val="auto"/>
        </w:rPr>
        <w:fldChar w:fldCharType="begin"/>
      </w:r>
      <w:r>
        <w:rPr>
          <w:color w:val="auto"/>
        </w:rPr>
        <w:instrText xml:space="preserve"> </w:instrText>
      </w:r>
      <w:r>
        <w:rPr>
          <w:rFonts w:hint="eastAsia"/>
          <w:color w:val="auto"/>
        </w:rPr>
        <w:instrText xml:space="preserve">STYLEREF </w:instrText>
      </w:r>
      <w:r>
        <w:rPr>
          <w:color w:val="auto"/>
        </w:rPr>
        <w:instrText xml:space="preserve">2</w:instrText>
      </w:r>
      <w:r>
        <w:rPr>
          <w:rFonts w:hint="eastAsia"/>
          <w:color w:val="auto"/>
        </w:rPr>
        <w:instrText xml:space="preserve"> \s</w:instrText>
      </w:r>
      <w:r>
        <w:rPr>
          <w:color w:val="auto"/>
        </w:rPr>
        <w:instrText xml:space="preserve"> </w:instrText>
      </w:r>
      <w:r>
        <w:rPr>
          <w:color w:val="auto"/>
        </w:rPr>
        <w:fldChar w:fldCharType="separate"/>
      </w:r>
      <w:r>
        <w:rPr>
          <w:color w:val="auto"/>
        </w:rPr>
        <w:t>3.1</w:t>
      </w:r>
      <w:r>
        <w:rPr>
          <w:color w:val="auto"/>
        </w:rPr>
        <w:fldChar w:fldCharType="end"/>
      </w:r>
      <w:r>
        <w:rPr>
          <w:rFonts w:hint="eastAsia"/>
          <w:color w:val="auto"/>
        </w:rPr>
        <w:t>-</w:t>
      </w:r>
      <w:r>
        <w:rPr>
          <w:color w:val="auto"/>
        </w:rPr>
        <w:fldChar w:fldCharType="begin"/>
      </w:r>
      <w:r>
        <w:rPr>
          <w:color w:val="auto"/>
        </w:rPr>
        <w:instrText xml:space="preserve"> </w:instrText>
      </w:r>
      <w:r>
        <w:rPr>
          <w:rFonts w:hint="eastAsia"/>
          <w:color w:val="auto"/>
        </w:rPr>
        <w:instrText xml:space="preserve">SEQ 表 \* ARABIC \s </w:instrText>
      </w:r>
      <w:r>
        <w:rPr>
          <w:color w:val="auto"/>
        </w:rPr>
        <w:instrText xml:space="preserve">2 </w:instrText>
      </w:r>
      <w:r>
        <w:rPr>
          <w:color w:val="auto"/>
        </w:rPr>
        <w:fldChar w:fldCharType="separate"/>
      </w:r>
      <w:r>
        <w:rPr>
          <w:color w:val="auto"/>
        </w:rPr>
        <w:t>1</w:t>
      </w:r>
      <w:r>
        <w:rPr>
          <w:color w:val="auto"/>
        </w:rPr>
        <w:fldChar w:fldCharType="end"/>
      </w:r>
      <w:bookmarkEnd w:id="66"/>
      <w:r>
        <w:rPr>
          <w:rFonts w:hint="eastAsia"/>
          <w:color w:val="auto"/>
        </w:rPr>
        <w:t xml:space="preserve"> </w:t>
      </w:r>
      <w:r>
        <w:rPr>
          <w:color w:val="auto"/>
        </w:rPr>
        <w:fldChar w:fldCharType="begin"/>
      </w:r>
      <w:r>
        <w:rPr>
          <w:color w:val="auto"/>
        </w:rPr>
        <w:instrText xml:space="preserve"> </w:instrText>
      </w:r>
      <w:r>
        <w:rPr>
          <w:rFonts w:hint="eastAsia"/>
          <w:color w:val="auto"/>
        </w:rPr>
        <w:instrText xml:space="preserve">REF 设备型号1 \h</w:instrText>
      </w:r>
      <w:r>
        <w:rPr>
          <w:color w:val="auto"/>
        </w:rPr>
        <w:instrText xml:space="preserve">  \* MERGEFORMAT </w:instrText>
      </w:r>
      <w:r>
        <w:rPr>
          <w:color w:val="auto"/>
        </w:rPr>
        <w:fldChar w:fldCharType="separate"/>
      </w:r>
      <w:r>
        <w:rPr>
          <w:rFonts w:hint="eastAsia"/>
          <w:color w:val="auto"/>
          <w:lang w:eastAsia="zh-CN"/>
        </w:rPr>
        <w:t>XGT6515-10S</w:t>
      </w:r>
      <w:r>
        <w:rPr>
          <w:color w:val="auto"/>
        </w:rPr>
        <w:fldChar w:fldCharType="end"/>
      </w:r>
      <w:r>
        <w:rPr>
          <w:color w:val="auto"/>
        </w:rPr>
        <w:fldChar w:fldCharType="begin"/>
      </w:r>
      <w:r>
        <w:rPr>
          <w:color w:val="auto"/>
        </w:rPr>
        <w:instrText xml:space="preserve"> REF 设备类型 \h  \* MERGEFORMAT </w:instrText>
      </w:r>
      <w:r>
        <w:rPr>
          <w:color w:val="auto"/>
        </w:rPr>
        <w:fldChar w:fldCharType="separate"/>
      </w:r>
      <w:r>
        <w:rPr>
          <w:rFonts w:hint="eastAsia"/>
          <w:color w:val="auto"/>
        </w:rPr>
        <w:t>塔式起重机</w:t>
      </w:r>
      <w:r>
        <w:rPr>
          <w:color w:val="auto"/>
        </w:rPr>
        <w:fldChar w:fldCharType="end"/>
      </w:r>
      <w:r>
        <w:rPr>
          <w:color w:val="auto"/>
        </w:rPr>
        <w:t>安装</w:t>
      </w:r>
      <w:r>
        <w:rPr>
          <w:rFonts w:hint="eastAsia"/>
          <w:color w:val="auto"/>
          <w:lang w:val="en-US" w:eastAsia="zh-CN"/>
        </w:rPr>
        <w:t>拆卸</w:t>
      </w:r>
      <w:r>
        <w:rPr>
          <w:rFonts w:hint="eastAsia"/>
          <w:color w:val="auto"/>
        </w:rPr>
        <w:t>施工进度计划表</w:t>
      </w:r>
    </w:p>
    <w:p>
      <w:pPr>
        <w:pStyle w:val="17"/>
        <w:rPr>
          <w:rFonts w:hint="eastAsia"/>
          <w:color w:val="0000FF"/>
        </w:rPr>
      </w:pPr>
    </w:p>
    <w:tbl>
      <w:tblPr>
        <w:tblStyle w:val="4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17"/>
        <w:gridCol w:w="1988"/>
        <w:gridCol w:w="1737"/>
        <w:gridCol w:w="1640"/>
        <w:gridCol w:w="22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38" w:type="pct"/>
            <w:vAlign w:val="center"/>
          </w:tcPr>
          <w:p>
            <w:pPr>
              <w:pStyle w:val="17"/>
              <w:rPr>
                <w:rFonts w:hint="eastAsia" w:ascii="Times New Roman" w:hAnsi="Times New Roman" w:eastAsia="宋体" w:cs="Times New Roman"/>
                <w:b/>
                <w:lang w:val="en-US" w:eastAsia="zh-CN"/>
              </w:rPr>
            </w:pPr>
            <w:r>
              <w:rPr>
                <w:rFonts w:hint="eastAsia" w:ascii="Times New Roman" w:hAnsi="Times New Roman" w:eastAsia="宋体" w:cs="Times New Roman"/>
                <w:b/>
                <w:lang w:val="en-US" w:eastAsia="zh-CN"/>
              </w:rPr>
              <w:t>序号</w:t>
            </w:r>
          </w:p>
        </w:tc>
        <w:tc>
          <w:tcPr>
            <w:tcW w:w="1166" w:type="pct"/>
            <w:vAlign w:val="center"/>
          </w:tcPr>
          <w:p>
            <w:pPr>
              <w:pStyle w:val="17"/>
              <w:rPr>
                <w:rFonts w:hint="eastAsia" w:ascii="Times New Roman" w:hAnsi="Times New Roman" w:eastAsia="宋体" w:cs="Times New Roman"/>
                <w:b/>
                <w:lang w:val="en-US" w:eastAsia="zh-CN"/>
              </w:rPr>
            </w:pPr>
            <w:r>
              <w:rPr>
                <w:rFonts w:hint="eastAsia" w:ascii="Times New Roman" w:hAnsi="Times New Roman" w:eastAsia="宋体" w:cs="Times New Roman"/>
                <w:b/>
                <w:lang w:val="en-US" w:eastAsia="zh-CN"/>
              </w:rPr>
              <w:t>施工内容</w:t>
            </w:r>
          </w:p>
        </w:tc>
        <w:tc>
          <w:tcPr>
            <w:tcW w:w="1019" w:type="pct"/>
            <w:vAlign w:val="center"/>
          </w:tcPr>
          <w:p>
            <w:pPr>
              <w:pStyle w:val="17"/>
              <w:rPr>
                <w:rFonts w:hint="eastAsia" w:ascii="Times New Roman" w:hAnsi="Times New Roman" w:eastAsia="宋体" w:cs="Times New Roman"/>
                <w:b/>
                <w:lang w:val="en-US" w:eastAsia="zh-CN"/>
              </w:rPr>
            </w:pPr>
            <w:r>
              <w:rPr>
                <w:rFonts w:hint="eastAsia" w:ascii="Times New Roman" w:hAnsi="Times New Roman" w:eastAsia="宋体" w:cs="Times New Roman"/>
                <w:b/>
                <w:lang w:val="en-US" w:eastAsia="zh-CN"/>
              </w:rPr>
              <w:t>主要工序</w:t>
            </w:r>
          </w:p>
        </w:tc>
        <w:tc>
          <w:tcPr>
            <w:tcW w:w="962" w:type="pct"/>
            <w:vAlign w:val="center"/>
          </w:tcPr>
          <w:p>
            <w:pPr>
              <w:pStyle w:val="17"/>
              <w:rPr>
                <w:rFonts w:hint="eastAsia" w:ascii="Times New Roman" w:hAnsi="Times New Roman" w:eastAsia="宋体" w:cs="Times New Roman"/>
                <w:b/>
                <w:lang w:val="en-US" w:eastAsia="zh-CN"/>
              </w:rPr>
            </w:pPr>
            <w:r>
              <w:rPr>
                <w:rFonts w:hint="eastAsia" w:ascii="Times New Roman" w:hAnsi="Times New Roman" w:eastAsia="宋体" w:cs="Times New Roman"/>
                <w:b/>
                <w:lang w:val="en-US" w:eastAsia="zh-CN"/>
              </w:rPr>
              <w:t>施工时间（d）</w:t>
            </w:r>
          </w:p>
        </w:tc>
        <w:tc>
          <w:tcPr>
            <w:tcW w:w="1314" w:type="pct"/>
            <w:vAlign w:val="center"/>
          </w:tcPr>
          <w:p>
            <w:pPr>
              <w:pStyle w:val="17"/>
              <w:rPr>
                <w:rFonts w:hint="eastAsia" w:ascii="Times New Roman" w:hAnsi="Times New Roman" w:eastAsia="宋体" w:cs="Times New Roman"/>
                <w:b/>
                <w:lang w:val="en-US" w:eastAsia="zh-CN"/>
              </w:rPr>
            </w:pPr>
            <w:r>
              <w:rPr>
                <w:rFonts w:hint="eastAsia" w:ascii="Times New Roman" w:hAnsi="Times New Roman" w:eastAsia="宋体" w:cs="Times New Roman"/>
                <w:b/>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8" w:type="pct"/>
            <w:vAlign w:val="center"/>
          </w:tcPr>
          <w:p>
            <w:pPr>
              <w:pStyle w:val="1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166" w:type="pct"/>
            <w:vMerge w:val="restart"/>
            <w:vAlign w:val="center"/>
          </w:tcPr>
          <w:p>
            <w:pPr>
              <w:pStyle w:val="1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塔吊安装</w:t>
            </w:r>
          </w:p>
        </w:tc>
        <w:tc>
          <w:tcPr>
            <w:tcW w:w="1019" w:type="pct"/>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施工准备</w:t>
            </w:r>
          </w:p>
        </w:tc>
        <w:tc>
          <w:tcPr>
            <w:tcW w:w="962" w:type="pct"/>
            <w:vAlign w:val="center"/>
          </w:tcPr>
          <w:p>
            <w:pPr>
              <w:pStyle w:val="1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1天</w:t>
            </w:r>
          </w:p>
        </w:tc>
        <w:tc>
          <w:tcPr>
            <w:tcW w:w="1314" w:type="pct"/>
            <w:vMerge w:val="restart"/>
            <w:vAlign w:val="center"/>
          </w:tcPr>
          <w:p>
            <w:pPr>
              <w:pStyle w:val="1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单台塔吊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8" w:type="pct"/>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w:t>
            </w:r>
          </w:p>
        </w:tc>
        <w:tc>
          <w:tcPr>
            <w:tcW w:w="1166" w:type="pct"/>
            <w:vMerge w:val="continue"/>
            <w:vAlign w:val="center"/>
          </w:tcPr>
          <w:p>
            <w:pPr>
              <w:pStyle w:val="17"/>
              <w:rPr>
                <w:rFonts w:hint="eastAsia" w:ascii="Times New Roman" w:hAnsi="Times New Roman" w:eastAsia="宋体" w:cs="Times New Roman"/>
                <w:lang w:val="en-US" w:eastAsia="zh-CN"/>
              </w:rPr>
            </w:pPr>
          </w:p>
        </w:tc>
        <w:tc>
          <w:tcPr>
            <w:tcW w:w="1019" w:type="pct"/>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起重机部件拼装</w:t>
            </w:r>
          </w:p>
        </w:tc>
        <w:tc>
          <w:tcPr>
            <w:tcW w:w="962" w:type="pct"/>
            <w:vAlign w:val="center"/>
          </w:tcPr>
          <w:p>
            <w:pPr>
              <w:pStyle w:val="1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1天</w:t>
            </w:r>
          </w:p>
        </w:tc>
        <w:tc>
          <w:tcPr>
            <w:tcW w:w="1314" w:type="pct"/>
            <w:vMerge w:val="continue"/>
            <w:vAlign w:val="center"/>
          </w:tcPr>
          <w:p>
            <w:pPr>
              <w:pStyle w:val="17"/>
              <w:rPr>
                <w:rFonts w:hint="eastAsia" w:ascii="Times New Roman" w:hAnsi="Times New Roman" w:eastAsia="宋体" w:cs="Times New Roman"/>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8" w:type="pct"/>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w:t>
            </w:r>
          </w:p>
        </w:tc>
        <w:tc>
          <w:tcPr>
            <w:tcW w:w="1166" w:type="pct"/>
            <w:vMerge w:val="continue"/>
            <w:vAlign w:val="center"/>
          </w:tcPr>
          <w:p>
            <w:pPr>
              <w:pStyle w:val="17"/>
              <w:rPr>
                <w:rFonts w:hint="eastAsia" w:ascii="Times New Roman" w:hAnsi="Times New Roman" w:eastAsia="宋体" w:cs="Times New Roman"/>
                <w:lang w:val="en-US" w:eastAsia="zh-CN"/>
              </w:rPr>
            </w:pPr>
          </w:p>
        </w:tc>
        <w:tc>
          <w:tcPr>
            <w:tcW w:w="1019" w:type="pct"/>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起重机部件吊装</w:t>
            </w:r>
          </w:p>
        </w:tc>
        <w:tc>
          <w:tcPr>
            <w:tcW w:w="962" w:type="pct"/>
            <w:vAlign w:val="center"/>
          </w:tcPr>
          <w:p>
            <w:pPr>
              <w:pStyle w:val="1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1天</w:t>
            </w:r>
          </w:p>
        </w:tc>
        <w:tc>
          <w:tcPr>
            <w:tcW w:w="1314" w:type="pct"/>
            <w:vMerge w:val="continue"/>
            <w:vAlign w:val="center"/>
          </w:tcPr>
          <w:p>
            <w:pPr>
              <w:pStyle w:val="17"/>
              <w:rPr>
                <w:rFonts w:hint="eastAsia" w:ascii="Times New Roman" w:hAnsi="Times New Roman" w:eastAsia="宋体" w:cs="Times New Roman"/>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8" w:type="pct"/>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w:t>
            </w:r>
          </w:p>
        </w:tc>
        <w:tc>
          <w:tcPr>
            <w:tcW w:w="1166" w:type="pct"/>
            <w:vMerge w:val="continue"/>
            <w:vAlign w:val="center"/>
          </w:tcPr>
          <w:p>
            <w:pPr>
              <w:pStyle w:val="17"/>
              <w:rPr>
                <w:rFonts w:hint="eastAsia" w:ascii="Times New Roman" w:hAnsi="Times New Roman" w:eastAsia="宋体" w:cs="Times New Roman"/>
                <w:lang w:val="en-US" w:eastAsia="zh-CN"/>
              </w:rPr>
            </w:pPr>
          </w:p>
        </w:tc>
        <w:tc>
          <w:tcPr>
            <w:tcW w:w="1019" w:type="pct"/>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安装电气系统</w:t>
            </w:r>
          </w:p>
        </w:tc>
        <w:tc>
          <w:tcPr>
            <w:tcW w:w="962" w:type="pct"/>
            <w:vAlign w:val="center"/>
          </w:tcPr>
          <w:p>
            <w:pPr>
              <w:pStyle w:val="1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0.5天</w:t>
            </w:r>
          </w:p>
        </w:tc>
        <w:tc>
          <w:tcPr>
            <w:tcW w:w="1314" w:type="pct"/>
            <w:vMerge w:val="continue"/>
            <w:vAlign w:val="center"/>
          </w:tcPr>
          <w:p>
            <w:pPr>
              <w:pStyle w:val="17"/>
              <w:rPr>
                <w:rFonts w:hint="eastAsia" w:ascii="Times New Roman" w:hAnsi="Times New Roman" w:eastAsia="宋体" w:cs="Times New Roman"/>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8" w:type="pct"/>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w:t>
            </w:r>
          </w:p>
        </w:tc>
        <w:tc>
          <w:tcPr>
            <w:tcW w:w="1166" w:type="pct"/>
            <w:vMerge w:val="continue"/>
            <w:vAlign w:val="center"/>
          </w:tcPr>
          <w:p>
            <w:pPr>
              <w:pStyle w:val="17"/>
              <w:rPr>
                <w:rFonts w:hint="eastAsia" w:ascii="Times New Roman" w:hAnsi="Times New Roman" w:eastAsia="宋体" w:cs="Times New Roman"/>
                <w:lang w:val="en-US" w:eastAsia="zh-CN"/>
              </w:rPr>
            </w:pPr>
          </w:p>
        </w:tc>
        <w:tc>
          <w:tcPr>
            <w:tcW w:w="1019" w:type="pct"/>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试验及检验</w:t>
            </w:r>
          </w:p>
        </w:tc>
        <w:tc>
          <w:tcPr>
            <w:tcW w:w="962" w:type="pct"/>
            <w:vAlign w:val="center"/>
          </w:tcPr>
          <w:p>
            <w:pPr>
              <w:pStyle w:val="1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0.5天</w:t>
            </w:r>
          </w:p>
        </w:tc>
        <w:tc>
          <w:tcPr>
            <w:tcW w:w="1314" w:type="pct"/>
            <w:vMerge w:val="continue"/>
            <w:vAlign w:val="center"/>
          </w:tcPr>
          <w:p>
            <w:pPr>
              <w:pStyle w:val="17"/>
              <w:rPr>
                <w:rFonts w:hint="eastAsia" w:ascii="Times New Roman" w:hAnsi="Times New Roman" w:eastAsia="宋体" w:cs="Times New Roman"/>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8" w:type="pct"/>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166" w:type="pct"/>
            <w:vMerge w:val="restart"/>
            <w:vAlign w:val="center"/>
          </w:tcPr>
          <w:p>
            <w:pPr>
              <w:pStyle w:val="1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塔吊拆除</w:t>
            </w:r>
          </w:p>
        </w:tc>
        <w:tc>
          <w:tcPr>
            <w:tcW w:w="1019" w:type="pct"/>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施工准备</w:t>
            </w:r>
          </w:p>
        </w:tc>
        <w:tc>
          <w:tcPr>
            <w:tcW w:w="962" w:type="pct"/>
            <w:vAlign w:val="center"/>
          </w:tcPr>
          <w:p>
            <w:pPr>
              <w:pStyle w:val="1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0.5天</w:t>
            </w:r>
          </w:p>
        </w:tc>
        <w:tc>
          <w:tcPr>
            <w:tcW w:w="1314" w:type="pct"/>
            <w:vMerge w:val="restart"/>
            <w:vAlign w:val="center"/>
          </w:tcPr>
          <w:p>
            <w:pPr>
              <w:pStyle w:val="1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单台塔吊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8" w:type="pct"/>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w:t>
            </w:r>
          </w:p>
        </w:tc>
        <w:tc>
          <w:tcPr>
            <w:tcW w:w="1166" w:type="pct"/>
            <w:vMerge w:val="continue"/>
            <w:vAlign w:val="center"/>
          </w:tcPr>
          <w:p>
            <w:pPr>
              <w:pStyle w:val="17"/>
              <w:rPr>
                <w:rFonts w:hint="eastAsia" w:ascii="Times New Roman" w:hAnsi="Times New Roman" w:eastAsia="宋体" w:cs="Times New Roman"/>
                <w:lang w:val="en-US" w:eastAsia="zh-CN"/>
              </w:rPr>
            </w:pPr>
          </w:p>
        </w:tc>
        <w:tc>
          <w:tcPr>
            <w:tcW w:w="1019" w:type="pct"/>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塔机降节</w:t>
            </w:r>
          </w:p>
        </w:tc>
        <w:tc>
          <w:tcPr>
            <w:tcW w:w="962" w:type="pct"/>
            <w:vAlign w:val="center"/>
          </w:tcPr>
          <w:p>
            <w:pPr>
              <w:pStyle w:val="1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1天</w:t>
            </w:r>
          </w:p>
        </w:tc>
        <w:tc>
          <w:tcPr>
            <w:tcW w:w="1314" w:type="pct"/>
            <w:vMerge w:val="continue"/>
            <w:vAlign w:val="center"/>
          </w:tcPr>
          <w:p>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8" w:type="pct"/>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w:t>
            </w:r>
          </w:p>
        </w:tc>
        <w:tc>
          <w:tcPr>
            <w:tcW w:w="1166" w:type="pct"/>
            <w:vMerge w:val="continue"/>
            <w:vAlign w:val="center"/>
          </w:tcPr>
          <w:p>
            <w:pPr>
              <w:pStyle w:val="17"/>
              <w:rPr>
                <w:rFonts w:hint="eastAsia" w:ascii="Times New Roman" w:hAnsi="Times New Roman" w:eastAsia="宋体" w:cs="Times New Roman"/>
                <w:lang w:val="en-US" w:eastAsia="zh-CN"/>
              </w:rPr>
            </w:pPr>
          </w:p>
        </w:tc>
        <w:tc>
          <w:tcPr>
            <w:tcW w:w="1019" w:type="pct"/>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拆除电气系统</w:t>
            </w:r>
          </w:p>
        </w:tc>
        <w:tc>
          <w:tcPr>
            <w:tcW w:w="962" w:type="pct"/>
            <w:vAlign w:val="center"/>
          </w:tcPr>
          <w:p>
            <w:pPr>
              <w:pStyle w:val="1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0.5天</w:t>
            </w:r>
          </w:p>
        </w:tc>
        <w:tc>
          <w:tcPr>
            <w:tcW w:w="1314" w:type="pct"/>
            <w:vMerge w:val="continue"/>
            <w:vAlign w:val="center"/>
          </w:tcPr>
          <w:p>
            <w:pPr>
              <w:widowControl w:val="0"/>
              <w:adjustRightInd w:val="0"/>
              <w:snapToGrid w:val="0"/>
              <w:spacing w:line="240" w:lineRule="auto"/>
              <w:ind w:firstLine="0" w:firstLineChars="0"/>
              <w:jc w:val="center"/>
              <w:rPr>
                <w:rFonts w:ascii="Times New Roman" w:hAnsi="Times New Roman" w:eastAsia="宋体" w:cs="Times New Roman"/>
                <w:color w:val="000000"/>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8" w:type="pct"/>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w:t>
            </w:r>
          </w:p>
        </w:tc>
        <w:tc>
          <w:tcPr>
            <w:tcW w:w="1166" w:type="pct"/>
            <w:vMerge w:val="continue"/>
            <w:vAlign w:val="center"/>
          </w:tcPr>
          <w:p>
            <w:pPr>
              <w:pStyle w:val="17"/>
              <w:rPr>
                <w:rFonts w:hint="eastAsia" w:ascii="Times New Roman" w:hAnsi="Times New Roman" w:eastAsia="宋体" w:cs="Times New Roman"/>
                <w:lang w:val="en-US" w:eastAsia="zh-CN"/>
              </w:rPr>
            </w:pPr>
          </w:p>
        </w:tc>
        <w:tc>
          <w:tcPr>
            <w:tcW w:w="1019" w:type="pct"/>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塔机部件拆卸</w:t>
            </w:r>
          </w:p>
        </w:tc>
        <w:tc>
          <w:tcPr>
            <w:tcW w:w="962" w:type="pct"/>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1天</w:t>
            </w:r>
          </w:p>
        </w:tc>
        <w:tc>
          <w:tcPr>
            <w:tcW w:w="1314" w:type="pct"/>
            <w:vMerge w:val="continue"/>
            <w:vAlign w:val="center"/>
          </w:tcPr>
          <w:p>
            <w:pPr>
              <w:widowControl w:val="0"/>
              <w:adjustRightInd w:val="0"/>
              <w:snapToGrid w:val="0"/>
              <w:spacing w:line="240" w:lineRule="auto"/>
              <w:ind w:firstLine="0" w:firstLineChars="0"/>
              <w:jc w:val="center"/>
              <w:rPr>
                <w:rFonts w:ascii="Times New Roman" w:hAnsi="Times New Roman" w:eastAsia="宋体" w:cs="Times New Roman"/>
                <w:color w:val="000000"/>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8" w:type="pct"/>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w:t>
            </w:r>
          </w:p>
        </w:tc>
        <w:tc>
          <w:tcPr>
            <w:tcW w:w="1166" w:type="pct"/>
            <w:vMerge w:val="continue"/>
            <w:vAlign w:val="center"/>
          </w:tcPr>
          <w:p>
            <w:pPr>
              <w:pStyle w:val="17"/>
              <w:rPr>
                <w:rFonts w:hint="eastAsia" w:ascii="Times New Roman" w:hAnsi="Times New Roman" w:eastAsia="宋体" w:cs="Times New Roman"/>
                <w:lang w:val="en-US" w:eastAsia="zh-CN"/>
              </w:rPr>
            </w:pPr>
          </w:p>
        </w:tc>
        <w:tc>
          <w:tcPr>
            <w:tcW w:w="1019" w:type="pct"/>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部件解体退场</w:t>
            </w:r>
          </w:p>
        </w:tc>
        <w:tc>
          <w:tcPr>
            <w:tcW w:w="962" w:type="pct"/>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1天</w:t>
            </w:r>
          </w:p>
        </w:tc>
        <w:tc>
          <w:tcPr>
            <w:tcW w:w="1314" w:type="pct"/>
            <w:vMerge w:val="continue"/>
            <w:vAlign w:val="center"/>
          </w:tcPr>
          <w:p>
            <w:pPr>
              <w:widowControl w:val="0"/>
              <w:adjustRightInd w:val="0"/>
              <w:snapToGrid w:val="0"/>
              <w:spacing w:line="240" w:lineRule="auto"/>
              <w:ind w:firstLine="0" w:firstLineChars="0"/>
              <w:jc w:val="center"/>
              <w:rPr>
                <w:rFonts w:ascii="Times New Roman" w:hAnsi="Times New Roman" w:eastAsia="宋体" w:cs="Times New Roman"/>
                <w:color w:val="000000"/>
                <w:kern w:val="2"/>
                <w:sz w:val="21"/>
                <w:szCs w:val="21"/>
                <w:lang w:val="en-US" w:eastAsia="zh-CN" w:bidi="ar-SA"/>
              </w:rPr>
            </w:pPr>
          </w:p>
        </w:tc>
      </w:tr>
    </w:tbl>
    <w:p>
      <w:pPr>
        <w:rPr>
          <w:rFonts w:hint="eastAsia"/>
          <w:color w:val="0000FF"/>
        </w:rPr>
      </w:pPr>
    </w:p>
    <w:p>
      <w:pPr>
        <w:pStyle w:val="3"/>
      </w:pPr>
      <w:bookmarkStart w:id="67" w:name="_Toc15201"/>
      <w:r>
        <w:rPr>
          <w:rFonts w:hint="eastAsia"/>
        </w:rPr>
        <w:t>材料计划</w:t>
      </w:r>
      <w:bookmarkEnd w:id="67"/>
    </w:p>
    <w:p>
      <w:pPr>
        <w:pStyle w:val="4"/>
      </w:pPr>
      <w:r>
        <w:rPr>
          <w:rFonts w:hint="eastAsia"/>
        </w:rPr>
        <w:t>材料计划</w:t>
      </w:r>
    </w:p>
    <w:p>
      <w:pPr>
        <w:ind w:firstLine="480"/>
      </w:pPr>
      <w:bookmarkStart w:id="68" w:name="_Ref117665357"/>
      <w:r>
        <w:fldChar w:fldCharType="begin"/>
      </w:r>
      <w:r>
        <w:instrText xml:space="preserve"> </w:instrText>
      </w:r>
      <w:r>
        <w:rPr>
          <w:rFonts w:hint="eastAsia"/>
        </w:rPr>
        <w:instrText xml:space="preserve">REF 设备型号1 \h</w:instrText>
      </w:r>
      <w:r>
        <w:instrText xml:space="preserve">  \* MERGEFORMAT </w:instrText>
      </w:r>
      <w:r>
        <w:fldChar w:fldCharType="separate"/>
      </w:r>
      <w:r>
        <w:rPr>
          <w:rFonts w:hint="eastAsia"/>
          <w:lang w:eastAsia="zh-CN"/>
        </w:rPr>
        <w:t>XGT6515-10S</w:t>
      </w:r>
      <w:r>
        <w:fldChar w:fldCharType="end"/>
      </w:r>
      <w:r>
        <w:fldChar w:fldCharType="begin"/>
      </w:r>
      <w:r>
        <w:instrText xml:space="preserve"> REF 设备类型 \h  \* MERGEFORMAT </w:instrText>
      </w:r>
      <w:r>
        <w:fldChar w:fldCharType="separate"/>
      </w:r>
      <w:r>
        <w:rPr>
          <w:rFonts w:hint="eastAsia"/>
        </w:rPr>
        <w:t>塔式起重机</w:t>
      </w:r>
      <w:r>
        <w:fldChar w:fldCharType="end"/>
      </w:r>
      <w:r>
        <w:rPr>
          <w:rFonts w:hint="eastAsia"/>
        </w:rPr>
        <w:t>安拆实施所需施工材料计划详见</w:t>
      </w:r>
      <w:r>
        <w:fldChar w:fldCharType="begin"/>
      </w:r>
      <w:r>
        <w:instrText xml:space="preserve"> </w:instrText>
      </w:r>
      <w:r>
        <w:rPr>
          <w:rFonts w:hint="eastAsia"/>
        </w:rPr>
        <w:instrText xml:space="preserve">REF _Ref117665352 \h</w:instrText>
      </w:r>
      <w:r>
        <w:instrText xml:space="preserve">  \* MERGEFORMAT </w:instrText>
      </w:r>
      <w:r>
        <w:fldChar w:fldCharType="separate"/>
      </w:r>
      <w:r>
        <w:rPr>
          <w:rFonts w:hint="eastAsia"/>
        </w:rPr>
        <w:t>表</w:t>
      </w:r>
      <w:r>
        <w:t>3.2.1-1</w:t>
      </w:r>
      <w:r>
        <w:fldChar w:fldCharType="end"/>
      </w:r>
      <w:r>
        <w:rPr>
          <w:rFonts w:hint="eastAsia"/>
        </w:rPr>
        <w:t>所示。</w:t>
      </w:r>
    </w:p>
    <w:p>
      <w:pPr>
        <w:pStyle w:val="16"/>
      </w:pPr>
      <w:bookmarkStart w:id="69" w:name="_Ref117665352"/>
      <w:r>
        <w:rPr>
          <w:rFonts w:hint="eastAsia"/>
        </w:rPr>
        <w:t>表</w:t>
      </w:r>
      <w:r>
        <w:fldChar w:fldCharType="begin"/>
      </w:r>
      <w:r>
        <w:instrText xml:space="preserve"> STYLEREF 3 \s </w:instrText>
      </w:r>
      <w:r>
        <w:fldChar w:fldCharType="separate"/>
      </w:r>
      <w:r>
        <w:t>3.2.1</w:t>
      </w:r>
      <w:r>
        <w:fldChar w:fldCharType="end"/>
      </w:r>
      <w:r>
        <w:t>-</w:t>
      </w:r>
      <w:r>
        <w:fldChar w:fldCharType="begin"/>
      </w:r>
      <w:r>
        <w:instrText xml:space="preserve"> SEQ </w:instrText>
      </w:r>
      <w:r>
        <w:rPr>
          <w:rFonts w:hint="eastAsia"/>
        </w:rPr>
        <w:instrText xml:space="preserve">表</w:instrText>
      </w:r>
      <w:r>
        <w:instrText xml:space="preserve"> \* ARABIC \s 3 </w:instrText>
      </w:r>
      <w:r>
        <w:fldChar w:fldCharType="separate"/>
      </w:r>
      <w:r>
        <w:t>1</w:t>
      </w:r>
      <w:r>
        <w:fldChar w:fldCharType="end"/>
      </w:r>
      <w:bookmarkEnd w:id="69"/>
      <w:r>
        <w:t xml:space="preserve"> </w:t>
      </w:r>
      <w:r>
        <w:fldChar w:fldCharType="begin"/>
      </w:r>
      <w:r>
        <w:instrText xml:space="preserve"> </w:instrText>
      </w:r>
      <w:r>
        <w:rPr>
          <w:rFonts w:hint="eastAsia"/>
        </w:rPr>
        <w:instrText xml:space="preserve">REF 设备型号1 \h</w:instrText>
      </w:r>
      <w:r>
        <w:instrText xml:space="preserve">  \* MERGEFORMAT </w:instrText>
      </w:r>
      <w:r>
        <w:fldChar w:fldCharType="separate"/>
      </w:r>
      <w:r>
        <w:rPr>
          <w:rFonts w:hint="eastAsia"/>
          <w:lang w:eastAsia="zh-CN"/>
        </w:rPr>
        <w:t>XGT6515-10S</w:t>
      </w:r>
      <w:r>
        <w:fldChar w:fldCharType="end"/>
      </w:r>
      <w:r>
        <w:fldChar w:fldCharType="begin"/>
      </w:r>
      <w:r>
        <w:instrText xml:space="preserve"> REF 设备类型 \h  \* MERGEFORMAT </w:instrText>
      </w:r>
      <w:r>
        <w:fldChar w:fldCharType="separate"/>
      </w:r>
      <w:r>
        <w:rPr>
          <w:rFonts w:hint="eastAsia"/>
        </w:rPr>
        <w:t>塔式起重机</w:t>
      </w:r>
      <w:r>
        <w:fldChar w:fldCharType="end"/>
      </w:r>
      <w:r>
        <w:rPr>
          <w:rFonts w:hint="eastAsia"/>
          <w:lang w:val="en-US" w:eastAsia="zh-CN"/>
        </w:rPr>
        <w:t>单台</w:t>
      </w:r>
      <w:r>
        <w:rPr>
          <w:rFonts w:hint="eastAsia"/>
        </w:rPr>
        <w:t>施工材料计划</w:t>
      </w:r>
    </w:p>
    <w:tbl>
      <w:tblPr>
        <w:tblStyle w:val="40"/>
        <w:tblW w:w="8137" w:type="dxa"/>
        <w:tblInd w:w="80" w:type="dxa"/>
        <w:tblLayout w:type="fixed"/>
        <w:tblCellMar>
          <w:top w:w="0" w:type="dxa"/>
          <w:left w:w="10" w:type="dxa"/>
          <w:bottom w:w="0" w:type="dxa"/>
          <w:right w:w="10" w:type="dxa"/>
        </w:tblCellMar>
      </w:tblPr>
      <w:tblGrid>
        <w:gridCol w:w="777"/>
        <w:gridCol w:w="2217"/>
        <w:gridCol w:w="1680"/>
        <w:gridCol w:w="1338"/>
        <w:gridCol w:w="2125"/>
      </w:tblGrid>
      <w:tr>
        <w:trPr>
          <w:trHeight w:val="23" w:hRule="atLeast"/>
        </w:trPr>
        <w:tc>
          <w:tcPr>
            <w:tcW w:w="777" w:type="dxa"/>
            <w:vMerge w:val="restart"/>
            <w:tcBorders>
              <w:top w:val="single" w:color="auto" w:sz="2" w:space="0"/>
              <w:left w:val="single" w:color="auto" w:sz="2" w:space="0"/>
              <w:right w:val="single" w:color="auto" w:sz="2" w:space="0"/>
            </w:tcBorders>
            <w:vAlign w:val="center"/>
          </w:tcPr>
          <w:p>
            <w:pPr>
              <w:pStyle w:val="17"/>
              <w:rPr>
                <w:rFonts w:hint="eastAsia" w:ascii="Times New Roman" w:hAnsi="Times New Roman" w:eastAsia="宋体" w:cs="Times New Roman"/>
                <w:b/>
                <w:lang w:val="zh-CN" w:eastAsia="zh-CN"/>
              </w:rPr>
            </w:pPr>
            <w:r>
              <w:rPr>
                <w:rFonts w:hint="eastAsia" w:ascii="Times New Roman" w:hAnsi="Times New Roman" w:eastAsia="宋体" w:cs="Times New Roman"/>
                <w:b/>
                <w:lang w:val="zh-CN" w:eastAsia="zh-CN"/>
              </w:rPr>
              <w:t>序号</w:t>
            </w:r>
          </w:p>
        </w:tc>
        <w:tc>
          <w:tcPr>
            <w:tcW w:w="7360" w:type="dxa"/>
            <w:gridSpan w:val="4"/>
            <w:tcBorders>
              <w:top w:val="single" w:color="auto" w:sz="2" w:space="0"/>
              <w:left w:val="single" w:color="auto" w:sz="2" w:space="0"/>
              <w:bottom w:val="single" w:color="auto" w:sz="2" w:space="0"/>
              <w:right w:val="single" w:color="auto" w:sz="2" w:space="0"/>
            </w:tcBorders>
            <w:vAlign w:val="center"/>
          </w:tcPr>
          <w:p>
            <w:pPr>
              <w:pStyle w:val="17"/>
              <w:rPr>
                <w:rFonts w:hint="eastAsia" w:ascii="Times New Roman" w:hAnsi="Times New Roman" w:eastAsia="宋体" w:cs="Times New Roman"/>
                <w:b/>
                <w:lang w:val="zh-CN" w:eastAsia="zh-CN"/>
              </w:rPr>
            </w:pPr>
            <w:r>
              <w:rPr>
                <w:rFonts w:hint="eastAsia" w:ascii="Times New Roman" w:hAnsi="Times New Roman" w:eastAsia="宋体" w:cs="Times New Roman"/>
                <w:b/>
                <w:lang w:val="zh-CN" w:eastAsia="zh-CN"/>
              </w:rPr>
              <w:t>塔机部件参数</w:t>
            </w:r>
          </w:p>
        </w:tc>
      </w:tr>
      <w:tr>
        <w:tblPrEx>
          <w:tblCellMar>
            <w:top w:w="0" w:type="dxa"/>
            <w:left w:w="10" w:type="dxa"/>
            <w:bottom w:w="0" w:type="dxa"/>
            <w:right w:w="10" w:type="dxa"/>
          </w:tblCellMar>
        </w:tblPrEx>
        <w:trPr>
          <w:trHeight w:val="23" w:hRule="atLeast"/>
        </w:trPr>
        <w:tc>
          <w:tcPr>
            <w:tcW w:w="777" w:type="dxa"/>
            <w:vMerge w:val="continue"/>
            <w:tcBorders>
              <w:left w:val="single" w:color="auto" w:sz="2" w:space="0"/>
              <w:bottom w:val="single" w:color="auto" w:sz="2" w:space="0"/>
              <w:right w:val="single" w:color="auto" w:sz="2" w:space="0"/>
            </w:tcBorders>
            <w:vAlign w:val="center"/>
          </w:tcPr>
          <w:p>
            <w:pPr>
              <w:pStyle w:val="17"/>
              <w:rPr>
                <w:rFonts w:hint="eastAsia" w:ascii="Times New Roman" w:hAnsi="Times New Roman" w:eastAsia="宋体" w:cs="Times New Roman"/>
                <w:b/>
                <w:lang w:val="zh-CN" w:eastAsia="zh-CN"/>
              </w:rPr>
            </w:pPr>
          </w:p>
        </w:tc>
        <w:tc>
          <w:tcPr>
            <w:tcW w:w="2217" w:type="dxa"/>
            <w:tcBorders>
              <w:top w:val="single" w:color="auto" w:sz="2" w:space="0"/>
              <w:left w:val="single" w:color="auto" w:sz="2" w:space="0"/>
              <w:bottom w:val="single" w:color="auto" w:sz="2" w:space="0"/>
              <w:right w:val="single" w:color="auto" w:sz="2" w:space="0"/>
            </w:tcBorders>
            <w:vAlign w:val="center"/>
          </w:tcPr>
          <w:p>
            <w:pPr>
              <w:pStyle w:val="17"/>
              <w:rPr>
                <w:rFonts w:hint="eastAsia" w:ascii="Times New Roman" w:hAnsi="Times New Roman" w:eastAsia="宋体" w:cs="Times New Roman"/>
                <w:b/>
                <w:lang w:val="zh-CN" w:eastAsia="zh-CN"/>
              </w:rPr>
            </w:pPr>
            <w:r>
              <w:rPr>
                <w:rFonts w:hint="eastAsia" w:ascii="Times New Roman" w:hAnsi="Times New Roman" w:eastAsia="宋体" w:cs="Times New Roman"/>
                <w:b/>
                <w:lang w:val="zh-CN" w:eastAsia="zh-CN"/>
              </w:rPr>
              <w:t>部件名称</w:t>
            </w:r>
          </w:p>
        </w:tc>
        <w:tc>
          <w:tcPr>
            <w:tcW w:w="1680" w:type="dxa"/>
            <w:tcBorders>
              <w:top w:val="single" w:color="auto" w:sz="2" w:space="0"/>
              <w:left w:val="single" w:color="auto" w:sz="2" w:space="0"/>
              <w:bottom w:val="single" w:color="auto" w:sz="2" w:space="0"/>
              <w:right w:val="single" w:color="auto" w:sz="2" w:space="0"/>
            </w:tcBorders>
            <w:vAlign w:val="center"/>
          </w:tcPr>
          <w:p>
            <w:pPr>
              <w:pStyle w:val="17"/>
              <w:rPr>
                <w:rFonts w:hint="eastAsia" w:ascii="Times New Roman" w:hAnsi="Times New Roman" w:eastAsia="宋体" w:cs="Times New Roman"/>
                <w:b/>
                <w:lang w:val="zh-CN" w:eastAsia="zh-CN"/>
              </w:rPr>
            </w:pPr>
            <w:r>
              <w:rPr>
                <w:rFonts w:hint="eastAsia" w:ascii="Times New Roman" w:hAnsi="Times New Roman" w:eastAsia="宋体" w:cs="Times New Roman"/>
                <w:b/>
                <w:lang w:val="zh-CN" w:eastAsia="zh-CN"/>
              </w:rPr>
              <w:t>部件重量(t)</w:t>
            </w:r>
          </w:p>
        </w:tc>
        <w:tc>
          <w:tcPr>
            <w:tcW w:w="1338" w:type="dxa"/>
            <w:tcBorders>
              <w:top w:val="single" w:color="auto" w:sz="2" w:space="0"/>
              <w:left w:val="single" w:color="auto" w:sz="2" w:space="0"/>
              <w:bottom w:val="single" w:color="auto" w:sz="2" w:space="0"/>
              <w:right w:val="single" w:color="auto" w:sz="2" w:space="0"/>
            </w:tcBorders>
            <w:vAlign w:val="center"/>
          </w:tcPr>
          <w:p>
            <w:pPr>
              <w:pStyle w:val="17"/>
              <w:rPr>
                <w:rFonts w:hint="eastAsia" w:ascii="Times New Roman" w:hAnsi="Times New Roman" w:eastAsia="宋体" w:cs="Times New Roman"/>
                <w:b/>
                <w:lang w:val="zh-CN" w:eastAsia="zh-CN"/>
              </w:rPr>
            </w:pPr>
            <w:r>
              <w:rPr>
                <w:rFonts w:hint="eastAsia" w:ascii="Times New Roman" w:hAnsi="Times New Roman" w:eastAsia="宋体" w:cs="Times New Roman"/>
                <w:b/>
                <w:lang w:val="zh-CN" w:eastAsia="zh-CN"/>
              </w:rPr>
              <w:t>吊装半径(m)</w:t>
            </w:r>
          </w:p>
        </w:tc>
        <w:tc>
          <w:tcPr>
            <w:tcW w:w="2125" w:type="dxa"/>
            <w:tcBorders>
              <w:top w:val="single" w:color="auto" w:sz="2" w:space="0"/>
              <w:left w:val="single" w:color="auto" w:sz="2" w:space="0"/>
              <w:bottom w:val="single" w:color="auto" w:sz="2" w:space="0"/>
              <w:right w:val="single" w:color="auto" w:sz="2" w:space="0"/>
            </w:tcBorders>
            <w:vAlign w:val="center"/>
          </w:tcPr>
          <w:p>
            <w:pPr>
              <w:pStyle w:val="17"/>
              <w:rPr>
                <w:rFonts w:hint="eastAsia" w:ascii="Times New Roman" w:hAnsi="Times New Roman" w:eastAsia="宋体" w:cs="Times New Roman"/>
                <w:b/>
                <w:lang w:val="zh-CN" w:eastAsia="zh-CN"/>
              </w:rPr>
            </w:pPr>
            <w:r>
              <w:rPr>
                <w:rFonts w:hint="eastAsia" w:ascii="Times New Roman" w:hAnsi="Times New Roman" w:eastAsia="宋体" w:cs="Times New Roman"/>
                <w:b/>
                <w:lang w:val="zh-CN" w:eastAsia="zh-CN"/>
              </w:rPr>
              <w:t>吊装高度(m)</w:t>
            </w:r>
          </w:p>
        </w:tc>
      </w:tr>
      <w:tr>
        <w:tblPrEx>
          <w:tblCellMar>
            <w:top w:w="0" w:type="dxa"/>
            <w:left w:w="10" w:type="dxa"/>
            <w:bottom w:w="0" w:type="dxa"/>
            <w:right w:w="10" w:type="dxa"/>
          </w:tblCellMar>
        </w:tblPrEx>
        <w:trPr>
          <w:trHeight w:val="567" w:hRule="atLeast"/>
        </w:trPr>
        <w:tc>
          <w:tcPr>
            <w:tcW w:w="777" w:type="dxa"/>
            <w:tcBorders>
              <w:top w:val="single" w:color="auto" w:sz="2" w:space="0"/>
              <w:left w:val="single" w:color="auto" w:sz="2" w:space="0"/>
              <w:bottom w:val="single" w:color="auto" w:sz="2" w:space="0"/>
              <w:right w:val="single" w:color="auto" w:sz="2" w:space="0"/>
            </w:tcBorders>
            <w:vAlign w:val="center"/>
          </w:tcPr>
          <w:p>
            <w:pPr>
              <w:pStyle w:val="17"/>
              <w:rPr>
                <w:rFonts w:hint="eastAsia" w:ascii="Times New Roman" w:hAnsi="Times New Roman" w:eastAsia="宋体" w:cs="Times New Roman"/>
                <w:lang w:val="zh-CN" w:eastAsia="zh-CN"/>
              </w:rPr>
            </w:pPr>
            <w:r>
              <w:rPr>
                <w:rFonts w:hint="eastAsia" w:ascii="Times New Roman" w:hAnsi="Times New Roman" w:eastAsia="宋体" w:cs="Times New Roman"/>
                <w:lang w:val="zh-CN" w:eastAsia="zh-CN"/>
              </w:rPr>
              <w:t>1</w:t>
            </w:r>
          </w:p>
        </w:tc>
        <w:tc>
          <w:tcPr>
            <w:tcW w:w="221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基础节</w:t>
            </w:r>
          </w:p>
        </w:tc>
        <w:tc>
          <w:tcPr>
            <w:tcW w:w="1680"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4.085</w:t>
            </w:r>
          </w:p>
        </w:tc>
        <w:tc>
          <w:tcPr>
            <w:tcW w:w="1338"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10</w:t>
            </w:r>
          </w:p>
        </w:tc>
        <w:tc>
          <w:tcPr>
            <w:tcW w:w="2125"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11</w:t>
            </w:r>
          </w:p>
        </w:tc>
      </w:tr>
      <w:tr>
        <w:tblPrEx>
          <w:tblCellMar>
            <w:top w:w="0" w:type="dxa"/>
            <w:left w:w="10" w:type="dxa"/>
            <w:bottom w:w="0" w:type="dxa"/>
            <w:right w:w="10" w:type="dxa"/>
          </w:tblCellMar>
        </w:tblPrEx>
        <w:trPr>
          <w:trHeight w:val="567" w:hRule="atLeast"/>
        </w:trPr>
        <w:tc>
          <w:tcPr>
            <w:tcW w:w="777" w:type="dxa"/>
            <w:tcBorders>
              <w:top w:val="single" w:color="auto" w:sz="2" w:space="0"/>
              <w:left w:val="single" w:color="auto" w:sz="2" w:space="0"/>
              <w:bottom w:val="single" w:color="auto" w:sz="2" w:space="0"/>
              <w:right w:val="single" w:color="auto" w:sz="2" w:space="0"/>
            </w:tcBorders>
            <w:vAlign w:val="center"/>
          </w:tcPr>
          <w:p>
            <w:pPr>
              <w:pStyle w:val="17"/>
              <w:rPr>
                <w:rFonts w:hint="eastAsia" w:ascii="Times New Roman" w:hAnsi="Times New Roman" w:eastAsia="宋体" w:cs="Times New Roman"/>
                <w:lang w:val="zh-CN" w:eastAsia="zh-CN"/>
              </w:rPr>
            </w:pPr>
            <w:r>
              <w:rPr>
                <w:rFonts w:hint="eastAsia" w:ascii="Times New Roman" w:hAnsi="Times New Roman" w:eastAsia="宋体" w:cs="Times New Roman"/>
                <w:lang w:val="zh-CN" w:eastAsia="zh-CN"/>
              </w:rPr>
              <w:t>2</w:t>
            </w:r>
          </w:p>
        </w:tc>
        <w:tc>
          <w:tcPr>
            <w:tcW w:w="221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标准节</w:t>
            </w:r>
          </w:p>
        </w:tc>
        <w:tc>
          <w:tcPr>
            <w:tcW w:w="1680"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1.8</w:t>
            </w:r>
          </w:p>
        </w:tc>
        <w:tc>
          <w:tcPr>
            <w:tcW w:w="1338"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10</w:t>
            </w:r>
          </w:p>
        </w:tc>
        <w:tc>
          <w:tcPr>
            <w:tcW w:w="2125"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14</w:t>
            </w:r>
          </w:p>
        </w:tc>
      </w:tr>
      <w:tr>
        <w:tblPrEx>
          <w:tblCellMar>
            <w:top w:w="0" w:type="dxa"/>
            <w:left w:w="10" w:type="dxa"/>
            <w:bottom w:w="0" w:type="dxa"/>
            <w:right w:w="10" w:type="dxa"/>
          </w:tblCellMar>
        </w:tblPrEx>
        <w:trPr>
          <w:trHeight w:val="567" w:hRule="atLeast"/>
        </w:trPr>
        <w:tc>
          <w:tcPr>
            <w:tcW w:w="777" w:type="dxa"/>
            <w:tcBorders>
              <w:top w:val="single" w:color="auto" w:sz="2" w:space="0"/>
              <w:left w:val="single" w:color="auto" w:sz="2" w:space="0"/>
              <w:bottom w:val="single" w:color="auto" w:sz="2" w:space="0"/>
              <w:right w:val="single" w:color="auto" w:sz="2" w:space="0"/>
            </w:tcBorders>
            <w:vAlign w:val="center"/>
          </w:tcPr>
          <w:p>
            <w:pPr>
              <w:pStyle w:val="17"/>
              <w:rPr>
                <w:rFonts w:hint="eastAsia" w:ascii="Times New Roman" w:hAnsi="Times New Roman" w:eastAsia="宋体" w:cs="Times New Roman"/>
                <w:lang w:val="en-US" w:eastAsia="zh-CN"/>
              </w:rPr>
            </w:pPr>
            <w:r>
              <w:rPr>
                <w:rFonts w:hint="eastAsia" w:ascii="Times New Roman" w:hAnsi="Times New Roman" w:eastAsia="宋体" w:cs="Times New Roman"/>
                <w:lang w:val="zh-CN" w:eastAsia="zh-CN"/>
              </w:rPr>
              <w:t>3</w:t>
            </w:r>
          </w:p>
        </w:tc>
        <w:tc>
          <w:tcPr>
            <w:tcW w:w="221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爬升架总成</w:t>
            </w:r>
          </w:p>
        </w:tc>
        <w:tc>
          <w:tcPr>
            <w:tcW w:w="1680"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5.35</w:t>
            </w:r>
          </w:p>
        </w:tc>
        <w:tc>
          <w:tcPr>
            <w:tcW w:w="1338"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10</w:t>
            </w:r>
          </w:p>
        </w:tc>
        <w:tc>
          <w:tcPr>
            <w:tcW w:w="2125"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22</w:t>
            </w:r>
          </w:p>
        </w:tc>
      </w:tr>
      <w:tr>
        <w:tblPrEx>
          <w:tblCellMar>
            <w:top w:w="0" w:type="dxa"/>
            <w:left w:w="10" w:type="dxa"/>
            <w:bottom w:w="0" w:type="dxa"/>
            <w:right w:w="10" w:type="dxa"/>
          </w:tblCellMar>
        </w:tblPrEx>
        <w:trPr>
          <w:trHeight w:val="567" w:hRule="atLeast"/>
        </w:trPr>
        <w:tc>
          <w:tcPr>
            <w:tcW w:w="777" w:type="dxa"/>
            <w:tcBorders>
              <w:top w:val="single" w:color="auto" w:sz="2" w:space="0"/>
              <w:left w:val="single" w:color="auto" w:sz="2" w:space="0"/>
              <w:bottom w:val="single" w:color="auto" w:sz="2" w:space="0"/>
              <w:right w:val="single" w:color="auto" w:sz="2" w:space="0"/>
            </w:tcBorders>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w:t>
            </w:r>
          </w:p>
        </w:tc>
        <w:tc>
          <w:tcPr>
            <w:tcW w:w="221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特殊节</w:t>
            </w:r>
          </w:p>
        </w:tc>
        <w:tc>
          <w:tcPr>
            <w:tcW w:w="1680"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3.3</w:t>
            </w:r>
          </w:p>
        </w:tc>
        <w:tc>
          <w:tcPr>
            <w:tcW w:w="1338"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10</w:t>
            </w:r>
          </w:p>
        </w:tc>
        <w:tc>
          <w:tcPr>
            <w:tcW w:w="2125"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22</w:t>
            </w:r>
          </w:p>
        </w:tc>
      </w:tr>
      <w:tr>
        <w:tblPrEx>
          <w:tblCellMar>
            <w:top w:w="0" w:type="dxa"/>
            <w:left w:w="10" w:type="dxa"/>
            <w:bottom w:w="0" w:type="dxa"/>
            <w:right w:w="10" w:type="dxa"/>
          </w:tblCellMar>
        </w:tblPrEx>
        <w:trPr>
          <w:trHeight w:val="567" w:hRule="atLeast"/>
        </w:trPr>
        <w:tc>
          <w:tcPr>
            <w:tcW w:w="777" w:type="dxa"/>
            <w:tcBorders>
              <w:top w:val="single" w:color="auto" w:sz="2" w:space="0"/>
              <w:left w:val="single" w:color="auto" w:sz="2" w:space="0"/>
              <w:bottom w:val="single" w:color="auto" w:sz="2" w:space="0"/>
              <w:right w:val="single" w:color="auto" w:sz="2" w:space="0"/>
            </w:tcBorders>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w:t>
            </w:r>
          </w:p>
        </w:tc>
        <w:tc>
          <w:tcPr>
            <w:tcW w:w="221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回转总成</w:t>
            </w:r>
          </w:p>
        </w:tc>
        <w:tc>
          <w:tcPr>
            <w:tcW w:w="1680"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4.758</w:t>
            </w:r>
          </w:p>
        </w:tc>
        <w:tc>
          <w:tcPr>
            <w:tcW w:w="1338"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10</w:t>
            </w:r>
          </w:p>
        </w:tc>
        <w:tc>
          <w:tcPr>
            <w:tcW w:w="2125"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22</w:t>
            </w:r>
          </w:p>
        </w:tc>
      </w:tr>
      <w:tr>
        <w:tblPrEx>
          <w:tblCellMar>
            <w:top w:w="0" w:type="dxa"/>
            <w:left w:w="10" w:type="dxa"/>
            <w:bottom w:w="0" w:type="dxa"/>
            <w:right w:w="10" w:type="dxa"/>
          </w:tblCellMar>
        </w:tblPrEx>
        <w:trPr>
          <w:trHeight w:val="567" w:hRule="atLeast"/>
        </w:trPr>
        <w:tc>
          <w:tcPr>
            <w:tcW w:w="777" w:type="dxa"/>
            <w:tcBorders>
              <w:top w:val="single" w:color="auto" w:sz="2" w:space="0"/>
              <w:left w:val="single" w:color="auto" w:sz="2" w:space="0"/>
              <w:bottom w:val="single" w:color="auto" w:sz="2" w:space="0"/>
              <w:right w:val="single" w:color="auto" w:sz="2" w:space="0"/>
            </w:tcBorders>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6</w:t>
            </w:r>
          </w:p>
        </w:tc>
        <w:tc>
          <w:tcPr>
            <w:tcW w:w="221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安装起重臂臂根节</w:t>
            </w:r>
          </w:p>
        </w:tc>
        <w:tc>
          <w:tcPr>
            <w:tcW w:w="1680"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3.8</w:t>
            </w:r>
          </w:p>
        </w:tc>
        <w:tc>
          <w:tcPr>
            <w:tcW w:w="1338"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10</w:t>
            </w:r>
          </w:p>
        </w:tc>
        <w:tc>
          <w:tcPr>
            <w:tcW w:w="2125"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26</w:t>
            </w:r>
          </w:p>
        </w:tc>
      </w:tr>
      <w:tr>
        <w:tblPrEx>
          <w:tblCellMar>
            <w:top w:w="0" w:type="dxa"/>
            <w:left w:w="10" w:type="dxa"/>
            <w:bottom w:w="0" w:type="dxa"/>
            <w:right w:w="10" w:type="dxa"/>
          </w:tblCellMar>
        </w:tblPrEx>
        <w:trPr>
          <w:trHeight w:val="567" w:hRule="atLeast"/>
        </w:trPr>
        <w:tc>
          <w:tcPr>
            <w:tcW w:w="777" w:type="dxa"/>
            <w:tcBorders>
              <w:top w:val="single" w:color="auto" w:sz="2" w:space="0"/>
              <w:left w:val="single" w:color="auto" w:sz="2" w:space="0"/>
              <w:bottom w:val="single" w:color="auto" w:sz="2" w:space="0"/>
              <w:right w:val="single" w:color="auto" w:sz="2" w:space="0"/>
            </w:tcBorders>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7</w:t>
            </w:r>
          </w:p>
        </w:tc>
        <w:tc>
          <w:tcPr>
            <w:tcW w:w="221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平衡臂总成</w:t>
            </w:r>
          </w:p>
        </w:tc>
        <w:tc>
          <w:tcPr>
            <w:tcW w:w="1680"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5.2</w:t>
            </w:r>
          </w:p>
        </w:tc>
        <w:tc>
          <w:tcPr>
            <w:tcW w:w="1338"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10</w:t>
            </w:r>
          </w:p>
        </w:tc>
        <w:tc>
          <w:tcPr>
            <w:tcW w:w="2125"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26</w:t>
            </w:r>
          </w:p>
        </w:tc>
      </w:tr>
      <w:tr>
        <w:tblPrEx>
          <w:tblCellMar>
            <w:top w:w="0" w:type="dxa"/>
            <w:left w:w="10" w:type="dxa"/>
            <w:bottom w:w="0" w:type="dxa"/>
            <w:right w:w="10" w:type="dxa"/>
          </w:tblCellMar>
        </w:tblPrEx>
        <w:trPr>
          <w:trHeight w:val="567" w:hRule="atLeast"/>
        </w:trPr>
        <w:tc>
          <w:tcPr>
            <w:tcW w:w="777" w:type="dxa"/>
            <w:tcBorders>
              <w:top w:val="single" w:color="auto" w:sz="2" w:space="0"/>
              <w:left w:val="single" w:color="auto" w:sz="2" w:space="0"/>
              <w:bottom w:val="single" w:color="auto" w:sz="2" w:space="0"/>
              <w:right w:val="single" w:color="auto" w:sz="2" w:space="0"/>
            </w:tcBorders>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8</w:t>
            </w:r>
          </w:p>
        </w:tc>
        <w:tc>
          <w:tcPr>
            <w:tcW w:w="221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1块配重</w:t>
            </w:r>
          </w:p>
        </w:tc>
        <w:tc>
          <w:tcPr>
            <w:tcW w:w="1680"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3.2</w:t>
            </w:r>
          </w:p>
        </w:tc>
        <w:tc>
          <w:tcPr>
            <w:tcW w:w="1338"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10</w:t>
            </w:r>
          </w:p>
        </w:tc>
        <w:tc>
          <w:tcPr>
            <w:tcW w:w="2125"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26</w:t>
            </w:r>
          </w:p>
        </w:tc>
      </w:tr>
      <w:tr>
        <w:tblPrEx>
          <w:tblCellMar>
            <w:top w:w="0" w:type="dxa"/>
            <w:left w:w="10" w:type="dxa"/>
            <w:bottom w:w="0" w:type="dxa"/>
            <w:right w:w="10" w:type="dxa"/>
          </w:tblCellMar>
        </w:tblPrEx>
        <w:trPr>
          <w:trHeight w:val="567" w:hRule="atLeast"/>
        </w:trPr>
        <w:tc>
          <w:tcPr>
            <w:tcW w:w="777" w:type="dxa"/>
            <w:tcBorders>
              <w:top w:val="single" w:color="auto" w:sz="2" w:space="0"/>
              <w:left w:val="single" w:color="auto" w:sz="2" w:space="0"/>
              <w:bottom w:val="single" w:color="auto" w:sz="2" w:space="0"/>
              <w:right w:val="single" w:color="auto" w:sz="2" w:space="0"/>
            </w:tcBorders>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9</w:t>
            </w:r>
          </w:p>
        </w:tc>
        <w:tc>
          <w:tcPr>
            <w:tcW w:w="221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起重臂总成</w:t>
            </w:r>
          </w:p>
        </w:tc>
        <w:tc>
          <w:tcPr>
            <w:tcW w:w="1680"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5.967</w:t>
            </w:r>
          </w:p>
        </w:tc>
        <w:tc>
          <w:tcPr>
            <w:tcW w:w="1338"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10</w:t>
            </w:r>
          </w:p>
        </w:tc>
        <w:tc>
          <w:tcPr>
            <w:tcW w:w="2125"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26</w:t>
            </w:r>
          </w:p>
        </w:tc>
      </w:tr>
      <w:tr>
        <w:tblPrEx>
          <w:tblCellMar>
            <w:top w:w="0" w:type="dxa"/>
            <w:left w:w="10" w:type="dxa"/>
            <w:bottom w:w="0" w:type="dxa"/>
            <w:right w:w="10" w:type="dxa"/>
          </w:tblCellMar>
        </w:tblPrEx>
        <w:trPr>
          <w:trHeight w:val="567" w:hRule="atLeast"/>
        </w:trPr>
        <w:tc>
          <w:tcPr>
            <w:tcW w:w="777" w:type="dxa"/>
            <w:tcBorders>
              <w:top w:val="single" w:color="auto" w:sz="2" w:space="0"/>
              <w:left w:val="single" w:color="auto" w:sz="2" w:space="0"/>
              <w:bottom w:val="single" w:color="auto" w:sz="2" w:space="0"/>
              <w:right w:val="single" w:color="auto" w:sz="2" w:space="0"/>
            </w:tcBorders>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10</w:t>
            </w:r>
          </w:p>
        </w:tc>
        <w:tc>
          <w:tcPr>
            <w:tcW w:w="221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剩余配重</w:t>
            </w:r>
          </w:p>
        </w:tc>
        <w:tc>
          <w:tcPr>
            <w:tcW w:w="1680"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3.2</w:t>
            </w:r>
          </w:p>
        </w:tc>
        <w:tc>
          <w:tcPr>
            <w:tcW w:w="1338"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10</w:t>
            </w:r>
          </w:p>
        </w:tc>
        <w:tc>
          <w:tcPr>
            <w:tcW w:w="2125"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26</w:t>
            </w:r>
          </w:p>
        </w:tc>
      </w:tr>
    </w:tbl>
    <w:p>
      <w:pPr>
        <w:pStyle w:val="4"/>
      </w:pPr>
      <w:r>
        <w:rPr>
          <w:rFonts w:hint="eastAsia"/>
        </w:rPr>
        <w:t>施工措施材料计划</w:t>
      </w:r>
    </w:p>
    <w:p>
      <w:pPr>
        <w:ind w:firstLine="480"/>
      </w:pPr>
      <w:r>
        <w:fldChar w:fldCharType="begin"/>
      </w:r>
      <w:r>
        <w:instrText xml:space="preserve"> REF 设备类型 \h  \* MERGEFORMAT </w:instrText>
      </w:r>
      <w:r>
        <w:fldChar w:fldCharType="separate"/>
      </w:r>
      <w:r>
        <w:rPr>
          <w:rFonts w:hint="eastAsia"/>
        </w:rPr>
        <w:t>塔式起重机</w:t>
      </w:r>
      <w:r>
        <w:fldChar w:fldCharType="end"/>
      </w:r>
      <w:r>
        <w:rPr>
          <w:rFonts w:hint="eastAsia"/>
        </w:rPr>
        <w:t>安拆实施所需施工措施材料计划详见</w:t>
      </w:r>
      <w:r>
        <w:fldChar w:fldCharType="begin"/>
      </w:r>
      <w:r>
        <w:instrText xml:space="preserve"> </w:instrText>
      </w:r>
      <w:r>
        <w:rPr>
          <w:rFonts w:hint="eastAsia"/>
        </w:rPr>
        <w:instrText xml:space="preserve">REF _Ref124174824 \h</w:instrText>
      </w:r>
      <w:r>
        <w:instrText xml:space="preserve"> </w:instrText>
      </w:r>
      <w:r>
        <w:fldChar w:fldCharType="separate"/>
      </w:r>
      <w:r>
        <w:rPr>
          <w:rFonts w:hint="eastAsia"/>
        </w:rPr>
        <w:t>表</w:t>
      </w:r>
      <w:r>
        <w:t>3.2.2-1</w:t>
      </w:r>
      <w:r>
        <w:fldChar w:fldCharType="end"/>
      </w:r>
      <w:r>
        <w:rPr>
          <w:rFonts w:hint="eastAsia"/>
        </w:rPr>
        <w:t>所示。</w:t>
      </w:r>
    </w:p>
    <w:p>
      <w:pPr>
        <w:pStyle w:val="16"/>
      </w:pPr>
      <w:bookmarkStart w:id="70" w:name="_Ref124174824"/>
      <w:r>
        <w:rPr>
          <w:rFonts w:hint="eastAsia"/>
        </w:rPr>
        <w:t>表</w:t>
      </w:r>
      <w:r>
        <w:fldChar w:fldCharType="begin"/>
      </w:r>
      <w:r>
        <w:instrText xml:space="preserve"> STYLEREF 3 \s </w:instrText>
      </w:r>
      <w:r>
        <w:fldChar w:fldCharType="separate"/>
      </w:r>
      <w:r>
        <w:t>3.2.2</w:t>
      </w:r>
      <w:r>
        <w:fldChar w:fldCharType="end"/>
      </w:r>
      <w:r>
        <w:t>-</w:t>
      </w:r>
      <w:r>
        <w:fldChar w:fldCharType="begin"/>
      </w:r>
      <w:r>
        <w:instrText xml:space="preserve"> SEQ </w:instrText>
      </w:r>
      <w:r>
        <w:rPr>
          <w:rFonts w:hint="eastAsia"/>
        </w:rPr>
        <w:instrText xml:space="preserve">表</w:instrText>
      </w:r>
      <w:r>
        <w:instrText xml:space="preserve"> \* ARABIC \s 3 </w:instrText>
      </w:r>
      <w:r>
        <w:fldChar w:fldCharType="separate"/>
      </w:r>
      <w:r>
        <w:t>1</w:t>
      </w:r>
      <w:r>
        <w:fldChar w:fldCharType="end"/>
      </w:r>
      <w:bookmarkEnd w:id="70"/>
      <w:r>
        <w:t xml:space="preserve"> </w:t>
      </w:r>
      <w:r>
        <w:rPr>
          <w:rFonts w:hint="eastAsia"/>
        </w:rPr>
        <w:t>施工措施材料计划</w:t>
      </w:r>
    </w:p>
    <w:tbl>
      <w:tblPr>
        <w:tblStyle w:val="14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89"/>
        <w:gridCol w:w="1047"/>
        <w:gridCol w:w="3283"/>
        <w:gridCol w:w="789"/>
        <w:gridCol w:w="789"/>
        <w:gridCol w:w="18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tblHeader/>
          <w:jc w:val="center"/>
        </w:trPr>
        <w:tc>
          <w:tcPr>
            <w:tcW w:w="463" w:type="pct"/>
            <w:shd w:val="clear" w:color="auto" w:fill="auto"/>
            <w:vAlign w:val="center"/>
          </w:tcPr>
          <w:p>
            <w:pPr>
              <w:pStyle w:val="17"/>
              <w:rPr>
                <w:b/>
              </w:rPr>
            </w:pPr>
            <w:r>
              <w:rPr>
                <w:rFonts w:hint="eastAsia"/>
                <w:b/>
              </w:rPr>
              <w:t>序号</w:t>
            </w:r>
          </w:p>
        </w:tc>
        <w:tc>
          <w:tcPr>
            <w:tcW w:w="614" w:type="pct"/>
            <w:shd w:val="clear" w:color="auto" w:fill="auto"/>
            <w:vAlign w:val="center"/>
          </w:tcPr>
          <w:p>
            <w:pPr>
              <w:pStyle w:val="17"/>
              <w:rPr>
                <w:b/>
              </w:rPr>
            </w:pPr>
            <w:r>
              <w:rPr>
                <w:rFonts w:hint="eastAsia"/>
                <w:b/>
              </w:rPr>
              <w:t>名称</w:t>
            </w:r>
          </w:p>
        </w:tc>
        <w:tc>
          <w:tcPr>
            <w:tcW w:w="1926" w:type="pct"/>
            <w:shd w:val="clear" w:color="auto" w:fill="auto"/>
            <w:vAlign w:val="center"/>
          </w:tcPr>
          <w:p>
            <w:pPr>
              <w:pStyle w:val="17"/>
              <w:rPr>
                <w:b/>
              </w:rPr>
            </w:pPr>
            <w:r>
              <w:rPr>
                <w:rFonts w:hint="eastAsia"/>
                <w:b/>
              </w:rPr>
              <w:t>规格型号</w:t>
            </w:r>
          </w:p>
        </w:tc>
        <w:tc>
          <w:tcPr>
            <w:tcW w:w="463" w:type="pct"/>
            <w:shd w:val="clear" w:color="auto" w:fill="auto"/>
            <w:vAlign w:val="center"/>
          </w:tcPr>
          <w:p>
            <w:pPr>
              <w:pStyle w:val="17"/>
              <w:rPr>
                <w:b/>
              </w:rPr>
            </w:pPr>
            <w:r>
              <w:rPr>
                <w:rFonts w:hint="eastAsia"/>
                <w:b/>
              </w:rPr>
              <w:t>数量</w:t>
            </w:r>
          </w:p>
        </w:tc>
        <w:tc>
          <w:tcPr>
            <w:tcW w:w="463" w:type="pct"/>
            <w:shd w:val="clear" w:color="auto" w:fill="auto"/>
            <w:vAlign w:val="center"/>
          </w:tcPr>
          <w:p>
            <w:pPr>
              <w:pStyle w:val="17"/>
              <w:rPr>
                <w:b/>
              </w:rPr>
            </w:pPr>
            <w:r>
              <w:rPr>
                <w:rFonts w:hint="eastAsia"/>
                <w:b/>
              </w:rPr>
              <w:t>单位</w:t>
            </w:r>
          </w:p>
        </w:tc>
        <w:tc>
          <w:tcPr>
            <w:tcW w:w="1071" w:type="pct"/>
            <w:shd w:val="clear" w:color="auto" w:fill="auto"/>
            <w:vAlign w:val="center"/>
          </w:tcPr>
          <w:p>
            <w:pPr>
              <w:pStyle w:val="17"/>
              <w:rPr>
                <w:b/>
              </w:rPr>
            </w:pPr>
            <w:r>
              <w:rPr>
                <w:rFonts w:hint="eastAsia"/>
                <w:b/>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63" w:type="pct"/>
            <w:shd w:val="clear" w:color="auto" w:fill="auto"/>
            <w:vAlign w:val="top"/>
          </w:tcPr>
          <w:p>
            <w:pPr>
              <w:pStyle w:val="17"/>
              <w:numPr>
                <w:ilvl w:val="0"/>
                <w:numId w:val="17"/>
              </w:numPr>
            </w:pPr>
          </w:p>
        </w:tc>
        <w:tc>
          <w:tcPr>
            <w:tcW w:w="614" w:type="pct"/>
            <w:shd w:val="clear" w:color="auto" w:fill="auto"/>
            <w:vAlign w:val="center"/>
          </w:tcPr>
          <w:p>
            <w:pPr>
              <w:pStyle w:val="17"/>
            </w:pPr>
            <w:r>
              <w:rPr>
                <w:rFonts w:hint="eastAsia"/>
              </w:rPr>
              <w:t>支架</w:t>
            </w:r>
          </w:p>
        </w:tc>
        <w:tc>
          <w:tcPr>
            <w:tcW w:w="1926" w:type="pct"/>
            <w:shd w:val="clear" w:color="auto" w:fill="auto"/>
            <w:vAlign w:val="center"/>
          </w:tcPr>
          <w:p>
            <w:pPr>
              <w:pStyle w:val="17"/>
            </w:pPr>
            <w:r>
              <w:rPr>
                <w:rFonts w:hint="eastAsia"/>
              </w:rPr>
              <w:t>1m高左右</w:t>
            </w:r>
          </w:p>
        </w:tc>
        <w:tc>
          <w:tcPr>
            <w:tcW w:w="463" w:type="pct"/>
            <w:shd w:val="clear" w:color="auto" w:fill="auto"/>
            <w:vAlign w:val="center"/>
          </w:tcPr>
          <w:p>
            <w:pPr>
              <w:pStyle w:val="17"/>
            </w:pPr>
            <w:r>
              <w:rPr>
                <w:rFonts w:hint="eastAsia"/>
              </w:rPr>
              <w:t>5</w:t>
            </w:r>
          </w:p>
        </w:tc>
        <w:tc>
          <w:tcPr>
            <w:tcW w:w="463" w:type="pct"/>
            <w:shd w:val="clear" w:color="auto" w:fill="auto"/>
            <w:vAlign w:val="center"/>
          </w:tcPr>
          <w:p>
            <w:pPr>
              <w:pStyle w:val="17"/>
            </w:pPr>
            <w:r>
              <w:rPr>
                <w:rFonts w:hint="eastAsia"/>
              </w:rPr>
              <w:t>个</w:t>
            </w:r>
          </w:p>
        </w:tc>
        <w:tc>
          <w:tcPr>
            <w:tcW w:w="1071" w:type="pct"/>
            <w:shd w:val="clear" w:color="auto" w:fill="auto"/>
            <w:vAlign w:val="center"/>
          </w:tcPr>
          <w:p>
            <w:pPr>
              <w:pStyle w:val="17"/>
            </w:pPr>
            <w:r>
              <w:rPr>
                <w:rFonts w:hint="eastAsia"/>
              </w:rPr>
              <w:t>支承起重臂总成</w:t>
            </w:r>
          </w:p>
        </w:tc>
      </w:tr>
    </w:tbl>
    <w:p>
      <w:pPr>
        <w:pStyle w:val="4"/>
      </w:pPr>
      <w:r>
        <w:rPr>
          <w:rFonts w:hint="eastAsia"/>
        </w:rPr>
        <w:t>安全防护措施材料计划</w:t>
      </w:r>
    </w:p>
    <w:bookmarkEnd w:id="68"/>
    <w:p>
      <w:pPr>
        <w:ind w:firstLine="480"/>
      </w:pPr>
      <w:r>
        <w:fldChar w:fldCharType="begin"/>
      </w:r>
      <w:r>
        <w:instrText xml:space="preserve"> REF 设备类型 \h  \* MERGEFORMAT </w:instrText>
      </w:r>
      <w:r>
        <w:fldChar w:fldCharType="separate"/>
      </w:r>
      <w:r>
        <w:rPr>
          <w:rFonts w:hint="eastAsia"/>
        </w:rPr>
        <w:t>塔式起重机</w:t>
      </w:r>
      <w:r>
        <w:fldChar w:fldCharType="end"/>
      </w:r>
      <w:r>
        <w:rPr>
          <w:rFonts w:hint="eastAsia"/>
        </w:rPr>
        <w:t>基础</w:t>
      </w:r>
      <w:r>
        <w:t>施工</w:t>
      </w:r>
      <w:r>
        <w:rPr>
          <w:rFonts w:hint="eastAsia"/>
        </w:rPr>
        <w:t>安全防护措施材料计划详见</w:t>
      </w:r>
      <w:r>
        <w:fldChar w:fldCharType="begin"/>
      </w:r>
      <w:r>
        <w:instrText xml:space="preserve"> </w:instrText>
      </w:r>
      <w:r>
        <w:rPr>
          <w:rFonts w:hint="eastAsia"/>
        </w:rPr>
        <w:instrText xml:space="preserve">REF _Ref124174613 \h</w:instrText>
      </w:r>
      <w:r>
        <w:instrText xml:space="preserve">  \* MERGEFORMAT </w:instrText>
      </w:r>
      <w:r>
        <w:fldChar w:fldCharType="separate"/>
      </w:r>
      <w:r>
        <w:rPr>
          <w:rFonts w:hint="eastAsia"/>
        </w:rPr>
        <w:t>表</w:t>
      </w:r>
      <w:r>
        <w:t>3.2.3-1</w:t>
      </w:r>
      <w:r>
        <w:fldChar w:fldCharType="end"/>
      </w:r>
      <w:r>
        <w:rPr>
          <w:rFonts w:hint="eastAsia"/>
        </w:rPr>
        <w:t>所示。</w:t>
      </w:r>
    </w:p>
    <w:p>
      <w:pPr>
        <w:pStyle w:val="16"/>
      </w:pPr>
      <w:bookmarkStart w:id="71" w:name="_Ref124174613"/>
      <w:r>
        <w:rPr>
          <w:rFonts w:hint="eastAsia"/>
        </w:rPr>
        <w:t>表</w:t>
      </w:r>
      <w:r>
        <w:fldChar w:fldCharType="begin"/>
      </w:r>
      <w:r>
        <w:instrText xml:space="preserve"> STYLEREF 3 \s </w:instrText>
      </w:r>
      <w:r>
        <w:fldChar w:fldCharType="separate"/>
      </w:r>
      <w:r>
        <w:t>3.2.3</w:t>
      </w:r>
      <w:r>
        <w:fldChar w:fldCharType="end"/>
      </w:r>
      <w:r>
        <w:t>-</w:t>
      </w:r>
      <w:r>
        <w:fldChar w:fldCharType="begin"/>
      </w:r>
      <w:r>
        <w:instrText xml:space="preserve"> SEQ </w:instrText>
      </w:r>
      <w:r>
        <w:rPr>
          <w:rFonts w:hint="eastAsia"/>
        </w:rPr>
        <w:instrText xml:space="preserve">表</w:instrText>
      </w:r>
      <w:r>
        <w:instrText xml:space="preserve"> \* ARABIC \s 3 </w:instrText>
      </w:r>
      <w:r>
        <w:fldChar w:fldCharType="separate"/>
      </w:r>
      <w:r>
        <w:t>1</w:t>
      </w:r>
      <w:r>
        <w:fldChar w:fldCharType="end"/>
      </w:r>
      <w:bookmarkEnd w:id="71"/>
      <w:r>
        <w:t xml:space="preserve"> </w:t>
      </w:r>
      <w:r>
        <w:rPr>
          <w:rFonts w:hint="eastAsia"/>
        </w:rPr>
        <w:t>安全防护措施材料计划</w:t>
      </w:r>
    </w:p>
    <w:tbl>
      <w:tblPr>
        <w:tblStyle w:val="15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2573"/>
        <w:gridCol w:w="1296"/>
        <w:gridCol w:w="779"/>
        <w:gridCol w:w="779"/>
        <w:gridCol w:w="23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tblHeader/>
          <w:jc w:val="center"/>
        </w:trPr>
        <w:tc>
          <w:tcPr>
            <w:tcW w:w="457" w:type="pct"/>
            <w:shd w:val="clear" w:color="auto" w:fill="auto"/>
            <w:vAlign w:val="center"/>
          </w:tcPr>
          <w:p>
            <w:pPr>
              <w:pStyle w:val="17"/>
              <w:rPr>
                <w:b/>
              </w:rPr>
            </w:pPr>
            <w:r>
              <w:rPr>
                <w:rFonts w:hint="eastAsia"/>
                <w:b/>
              </w:rPr>
              <w:t>序号</w:t>
            </w:r>
          </w:p>
        </w:tc>
        <w:tc>
          <w:tcPr>
            <w:tcW w:w="1509" w:type="pct"/>
            <w:shd w:val="clear" w:color="auto" w:fill="auto"/>
            <w:vAlign w:val="center"/>
          </w:tcPr>
          <w:p>
            <w:pPr>
              <w:pStyle w:val="17"/>
              <w:rPr>
                <w:b/>
              </w:rPr>
            </w:pPr>
            <w:r>
              <w:rPr>
                <w:rFonts w:hint="eastAsia"/>
                <w:b/>
              </w:rPr>
              <w:t>名称</w:t>
            </w:r>
          </w:p>
        </w:tc>
        <w:tc>
          <w:tcPr>
            <w:tcW w:w="760" w:type="pct"/>
            <w:shd w:val="clear" w:color="auto" w:fill="auto"/>
            <w:vAlign w:val="center"/>
          </w:tcPr>
          <w:p>
            <w:pPr>
              <w:pStyle w:val="17"/>
              <w:rPr>
                <w:b/>
              </w:rPr>
            </w:pPr>
            <w:r>
              <w:rPr>
                <w:rFonts w:hint="eastAsia"/>
                <w:b/>
              </w:rPr>
              <w:t>规格型号</w:t>
            </w:r>
          </w:p>
        </w:tc>
        <w:tc>
          <w:tcPr>
            <w:tcW w:w="457" w:type="pct"/>
            <w:shd w:val="clear" w:color="auto" w:fill="auto"/>
            <w:vAlign w:val="center"/>
          </w:tcPr>
          <w:p>
            <w:pPr>
              <w:pStyle w:val="17"/>
              <w:rPr>
                <w:b/>
              </w:rPr>
            </w:pPr>
            <w:r>
              <w:rPr>
                <w:rFonts w:hint="eastAsia"/>
                <w:b/>
              </w:rPr>
              <w:t>数量</w:t>
            </w:r>
          </w:p>
        </w:tc>
        <w:tc>
          <w:tcPr>
            <w:tcW w:w="457" w:type="pct"/>
            <w:shd w:val="clear" w:color="auto" w:fill="auto"/>
            <w:vAlign w:val="center"/>
          </w:tcPr>
          <w:p>
            <w:pPr>
              <w:pStyle w:val="17"/>
              <w:rPr>
                <w:b/>
              </w:rPr>
            </w:pPr>
            <w:r>
              <w:rPr>
                <w:rFonts w:hint="eastAsia"/>
                <w:b/>
              </w:rPr>
              <w:t>单位</w:t>
            </w:r>
          </w:p>
        </w:tc>
        <w:tc>
          <w:tcPr>
            <w:tcW w:w="1359" w:type="pct"/>
            <w:shd w:val="clear" w:color="auto" w:fill="auto"/>
            <w:vAlign w:val="center"/>
          </w:tcPr>
          <w:p>
            <w:pPr>
              <w:pStyle w:val="17"/>
              <w:rPr>
                <w:b/>
              </w:rPr>
            </w:pPr>
            <w:r>
              <w:rPr>
                <w:rFonts w:hint="eastAsia"/>
                <w:b/>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7" w:type="pct"/>
            <w:shd w:val="clear" w:color="auto" w:fill="auto"/>
            <w:vAlign w:val="center"/>
          </w:tcPr>
          <w:p>
            <w:pPr>
              <w:pStyle w:val="17"/>
              <w:numPr>
                <w:ilvl w:val="0"/>
                <w:numId w:val="18"/>
              </w:numPr>
            </w:pPr>
          </w:p>
        </w:tc>
        <w:tc>
          <w:tcPr>
            <w:tcW w:w="1509" w:type="pct"/>
            <w:shd w:val="clear" w:color="auto" w:fill="auto"/>
            <w:vAlign w:val="center"/>
          </w:tcPr>
          <w:p>
            <w:pPr>
              <w:pStyle w:val="17"/>
            </w:pPr>
            <w:r>
              <w:rPr>
                <w:rFonts w:hint="eastAsia"/>
              </w:rPr>
              <w:t>通道</w:t>
            </w:r>
            <w:r>
              <w:t>防护网</w:t>
            </w:r>
            <w:r>
              <w:rPr>
                <w:rFonts w:hint="eastAsia"/>
              </w:rPr>
              <w:t>、防坠网</w:t>
            </w:r>
          </w:p>
        </w:tc>
        <w:tc>
          <w:tcPr>
            <w:tcW w:w="760" w:type="pct"/>
            <w:shd w:val="clear" w:color="auto" w:fill="auto"/>
            <w:vAlign w:val="center"/>
          </w:tcPr>
          <w:p>
            <w:pPr>
              <w:pStyle w:val="17"/>
            </w:pPr>
          </w:p>
        </w:tc>
        <w:tc>
          <w:tcPr>
            <w:tcW w:w="457" w:type="pct"/>
            <w:shd w:val="clear" w:color="auto" w:fill="auto"/>
            <w:vAlign w:val="center"/>
          </w:tcPr>
          <w:p>
            <w:pPr>
              <w:pStyle w:val="17"/>
            </w:pPr>
            <w:r>
              <w:rPr>
                <w:rFonts w:hint="eastAsia"/>
              </w:rPr>
              <w:t>1</w:t>
            </w:r>
            <w:r>
              <w:t>5</w:t>
            </w:r>
          </w:p>
        </w:tc>
        <w:tc>
          <w:tcPr>
            <w:tcW w:w="457" w:type="pct"/>
            <w:shd w:val="clear" w:color="auto" w:fill="auto"/>
            <w:vAlign w:val="center"/>
          </w:tcPr>
          <w:p>
            <w:pPr>
              <w:pStyle w:val="17"/>
            </w:pPr>
            <w:r>
              <w:rPr>
                <w:rFonts w:hint="eastAsia"/>
              </w:rPr>
              <w:t>套</w:t>
            </w:r>
          </w:p>
        </w:tc>
        <w:tc>
          <w:tcPr>
            <w:tcW w:w="1359" w:type="pct"/>
            <w:vMerge w:val="restart"/>
            <w:shd w:val="clear" w:color="auto" w:fill="auto"/>
            <w:vAlign w:val="center"/>
          </w:tcPr>
          <w:p>
            <w:pPr>
              <w:pStyle w:val="17"/>
            </w:pPr>
            <w:r>
              <w:rPr>
                <w:rFonts w:hint="eastAsia"/>
              </w:rPr>
              <w:t>安全防护措施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7" w:type="pct"/>
            <w:shd w:val="clear" w:color="auto" w:fill="auto"/>
            <w:vAlign w:val="center"/>
          </w:tcPr>
          <w:p>
            <w:pPr>
              <w:pStyle w:val="17"/>
              <w:numPr>
                <w:ilvl w:val="0"/>
                <w:numId w:val="18"/>
              </w:numPr>
            </w:pPr>
          </w:p>
        </w:tc>
        <w:tc>
          <w:tcPr>
            <w:tcW w:w="1509" w:type="pct"/>
            <w:shd w:val="clear" w:color="auto" w:fill="auto"/>
            <w:vAlign w:val="center"/>
          </w:tcPr>
          <w:p>
            <w:pPr>
              <w:pStyle w:val="17"/>
            </w:pPr>
            <w:r>
              <w:rPr>
                <w:rFonts w:hint="eastAsia"/>
              </w:rPr>
              <w:t>防坠器</w:t>
            </w:r>
          </w:p>
        </w:tc>
        <w:tc>
          <w:tcPr>
            <w:tcW w:w="760" w:type="pct"/>
            <w:shd w:val="clear" w:color="auto" w:fill="auto"/>
            <w:vAlign w:val="center"/>
          </w:tcPr>
          <w:p>
            <w:pPr>
              <w:pStyle w:val="17"/>
            </w:pPr>
          </w:p>
        </w:tc>
        <w:tc>
          <w:tcPr>
            <w:tcW w:w="457" w:type="pct"/>
            <w:shd w:val="clear" w:color="auto" w:fill="auto"/>
            <w:vAlign w:val="center"/>
          </w:tcPr>
          <w:p>
            <w:pPr>
              <w:pStyle w:val="17"/>
            </w:pPr>
            <w:r>
              <w:rPr>
                <w:rFonts w:hint="eastAsia"/>
              </w:rPr>
              <w:t>1</w:t>
            </w:r>
            <w:r>
              <w:t>0</w:t>
            </w:r>
          </w:p>
        </w:tc>
        <w:tc>
          <w:tcPr>
            <w:tcW w:w="457" w:type="pct"/>
            <w:shd w:val="clear" w:color="auto" w:fill="auto"/>
            <w:vAlign w:val="center"/>
          </w:tcPr>
          <w:p>
            <w:pPr>
              <w:pStyle w:val="17"/>
            </w:pPr>
            <w:r>
              <w:rPr>
                <w:rFonts w:hint="eastAsia"/>
              </w:rPr>
              <w:t>套</w:t>
            </w:r>
          </w:p>
        </w:tc>
        <w:tc>
          <w:tcPr>
            <w:tcW w:w="1359"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7" w:type="pct"/>
            <w:shd w:val="clear" w:color="auto" w:fill="auto"/>
            <w:vAlign w:val="top"/>
          </w:tcPr>
          <w:p>
            <w:pPr>
              <w:pStyle w:val="17"/>
              <w:numPr>
                <w:ilvl w:val="0"/>
                <w:numId w:val="18"/>
              </w:numPr>
            </w:pPr>
          </w:p>
        </w:tc>
        <w:tc>
          <w:tcPr>
            <w:tcW w:w="1509" w:type="pct"/>
            <w:shd w:val="clear" w:color="auto" w:fill="auto"/>
            <w:vAlign w:val="center"/>
          </w:tcPr>
          <w:p>
            <w:pPr>
              <w:pStyle w:val="17"/>
            </w:pPr>
            <w:r>
              <w:rPr>
                <w:rFonts w:hint="eastAsia"/>
              </w:rPr>
              <w:t>安全帽</w:t>
            </w:r>
          </w:p>
        </w:tc>
        <w:tc>
          <w:tcPr>
            <w:tcW w:w="760" w:type="pct"/>
            <w:shd w:val="clear" w:color="auto" w:fill="auto"/>
            <w:vAlign w:val="center"/>
          </w:tcPr>
          <w:p>
            <w:pPr>
              <w:pStyle w:val="17"/>
            </w:pPr>
          </w:p>
        </w:tc>
        <w:tc>
          <w:tcPr>
            <w:tcW w:w="457" w:type="pct"/>
            <w:shd w:val="clear" w:color="auto" w:fill="auto"/>
            <w:vAlign w:val="center"/>
          </w:tcPr>
          <w:p>
            <w:pPr>
              <w:pStyle w:val="17"/>
            </w:pPr>
            <w:r>
              <w:t>10</w:t>
            </w:r>
          </w:p>
        </w:tc>
        <w:tc>
          <w:tcPr>
            <w:tcW w:w="457" w:type="pct"/>
            <w:shd w:val="clear" w:color="auto" w:fill="auto"/>
            <w:vAlign w:val="center"/>
          </w:tcPr>
          <w:p>
            <w:pPr>
              <w:pStyle w:val="17"/>
            </w:pPr>
            <w:r>
              <w:rPr>
                <w:rFonts w:hint="eastAsia"/>
              </w:rPr>
              <w:t>个</w:t>
            </w:r>
          </w:p>
        </w:tc>
        <w:tc>
          <w:tcPr>
            <w:tcW w:w="1359" w:type="pct"/>
            <w:vMerge w:val="restart"/>
            <w:shd w:val="clear" w:color="auto" w:fill="auto"/>
            <w:vAlign w:val="center"/>
          </w:tcPr>
          <w:p>
            <w:pPr>
              <w:pStyle w:val="17"/>
            </w:pPr>
            <w:r>
              <w:rPr>
                <w:rFonts w:hint="eastAsia"/>
              </w:rPr>
              <w:t>劳保用品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7" w:type="pct"/>
            <w:shd w:val="clear" w:color="auto" w:fill="auto"/>
            <w:vAlign w:val="top"/>
          </w:tcPr>
          <w:p>
            <w:pPr>
              <w:pStyle w:val="17"/>
              <w:numPr>
                <w:ilvl w:val="0"/>
                <w:numId w:val="18"/>
              </w:numPr>
            </w:pPr>
          </w:p>
        </w:tc>
        <w:tc>
          <w:tcPr>
            <w:tcW w:w="1509" w:type="pct"/>
            <w:shd w:val="clear" w:color="auto" w:fill="auto"/>
            <w:vAlign w:val="center"/>
          </w:tcPr>
          <w:p>
            <w:pPr>
              <w:pStyle w:val="17"/>
            </w:pPr>
            <w:r>
              <w:rPr>
                <w:rFonts w:hint="eastAsia"/>
              </w:rPr>
              <w:t>安全带</w:t>
            </w:r>
          </w:p>
        </w:tc>
        <w:tc>
          <w:tcPr>
            <w:tcW w:w="760" w:type="pct"/>
            <w:shd w:val="clear" w:color="auto" w:fill="auto"/>
            <w:vAlign w:val="center"/>
          </w:tcPr>
          <w:p>
            <w:pPr>
              <w:pStyle w:val="17"/>
            </w:pPr>
          </w:p>
        </w:tc>
        <w:tc>
          <w:tcPr>
            <w:tcW w:w="457" w:type="pct"/>
            <w:shd w:val="clear" w:color="auto" w:fill="auto"/>
            <w:vAlign w:val="center"/>
          </w:tcPr>
          <w:p>
            <w:pPr>
              <w:pStyle w:val="17"/>
            </w:pPr>
            <w:r>
              <w:t>10</w:t>
            </w:r>
          </w:p>
        </w:tc>
        <w:tc>
          <w:tcPr>
            <w:tcW w:w="457" w:type="pct"/>
            <w:shd w:val="clear" w:color="auto" w:fill="auto"/>
            <w:vAlign w:val="center"/>
          </w:tcPr>
          <w:p>
            <w:pPr>
              <w:pStyle w:val="17"/>
            </w:pPr>
            <w:r>
              <w:rPr>
                <w:rFonts w:hint="eastAsia"/>
              </w:rPr>
              <w:t>条</w:t>
            </w:r>
          </w:p>
        </w:tc>
        <w:tc>
          <w:tcPr>
            <w:tcW w:w="1359"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7" w:type="pct"/>
            <w:shd w:val="clear" w:color="auto" w:fill="auto"/>
            <w:vAlign w:val="center"/>
          </w:tcPr>
          <w:p>
            <w:pPr>
              <w:pStyle w:val="17"/>
              <w:numPr>
                <w:ilvl w:val="0"/>
                <w:numId w:val="18"/>
              </w:numPr>
            </w:pPr>
          </w:p>
        </w:tc>
        <w:tc>
          <w:tcPr>
            <w:tcW w:w="1509" w:type="pct"/>
            <w:shd w:val="clear" w:color="auto" w:fill="auto"/>
            <w:vAlign w:val="center"/>
          </w:tcPr>
          <w:p>
            <w:pPr>
              <w:pStyle w:val="17"/>
            </w:pPr>
            <w:r>
              <w:rPr>
                <w:rFonts w:hint="eastAsia"/>
              </w:rPr>
              <w:t>防滑鞋</w:t>
            </w:r>
          </w:p>
        </w:tc>
        <w:tc>
          <w:tcPr>
            <w:tcW w:w="760" w:type="pct"/>
            <w:shd w:val="clear" w:color="auto" w:fill="auto"/>
            <w:vAlign w:val="center"/>
          </w:tcPr>
          <w:p>
            <w:pPr>
              <w:pStyle w:val="17"/>
            </w:pPr>
          </w:p>
        </w:tc>
        <w:tc>
          <w:tcPr>
            <w:tcW w:w="457" w:type="pct"/>
            <w:shd w:val="clear" w:color="auto" w:fill="auto"/>
            <w:vAlign w:val="center"/>
          </w:tcPr>
          <w:p>
            <w:pPr>
              <w:pStyle w:val="17"/>
            </w:pPr>
            <w:r>
              <w:t>10</w:t>
            </w:r>
          </w:p>
        </w:tc>
        <w:tc>
          <w:tcPr>
            <w:tcW w:w="457" w:type="pct"/>
            <w:shd w:val="clear" w:color="auto" w:fill="auto"/>
            <w:vAlign w:val="center"/>
          </w:tcPr>
          <w:p>
            <w:pPr>
              <w:pStyle w:val="17"/>
            </w:pPr>
            <w:r>
              <w:rPr>
                <w:rFonts w:hint="eastAsia"/>
              </w:rPr>
              <w:t>双</w:t>
            </w:r>
          </w:p>
        </w:tc>
        <w:tc>
          <w:tcPr>
            <w:tcW w:w="1359"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7" w:type="pct"/>
            <w:shd w:val="clear" w:color="auto" w:fill="auto"/>
            <w:vAlign w:val="center"/>
          </w:tcPr>
          <w:p>
            <w:pPr>
              <w:pStyle w:val="17"/>
              <w:numPr>
                <w:ilvl w:val="0"/>
                <w:numId w:val="18"/>
              </w:numPr>
            </w:pPr>
          </w:p>
        </w:tc>
        <w:tc>
          <w:tcPr>
            <w:tcW w:w="1509" w:type="pct"/>
            <w:shd w:val="clear" w:color="auto" w:fill="auto"/>
            <w:vAlign w:val="center"/>
          </w:tcPr>
          <w:p>
            <w:pPr>
              <w:pStyle w:val="17"/>
            </w:pPr>
            <w:r>
              <w:rPr>
                <w:rFonts w:hint="eastAsia"/>
              </w:rPr>
              <w:t>防滑手套</w:t>
            </w:r>
          </w:p>
        </w:tc>
        <w:tc>
          <w:tcPr>
            <w:tcW w:w="760" w:type="pct"/>
            <w:shd w:val="clear" w:color="auto" w:fill="auto"/>
            <w:vAlign w:val="center"/>
          </w:tcPr>
          <w:p>
            <w:pPr>
              <w:pStyle w:val="17"/>
            </w:pPr>
          </w:p>
        </w:tc>
        <w:tc>
          <w:tcPr>
            <w:tcW w:w="457" w:type="pct"/>
            <w:shd w:val="clear" w:color="auto" w:fill="auto"/>
            <w:vAlign w:val="center"/>
          </w:tcPr>
          <w:p>
            <w:pPr>
              <w:pStyle w:val="17"/>
            </w:pPr>
            <w:r>
              <w:t>10</w:t>
            </w:r>
          </w:p>
        </w:tc>
        <w:tc>
          <w:tcPr>
            <w:tcW w:w="457" w:type="pct"/>
            <w:shd w:val="clear" w:color="auto" w:fill="auto"/>
            <w:vAlign w:val="center"/>
          </w:tcPr>
          <w:p>
            <w:pPr>
              <w:pStyle w:val="17"/>
            </w:pPr>
            <w:r>
              <w:rPr>
                <w:rFonts w:hint="eastAsia"/>
              </w:rPr>
              <w:t>双</w:t>
            </w:r>
          </w:p>
        </w:tc>
        <w:tc>
          <w:tcPr>
            <w:tcW w:w="1359"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7" w:type="pct"/>
            <w:shd w:val="clear" w:color="auto" w:fill="auto"/>
            <w:vAlign w:val="center"/>
          </w:tcPr>
          <w:p>
            <w:pPr>
              <w:pStyle w:val="17"/>
              <w:numPr>
                <w:ilvl w:val="0"/>
                <w:numId w:val="18"/>
              </w:numPr>
            </w:pPr>
          </w:p>
        </w:tc>
        <w:tc>
          <w:tcPr>
            <w:tcW w:w="1509" w:type="pct"/>
            <w:shd w:val="clear" w:color="auto" w:fill="auto"/>
            <w:vAlign w:val="center"/>
          </w:tcPr>
          <w:p>
            <w:pPr>
              <w:pStyle w:val="17"/>
            </w:pPr>
            <w:r>
              <w:rPr>
                <w:rFonts w:hint="eastAsia"/>
              </w:rPr>
              <w:t>安全警示牌</w:t>
            </w:r>
          </w:p>
        </w:tc>
        <w:tc>
          <w:tcPr>
            <w:tcW w:w="760" w:type="pct"/>
            <w:shd w:val="clear" w:color="auto" w:fill="auto"/>
            <w:vAlign w:val="center"/>
          </w:tcPr>
          <w:p>
            <w:pPr>
              <w:pStyle w:val="17"/>
            </w:pPr>
          </w:p>
        </w:tc>
        <w:tc>
          <w:tcPr>
            <w:tcW w:w="457" w:type="pct"/>
            <w:shd w:val="clear" w:color="auto" w:fill="auto"/>
            <w:vAlign w:val="center"/>
          </w:tcPr>
          <w:p>
            <w:pPr>
              <w:pStyle w:val="17"/>
            </w:pPr>
            <w:r>
              <w:rPr>
                <w:rFonts w:hint="eastAsia"/>
              </w:rPr>
              <w:t>4</w:t>
            </w:r>
          </w:p>
        </w:tc>
        <w:tc>
          <w:tcPr>
            <w:tcW w:w="457" w:type="pct"/>
            <w:shd w:val="clear" w:color="auto" w:fill="auto"/>
            <w:vAlign w:val="center"/>
          </w:tcPr>
          <w:p>
            <w:pPr>
              <w:pStyle w:val="17"/>
            </w:pPr>
            <w:r>
              <w:rPr>
                <w:rFonts w:hint="eastAsia"/>
              </w:rPr>
              <w:t>块</w:t>
            </w:r>
          </w:p>
        </w:tc>
        <w:tc>
          <w:tcPr>
            <w:tcW w:w="1359" w:type="pct"/>
            <w:vMerge w:val="restart"/>
            <w:shd w:val="clear" w:color="auto" w:fill="auto"/>
            <w:vAlign w:val="center"/>
          </w:tcPr>
          <w:p>
            <w:pPr>
              <w:pStyle w:val="17"/>
            </w:pPr>
            <w:r>
              <w:rPr>
                <w:rFonts w:hint="eastAsia"/>
              </w:rPr>
              <w:t>安全警戒警示用品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7" w:type="pct"/>
            <w:shd w:val="clear" w:color="auto" w:fill="auto"/>
            <w:vAlign w:val="center"/>
          </w:tcPr>
          <w:p>
            <w:pPr>
              <w:pStyle w:val="17"/>
              <w:numPr>
                <w:ilvl w:val="0"/>
                <w:numId w:val="18"/>
              </w:numPr>
            </w:pPr>
          </w:p>
        </w:tc>
        <w:tc>
          <w:tcPr>
            <w:tcW w:w="1509" w:type="pct"/>
            <w:shd w:val="clear" w:color="auto" w:fill="auto"/>
            <w:vAlign w:val="center"/>
          </w:tcPr>
          <w:p>
            <w:pPr>
              <w:pStyle w:val="17"/>
            </w:pPr>
            <w:r>
              <w:rPr>
                <w:rFonts w:hint="eastAsia"/>
              </w:rPr>
              <w:t>锥桶</w:t>
            </w:r>
          </w:p>
        </w:tc>
        <w:tc>
          <w:tcPr>
            <w:tcW w:w="760" w:type="pct"/>
            <w:shd w:val="clear" w:color="auto" w:fill="auto"/>
            <w:vAlign w:val="center"/>
          </w:tcPr>
          <w:p>
            <w:pPr>
              <w:pStyle w:val="17"/>
            </w:pPr>
          </w:p>
        </w:tc>
        <w:tc>
          <w:tcPr>
            <w:tcW w:w="457" w:type="pct"/>
            <w:shd w:val="clear" w:color="auto" w:fill="auto"/>
            <w:vAlign w:val="center"/>
          </w:tcPr>
          <w:p>
            <w:pPr>
              <w:pStyle w:val="17"/>
            </w:pPr>
            <w:r>
              <w:rPr>
                <w:rFonts w:hint="eastAsia"/>
              </w:rPr>
              <w:t>若干</w:t>
            </w:r>
          </w:p>
        </w:tc>
        <w:tc>
          <w:tcPr>
            <w:tcW w:w="457" w:type="pct"/>
            <w:shd w:val="clear" w:color="auto" w:fill="auto"/>
            <w:vAlign w:val="center"/>
          </w:tcPr>
          <w:p>
            <w:pPr>
              <w:pStyle w:val="17"/>
            </w:pPr>
            <w:r>
              <w:rPr>
                <w:rFonts w:hint="eastAsia"/>
              </w:rPr>
              <w:t>个</w:t>
            </w:r>
          </w:p>
        </w:tc>
        <w:tc>
          <w:tcPr>
            <w:tcW w:w="1359"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7" w:type="pct"/>
            <w:shd w:val="clear" w:color="auto" w:fill="auto"/>
            <w:vAlign w:val="center"/>
          </w:tcPr>
          <w:p>
            <w:pPr>
              <w:pStyle w:val="17"/>
              <w:numPr>
                <w:ilvl w:val="0"/>
                <w:numId w:val="18"/>
              </w:numPr>
            </w:pPr>
          </w:p>
        </w:tc>
        <w:tc>
          <w:tcPr>
            <w:tcW w:w="1509" w:type="pct"/>
            <w:shd w:val="clear" w:color="auto" w:fill="auto"/>
            <w:vAlign w:val="center"/>
          </w:tcPr>
          <w:p>
            <w:pPr>
              <w:pStyle w:val="17"/>
            </w:pPr>
            <w:r>
              <w:rPr>
                <w:rFonts w:hint="eastAsia"/>
              </w:rPr>
              <w:t>水马围挡</w:t>
            </w:r>
          </w:p>
        </w:tc>
        <w:tc>
          <w:tcPr>
            <w:tcW w:w="760" w:type="pct"/>
            <w:shd w:val="clear" w:color="auto" w:fill="auto"/>
            <w:vAlign w:val="center"/>
          </w:tcPr>
          <w:p>
            <w:pPr>
              <w:pStyle w:val="17"/>
            </w:pPr>
          </w:p>
        </w:tc>
        <w:tc>
          <w:tcPr>
            <w:tcW w:w="457" w:type="pct"/>
            <w:shd w:val="clear" w:color="auto" w:fill="auto"/>
            <w:vAlign w:val="center"/>
          </w:tcPr>
          <w:p>
            <w:pPr>
              <w:pStyle w:val="17"/>
            </w:pPr>
            <w:r>
              <w:rPr>
                <w:rFonts w:hint="eastAsia"/>
              </w:rPr>
              <w:t>若干</w:t>
            </w:r>
          </w:p>
        </w:tc>
        <w:tc>
          <w:tcPr>
            <w:tcW w:w="457" w:type="pct"/>
            <w:shd w:val="clear" w:color="auto" w:fill="auto"/>
            <w:vAlign w:val="center"/>
          </w:tcPr>
          <w:p>
            <w:pPr>
              <w:pStyle w:val="17"/>
            </w:pPr>
            <w:r>
              <w:rPr>
                <w:rFonts w:hint="eastAsia"/>
              </w:rPr>
              <w:t>个</w:t>
            </w:r>
          </w:p>
        </w:tc>
        <w:tc>
          <w:tcPr>
            <w:tcW w:w="1359"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7" w:type="pct"/>
            <w:shd w:val="clear" w:color="auto" w:fill="auto"/>
            <w:vAlign w:val="center"/>
          </w:tcPr>
          <w:p>
            <w:pPr>
              <w:pStyle w:val="17"/>
              <w:numPr>
                <w:ilvl w:val="0"/>
                <w:numId w:val="18"/>
              </w:numPr>
            </w:pPr>
          </w:p>
        </w:tc>
        <w:tc>
          <w:tcPr>
            <w:tcW w:w="1509" w:type="pct"/>
            <w:shd w:val="clear" w:color="auto" w:fill="auto"/>
            <w:vAlign w:val="center"/>
          </w:tcPr>
          <w:p>
            <w:pPr>
              <w:pStyle w:val="17"/>
            </w:pPr>
            <w:r>
              <w:rPr>
                <w:rFonts w:hint="eastAsia"/>
              </w:rPr>
              <w:t>安全警戒线</w:t>
            </w:r>
          </w:p>
        </w:tc>
        <w:tc>
          <w:tcPr>
            <w:tcW w:w="760" w:type="pct"/>
            <w:shd w:val="clear" w:color="auto" w:fill="auto"/>
            <w:vAlign w:val="center"/>
          </w:tcPr>
          <w:p>
            <w:pPr>
              <w:pStyle w:val="17"/>
            </w:pPr>
            <w:r>
              <w:t>150m</w:t>
            </w:r>
          </w:p>
        </w:tc>
        <w:tc>
          <w:tcPr>
            <w:tcW w:w="457" w:type="pct"/>
            <w:shd w:val="clear" w:color="auto" w:fill="auto"/>
            <w:vAlign w:val="center"/>
          </w:tcPr>
          <w:p>
            <w:pPr>
              <w:pStyle w:val="17"/>
            </w:pPr>
            <w:r>
              <w:rPr>
                <w:rFonts w:hint="eastAsia"/>
              </w:rPr>
              <w:t>若干</w:t>
            </w:r>
          </w:p>
        </w:tc>
        <w:tc>
          <w:tcPr>
            <w:tcW w:w="457" w:type="pct"/>
            <w:shd w:val="clear" w:color="auto" w:fill="auto"/>
            <w:vAlign w:val="center"/>
          </w:tcPr>
          <w:p>
            <w:pPr>
              <w:pStyle w:val="17"/>
            </w:pPr>
            <w:r>
              <w:rPr>
                <w:rFonts w:hint="eastAsia"/>
              </w:rPr>
              <w:t>盘</w:t>
            </w:r>
          </w:p>
        </w:tc>
        <w:tc>
          <w:tcPr>
            <w:tcW w:w="1359" w:type="pct"/>
            <w:vMerge w:val="continue"/>
            <w:shd w:val="clear" w:color="auto" w:fill="auto"/>
            <w:vAlign w:val="center"/>
          </w:tcPr>
          <w:p>
            <w:pPr>
              <w:pStyle w:val="17"/>
            </w:pPr>
          </w:p>
        </w:tc>
      </w:tr>
    </w:tbl>
    <w:p>
      <w:pPr>
        <w:pStyle w:val="4"/>
      </w:pPr>
      <w:r>
        <w:t>安全</w:t>
      </w:r>
      <w:r>
        <w:rPr>
          <w:rFonts w:hint="eastAsia"/>
        </w:rPr>
        <w:t>临时设施计划</w:t>
      </w:r>
    </w:p>
    <w:p>
      <w:pPr>
        <w:ind w:firstLine="480"/>
      </w:pPr>
      <w:r>
        <w:fldChar w:fldCharType="begin"/>
      </w:r>
      <w:r>
        <w:instrText xml:space="preserve"> REF 设备类型 \h  \* MERGEFORMAT </w:instrText>
      </w:r>
      <w:r>
        <w:fldChar w:fldCharType="separate"/>
      </w:r>
      <w:r>
        <w:rPr>
          <w:rFonts w:hint="eastAsia"/>
        </w:rPr>
        <w:t>塔式起重机</w:t>
      </w:r>
      <w:r>
        <w:fldChar w:fldCharType="end"/>
      </w:r>
      <w:r>
        <w:rPr>
          <w:rFonts w:hint="eastAsia"/>
        </w:rPr>
        <w:t>基础</w:t>
      </w:r>
      <w:r>
        <w:t>施工安全临时设施</w:t>
      </w:r>
      <w:r>
        <w:rPr>
          <w:rFonts w:hint="eastAsia"/>
        </w:rPr>
        <w:t>计划详见</w:t>
      </w:r>
      <w:r>
        <w:fldChar w:fldCharType="begin"/>
      </w:r>
      <w:r>
        <w:instrText xml:space="preserve"> </w:instrText>
      </w:r>
      <w:r>
        <w:rPr>
          <w:rFonts w:hint="eastAsia"/>
        </w:rPr>
        <w:instrText xml:space="preserve">REF _Ref124174654 \h</w:instrText>
      </w:r>
      <w:r>
        <w:instrText xml:space="preserve">  \* MERGEFORMAT </w:instrText>
      </w:r>
      <w:r>
        <w:fldChar w:fldCharType="separate"/>
      </w:r>
      <w:r>
        <w:rPr>
          <w:rFonts w:hint="eastAsia"/>
        </w:rPr>
        <w:t>表</w:t>
      </w:r>
      <w:r>
        <w:t>3.2.4-1</w:t>
      </w:r>
      <w:r>
        <w:fldChar w:fldCharType="end"/>
      </w:r>
      <w:r>
        <w:rPr>
          <w:rFonts w:hint="eastAsia"/>
        </w:rPr>
        <w:t>所示。</w:t>
      </w:r>
    </w:p>
    <w:p>
      <w:pPr>
        <w:keepNext/>
        <w:ind w:firstLine="0" w:firstLineChars="0"/>
        <w:jc w:val="center"/>
        <w:rPr>
          <w:b/>
          <w:color w:val="auto"/>
          <w:sz w:val="21"/>
        </w:rPr>
      </w:pPr>
      <w:bookmarkStart w:id="72" w:name="_Ref124174654"/>
      <w:r>
        <w:rPr>
          <w:rFonts w:hint="eastAsia"/>
          <w:b/>
          <w:color w:val="auto"/>
          <w:sz w:val="21"/>
        </w:rPr>
        <w:t>表</w:t>
      </w:r>
      <w:r>
        <w:rPr>
          <w:b/>
          <w:color w:val="auto"/>
          <w:sz w:val="21"/>
        </w:rPr>
        <w:fldChar w:fldCharType="begin"/>
      </w:r>
      <w:r>
        <w:rPr>
          <w:b/>
          <w:color w:val="auto"/>
          <w:sz w:val="21"/>
        </w:rPr>
        <w:instrText xml:space="preserve"> STYLEREF 3 \s </w:instrText>
      </w:r>
      <w:r>
        <w:rPr>
          <w:b/>
          <w:color w:val="auto"/>
          <w:sz w:val="21"/>
        </w:rPr>
        <w:fldChar w:fldCharType="separate"/>
      </w:r>
      <w:r>
        <w:rPr>
          <w:b/>
          <w:color w:val="auto"/>
          <w:sz w:val="21"/>
        </w:rPr>
        <w:t>3.2.4</w:t>
      </w:r>
      <w:r>
        <w:rPr>
          <w:b/>
          <w:color w:val="auto"/>
          <w:sz w:val="21"/>
        </w:rPr>
        <w:fldChar w:fldCharType="end"/>
      </w:r>
      <w:r>
        <w:rPr>
          <w:b/>
          <w:color w:val="auto"/>
          <w:sz w:val="21"/>
        </w:rPr>
        <w:t>-</w:t>
      </w:r>
      <w:r>
        <w:rPr>
          <w:b/>
          <w:color w:val="auto"/>
          <w:sz w:val="21"/>
        </w:rPr>
        <w:fldChar w:fldCharType="begin"/>
      </w:r>
      <w:r>
        <w:rPr>
          <w:b/>
          <w:color w:val="auto"/>
          <w:sz w:val="21"/>
        </w:rPr>
        <w:instrText xml:space="preserve"> SEQ </w:instrText>
      </w:r>
      <w:r>
        <w:rPr>
          <w:rFonts w:hint="eastAsia"/>
          <w:b/>
          <w:color w:val="auto"/>
          <w:sz w:val="21"/>
        </w:rPr>
        <w:instrText xml:space="preserve">表</w:instrText>
      </w:r>
      <w:r>
        <w:rPr>
          <w:b/>
          <w:color w:val="auto"/>
          <w:sz w:val="21"/>
        </w:rPr>
        <w:instrText xml:space="preserve"> \* ARABIC \s 3 </w:instrText>
      </w:r>
      <w:r>
        <w:rPr>
          <w:b/>
          <w:color w:val="auto"/>
          <w:sz w:val="21"/>
        </w:rPr>
        <w:fldChar w:fldCharType="separate"/>
      </w:r>
      <w:r>
        <w:rPr>
          <w:b/>
          <w:color w:val="auto"/>
          <w:sz w:val="21"/>
        </w:rPr>
        <w:t>1</w:t>
      </w:r>
      <w:r>
        <w:rPr>
          <w:b/>
          <w:color w:val="auto"/>
          <w:sz w:val="21"/>
        </w:rPr>
        <w:fldChar w:fldCharType="end"/>
      </w:r>
      <w:bookmarkEnd w:id="72"/>
      <w:r>
        <w:rPr>
          <w:b/>
          <w:color w:val="auto"/>
          <w:sz w:val="21"/>
        </w:rPr>
        <w:t xml:space="preserve"> 安全</w:t>
      </w:r>
      <w:r>
        <w:rPr>
          <w:rFonts w:hint="eastAsia"/>
          <w:b/>
          <w:color w:val="auto"/>
          <w:sz w:val="21"/>
        </w:rPr>
        <w:t>临时设施计划</w:t>
      </w:r>
    </w:p>
    <w:tbl>
      <w:tblPr>
        <w:tblStyle w:val="15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2390"/>
        <w:gridCol w:w="1860"/>
        <w:gridCol w:w="804"/>
        <w:gridCol w:w="804"/>
        <w:gridCol w:w="18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72" w:type="pct"/>
            <w:shd w:val="clear" w:color="auto" w:fill="auto"/>
            <w:vAlign w:val="center"/>
          </w:tcPr>
          <w:p>
            <w:pPr>
              <w:spacing w:line="240" w:lineRule="auto"/>
              <w:ind w:firstLine="0" w:firstLineChars="0"/>
              <w:jc w:val="center"/>
              <w:rPr>
                <w:b/>
                <w:color w:val="auto"/>
                <w:sz w:val="21"/>
              </w:rPr>
            </w:pPr>
            <w:r>
              <w:rPr>
                <w:rFonts w:hint="eastAsia"/>
                <w:b/>
                <w:color w:val="auto"/>
                <w:sz w:val="21"/>
              </w:rPr>
              <w:t>序号</w:t>
            </w:r>
          </w:p>
        </w:tc>
        <w:tc>
          <w:tcPr>
            <w:tcW w:w="1402" w:type="pct"/>
            <w:shd w:val="clear" w:color="auto" w:fill="auto"/>
            <w:vAlign w:val="center"/>
          </w:tcPr>
          <w:p>
            <w:pPr>
              <w:spacing w:line="240" w:lineRule="auto"/>
              <w:ind w:firstLine="0" w:firstLineChars="0"/>
              <w:jc w:val="center"/>
              <w:rPr>
                <w:b/>
                <w:color w:val="auto"/>
                <w:sz w:val="21"/>
              </w:rPr>
            </w:pPr>
            <w:r>
              <w:rPr>
                <w:rFonts w:hint="eastAsia"/>
                <w:b/>
                <w:color w:val="auto"/>
                <w:sz w:val="21"/>
              </w:rPr>
              <w:t>名称</w:t>
            </w:r>
          </w:p>
        </w:tc>
        <w:tc>
          <w:tcPr>
            <w:tcW w:w="1091" w:type="pct"/>
            <w:shd w:val="clear" w:color="auto" w:fill="auto"/>
            <w:vAlign w:val="center"/>
          </w:tcPr>
          <w:p>
            <w:pPr>
              <w:spacing w:line="240" w:lineRule="auto"/>
              <w:ind w:firstLine="0" w:firstLineChars="0"/>
              <w:jc w:val="center"/>
              <w:rPr>
                <w:b/>
                <w:color w:val="auto"/>
                <w:sz w:val="21"/>
              </w:rPr>
            </w:pPr>
            <w:r>
              <w:rPr>
                <w:rFonts w:hint="eastAsia"/>
                <w:b/>
                <w:color w:val="auto"/>
                <w:sz w:val="21"/>
              </w:rPr>
              <w:t>使用部位</w:t>
            </w:r>
          </w:p>
        </w:tc>
        <w:tc>
          <w:tcPr>
            <w:tcW w:w="472" w:type="pct"/>
            <w:shd w:val="clear" w:color="auto" w:fill="auto"/>
            <w:vAlign w:val="center"/>
          </w:tcPr>
          <w:p>
            <w:pPr>
              <w:spacing w:line="240" w:lineRule="auto"/>
              <w:ind w:firstLine="0" w:firstLineChars="0"/>
              <w:jc w:val="center"/>
              <w:rPr>
                <w:b/>
                <w:color w:val="auto"/>
                <w:sz w:val="21"/>
              </w:rPr>
            </w:pPr>
            <w:r>
              <w:rPr>
                <w:rFonts w:hint="eastAsia"/>
                <w:b/>
                <w:color w:val="auto"/>
                <w:sz w:val="21"/>
              </w:rPr>
              <w:t>数量</w:t>
            </w:r>
          </w:p>
        </w:tc>
        <w:tc>
          <w:tcPr>
            <w:tcW w:w="472" w:type="pct"/>
            <w:shd w:val="clear" w:color="auto" w:fill="auto"/>
            <w:vAlign w:val="center"/>
          </w:tcPr>
          <w:p>
            <w:pPr>
              <w:spacing w:line="240" w:lineRule="auto"/>
              <w:ind w:firstLine="0" w:firstLineChars="0"/>
              <w:jc w:val="center"/>
              <w:rPr>
                <w:b/>
                <w:color w:val="auto"/>
                <w:sz w:val="21"/>
              </w:rPr>
            </w:pPr>
            <w:r>
              <w:rPr>
                <w:rFonts w:hint="eastAsia"/>
                <w:b/>
                <w:color w:val="auto"/>
                <w:sz w:val="21"/>
              </w:rPr>
              <w:t>单位</w:t>
            </w:r>
          </w:p>
        </w:tc>
        <w:tc>
          <w:tcPr>
            <w:tcW w:w="1091" w:type="pct"/>
            <w:shd w:val="clear" w:color="auto" w:fill="auto"/>
            <w:vAlign w:val="center"/>
          </w:tcPr>
          <w:p>
            <w:pPr>
              <w:spacing w:line="240" w:lineRule="auto"/>
              <w:ind w:firstLine="0" w:firstLineChars="0"/>
              <w:jc w:val="center"/>
              <w:rPr>
                <w:b/>
                <w:color w:val="auto"/>
                <w:sz w:val="21"/>
              </w:rPr>
            </w:pPr>
            <w:r>
              <w:rPr>
                <w:rFonts w:hint="eastAsia"/>
                <w:b/>
                <w:color w:val="auto"/>
                <w:sz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72" w:type="pct"/>
            <w:shd w:val="clear" w:color="auto" w:fill="auto"/>
            <w:vAlign w:val="center"/>
          </w:tcPr>
          <w:p>
            <w:pPr>
              <w:pStyle w:val="78"/>
              <w:numPr>
                <w:ilvl w:val="0"/>
                <w:numId w:val="19"/>
              </w:numPr>
              <w:spacing w:line="240" w:lineRule="auto"/>
              <w:ind w:firstLineChars="0"/>
              <w:jc w:val="center"/>
              <w:rPr>
                <w:color w:val="auto"/>
                <w:sz w:val="21"/>
              </w:rPr>
            </w:pPr>
          </w:p>
        </w:tc>
        <w:tc>
          <w:tcPr>
            <w:tcW w:w="1402" w:type="pct"/>
            <w:shd w:val="clear" w:color="auto" w:fill="auto"/>
            <w:vAlign w:val="center"/>
          </w:tcPr>
          <w:p>
            <w:pPr>
              <w:spacing w:line="240" w:lineRule="auto"/>
              <w:ind w:firstLine="0" w:firstLineChars="0"/>
              <w:jc w:val="center"/>
              <w:rPr>
                <w:color w:val="auto"/>
                <w:sz w:val="21"/>
              </w:rPr>
            </w:pPr>
            <w:r>
              <w:rPr>
                <w:rFonts w:hint="eastAsia"/>
                <w:color w:val="auto"/>
                <w:sz w:val="21"/>
              </w:rPr>
              <w:t>附着框安装操作平台</w:t>
            </w:r>
          </w:p>
        </w:tc>
        <w:tc>
          <w:tcPr>
            <w:tcW w:w="1091" w:type="pct"/>
            <w:shd w:val="clear" w:color="auto" w:fill="auto"/>
            <w:vAlign w:val="center"/>
          </w:tcPr>
          <w:p>
            <w:pPr>
              <w:spacing w:line="240" w:lineRule="auto"/>
              <w:ind w:firstLine="0" w:firstLineChars="0"/>
              <w:jc w:val="center"/>
              <w:rPr>
                <w:color w:val="auto"/>
                <w:sz w:val="21"/>
              </w:rPr>
            </w:pPr>
            <w:r>
              <w:rPr>
                <w:rFonts w:hint="eastAsia"/>
                <w:color w:val="auto"/>
                <w:sz w:val="21"/>
              </w:rPr>
              <w:t>塔吊塔身</w:t>
            </w:r>
          </w:p>
        </w:tc>
        <w:tc>
          <w:tcPr>
            <w:tcW w:w="472" w:type="pct"/>
            <w:shd w:val="clear" w:color="auto" w:fill="auto"/>
            <w:vAlign w:val="center"/>
          </w:tcPr>
          <w:p>
            <w:pPr>
              <w:spacing w:line="240" w:lineRule="auto"/>
              <w:ind w:firstLine="0" w:firstLineChars="0"/>
              <w:jc w:val="center"/>
              <w:rPr>
                <w:color w:val="auto"/>
                <w:sz w:val="21"/>
              </w:rPr>
            </w:pPr>
            <w:r>
              <w:rPr>
                <w:color w:val="auto"/>
                <w:sz w:val="21"/>
              </w:rPr>
              <w:t>2</w:t>
            </w:r>
          </w:p>
        </w:tc>
        <w:tc>
          <w:tcPr>
            <w:tcW w:w="472" w:type="pct"/>
            <w:shd w:val="clear" w:color="auto" w:fill="auto"/>
            <w:vAlign w:val="center"/>
          </w:tcPr>
          <w:p>
            <w:pPr>
              <w:spacing w:line="240" w:lineRule="auto"/>
              <w:ind w:firstLine="0" w:firstLineChars="0"/>
              <w:jc w:val="center"/>
              <w:rPr>
                <w:color w:val="auto"/>
                <w:sz w:val="21"/>
              </w:rPr>
            </w:pPr>
            <w:r>
              <w:rPr>
                <w:rFonts w:hint="eastAsia"/>
                <w:color w:val="auto"/>
                <w:sz w:val="21"/>
              </w:rPr>
              <w:t>套</w:t>
            </w:r>
          </w:p>
        </w:tc>
        <w:tc>
          <w:tcPr>
            <w:tcW w:w="1091" w:type="pct"/>
            <w:shd w:val="clear" w:color="auto" w:fill="auto"/>
            <w:vAlign w:val="center"/>
          </w:tcPr>
          <w:p>
            <w:pPr>
              <w:spacing w:line="240" w:lineRule="auto"/>
              <w:ind w:firstLine="0" w:firstLineChars="0"/>
              <w:jc w:val="center"/>
              <w:rPr>
                <w:color w:val="auto"/>
                <w:sz w:val="21"/>
              </w:rPr>
            </w:pPr>
            <w:r>
              <w:rPr>
                <w:rFonts w:hint="eastAsia"/>
                <w:color w:val="auto"/>
                <w:sz w:val="21"/>
              </w:rPr>
              <w:t>本单位提供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72" w:type="pct"/>
            <w:shd w:val="clear" w:color="auto" w:fill="auto"/>
            <w:vAlign w:val="center"/>
          </w:tcPr>
          <w:p>
            <w:pPr>
              <w:pStyle w:val="78"/>
              <w:numPr>
                <w:ilvl w:val="0"/>
                <w:numId w:val="19"/>
              </w:numPr>
              <w:spacing w:line="240" w:lineRule="auto"/>
              <w:ind w:firstLineChars="0"/>
              <w:jc w:val="center"/>
              <w:rPr>
                <w:color w:val="auto"/>
                <w:sz w:val="21"/>
              </w:rPr>
            </w:pPr>
          </w:p>
        </w:tc>
        <w:tc>
          <w:tcPr>
            <w:tcW w:w="1402" w:type="pct"/>
            <w:shd w:val="clear" w:color="auto" w:fill="auto"/>
            <w:vAlign w:val="center"/>
          </w:tcPr>
          <w:p>
            <w:pPr>
              <w:spacing w:line="240" w:lineRule="auto"/>
              <w:ind w:firstLine="0" w:firstLineChars="0"/>
              <w:jc w:val="center"/>
              <w:rPr>
                <w:color w:val="auto"/>
                <w:sz w:val="21"/>
              </w:rPr>
            </w:pPr>
            <w:r>
              <w:rPr>
                <w:rFonts w:hint="eastAsia"/>
                <w:color w:val="auto"/>
                <w:sz w:val="21"/>
              </w:rPr>
              <w:t>附着撑杆安装操作平台</w:t>
            </w:r>
          </w:p>
        </w:tc>
        <w:tc>
          <w:tcPr>
            <w:tcW w:w="1091" w:type="pct"/>
            <w:shd w:val="clear" w:color="auto" w:fill="auto"/>
            <w:vAlign w:val="center"/>
          </w:tcPr>
          <w:p>
            <w:pPr>
              <w:spacing w:line="240" w:lineRule="auto"/>
              <w:ind w:firstLine="0" w:firstLineChars="0"/>
              <w:jc w:val="center"/>
              <w:rPr>
                <w:color w:val="auto"/>
                <w:sz w:val="21"/>
              </w:rPr>
            </w:pPr>
            <w:r>
              <w:rPr>
                <w:rFonts w:hint="eastAsia"/>
                <w:color w:val="auto"/>
                <w:sz w:val="21"/>
                <w:lang w:val="en-US" w:eastAsia="zh-CN"/>
              </w:rPr>
              <w:t>桥墩</w:t>
            </w:r>
            <w:r>
              <w:rPr>
                <w:rFonts w:hint="eastAsia"/>
                <w:color w:val="auto"/>
                <w:sz w:val="21"/>
              </w:rPr>
              <w:t>塔身</w:t>
            </w:r>
          </w:p>
        </w:tc>
        <w:tc>
          <w:tcPr>
            <w:tcW w:w="472" w:type="pct"/>
            <w:shd w:val="clear" w:color="auto" w:fill="auto"/>
            <w:vAlign w:val="center"/>
          </w:tcPr>
          <w:p>
            <w:pPr>
              <w:spacing w:line="240" w:lineRule="auto"/>
              <w:ind w:firstLine="0" w:firstLineChars="0"/>
              <w:jc w:val="center"/>
              <w:rPr>
                <w:rFonts w:hint="default" w:eastAsia="宋体"/>
                <w:color w:val="auto"/>
                <w:sz w:val="21"/>
                <w:lang w:val="en-US" w:eastAsia="zh-CN"/>
              </w:rPr>
            </w:pPr>
            <w:r>
              <w:rPr>
                <w:rFonts w:hint="eastAsia"/>
                <w:color w:val="auto"/>
                <w:sz w:val="21"/>
                <w:lang w:val="en-US" w:eastAsia="zh-CN"/>
              </w:rPr>
              <w:t>4</w:t>
            </w:r>
          </w:p>
        </w:tc>
        <w:tc>
          <w:tcPr>
            <w:tcW w:w="472" w:type="pct"/>
            <w:shd w:val="clear" w:color="auto" w:fill="auto"/>
            <w:vAlign w:val="center"/>
          </w:tcPr>
          <w:p>
            <w:pPr>
              <w:spacing w:line="240" w:lineRule="auto"/>
              <w:ind w:firstLine="0" w:firstLineChars="0"/>
              <w:jc w:val="center"/>
              <w:rPr>
                <w:color w:val="auto"/>
                <w:sz w:val="21"/>
              </w:rPr>
            </w:pPr>
            <w:r>
              <w:rPr>
                <w:rFonts w:hint="eastAsia"/>
                <w:color w:val="auto"/>
                <w:sz w:val="21"/>
              </w:rPr>
              <w:t>套</w:t>
            </w:r>
          </w:p>
        </w:tc>
        <w:tc>
          <w:tcPr>
            <w:tcW w:w="1091" w:type="pct"/>
            <w:shd w:val="clear" w:color="auto" w:fill="auto"/>
            <w:vAlign w:val="center"/>
          </w:tcPr>
          <w:p>
            <w:pPr>
              <w:spacing w:line="240" w:lineRule="auto"/>
              <w:ind w:firstLine="0" w:firstLineChars="0"/>
              <w:jc w:val="center"/>
              <w:rPr>
                <w:color w:val="auto"/>
                <w:sz w:val="21"/>
              </w:rPr>
            </w:pPr>
            <w:r>
              <w:rPr>
                <w:rFonts w:hint="eastAsia"/>
                <w:color w:val="auto"/>
                <w:sz w:val="21"/>
              </w:rPr>
              <w:t>项目部自制</w:t>
            </w:r>
          </w:p>
        </w:tc>
      </w:tr>
    </w:tbl>
    <w:p>
      <w:pPr>
        <w:pStyle w:val="3"/>
      </w:pPr>
      <w:bookmarkStart w:id="73" w:name="_Toc9879"/>
      <w:r>
        <w:rPr>
          <w:rFonts w:hint="eastAsia"/>
        </w:rPr>
        <w:t>设备及工具计划</w:t>
      </w:r>
      <w:bookmarkEnd w:id="73"/>
    </w:p>
    <w:p>
      <w:pPr>
        <w:ind w:firstLine="480"/>
      </w:pPr>
      <w:r>
        <w:fldChar w:fldCharType="begin"/>
      </w:r>
      <w:r>
        <w:instrText xml:space="preserve"> REF 设备类型 \h  \* MERGEFORMAT </w:instrText>
      </w:r>
      <w:r>
        <w:fldChar w:fldCharType="separate"/>
      </w:r>
      <w:r>
        <w:rPr>
          <w:rFonts w:hint="eastAsia"/>
        </w:rPr>
        <w:t>塔式起重机</w:t>
      </w:r>
      <w:r>
        <w:fldChar w:fldCharType="end"/>
      </w:r>
      <w:r>
        <w:rPr>
          <w:rFonts w:hint="eastAsia"/>
        </w:rPr>
        <w:t>基础</w:t>
      </w:r>
      <w:r>
        <w:t>施工</w:t>
      </w:r>
      <w:r>
        <w:rPr>
          <w:rFonts w:hint="eastAsia"/>
        </w:rPr>
        <w:t>设备及工具计划详见详见</w:t>
      </w:r>
      <w:r>
        <w:fldChar w:fldCharType="begin"/>
      </w:r>
      <w:r>
        <w:instrText xml:space="preserve"> </w:instrText>
      </w:r>
      <w:r>
        <w:rPr>
          <w:rFonts w:hint="eastAsia"/>
        </w:rPr>
        <w:instrText xml:space="preserve">REF _Ref127281856 \h</w:instrText>
      </w:r>
      <w:r>
        <w:instrText xml:space="preserve"> </w:instrText>
      </w:r>
      <w:r>
        <w:fldChar w:fldCharType="separate"/>
      </w:r>
      <w:r>
        <w:rPr>
          <w:rFonts w:hint="eastAsia"/>
        </w:rPr>
        <w:t>表</w:t>
      </w:r>
      <w:r>
        <w:t>3.3</w:t>
      </w:r>
      <w:r>
        <w:rPr>
          <w:rFonts w:hint="eastAsia"/>
        </w:rPr>
        <w:t>-</w:t>
      </w:r>
      <w:r>
        <w:t>1</w:t>
      </w:r>
      <w:r>
        <w:fldChar w:fldCharType="end"/>
      </w:r>
      <w:r>
        <w:rPr>
          <w:rFonts w:hint="eastAsia"/>
        </w:rPr>
        <w:t>所示。</w:t>
      </w:r>
    </w:p>
    <w:p>
      <w:pPr>
        <w:pStyle w:val="16"/>
      </w:pPr>
      <w:bookmarkStart w:id="74" w:name="_Ref127281856"/>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3.3</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bookmarkEnd w:id="74"/>
      <w:r>
        <w:t xml:space="preserve"> </w:t>
      </w:r>
      <w:r>
        <w:rPr>
          <w:rFonts w:hint="eastAsia"/>
        </w:rPr>
        <w:t>设备及工具计划表</w:t>
      </w:r>
    </w:p>
    <w:tbl>
      <w:tblPr>
        <w:tblStyle w:val="15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2682"/>
        <w:gridCol w:w="2644"/>
        <w:gridCol w:w="740"/>
        <w:gridCol w:w="740"/>
        <w:gridCol w:w="9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34" w:type="pct"/>
            <w:shd w:val="clear" w:color="auto" w:fill="auto"/>
            <w:vAlign w:val="center"/>
          </w:tcPr>
          <w:p>
            <w:pPr>
              <w:pStyle w:val="17"/>
              <w:rPr>
                <w:b/>
              </w:rPr>
            </w:pPr>
            <w:r>
              <w:rPr>
                <w:rFonts w:hint="eastAsia"/>
                <w:b/>
              </w:rPr>
              <w:t>序号</w:t>
            </w:r>
          </w:p>
        </w:tc>
        <w:tc>
          <w:tcPr>
            <w:tcW w:w="1574" w:type="pct"/>
            <w:shd w:val="clear" w:color="auto" w:fill="auto"/>
            <w:vAlign w:val="center"/>
          </w:tcPr>
          <w:p>
            <w:pPr>
              <w:pStyle w:val="17"/>
              <w:rPr>
                <w:b/>
              </w:rPr>
            </w:pPr>
            <w:r>
              <w:rPr>
                <w:rFonts w:hint="eastAsia"/>
                <w:b/>
              </w:rPr>
              <w:t>名称</w:t>
            </w:r>
          </w:p>
        </w:tc>
        <w:tc>
          <w:tcPr>
            <w:tcW w:w="1551" w:type="pct"/>
            <w:shd w:val="clear" w:color="auto" w:fill="auto"/>
            <w:vAlign w:val="center"/>
          </w:tcPr>
          <w:p>
            <w:pPr>
              <w:pStyle w:val="17"/>
              <w:rPr>
                <w:b/>
              </w:rPr>
            </w:pPr>
            <w:r>
              <w:rPr>
                <w:rFonts w:hint="eastAsia"/>
                <w:b/>
              </w:rPr>
              <w:t>规格型号</w:t>
            </w:r>
          </w:p>
        </w:tc>
        <w:tc>
          <w:tcPr>
            <w:tcW w:w="434" w:type="pct"/>
            <w:shd w:val="clear" w:color="auto" w:fill="auto"/>
            <w:vAlign w:val="center"/>
          </w:tcPr>
          <w:p>
            <w:pPr>
              <w:pStyle w:val="17"/>
              <w:rPr>
                <w:b/>
              </w:rPr>
            </w:pPr>
            <w:r>
              <w:rPr>
                <w:rFonts w:hint="eastAsia"/>
                <w:b/>
              </w:rPr>
              <w:t>数量</w:t>
            </w:r>
          </w:p>
        </w:tc>
        <w:tc>
          <w:tcPr>
            <w:tcW w:w="434" w:type="pct"/>
            <w:shd w:val="clear" w:color="auto" w:fill="auto"/>
            <w:vAlign w:val="center"/>
          </w:tcPr>
          <w:p>
            <w:pPr>
              <w:pStyle w:val="17"/>
              <w:rPr>
                <w:b/>
              </w:rPr>
            </w:pPr>
            <w:r>
              <w:rPr>
                <w:rFonts w:hint="eastAsia"/>
                <w:b/>
              </w:rPr>
              <w:t>单位</w:t>
            </w:r>
          </w:p>
        </w:tc>
        <w:tc>
          <w:tcPr>
            <w:tcW w:w="573" w:type="pct"/>
            <w:shd w:val="clear" w:color="auto" w:fill="auto"/>
            <w:vAlign w:val="center"/>
          </w:tcPr>
          <w:p>
            <w:pPr>
              <w:pStyle w:val="17"/>
              <w:rPr>
                <w:b/>
              </w:rPr>
            </w:pPr>
            <w:r>
              <w:rPr>
                <w:rFonts w:hint="eastAsia"/>
                <w:b/>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pPr>
              <w:pStyle w:val="17"/>
              <w:numPr>
                <w:ilvl w:val="0"/>
                <w:numId w:val="20"/>
              </w:numPr>
            </w:pPr>
          </w:p>
        </w:tc>
        <w:tc>
          <w:tcPr>
            <w:tcW w:w="1574" w:type="pct"/>
            <w:shd w:val="clear" w:color="auto" w:fill="auto"/>
            <w:vAlign w:val="center"/>
          </w:tcPr>
          <w:p>
            <w:pPr>
              <w:pStyle w:val="17"/>
            </w:pPr>
            <w:r>
              <w:fldChar w:fldCharType="begin"/>
            </w:r>
            <w:r>
              <w:instrText xml:space="preserve"> </w:instrText>
            </w:r>
            <w:r>
              <w:rPr>
                <w:rFonts w:hint="eastAsia"/>
              </w:rPr>
              <w:instrText xml:space="preserve">REF 起重设备1类型 \h</w:instrText>
            </w:r>
            <w:r>
              <w:instrText xml:space="preserve">  \* MERGEFORMAT </w:instrText>
            </w:r>
            <w:r>
              <w:fldChar w:fldCharType="separate"/>
            </w:r>
            <w:r>
              <w:rPr>
                <w:rFonts w:hint="eastAsia"/>
              </w:rPr>
              <w:t>汽车式起重机</w:t>
            </w:r>
            <w:r>
              <w:fldChar w:fldCharType="end"/>
            </w:r>
          </w:p>
        </w:tc>
        <w:tc>
          <w:tcPr>
            <w:tcW w:w="1551" w:type="pct"/>
            <w:shd w:val="clear" w:color="auto" w:fill="auto"/>
            <w:vAlign w:val="center"/>
          </w:tcPr>
          <w:p>
            <w:pPr>
              <w:pStyle w:val="17"/>
            </w:pPr>
            <w:r>
              <w:fldChar w:fldCharType="begin"/>
            </w:r>
            <w:r>
              <w:instrText xml:space="preserve"> </w:instrText>
            </w:r>
            <w:r>
              <w:rPr>
                <w:rFonts w:hint="eastAsia"/>
              </w:rPr>
              <w:instrText xml:space="preserve">REF 起重设备1型号 \h</w:instrText>
            </w:r>
            <w:r>
              <w:instrText xml:space="preserve">  \* MERGEFORMAT </w:instrText>
            </w:r>
            <w:r>
              <w:fldChar w:fldCharType="separate"/>
            </w:r>
            <w:r>
              <w:t>100</w:t>
            </w:r>
            <w:r>
              <w:rPr>
                <w:rFonts w:hint="eastAsia"/>
              </w:rPr>
              <w:t>t</w:t>
            </w:r>
            <w:r>
              <w:fldChar w:fldCharType="end"/>
            </w:r>
          </w:p>
        </w:tc>
        <w:tc>
          <w:tcPr>
            <w:tcW w:w="434" w:type="pct"/>
            <w:shd w:val="clear" w:color="auto" w:fill="auto"/>
            <w:vAlign w:val="center"/>
          </w:tcPr>
          <w:p>
            <w:pPr>
              <w:pStyle w:val="17"/>
            </w:pPr>
            <w:r>
              <w:t>1</w:t>
            </w:r>
          </w:p>
        </w:tc>
        <w:tc>
          <w:tcPr>
            <w:tcW w:w="434" w:type="pct"/>
            <w:shd w:val="clear" w:color="auto" w:fill="auto"/>
            <w:vAlign w:val="center"/>
          </w:tcPr>
          <w:p>
            <w:pPr>
              <w:pStyle w:val="17"/>
            </w:pPr>
            <w:r>
              <w:rPr>
                <w:rFonts w:hint="eastAsia"/>
              </w:rPr>
              <w:t>辆</w:t>
            </w:r>
          </w:p>
        </w:tc>
        <w:tc>
          <w:tcPr>
            <w:tcW w:w="573" w:type="pct"/>
            <w:vMerge w:val="restart"/>
            <w:shd w:val="clear" w:color="auto" w:fill="auto"/>
            <w:vAlign w:val="center"/>
          </w:tcPr>
          <w:p>
            <w:pPr>
              <w:pStyle w:val="17"/>
            </w:pPr>
            <w:r>
              <w:rPr>
                <w:rFonts w:hint="eastAsia"/>
              </w:rPr>
              <w:t>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pPr>
              <w:pStyle w:val="17"/>
              <w:numPr>
                <w:ilvl w:val="0"/>
                <w:numId w:val="20"/>
              </w:numPr>
            </w:pPr>
          </w:p>
        </w:tc>
        <w:tc>
          <w:tcPr>
            <w:tcW w:w="1574" w:type="pct"/>
            <w:shd w:val="clear" w:color="auto" w:fill="auto"/>
            <w:vAlign w:val="center"/>
          </w:tcPr>
          <w:p>
            <w:pPr>
              <w:pStyle w:val="17"/>
            </w:pPr>
            <w:r>
              <w:rPr>
                <w:rFonts w:hint="eastAsia"/>
              </w:rPr>
              <w:t>电焊机</w:t>
            </w:r>
          </w:p>
        </w:tc>
        <w:tc>
          <w:tcPr>
            <w:tcW w:w="1551" w:type="pct"/>
            <w:shd w:val="clear" w:color="auto" w:fill="auto"/>
            <w:vAlign w:val="center"/>
          </w:tcPr>
          <w:p>
            <w:pPr>
              <w:pStyle w:val="17"/>
            </w:pPr>
            <w:r>
              <w:rPr>
                <w:rFonts w:hint="eastAsia"/>
              </w:rPr>
              <w:t>BX3-500</w:t>
            </w:r>
          </w:p>
        </w:tc>
        <w:tc>
          <w:tcPr>
            <w:tcW w:w="434" w:type="pct"/>
            <w:shd w:val="clear" w:color="auto" w:fill="auto"/>
            <w:vAlign w:val="center"/>
          </w:tcPr>
          <w:p>
            <w:pPr>
              <w:pStyle w:val="17"/>
            </w:pPr>
            <w:r>
              <w:rPr>
                <w:rFonts w:hint="eastAsia"/>
              </w:rPr>
              <w:t>2</w:t>
            </w:r>
          </w:p>
        </w:tc>
        <w:tc>
          <w:tcPr>
            <w:tcW w:w="434" w:type="pct"/>
            <w:shd w:val="clear" w:color="auto" w:fill="auto"/>
            <w:vAlign w:val="center"/>
          </w:tcPr>
          <w:p>
            <w:pPr>
              <w:pStyle w:val="17"/>
            </w:pPr>
            <w:r>
              <w:rPr>
                <w:rFonts w:hint="eastAsia"/>
              </w:rPr>
              <w:t>台</w:t>
            </w:r>
          </w:p>
        </w:tc>
        <w:tc>
          <w:tcPr>
            <w:tcW w:w="573"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pPr>
              <w:pStyle w:val="17"/>
              <w:numPr>
                <w:ilvl w:val="0"/>
                <w:numId w:val="20"/>
              </w:numPr>
            </w:pPr>
          </w:p>
        </w:tc>
        <w:tc>
          <w:tcPr>
            <w:tcW w:w="1574" w:type="pct"/>
            <w:shd w:val="clear" w:color="auto" w:fill="auto"/>
            <w:vAlign w:val="center"/>
          </w:tcPr>
          <w:p>
            <w:pPr>
              <w:pStyle w:val="17"/>
            </w:pPr>
            <w:r>
              <w:rPr>
                <w:rFonts w:hint="eastAsia"/>
              </w:rPr>
              <w:t>手拉葫芦</w:t>
            </w:r>
          </w:p>
        </w:tc>
        <w:tc>
          <w:tcPr>
            <w:tcW w:w="1551" w:type="pct"/>
            <w:shd w:val="clear" w:color="auto" w:fill="auto"/>
            <w:vAlign w:val="center"/>
          </w:tcPr>
          <w:p>
            <w:pPr>
              <w:pStyle w:val="17"/>
            </w:pPr>
            <w:r>
              <w:t>2</w:t>
            </w:r>
            <w:r>
              <w:rPr>
                <w:rFonts w:hint="eastAsia"/>
              </w:rPr>
              <w:t>t</w:t>
            </w:r>
          </w:p>
        </w:tc>
        <w:tc>
          <w:tcPr>
            <w:tcW w:w="434" w:type="pct"/>
            <w:shd w:val="clear" w:color="auto" w:fill="auto"/>
            <w:vAlign w:val="center"/>
          </w:tcPr>
          <w:p>
            <w:pPr>
              <w:pStyle w:val="17"/>
            </w:pPr>
            <w:r>
              <w:t>10</w:t>
            </w:r>
          </w:p>
        </w:tc>
        <w:tc>
          <w:tcPr>
            <w:tcW w:w="434" w:type="pct"/>
            <w:shd w:val="clear" w:color="auto" w:fill="auto"/>
            <w:vAlign w:val="center"/>
          </w:tcPr>
          <w:p>
            <w:pPr>
              <w:pStyle w:val="17"/>
            </w:pPr>
            <w:r>
              <w:rPr>
                <w:rFonts w:hint="eastAsia"/>
              </w:rPr>
              <w:t>个</w:t>
            </w:r>
          </w:p>
        </w:tc>
        <w:tc>
          <w:tcPr>
            <w:tcW w:w="573"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pPr>
              <w:pStyle w:val="17"/>
              <w:numPr>
                <w:ilvl w:val="0"/>
                <w:numId w:val="20"/>
              </w:numPr>
            </w:pPr>
          </w:p>
        </w:tc>
        <w:tc>
          <w:tcPr>
            <w:tcW w:w="1574" w:type="pct"/>
            <w:shd w:val="clear" w:color="auto" w:fill="auto"/>
            <w:vAlign w:val="center"/>
          </w:tcPr>
          <w:p>
            <w:pPr>
              <w:pStyle w:val="17"/>
            </w:pPr>
            <w:r>
              <w:rPr>
                <w:rFonts w:hint="eastAsia"/>
              </w:rPr>
              <w:t>氧气瓶</w:t>
            </w:r>
          </w:p>
        </w:tc>
        <w:tc>
          <w:tcPr>
            <w:tcW w:w="1551" w:type="pct"/>
            <w:shd w:val="clear" w:color="auto" w:fill="auto"/>
            <w:vAlign w:val="center"/>
          </w:tcPr>
          <w:p>
            <w:pPr>
              <w:pStyle w:val="17"/>
            </w:pPr>
          </w:p>
        </w:tc>
        <w:tc>
          <w:tcPr>
            <w:tcW w:w="434" w:type="pct"/>
            <w:shd w:val="clear" w:color="auto" w:fill="auto"/>
            <w:vAlign w:val="center"/>
          </w:tcPr>
          <w:p>
            <w:pPr>
              <w:pStyle w:val="17"/>
            </w:pPr>
            <w:r>
              <w:rPr>
                <w:rFonts w:hint="eastAsia"/>
              </w:rPr>
              <w:t>若干</w:t>
            </w:r>
          </w:p>
        </w:tc>
        <w:tc>
          <w:tcPr>
            <w:tcW w:w="434" w:type="pct"/>
            <w:shd w:val="clear" w:color="auto" w:fill="auto"/>
            <w:vAlign w:val="center"/>
          </w:tcPr>
          <w:p>
            <w:pPr>
              <w:pStyle w:val="17"/>
            </w:pPr>
            <w:r>
              <w:rPr>
                <w:rFonts w:hint="eastAsia"/>
              </w:rPr>
              <w:t>瓶</w:t>
            </w:r>
          </w:p>
        </w:tc>
        <w:tc>
          <w:tcPr>
            <w:tcW w:w="573"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pPr>
              <w:pStyle w:val="17"/>
              <w:numPr>
                <w:ilvl w:val="0"/>
                <w:numId w:val="20"/>
              </w:numPr>
            </w:pPr>
          </w:p>
        </w:tc>
        <w:tc>
          <w:tcPr>
            <w:tcW w:w="1574" w:type="pct"/>
            <w:shd w:val="clear" w:color="auto" w:fill="auto"/>
            <w:vAlign w:val="center"/>
          </w:tcPr>
          <w:p>
            <w:pPr>
              <w:pStyle w:val="17"/>
            </w:pPr>
            <w:r>
              <w:rPr>
                <w:rFonts w:hint="eastAsia"/>
              </w:rPr>
              <w:t>乙炔气瓶</w:t>
            </w:r>
          </w:p>
        </w:tc>
        <w:tc>
          <w:tcPr>
            <w:tcW w:w="1551" w:type="pct"/>
            <w:shd w:val="clear" w:color="auto" w:fill="auto"/>
            <w:vAlign w:val="center"/>
          </w:tcPr>
          <w:p>
            <w:pPr>
              <w:pStyle w:val="17"/>
            </w:pPr>
          </w:p>
        </w:tc>
        <w:tc>
          <w:tcPr>
            <w:tcW w:w="434" w:type="pct"/>
            <w:shd w:val="clear" w:color="auto" w:fill="auto"/>
            <w:vAlign w:val="center"/>
          </w:tcPr>
          <w:p>
            <w:pPr>
              <w:pStyle w:val="17"/>
            </w:pPr>
            <w:r>
              <w:rPr>
                <w:rFonts w:hint="eastAsia"/>
              </w:rPr>
              <w:t>若干</w:t>
            </w:r>
          </w:p>
        </w:tc>
        <w:tc>
          <w:tcPr>
            <w:tcW w:w="434" w:type="pct"/>
            <w:shd w:val="clear" w:color="auto" w:fill="auto"/>
            <w:vAlign w:val="center"/>
          </w:tcPr>
          <w:p>
            <w:pPr>
              <w:pStyle w:val="17"/>
            </w:pPr>
            <w:r>
              <w:rPr>
                <w:rFonts w:hint="eastAsia"/>
              </w:rPr>
              <w:t>瓶</w:t>
            </w:r>
          </w:p>
        </w:tc>
        <w:tc>
          <w:tcPr>
            <w:tcW w:w="573"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top"/>
          </w:tcPr>
          <w:p>
            <w:pPr>
              <w:pStyle w:val="17"/>
              <w:numPr>
                <w:ilvl w:val="0"/>
                <w:numId w:val="20"/>
              </w:numPr>
            </w:pPr>
          </w:p>
        </w:tc>
        <w:tc>
          <w:tcPr>
            <w:tcW w:w="1574" w:type="pct"/>
            <w:shd w:val="clear" w:color="auto" w:fill="auto"/>
            <w:vAlign w:val="center"/>
          </w:tcPr>
          <w:p>
            <w:pPr>
              <w:pStyle w:val="17"/>
            </w:pPr>
            <w:r>
              <w:rPr>
                <w:rFonts w:hint="eastAsia"/>
              </w:rPr>
              <w:t>钢丝绳</w:t>
            </w:r>
          </w:p>
        </w:tc>
        <w:tc>
          <w:tcPr>
            <w:tcW w:w="1551" w:type="pct"/>
            <w:shd w:val="clear" w:color="auto" w:fill="auto"/>
            <w:vAlign w:val="center"/>
          </w:tcPr>
          <w:p>
            <w:pPr>
              <w:pStyle w:val="17"/>
            </w:pPr>
            <w:r>
              <w:fldChar w:fldCharType="begin"/>
            </w:r>
            <w:r>
              <w:instrText xml:space="preserve"> REF 吊装钢丝绳 \h  \* MERGEFORMAT </w:instrText>
            </w:r>
            <w:r>
              <w:fldChar w:fldCharType="separate"/>
            </w:r>
            <w:r>
              <w:rPr>
                <w:rFonts w:hint="eastAsia"/>
                <w:lang w:val="en-US" w:eastAsia="zh-CN"/>
              </w:rPr>
              <w:t>24</w:t>
            </w:r>
            <w:r>
              <w:t xml:space="preserve"> 6×37S-FC 1770</w:t>
            </w:r>
            <w:r>
              <w:fldChar w:fldCharType="end"/>
            </w:r>
          </w:p>
        </w:tc>
        <w:tc>
          <w:tcPr>
            <w:tcW w:w="434" w:type="pct"/>
            <w:shd w:val="clear" w:color="auto" w:fill="auto"/>
            <w:vAlign w:val="center"/>
          </w:tcPr>
          <w:p>
            <w:pPr>
              <w:pStyle w:val="17"/>
            </w:pPr>
            <w:r>
              <w:rPr>
                <w:rFonts w:hint="eastAsia"/>
              </w:rPr>
              <w:t>4</w:t>
            </w:r>
          </w:p>
        </w:tc>
        <w:tc>
          <w:tcPr>
            <w:tcW w:w="434" w:type="pct"/>
            <w:shd w:val="clear" w:color="auto" w:fill="auto"/>
            <w:vAlign w:val="center"/>
          </w:tcPr>
          <w:p>
            <w:pPr>
              <w:pStyle w:val="17"/>
            </w:pPr>
            <w:r>
              <w:rPr>
                <w:rFonts w:hint="eastAsia"/>
              </w:rPr>
              <w:t>根</w:t>
            </w:r>
          </w:p>
        </w:tc>
        <w:tc>
          <w:tcPr>
            <w:tcW w:w="573" w:type="pct"/>
            <w:vMerge w:val="restart"/>
            <w:shd w:val="clear" w:color="auto" w:fill="auto"/>
            <w:vAlign w:val="center"/>
          </w:tcPr>
          <w:p>
            <w:pPr>
              <w:pStyle w:val="17"/>
            </w:pPr>
            <w:r>
              <w:rPr>
                <w:rFonts w:hint="eastAsia"/>
              </w:rPr>
              <w:t>吊索具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top"/>
          </w:tcPr>
          <w:p>
            <w:pPr>
              <w:pStyle w:val="17"/>
              <w:numPr>
                <w:ilvl w:val="0"/>
                <w:numId w:val="20"/>
              </w:numPr>
            </w:pPr>
          </w:p>
        </w:tc>
        <w:tc>
          <w:tcPr>
            <w:tcW w:w="1574" w:type="pct"/>
            <w:shd w:val="clear" w:color="auto" w:fill="auto"/>
            <w:vAlign w:val="center"/>
          </w:tcPr>
          <w:p>
            <w:pPr>
              <w:pStyle w:val="17"/>
            </w:pPr>
            <w:r>
              <w:rPr>
                <w:rFonts w:hint="eastAsia"/>
              </w:rPr>
              <w:t>卸扣</w:t>
            </w:r>
          </w:p>
        </w:tc>
        <w:tc>
          <w:tcPr>
            <w:tcW w:w="1551" w:type="pct"/>
            <w:shd w:val="clear" w:color="auto" w:fill="auto"/>
            <w:vAlign w:val="center"/>
          </w:tcPr>
          <w:p>
            <w:pPr>
              <w:pStyle w:val="17"/>
            </w:pPr>
            <w:r>
              <w:fldChar w:fldCharType="begin"/>
            </w:r>
            <w:r>
              <w:instrText xml:space="preserve"> REF 吊装卸扣 \h  \* MERGEFORMAT </w:instrText>
            </w:r>
            <w:r>
              <w:fldChar w:fldCharType="separate"/>
            </w:r>
            <w:r>
              <w:t>GB/T 25854-6-BW12.5</w:t>
            </w:r>
            <w:r>
              <w:fldChar w:fldCharType="end"/>
            </w:r>
          </w:p>
        </w:tc>
        <w:tc>
          <w:tcPr>
            <w:tcW w:w="434" w:type="pct"/>
            <w:shd w:val="clear" w:color="auto" w:fill="auto"/>
            <w:vAlign w:val="center"/>
          </w:tcPr>
          <w:p>
            <w:pPr>
              <w:pStyle w:val="17"/>
            </w:pPr>
            <w:r>
              <w:rPr>
                <w:rFonts w:hint="eastAsia"/>
              </w:rPr>
              <w:t>4</w:t>
            </w:r>
          </w:p>
        </w:tc>
        <w:tc>
          <w:tcPr>
            <w:tcW w:w="434" w:type="pct"/>
            <w:shd w:val="clear" w:color="auto" w:fill="auto"/>
            <w:vAlign w:val="center"/>
          </w:tcPr>
          <w:p>
            <w:pPr>
              <w:pStyle w:val="17"/>
            </w:pPr>
            <w:r>
              <w:rPr>
                <w:rFonts w:hint="eastAsia"/>
              </w:rPr>
              <w:t>个</w:t>
            </w:r>
          </w:p>
        </w:tc>
        <w:tc>
          <w:tcPr>
            <w:tcW w:w="573"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pPr>
              <w:pStyle w:val="17"/>
              <w:numPr>
                <w:ilvl w:val="0"/>
                <w:numId w:val="20"/>
              </w:numPr>
            </w:pPr>
          </w:p>
        </w:tc>
        <w:tc>
          <w:tcPr>
            <w:tcW w:w="1574" w:type="pct"/>
            <w:shd w:val="clear" w:color="auto" w:fill="auto"/>
            <w:vAlign w:val="center"/>
          </w:tcPr>
          <w:p>
            <w:pPr>
              <w:pStyle w:val="17"/>
            </w:pPr>
            <w:r>
              <w:rPr>
                <w:rFonts w:hint="eastAsia"/>
              </w:rPr>
              <w:t>钳工、电工工具</w:t>
            </w:r>
          </w:p>
        </w:tc>
        <w:tc>
          <w:tcPr>
            <w:tcW w:w="1551" w:type="pct"/>
            <w:shd w:val="clear" w:color="auto" w:fill="auto"/>
            <w:vAlign w:val="center"/>
          </w:tcPr>
          <w:p>
            <w:pPr>
              <w:pStyle w:val="17"/>
            </w:pPr>
          </w:p>
        </w:tc>
        <w:tc>
          <w:tcPr>
            <w:tcW w:w="434" w:type="pct"/>
            <w:shd w:val="clear" w:color="auto" w:fill="auto"/>
            <w:vAlign w:val="center"/>
          </w:tcPr>
          <w:p>
            <w:pPr>
              <w:pStyle w:val="17"/>
            </w:pPr>
            <w:r>
              <w:rPr>
                <w:rFonts w:hint="eastAsia"/>
              </w:rPr>
              <w:t>3</w:t>
            </w:r>
          </w:p>
        </w:tc>
        <w:tc>
          <w:tcPr>
            <w:tcW w:w="434" w:type="pct"/>
            <w:shd w:val="clear" w:color="auto" w:fill="auto"/>
            <w:vAlign w:val="center"/>
          </w:tcPr>
          <w:p>
            <w:pPr>
              <w:pStyle w:val="17"/>
            </w:pPr>
            <w:r>
              <w:rPr>
                <w:rFonts w:hint="eastAsia"/>
              </w:rPr>
              <w:t>套</w:t>
            </w:r>
          </w:p>
        </w:tc>
        <w:tc>
          <w:tcPr>
            <w:tcW w:w="573" w:type="pct"/>
            <w:vMerge w:val="restart"/>
            <w:shd w:val="clear" w:color="auto" w:fill="auto"/>
            <w:vAlign w:val="center"/>
          </w:tcPr>
          <w:p>
            <w:pPr>
              <w:pStyle w:val="17"/>
            </w:pPr>
            <w:r>
              <w:rPr>
                <w:rFonts w:hint="eastAsia"/>
              </w:rPr>
              <w:t>工具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pPr>
              <w:pStyle w:val="17"/>
              <w:numPr>
                <w:ilvl w:val="0"/>
                <w:numId w:val="20"/>
              </w:numPr>
            </w:pPr>
          </w:p>
        </w:tc>
        <w:tc>
          <w:tcPr>
            <w:tcW w:w="1574" w:type="pct"/>
            <w:shd w:val="clear" w:color="auto" w:fill="auto"/>
            <w:vAlign w:val="center"/>
          </w:tcPr>
          <w:p>
            <w:pPr>
              <w:pStyle w:val="17"/>
            </w:pPr>
            <w:r>
              <w:rPr>
                <w:rFonts w:hint="eastAsia"/>
              </w:rPr>
              <w:t>电流表</w:t>
            </w:r>
          </w:p>
        </w:tc>
        <w:tc>
          <w:tcPr>
            <w:tcW w:w="1551" w:type="pct"/>
            <w:shd w:val="clear" w:color="auto" w:fill="auto"/>
            <w:vAlign w:val="center"/>
          </w:tcPr>
          <w:p>
            <w:pPr>
              <w:pStyle w:val="17"/>
            </w:pPr>
            <w:r>
              <w:rPr>
                <w:rFonts w:hint="eastAsia"/>
              </w:rPr>
              <w:t>DM6015F</w:t>
            </w:r>
          </w:p>
        </w:tc>
        <w:tc>
          <w:tcPr>
            <w:tcW w:w="434" w:type="pct"/>
            <w:shd w:val="clear" w:color="auto" w:fill="auto"/>
            <w:vAlign w:val="center"/>
          </w:tcPr>
          <w:p>
            <w:pPr>
              <w:pStyle w:val="17"/>
            </w:pPr>
            <w:r>
              <w:rPr>
                <w:rFonts w:hint="eastAsia"/>
              </w:rPr>
              <w:t>1</w:t>
            </w:r>
          </w:p>
        </w:tc>
        <w:tc>
          <w:tcPr>
            <w:tcW w:w="434" w:type="pct"/>
            <w:shd w:val="clear" w:color="auto" w:fill="auto"/>
            <w:vAlign w:val="center"/>
          </w:tcPr>
          <w:p>
            <w:pPr>
              <w:pStyle w:val="17"/>
            </w:pPr>
            <w:r>
              <w:rPr>
                <w:rFonts w:hint="eastAsia"/>
              </w:rPr>
              <w:t>套</w:t>
            </w:r>
          </w:p>
        </w:tc>
        <w:tc>
          <w:tcPr>
            <w:tcW w:w="573"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pPr>
              <w:pStyle w:val="17"/>
              <w:numPr>
                <w:ilvl w:val="0"/>
                <w:numId w:val="20"/>
              </w:numPr>
            </w:pPr>
          </w:p>
        </w:tc>
        <w:tc>
          <w:tcPr>
            <w:tcW w:w="1574" w:type="pct"/>
            <w:shd w:val="clear" w:color="auto" w:fill="auto"/>
            <w:vAlign w:val="center"/>
          </w:tcPr>
          <w:p>
            <w:pPr>
              <w:pStyle w:val="17"/>
            </w:pPr>
            <w:r>
              <w:rPr>
                <w:rFonts w:hint="eastAsia"/>
              </w:rPr>
              <w:t>兆欧表</w:t>
            </w:r>
          </w:p>
        </w:tc>
        <w:tc>
          <w:tcPr>
            <w:tcW w:w="1551" w:type="pct"/>
            <w:shd w:val="clear" w:color="auto" w:fill="auto"/>
            <w:vAlign w:val="center"/>
          </w:tcPr>
          <w:p>
            <w:pPr>
              <w:pStyle w:val="17"/>
            </w:pPr>
            <w:r>
              <w:rPr>
                <w:rFonts w:hint="eastAsia"/>
              </w:rPr>
              <w:t>ZC25-3</w:t>
            </w:r>
          </w:p>
        </w:tc>
        <w:tc>
          <w:tcPr>
            <w:tcW w:w="434" w:type="pct"/>
            <w:shd w:val="clear" w:color="auto" w:fill="auto"/>
            <w:vAlign w:val="center"/>
          </w:tcPr>
          <w:p>
            <w:pPr>
              <w:pStyle w:val="17"/>
            </w:pPr>
            <w:r>
              <w:rPr>
                <w:rFonts w:hint="eastAsia"/>
              </w:rPr>
              <w:t>1</w:t>
            </w:r>
          </w:p>
        </w:tc>
        <w:tc>
          <w:tcPr>
            <w:tcW w:w="434" w:type="pct"/>
            <w:shd w:val="clear" w:color="auto" w:fill="auto"/>
            <w:vAlign w:val="center"/>
          </w:tcPr>
          <w:p>
            <w:pPr>
              <w:pStyle w:val="17"/>
            </w:pPr>
            <w:r>
              <w:rPr>
                <w:rFonts w:hint="eastAsia"/>
              </w:rPr>
              <w:t>套</w:t>
            </w:r>
          </w:p>
        </w:tc>
        <w:tc>
          <w:tcPr>
            <w:tcW w:w="573"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pPr>
              <w:pStyle w:val="17"/>
              <w:numPr>
                <w:ilvl w:val="0"/>
                <w:numId w:val="20"/>
              </w:numPr>
            </w:pPr>
          </w:p>
        </w:tc>
        <w:tc>
          <w:tcPr>
            <w:tcW w:w="1574" w:type="pct"/>
            <w:shd w:val="clear" w:color="auto" w:fill="auto"/>
            <w:vAlign w:val="center"/>
          </w:tcPr>
          <w:p>
            <w:pPr>
              <w:pStyle w:val="17"/>
            </w:pPr>
            <w:r>
              <w:rPr>
                <w:rFonts w:hint="eastAsia"/>
              </w:rPr>
              <w:t>大锤、手锤</w:t>
            </w:r>
          </w:p>
        </w:tc>
        <w:tc>
          <w:tcPr>
            <w:tcW w:w="1551" w:type="pct"/>
            <w:shd w:val="clear" w:color="auto" w:fill="auto"/>
            <w:vAlign w:val="center"/>
          </w:tcPr>
          <w:p>
            <w:pPr>
              <w:pStyle w:val="17"/>
            </w:pPr>
          </w:p>
        </w:tc>
        <w:tc>
          <w:tcPr>
            <w:tcW w:w="434" w:type="pct"/>
            <w:shd w:val="clear" w:color="auto" w:fill="auto"/>
            <w:vAlign w:val="center"/>
          </w:tcPr>
          <w:p>
            <w:pPr>
              <w:pStyle w:val="17"/>
            </w:pPr>
            <w:r>
              <w:rPr>
                <w:rFonts w:hint="eastAsia"/>
              </w:rPr>
              <w:t>若干</w:t>
            </w:r>
          </w:p>
        </w:tc>
        <w:tc>
          <w:tcPr>
            <w:tcW w:w="434" w:type="pct"/>
            <w:shd w:val="clear" w:color="auto" w:fill="auto"/>
            <w:vAlign w:val="center"/>
          </w:tcPr>
          <w:p>
            <w:pPr>
              <w:pStyle w:val="17"/>
            </w:pPr>
            <w:r>
              <w:rPr>
                <w:rFonts w:hint="eastAsia"/>
              </w:rPr>
              <w:t>把</w:t>
            </w:r>
          </w:p>
        </w:tc>
        <w:tc>
          <w:tcPr>
            <w:tcW w:w="573"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pPr>
              <w:pStyle w:val="17"/>
              <w:numPr>
                <w:ilvl w:val="0"/>
                <w:numId w:val="20"/>
              </w:numPr>
            </w:pPr>
          </w:p>
        </w:tc>
        <w:tc>
          <w:tcPr>
            <w:tcW w:w="1574" w:type="pct"/>
            <w:shd w:val="clear" w:color="auto" w:fill="auto"/>
            <w:vAlign w:val="center"/>
          </w:tcPr>
          <w:p>
            <w:pPr>
              <w:pStyle w:val="17"/>
            </w:pPr>
            <w:r>
              <w:rPr>
                <w:rFonts w:hint="eastAsia"/>
              </w:rPr>
              <w:t>线锤</w:t>
            </w:r>
          </w:p>
        </w:tc>
        <w:tc>
          <w:tcPr>
            <w:tcW w:w="1551" w:type="pct"/>
            <w:shd w:val="clear" w:color="auto" w:fill="auto"/>
            <w:vAlign w:val="center"/>
          </w:tcPr>
          <w:p>
            <w:pPr>
              <w:pStyle w:val="17"/>
            </w:pPr>
          </w:p>
        </w:tc>
        <w:tc>
          <w:tcPr>
            <w:tcW w:w="434" w:type="pct"/>
            <w:shd w:val="clear" w:color="auto" w:fill="auto"/>
            <w:vAlign w:val="center"/>
          </w:tcPr>
          <w:p>
            <w:pPr>
              <w:pStyle w:val="17"/>
            </w:pPr>
            <w:r>
              <w:rPr>
                <w:rFonts w:hint="eastAsia"/>
              </w:rPr>
              <w:t>1</w:t>
            </w:r>
          </w:p>
        </w:tc>
        <w:tc>
          <w:tcPr>
            <w:tcW w:w="434" w:type="pct"/>
            <w:shd w:val="clear" w:color="auto" w:fill="auto"/>
            <w:vAlign w:val="center"/>
          </w:tcPr>
          <w:p>
            <w:pPr>
              <w:pStyle w:val="17"/>
            </w:pPr>
            <w:r>
              <w:rPr>
                <w:rFonts w:hint="eastAsia"/>
              </w:rPr>
              <w:t>套</w:t>
            </w:r>
          </w:p>
        </w:tc>
        <w:tc>
          <w:tcPr>
            <w:tcW w:w="573"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pPr>
              <w:pStyle w:val="17"/>
              <w:numPr>
                <w:ilvl w:val="0"/>
                <w:numId w:val="20"/>
              </w:numPr>
            </w:pPr>
          </w:p>
        </w:tc>
        <w:tc>
          <w:tcPr>
            <w:tcW w:w="1574" w:type="pct"/>
            <w:shd w:val="clear" w:color="auto" w:fill="auto"/>
            <w:vAlign w:val="center"/>
          </w:tcPr>
          <w:p>
            <w:pPr>
              <w:pStyle w:val="17"/>
            </w:pPr>
            <w:r>
              <w:rPr>
                <w:rFonts w:hint="eastAsia"/>
              </w:rPr>
              <w:t>水准仪</w:t>
            </w:r>
          </w:p>
        </w:tc>
        <w:tc>
          <w:tcPr>
            <w:tcW w:w="1551" w:type="pct"/>
            <w:shd w:val="clear" w:color="auto" w:fill="auto"/>
            <w:vAlign w:val="center"/>
          </w:tcPr>
          <w:p>
            <w:pPr>
              <w:pStyle w:val="17"/>
            </w:pPr>
            <w:r>
              <w:rPr>
                <w:rFonts w:hint="eastAsia"/>
              </w:rPr>
              <w:t>NAL232</w:t>
            </w:r>
          </w:p>
        </w:tc>
        <w:tc>
          <w:tcPr>
            <w:tcW w:w="434" w:type="pct"/>
            <w:shd w:val="clear" w:color="auto" w:fill="auto"/>
            <w:vAlign w:val="center"/>
          </w:tcPr>
          <w:p>
            <w:pPr>
              <w:pStyle w:val="17"/>
            </w:pPr>
            <w:r>
              <w:rPr>
                <w:rFonts w:hint="eastAsia"/>
              </w:rPr>
              <w:t>1</w:t>
            </w:r>
          </w:p>
        </w:tc>
        <w:tc>
          <w:tcPr>
            <w:tcW w:w="434" w:type="pct"/>
            <w:shd w:val="clear" w:color="auto" w:fill="auto"/>
            <w:vAlign w:val="center"/>
          </w:tcPr>
          <w:p>
            <w:pPr>
              <w:pStyle w:val="17"/>
            </w:pPr>
            <w:r>
              <w:rPr>
                <w:rFonts w:hint="eastAsia"/>
              </w:rPr>
              <w:t>套</w:t>
            </w:r>
          </w:p>
        </w:tc>
        <w:tc>
          <w:tcPr>
            <w:tcW w:w="573"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pPr>
              <w:pStyle w:val="17"/>
              <w:numPr>
                <w:ilvl w:val="0"/>
                <w:numId w:val="20"/>
              </w:numPr>
            </w:pPr>
          </w:p>
        </w:tc>
        <w:tc>
          <w:tcPr>
            <w:tcW w:w="1574" w:type="pct"/>
            <w:shd w:val="clear" w:color="auto" w:fill="auto"/>
            <w:vAlign w:val="center"/>
          </w:tcPr>
          <w:p>
            <w:pPr>
              <w:pStyle w:val="17"/>
            </w:pPr>
            <w:r>
              <w:rPr>
                <w:rFonts w:hint="eastAsia"/>
              </w:rPr>
              <w:t>钢卷尺</w:t>
            </w:r>
          </w:p>
        </w:tc>
        <w:tc>
          <w:tcPr>
            <w:tcW w:w="1551" w:type="pct"/>
            <w:shd w:val="clear" w:color="auto" w:fill="auto"/>
            <w:vAlign w:val="center"/>
          </w:tcPr>
          <w:p>
            <w:pPr>
              <w:pStyle w:val="17"/>
            </w:pPr>
            <w:r>
              <w:rPr>
                <w:rFonts w:hint="eastAsia"/>
              </w:rPr>
              <w:t>30m、50m</w:t>
            </w:r>
          </w:p>
        </w:tc>
        <w:tc>
          <w:tcPr>
            <w:tcW w:w="434" w:type="pct"/>
            <w:shd w:val="clear" w:color="auto" w:fill="auto"/>
            <w:vAlign w:val="center"/>
          </w:tcPr>
          <w:p>
            <w:pPr>
              <w:pStyle w:val="17"/>
            </w:pPr>
            <w:r>
              <w:rPr>
                <w:rFonts w:hint="eastAsia"/>
              </w:rPr>
              <w:t>各1</w:t>
            </w:r>
          </w:p>
        </w:tc>
        <w:tc>
          <w:tcPr>
            <w:tcW w:w="434" w:type="pct"/>
            <w:shd w:val="clear" w:color="auto" w:fill="auto"/>
            <w:vAlign w:val="center"/>
          </w:tcPr>
          <w:p>
            <w:pPr>
              <w:pStyle w:val="17"/>
            </w:pPr>
            <w:r>
              <w:rPr>
                <w:rFonts w:hint="eastAsia"/>
              </w:rPr>
              <w:t>个</w:t>
            </w:r>
          </w:p>
        </w:tc>
        <w:tc>
          <w:tcPr>
            <w:tcW w:w="573"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pPr>
              <w:pStyle w:val="17"/>
              <w:numPr>
                <w:ilvl w:val="0"/>
                <w:numId w:val="20"/>
              </w:numPr>
            </w:pPr>
          </w:p>
        </w:tc>
        <w:tc>
          <w:tcPr>
            <w:tcW w:w="1574" w:type="pct"/>
            <w:shd w:val="clear" w:color="auto" w:fill="auto"/>
            <w:vAlign w:val="center"/>
          </w:tcPr>
          <w:p>
            <w:pPr>
              <w:pStyle w:val="17"/>
            </w:pPr>
            <w:r>
              <w:rPr>
                <w:rFonts w:hint="eastAsia"/>
              </w:rPr>
              <w:t>钢卷短尺</w:t>
            </w:r>
          </w:p>
        </w:tc>
        <w:tc>
          <w:tcPr>
            <w:tcW w:w="1551" w:type="pct"/>
            <w:shd w:val="clear" w:color="auto" w:fill="auto"/>
            <w:vAlign w:val="center"/>
          </w:tcPr>
          <w:p>
            <w:pPr>
              <w:pStyle w:val="17"/>
            </w:pPr>
            <w:r>
              <w:rPr>
                <w:rFonts w:hint="eastAsia"/>
              </w:rPr>
              <w:t>3～7.5m</w:t>
            </w:r>
          </w:p>
        </w:tc>
        <w:tc>
          <w:tcPr>
            <w:tcW w:w="434" w:type="pct"/>
            <w:shd w:val="clear" w:color="auto" w:fill="auto"/>
            <w:vAlign w:val="center"/>
          </w:tcPr>
          <w:p>
            <w:pPr>
              <w:pStyle w:val="17"/>
            </w:pPr>
            <w:r>
              <w:rPr>
                <w:rFonts w:hint="eastAsia"/>
              </w:rPr>
              <w:t>若干</w:t>
            </w:r>
          </w:p>
        </w:tc>
        <w:tc>
          <w:tcPr>
            <w:tcW w:w="434" w:type="pct"/>
            <w:shd w:val="clear" w:color="auto" w:fill="auto"/>
            <w:vAlign w:val="center"/>
          </w:tcPr>
          <w:p>
            <w:pPr>
              <w:pStyle w:val="17"/>
            </w:pPr>
            <w:r>
              <w:rPr>
                <w:rFonts w:hint="eastAsia"/>
              </w:rPr>
              <w:t>个</w:t>
            </w:r>
          </w:p>
        </w:tc>
        <w:tc>
          <w:tcPr>
            <w:tcW w:w="573" w:type="pct"/>
            <w:vMerge w:val="continue"/>
            <w:shd w:val="clear" w:color="auto" w:fill="auto"/>
            <w:vAlign w:val="center"/>
          </w:tcPr>
          <w:p>
            <w:pPr>
              <w:pStyle w:val="17"/>
            </w:pPr>
          </w:p>
        </w:tc>
      </w:tr>
    </w:tbl>
    <w:p>
      <w:pPr>
        <w:ind w:firstLine="0" w:firstLineChars="0"/>
      </w:pPr>
      <w:bookmarkStart w:id="75" w:name="_Toc40778436"/>
      <w:r>
        <w:rPr>
          <w:rFonts w:hint="eastAsia"/>
          <w:color w:val="000000" w:themeColor="text1"/>
          <w14:textFill>
            <w14:solidFill>
              <w14:schemeClr w14:val="tx1"/>
            </w14:solidFill>
          </w14:textFill>
        </w:rPr>
        <w:br w:type="page"/>
      </w:r>
    </w:p>
    <w:p>
      <w:pPr>
        <w:pStyle w:val="2"/>
      </w:pPr>
      <w:bookmarkStart w:id="76" w:name="_Toc6760"/>
      <w:bookmarkStart w:id="77" w:name="_Toc31407"/>
      <w:bookmarkStart w:id="78" w:name="_Toc8243"/>
      <w:r>
        <w:rPr>
          <w:rFonts w:hint="eastAsia"/>
        </w:rPr>
        <w:t>施工工艺</w:t>
      </w:r>
      <w:bookmarkEnd w:id="75"/>
      <w:bookmarkEnd w:id="76"/>
      <w:bookmarkEnd w:id="77"/>
      <w:bookmarkEnd w:id="78"/>
    </w:p>
    <w:p>
      <w:pPr>
        <w:pStyle w:val="3"/>
      </w:pPr>
      <w:bookmarkStart w:id="79" w:name="_Toc28497"/>
      <w:r>
        <w:rPr>
          <w:rFonts w:hint="eastAsia"/>
        </w:rPr>
        <w:t>施工方案概述</w:t>
      </w:r>
      <w:bookmarkEnd w:id="79"/>
    </w:p>
    <w:p>
      <w:pPr>
        <w:numPr>
          <w:ilvl w:val="0"/>
          <w:numId w:val="21"/>
        </w:numPr>
        <w:ind w:firstLineChars="0"/>
      </w:pPr>
      <w:r>
        <w:rPr>
          <w:rFonts w:hint="eastAsia"/>
        </w:rPr>
        <w:t>设备安装</w:t>
      </w:r>
    </w:p>
    <w:p>
      <w:pPr>
        <w:ind w:firstLine="480"/>
        <w:rPr>
          <w:rFonts w:hint="eastAsia"/>
        </w:rPr>
      </w:pPr>
      <w:r>
        <w:fldChar w:fldCharType="begin"/>
      </w:r>
      <w:r>
        <w:instrText xml:space="preserve"> </w:instrText>
      </w:r>
      <w:r>
        <w:rPr>
          <w:rFonts w:hint="eastAsia"/>
        </w:rPr>
        <w:instrText xml:space="preserve">REF 设备型号1 \h</w:instrText>
      </w:r>
      <w:r>
        <w:instrText xml:space="preserve">  \* MERGEFORMAT </w:instrText>
      </w:r>
      <w:r>
        <w:fldChar w:fldCharType="separate"/>
      </w:r>
      <w:r>
        <w:rPr>
          <w:rFonts w:hint="eastAsia"/>
          <w:lang w:eastAsia="zh-CN"/>
        </w:rPr>
        <w:t>XGT6515-10S</w:t>
      </w:r>
      <w:r>
        <w:fldChar w:fldCharType="end"/>
      </w:r>
      <w:r>
        <w:fldChar w:fldCharType="begin"/>
      </w:r>
      <w:r>
        <w:instrText xml:space="preserve"> REF 设备类型 \h  \* MERGEFORMAT </w:instrText>
      </w:r>
      <w:r>
        <w:fldChar w:fldCharType="separate"/>
      </w:r>
      <w:r>
        <w:rPr>
          <w:rFonts w:hint="eastAsia"/>
        </w:rPr>
        <w:t>塔式起重机</w:t>
      </w:r>
      <w:r>
        <w:fldChar w:fldCharType="end"/>
      </w:r>
      <w:r>
        <w:rPr>
          <w:rFonts w:hint="eastAsia"/>
        </w:rPr>
        <w:t>采用</w:t>
      </w:r>
      <w:r>
        <w:t>1</w:t>
      </w:r>
      <w:r>
        <w:rPr>
          <w:rFonts w:hint="eastAsia"/>
        </w:rPr>
        <w:t>台</w:t>
      </w:r>
      <w:r>
        <w:rPr>
          <w:rFonts w:hint="eastAsia"/>
          <w:lang w:val="en-US" w:eastAsia="zh-CN"/>
        </w:rPr>
        <w:t>25t</w:t>
      </w:r>
      <w:r>
        <w:fldChar w:fldCharType="begin"/>
      </w:r>
      <w:r>
        <w:instrText xml:space="preserve"> REF 起重设备1类型 \h  \* MERGEFORMAT </w:instrText>
      </w:r>
      <w:r>
        <w:fldChar w:fldCharType="separate"/>
      </w:r>
      <w:r>
        <w:rPr>
          <w:rFonts w:hint="eastAsia"/>
        </w:rPr>
        <w:t>汽车式起重机</w:t>
      </w:r>
      <w:r>
        <w:fldChar w:fldCharType="end"/>
      </w:r>
      <w:r>
        <w:rPr>
          <w:rFonts w:hint="eastAsia"/>
        </w:rPr>
        <w:t>进行安装。依次在塔吊基础上安装基础节、加强节、标准节、爬升架、回转总成、臂根节、剩余平衡臂、初始平衡重、剩余起重臂、剩余配重、安装钢丝绳及附属机构；</w:t>
      </w:r>
    </w:p>
    <w:p>
      <w:pPr>
        <w:ind w:firstLine="480"/>
      </w:pPr>
      <w:r>
        <w:rPr>
          <w:rFonts w:hint="eastAsia"/>
        </w:rPr>
        <w:t>安装完成后，检查运行机构电气连接，检查行程限位器和载荷限位器等安全设施。进行空载试验、负荷试验、超载25%静态试验（四倍率）及超载10%动态试验（四倍率）。</w:t>
      </w:r>
    </w:p>
    <w:p>
      <w:pPr>
        <w:numPr>
          <w:ilvl w:val="0"/>
          <w:numId w:val="21"/>
        </w:numPr>
        <w:ind w:firstLineChars="0"/>
      </w:pPr>
      <w:r>
        <w:rPr>
          <w:rFonts w:hint="eastAsia"/>
        </w:rPr>
        <w:t>设备拆除</w:t>
      </w:r>
    </w:p>
    <w:p>
      <w:pPr>
        <w:ind w:firstLine="480"/>
      </w:pPr>
      <w:r>
        <w:fldChar w:fldCharType="begin"/>
      </w:r>
      <w:r>
        <w:instrText xml:space="preserve"> </w:instrText>
      </w:r>
      <w:r>
        <w:rPr>
          <w:rFonts w:hint="eastAsia"/>
        </w:rPr>
        <w:instrText xml:space="preserve">REF 设备型号1 \h</w:instrText>
      </w:r>
      <w:r>
        <w:instrText xml:space="preserve">  \* MERGEFORMAT </w:instrText>
      </w:r>
      <w:r>
        <w:fldChar w:fldCharType="separate"/>
      </w:r>
      <w:r>
        <w:rPr>
          <w:rFonts w:hint="eastAsia"/>
          <w:lang w:eastAsia="zh-CN"/>
        </w:rPr>
        <w:t>XGT6515-10S</w:t>
      </w:r>
      <w:r>
        <w:fldChar w:fldCharType="end"/>
      </w:r>
      <w:r>
        <w:fldChar w:fldCharType="begin"/>
      </w:r>
      <w:r>
        <w:instrText xml:space="preserve"> REF 设备类型 \h  \* MERGEFORMAT </w:instrText>
      </w:r>
      <w:r>
        <w:fldChar w:fldCharType="separate"/>
      </w:r>
      <w:r>
        <w:rPr>
          <w:rFonts w:hint="eastAsia"/>
        </w:rPr>
        <w:t>塔式起重机</w:t>
      </w:r>
      <w:r>
        <w:fldChar w:fldCharType="end"/>
      </w:r>
      <w:r>
        <w:rPr>
          <w:rFonts w:hint="eastAsia"/>
        </w:rPr>
        <w:t>采用</w:t>
      </w:r>
      <w:r>
        <w:t>1</w:t>
      </w:r>
      <w:r>
        <w:rPr>
          <w:rFonts w:hint="eastAsia"/>
        </w:rPr>
        <w:t>台</w:t>
      </w:r>
      <w:r>
        <w:rPr>
          <w:rFonts w:hint="eastAsia"/>
          <w:lang w:val="en-US" w:eastAsia="zh-CN"/>
        </w:rPr>
        <w:t>25t</w:t>
      </w:r>
      <w:r>
        <w:fldChar w:fldCharType="begin"/>
      </w:r>
      <w:r>
        <w:instrText xml:space="preserve"> REF 起重设备1类型 \h  \* MERGEFORMAT </w:instrText>
      </w:r>
      <w:r>
        <w:fldChar w:fldCharType="separate"/>
      </w:r>
      <w:r>
        <w:rPr>
          <w:rFonts w:hint="eastAsia"/>
        </w:rPr>
        <w:t>汽车式起重机</w:t>
      </w:r>
      <w:r>
        <w:fldChar w:fldCharType="end"/>
      </w:r>
      <w:r>
        <w:rPr>
          <w:rFonts w:hint="eastAsia"/>
        </w:rPr>
        <w:t>拆除。</w:t>
      </w:r>
    </w:p>
    <w:p>
      <w:pPr>
        <w:pStyle w:val="3"/>
      </w:pPr>
      <w:bookmarkStart w:id="80" w:name="_Toc17686"/>
      <w:bookmarkStart w:id="81" w:name="_Toc29597"/>
      <w:bookmarkStart w:id="82" w:name="_Toc40778437"/>
      <w:bookmarkStart w:id="83" w:name="_Toc2911"/>
      <w:bookmarkStart w:id="84" w:name="_Toc26392"/>
      <w:bookmarkStart w:id="85" w:name="_Toc12005"/>
      <w:bookmarkStart w:id="86" w:name="_Toc1607"/>
      <w:bookmarkStart w:id="87" w:name="_Toc11075"/>
      <w:r>
        <w:rPr>
          <w:rFonts w:hint="eastAsia"/>
        </w:rPr>
        <w:t>主要设备选型</w:t>
      </w:r>
      <w:bookmarkEnd w:id="80"/>
    </w:p>
    <w:p>
      <w:pPr>
        <w:pStyle w:val="4"/>
      </w:pPr>
      <w:r>
        <w:t>起重设备选型</w:t>
      </w:r>
    </w:p>
    <w:p>
      <w:pPr>
        <w:pStyle w:val="5"/>
      </w:pPr>
      <w:r>
        <w:rPr>
          <w:rFonts w:hint="eastAsia"/>
        </w:rPr>
        <w:t>起重设备参数</w:t>
      </w:r>
    </w:p>
    <w:p>
      <w:pPr>
        <w:ind w:firstLine="480"/>
      </w:pPr>
      <w:r>
        <w:fldChar w:fldCharType="begin"/>
      </w:r>
      <w:r>
        <w:instrText xml:space="preserve"> REF 设备类型 \h  \* MERGEFORMAT </w:instrText>
      </w:r>
      <w:r>
        <w:fldChar w:fldCharType="separate"/>
      </w:r>
      <w:r>
        <w:rPr>
          <w:rFonts w:hint="eastAsia"/>
        </w:rPr>
        <w:t>塔式起重机</w:t>
      </w:r>
      <w:r>
        <w:fldChar w:fldCharType="end"/>
      </w:r>
      <w:r>
        <w:rPr>
          <w:rFonts w:hint="eastAsia"/>
        </w:rPr>
        <w:t>整机安装（拆除）施工起重设备选型如</w:t>
      </w:r>
      <w:r>
        <w:fldChar w:fldCharType="begin"/>
      </w:r>
      <w:r>
        <w:instrText xml:space="preserve"> </w:instrText>
      </w:r>
      <w:r>
        <w:rPr>
          <w:rFonts w:hint="eastAsia"/>
        </w:rPr>
        <w:instrText xml:space="preserve">REF _Ref117774280 \h</w:instrText>
      </w:r>
      <w:r>
        <w:instrText xml:space="preserve"> </w:instrText>
      </w:r>
      <w:r>
        <w:fldChar w:fldCharType="separate"/>
      </w:r>
      <w:r>
        <w:rPr>
          <w:rFonts w:hint="eastAsia"/>
        </w:rPr>
        <w:t>表</w:t>
      </w:r>
      <w:r>
        <w:t>4.2.1-1</w:t>
      </w:r>
      <w:r>
        <w:fldChar w:fldCharType="end"/>
      </w:r>
      <w:r>
        <w:rPr>
          <w:rFonts w:hint="eastAsia"/>
        </w:rPr>
        <w:t>所示。</w:t>
      </w:r>
    </w:p>
    <w:p>
      <w:pPr>
        <w:pStyle w:val="16"/>
      </w:pPr>
      <w:bookmarkStart w:id="88" w:name="_Ref117774280"/>
      <w:r>
        <w:rPr>
          <w:rFonts w:hint="eastAsia"/>
        </w:rPr>
        <w:t>表</w:t>
      </w:r>
      <w:r>
        <w:fldChar w:fldCharType="begin"/>
      </w:r>
      <w:r>
        <w:instrText xml:space="preserve"> STYLEREF 3 \s </w:instrText>
      </w:r>
      <w:r>
        <w:fldChar w:fldCharType="separate"/>
      </w:r>
      <w:r>
        <w:t>4.2.1</w:t>
      </w:r>
      <w:r>
        <w:fldChar w:fldCharType="end"/>
      </w:r>
      <w:r>
        <w:t>-</w:t>
      </w:r>
      <w:r>
        <w:fldChar w:fldCharType="begin"/>
      </w:r>
      <w:r>
        <w:instrText xml:space="preserve"> SEQ </w:instrText>
      </w:r>
      <w:r>
        <w:rPr>
          <w:rFonts w:hint="eastAsia"/>
        </w:rPr>
        <w:instrText xml:space="preserve">表</w:instrText>
      </w:r>
      <w:r>
        <w:instrText xml:space="preserve"> \* ARABIC \s 3 </w:instrText>
      </w:r>
      <w:r>
        <w:fldChar w:fldCharType="separate"/>
      </w:r>
      <w:r>
        <w:t>1</w:t>
      </w:r>
      <w:r>
        <w:fldChar w:fldCharType="end"/>
      </w:r>
      <w:bookmarkEnd w:id="88"/>
      <w:r>
        <w:t xml:space="preserve"> </w:t>
      </w:r>
      <w:r>
        <w:fldChar w:fldCharType="begin"/>
      </w:r>
      <w:r>
        <w:instrText xml:space="preserve"> REF 设备类型 \h  \* MERGEFORMAT </w:instrText>
      </w:r>
      <w:r>
        <w:fldChar w:fldCharType="separate"/>
      </w:r>
      <w:r>
        <w:rPr>
          <w:rFonts w:hint="eastAsia"/>
        </w:rPr>
        <w:t>塔式起重机</w:t>
      </w:r>
      <w:r>
        <w:fldChar w:fldCharType="end"/>
      </w:r>
      <w:r>
        <w:t>整机安装（</w:t>
      </w:r>
      <w:r>
        <w:rPr>
          <w:rFonts w:hint="eastAsia"/>
        </w:rPr>
        <w:t>拆除</w:t>
      </w:r>
      <w:r>
        <w:t>）</w:t>
      </w:r>
      <w:r>
        <w:rPr>
          <w:rFonts w:hint="eastAsia"/>
        </w:rPr>
        <w:t>施工起重设备选型</w:t>
      </w:r>
    </w:p>
    <w:tbl>
      <w:tblPr>
        <w:tblStyle w:val="14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1554"/>
        <w:gridCol w:w="1465"/>
        <w:gridCol w:w="681"/>
        <w:gridCol w:w="679"/>
        <w:gridCol w:w="2728"/>
        <w:gridCol w:w="7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0" w:type="pct"/>
            <w:shd w:val="clear" w:color="auto" w:fill="auto"/>
            <w:vAlign w:val="center"/>
          </w:tcPr>
          <w:p>
            <w:pPr>
              <w:pStyle w:val="17"/>
              <w:rPr>
                <w:b/>
              </w:rPr>
            </w:pPr>
            <w:r>
              <w:rPr>
                <w:rFonts w:hint="eastAsia"/>
                <w:b/>
              </w:rPr>
              <w:t>序号</w:t>
            </w:r>
          </w:p>
        </w:tc>
        <w:tc>
          <w:tcPr>
            <w:tcW w:w="911" w:type="pct"/>
            <w:shd w:val="clear" w:color="auto" w:fill="auto"/>
            <w:vAlign w:val="center"/>
          </w:tcPr>
          <w:p>
            <w:pPr>
              <w:pStyle w:val="17"/>
              <w:rPr>
                <w:b/>
              </w:rPr>
            </w:pPr>
            <w:r>
              <w:rPr>
                <w:rFonts w:hint="eastAsia"/>
                <w:b/>
              </w:rPr>
              <w:t>设备名称</w:t>
            </w:r>
          </w:p>
        </w:tc>
        <w:tc>
          <w:tcPr>
            <w:tcW w:w="859" w:type="pct"/>
            <w:shd w:val="clear" w:color="auto" w:fill="auto"/>
            <w:vAlign w:val="center"/>
          </w:tcPr>
          <w:p>
            <w:pPr>
              <w:pStyle w:val="17"/>
              <w:rPr>
                <w:b/>
              </w:rPr>
            </w:pPr>
            <w:r>
              <w:rPr>
                <w:rFonts w:hint="eastAsia"/>
                <w:b/>
              </w:rPr>
              <w:t>规格型号</w:t>
            </w:r>
          </w:p>
        </w:tc>
        <w:tc>
          <w:tcPr>
            <w:tcW w:w="399" w:type="pct"/>
            <w:shd w:val="clear" w:color="auto" w:fill="auto"/>
            <w:vAlign w:val="center"/>
          </w:tcPr>
          <w:p>
            <w:pPr>
              <w:pStyle w:val="17"/>
              <w:rPr>
                <w:b/>
              </w:rPr>
            </w:pPr>
            <w:r>
              <w:rPr>
                <w:rFonts w:hint="eastAsia"/>
                <w:b/>
              </w:rPr>
              <w:t>单位</w:t>
            </w:r>
          </w:p>
        </w:tc>
        <w:tc>
          <w:tcPr>
            <w:tcW w:w="398" w:type="pct"/>
            <w:shd w:val="clear" w:color="auto" w:fill="auto"/>
            <w:vAlign w:val="center"/>
          </w:tcPr>
          <w:p>
            <w:pPr>
              <w:pStyle w:val="17"/>
              <w:rPr>
                <w:b/>
              </w:rPr>
            </w:pPr>
            <w:r>
              <w:rPr>
                <w:rFonts w:hint="eastAsia"/>
                <w:b/>
              </w:rPr>
              <w:t>数量</w:t>
            </w:r>
          </w:p>
        </w:tc>
        <w:tc>
          <w:tcPr>
            <w:tcW w:w="1599" w:type="pct"/>
            <w:shd w:val="clear" w:color="auto" w:fill="auto"/>
            <w:vAlign w:val="center"/>
          </w:tcPr>
          <w:p>
            <w:pPr>
              <w:pStyle w:val="17"/>
              <w:rPr>
                <w:b/>
              </w:rPr>
            </w:pPr>
            <w:r>
              <w:rPr>
                <w:rFonts w:hint="eastAsia"/>
                <w:b/>
              </w:rPr>
              <w:t>工作内容</w:t>
            </w:r>
          </w:p>
        </w:tc>
        <w:tc>
          <w:tcPr>
            <w:tcW w:w="440" w:type="pct"/>
            <w:shd w:val="clear" w:color="auto" w:fill="auto"/>
            <w:vAlign w:val="center"/>
          </w:tcPr>
          <w:p>
            <w:pPr>
              <w:pStyle w:val="17"/>
              <w:rPr>
                <w:b/>
              </w:rPr>
            </w:pPr>
            <w:r>
              <w:rPr>
                <w:rFonts w:hint="eastAsia"/>
                <w:b/>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0" w:type="pct"/>
            <w:shd w:val="clear" w:color="auto" w:fill="auto"/>
            <w:vAlign w:val="center"/>
          </w:tcPr>
          <w:p>
            <w:pPr>
              <w:pStyle w:val="17"/>
              <w:numPr>
                <w:ilvl w:val="0"/>
                <w:numId w:val="22"/>
              </w:numPr>
            </w:pPr>
          </w:p>
        </w:tc>
        <w:tc>
          <w:tcPr>
            <w:tcW w:w="911" w:type="pct"/>
            <w:shd w:val="clear" w:color="auto" w:fill="auto"/>
            <w:vAlign w:val="center"/>
          </w:tcPr>
          <w:p>
            <w:pPr>
              <w:pStyle w:val="17"/>
            </w:pPr>
            <w:bookmarkStart w:id="89" w:name="起重设备1类型"/>
            <w:r>
              <w:rPr>
                <w:rFonts w:hint="eastAsia"/>
              </w:rPr>
              <w:t>汽车式起重机</w:t>
            </w:r>
            <w:bookmarkEnd w:id="89"/>
          </w:p>
        </w:tc>
        <w:tc>
          <w:tcPr>
            <w:tcW w:w="859" w:type="pct"/>
            <w:shd w:val="clear" w:color="auto" w:fill="auto"/>
            <w:vAlign w:val="center"/>
          </w:tcPr>
          <w:p>
            <w:pPr>
              <w:pStyle w:val="17"/>
              <w:rPr>
                <w:rFonts w:hint="eastAsia" w:eastAsia="宋体"/>
                <w:lang w:eastAsia="zh-CN"/>
              </w:rPr>
            </w:pPr>
            <w:r>
              <w:rPr>
                <w:rFonts w:hint="eastAsia"/>
                <w:lang w:eastAsia="zh-CN"/>
              </w:rPr>
              <w:t>25t</w:t>
            </w:r>
          </w:p>
        </w:tc>
        <w:tc>
          <w:tcPr>
            <w:tcW w:w="399" w:type="pct"/>
            <w:shd w:val="clear" w:color="auto" w:fill="auto"/>
            <w:vAlign w:val="center"/>
          </w:tcPr>
          <w:p>
            <w:pPr>
              <w:pStyle w:val="17"/>
            </w:pPr>
            <w:r>
              <w:rPr>
                <w:rFonts w:hint="eastAsia"/>
              </w:rPr>
              <w:t>台</w:t>
            </w:r>
          </w:p>
        </w:tc>
        <w:tc>
          <w:tcPr>
            <w:tcW w:w="398" w:type="pct"/>
            <w:shd w:val="clear" w:color="auto" w:fill="auto"/>
            <w:vAlign w:val="center"/>
          </w:tcPr>
          <w:p>
            <w:pPr>
              <w:pStyle w:val="17"/>
            </w:pPr>
            <w:r>
              <w:t>1</w:t>
            </w:r>
          </w:p>
        </w:tc>
        <w:tc>
          <w:tcPr>
            <w:tcW w:w="1599" w:type="pct"/>
            <w:shd w:val="clear" w:color="auto" w:fill="auto"/>
            <w:vAlign w:val="center"/>
          </w:tcPr>
          <w:p>
            <w:pPr>
              <w:pStyle w:val="17"/>
            </w:pPr>
            <w:r>
              <w:rPr>
                <w:rFonts w:hint="eastAsia"/>
              </w:rPr>
              <w:t>安装、拆除</w:t>
            </w:r>
            <w:r>
              <w:fldChar w:fldCharType="begin"/>
            </w:r>
            <w:r>
              <w:instrText xml:space="preserve"> </w:instrText>
            </w:r>
            <w:r>
              <w:rPr>
                <w:rFonts w:hint="eastAsia"/>
              </w:rPr>
              <w:instrText xml:space="preserve">REF 设备型号1 \h</w:instrText>
            </w:r>
            <w:r>
              <w:instrText xml:space="preserve">  \* MERGEFORMAT </w:instrText>
            </w:r>
            <w:r>
              <w:fldChar w:fldCharType="separate"/>
            </w:r>
            <w:r>
              <w:rPr>
                <w:rFonts w:hint="eastAsia"/>
                <w:lang w:eastAsia="zh-CN"/>
              </w:rPr>
              <w:t>XGT6515-10S</w:t>
            </w:r>
            <w:r>
              <w:fldChar w:fldCharType="end"/>
            </w:r>
            <w:r>
              <w:fldChar w:fldCharType="begin"/>
            </w:r>
            <w:r>
              <w:instrText xml:space="preserve"> REF 设备类型 \h  \* MERGEFORMAT </w:instrText>
            </w:r>
            <w:r>
              <w:fldChar w:fldCharType="separate"/>
            </w:r>
            <w:r>
              <w:rPr>
                <w:rFonts w:hint="eastAsia"/>
              </w:rPr>
              <w:t>塔式起重机</w:t>
            </w:r>
            <w:r>
              <w:fldChar w:fldCharType="end"/>
            </w:r>
          </w:p>
        </w:tc>
        <w:tc>
          <w:tcPr>
            <w:tcW w:w="440" w:type="pct"/>
            <w:shd w:val="clear" w:color="auto" w:fill="auto"/>
            <w:vAlign w:val="center"/>
          </w:tcPr>
          <w:p>
            <w:pPr>
              <w:pStyle w:val="17"/>
            </w:pPr>
          </w:p>
        </w:tc>
      </w:tr>
    </w:tbl>
    <w:p>
      <w:pPr>
        <w:ind w:firstLine="480"/>
      </w:pPr>
      <w:bookmarkStart w:id="90" w:name="_Ref77088541"/>
      <w:r>
        <w:rPr>
          <w:rFonts w:hint="eastAsia" w:ascii="Calibri" w:eastAsia="宋体"/>
          <w:lang w:val="en-US" w:eastAsia="zh-CN"/>
        </w:rPr>
        <w:t>25t</w:t>
      </w:r>
      <w:r>
        <w:fldChar w:fldCharType="begin"/>
      </w:r>
      <w:r>
        <w:instrText xml:space="preserve"> REF 起重设备1类型 \h </w:instrText>
      </w:r>
      <w:r>
        <w:fldChar w:fldCharType="separate"/>
      </w:r>
      <w:r>
        <w:rPr>
          <w:rFonts w:hint="eastAsia"/>
        </w:rPr>
        <w:t>汽车式起重机</w:t>
      </w:r>
      <w:r>
        <w:fldChar w:fldCharType="end"/>
      </w:r>
      <w:r>
        <w:rPr>
          <w:rFonts w:hint="eastAsia"/>
        </w:rPr>
        <w:t>整机尺寸、主臂性能和起升高度曲线如</w:t>
      </w:r>
      <w:r>
        <w:fldChar w:fldCharType="begin"/>
      </w:r>
      <w:r>
        <w:instrText xml:space="preserve"> </w:instrText>
      </w:r>
      <w:r>
        <w:rPr>
          <w:rFonts w:hint="eastAsia"/>
        </w:rPr>
        <w:instrText xml:space="preserve">REF _Ref117774180 \h</w:instrText>
      </w:r>
      <w:r>
        <w:instrText xml:space="preserve">  \* MERGEFORMAT </w:instrText>
      </w:r>
      <w:r>
        <w:fldChar w:fldCharType="separate"/>
      </w:r>
      <w:r>
        <w:rPr>
          <w:rFonts w:hint="eastAsia"/>
        </w:rPr>
        <w:t>图</w:t>
      </w:r>
      <w:r>
        <w:t>4.2.1</w:t>
      </w:r>
      <w:r>
        <w:rPr>
          <w:rFonts w:hint="eastAsia"/>
        </w:rPr>
        <w:t>-</w:t>
      </w:r>
      <w:r>
        <w:t>1</w:t>
      </w:r>
      <w:r>
        <w:fldChar w:fldCharType="end"/>
      </w:r>
      <w:r>
        <w:rPr>
          <w:rFonts w:hint="eastAsia"/>
        </w:rPr>
        <w:t>、</w:t>
      </w:r>
      <w:r>
        <w:fldChar w:fldCharType="begin"/>
      </w:r>
      <w:r>
        <w:instrText xml:space="preserve"> </w:instrText>
      </w:r>
      <w:r>
        <w:rPr>
          <w:rFonts w:hint="eastAsia"/>
        </w:rPr>
        <w:instrText xml:space="preserve">REF _Ref117774181 \h</w:instrText>
      </w:r>
      <w:r>
        <w:instrText xml:space="preserve">  \* MERGEFORMAT </w:instrText>
      </w:r>
      <w:r>
        <w:fldChar w:fldCharType="separate"/>
      </w:r>
      <w:r>
        <w:rPr>
          <w:rFonts w:hint="eastAsia"/>
        </w:rPr>
        <w:t>图</w:t>
      </w:r>
      <w:r>
        <w:t>4.2.1</w:t>
      </w:r>
      <w:r>
        <w:rPr>
          <w:rFonts w:hint="eastAsia"/>
        </w:rPr>
        <w:t>-</w:t>
      </w:r>
      <w:r>
        <w:t>2</w:t>
      </w:r>
      <w:r>
        <w:fldChar w:fldCharType="end"/>
      </w:r>
      <w:r>
        <w:rPr>
          <w:rFonts w:hint="eastAsia"/>
        </w:rPr>
        <w:t>和</w:t>
      </w:r>
      <w:r>
        <w:fldChar w:fldCharType="begin"/>
      </w:r>
      <w:r>
        <w:instrText xml:space="preserve"> </w:instrText>
      </w:r>
      <w:r>
        <w:rPr>
          <w:rFonts w:hint="eastAsia"/>
        </w:rPr>
        <w:instrText xml:space="preserve">REF _Ref117774182 \h</w:instrText>
      </w:r>
      <w:r>
        <w:instrText xml:space="preserve">  \* MERGEFORMAT </w:instrText>
      </w:r>
      <w:r>
        <w:fldChar w:fldCharType="separate"/>
      </w:r>
      <w:r>
        <w:rPr>
          <w:rFonts w:hint="eastAsia"/>
        </w:rPr>
        <w:t>图</w:t>
      </w:r>
      <w:r>
        <w:t>4.2.1</w:t>
      </w:r>
      <w:r>
        <w:rPr>
          <w:rFonts w:hint="eastAsia"/>
        </w:rPr>
        <w:t>-</w:t>
      </w:r>
      <w:r>
        <w:t>3</w:t>
      </w:r>
      <w:r>
        <w:fldChar w:fldCharType="end"/>
      </w:r>
      <w:r>
        <w:rPr>
          <w:rFonts w:hint="eastAsia"/>
        </w:rPr>
        <w:t>所示。</w:t>
      </w:r>
    </w:p>
    <w:p>
      <w:pPr>
        <w:pStyle w:val="117"/>
      </w:pPr>
      <w:r>
        <w:drawing>
          <wp:inline distT="0" distB="0" distL="114300" distR="114300">
            <wp:extent cx="5649595" cy="4994275"/>
            <wp:effectExtent l="0" t="0" r="4445" b="4445"/>
            <wp:docPr id="1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8"/>
                    <pic:cNvPicPr>
                      <a:picLocks noChangeAspect="1"/>
                    </pic:cNvPicPr>
                  </pic:nvPicPr>
                  <pic:blipFill>
                    <a:blip r:embed="rId28"/>
                    <a:stretch>
                      <a:fillRect/>
                    </a:stretch>
                  </pic:blipFill>
                  <pic:spPr>
                    <a:xfrm>
                      <a:off x="0" y="0"/>
                      <a:ext cx="5649595" cy="4994275"/>
                    </a:xfrm>
                    <a:prstGeom prst="rect">
                      <a:avLst/>
                    </a:prstGeom>
                    <a:noFill/>
                    <a:ln>
                      <a:noFill/>
                    </a:ln>
                  </pic:spPr>
                </pic:pic>
              </a:graphicData>
            </a:graphic>
          </wp:inline>
        </w:drawing>
      </w:r>
    </w:p>
    <w:p>
      <w:pPr>
        <w:pStyle w:val="116"/>
      </w:pPr>
      <w:bookmarkStart w:id="91" w:name="_Ref117774180"/>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4.2.1</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1</w:t>
      </w:r>
      <w:r>
        <w:fldChar w:fldCharType="end"/>
      </w:r>
      <w:bookmarkEnd w:id="91"/>
      <w:r>
        <w:t xml:space="preserve"> </w:t>
      </w:r>
      <w:r>
        <w:rPr>
          <w:rFonts w:hint="eastAsia" w:ascii="Calibri" w:eastAsia="宋体"/>
          <w:lang w:val="en-US" w:eastAsia="zh-CN"/>
        </w:rPr>
        <w:t>25t</w:t>
      </w:r>
      <w:r>
        <w:fldChar w:fldCharType="begin"/>
      </w:r>
      <w:r>
        <w:instrText xml:space="preserve"> REF 起重设备1类型 \h </w:instrText>
      </w:r>
      <w:r>
        <w:fldChar w:fldCharType="separate"/>
      </w:r>
      <w:r>
        <w:rPr>
          <w:rFonts w:hint="eastAsia"/>
        </w:rPr>
        <w:t>汽车式起重机</w:t>
      </w:r>
      <w:r>
        <w:fldChar w:fldCharType="end"/>
      </w:r>
      <w:r>
        <w:rPr>
          <w:rFonts w:hint="eastAsia"/>
        </w:rPr>
        <w:t>整机尺寸</w:t>
      </w:r>
    </w:p>
    <w:p>
      <w:pPr>
        <w:widowControl w:val="0"/>
        <w:tabs>
          <w:tab w:val="left" w:pos="630"/>
        </w:tabs>
        <w:spacing w:before="163" w:beforeLines="50" w:after="163" w:afterLines="50" w:line="240" w:lineRule="auto"/>
        <w:ind w:firstLine="0" w:firstLineChars="0"/>
        <w:jc w:val="center"/>
        <w:textAlignment w:val="auto"/>
        <w:rPr>
          <w:rFonts w:hint="eastAsia" w:ascii="黑体" w:hAnsi="黑体" w:eastAsia="黑体" w:cs="Times New Roman"/>
          <w:kern w:val="0"/>
          <w:sz w:val="21"/>
          <w:szCs w:val="21"/>
          <w:lang w:val="en-US" w:eastAsia="zh-CN" w:bidi="ar-SA"/>
        </w:rPr>
      </w:pPr>
      <w:r>
        <w:rPr>
          <w:rFonts w:ascii="宋体" w:hAnsi="宋体" w:eastAsia="黑体" w:cs="Times New Roman"/>
          <w:kern w:val="2"/>
          <w:sz w:val="24"/>
          <w:szCs w:val="20"/>
          <w:lang w:val="en-US" w:eastAsia="zh-CN" w:bidi="ar-SA"/>
        </w:rPr>
        <mc:AlternateContent>
          <mc:Choice Requires="wps">
            <w:drawing>
              <wp:anchor distT="0" distB="0" distL="114300" distR="114300" simplePos="0" relativeHeight="251665408" behindDoc="0" locked="0" layoutInCell="1" allowOverlap="1">
                <wp:simplePos x="0" y="0"/>
                <wp:positionH relativeFrom="column">
                  <wp:posOffset>262890</wp:posOffset>
                </wp:positionH>
                <wp:positionV relativeFrom="paragraph">
                  <wp:posOffset>2123440</wp:posOffset>
                </wp:positionV>
                <wp:extent cx="5690235" cy="271780"/>
                <wp:effectExtent l="13970" t="14605" r="26035" b="18415"/>
                <wp:wrapNone/>
                <wp:docPr id="55" name="矩形 55"/>
                <wp:cNvGraphicFramePr/>
                <a:graphic xmlns:a="http://schemas.openxmlformats.org/drawingml/2006/main">
                  <a:graphicData uri="http://schemas.microsoft.com/office/word/2010/wordprocessingShape">
                    <wps:wsp>
                      <wps:cNvSpPr/>
                      <wps:spPr>
                        <a:xfrm>
                          <a:off x="1006475" y="3891280"/>
                          <a:ext cx="5690235" cy="271780"/>
                        </a:xfrm>
                        <a:prstGeom prst="rect">
                          <a:avLst/>
                        </a:prstGeom>
                        <a:noFill/>
                        <a:ln w="28575" cap="flat" cmpd="sng" algn="ctr">
                          <a:solidFill>
                            <a:srgbClr val="FF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7pt;margin-top:167.2pt;height:21.4pt;width:448.05pt;z-index:251665408;v-text-anchor:middle;mso-width-relative:page;mso-height-relative:page;" filled="f" stroked="t" coordsize="21600,21600" o:gfxdata="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qPCYS2QAAAAoBAAAPAAAAAAAAAAEAIAAA&#10;ACIAAABkcnMvZG93bnJldi54bWxQSwECFAAUAAAACACHTuJArJ6ZsX0CAADnBAAADgAAAAAAAAAB&#10;ACAAAAAoAQAAZHJzL2Uyb0RvYy54bWxQSwUGAAAAAAYABgBZAQAAFwYAAAAA&#10;">
                <v:fill on="f" focussize="0,0"/>
                <v:stroke weight="2.25pt" color="#FF0000 [3204]" miterlimit="8" joinstyle="miter"/>
                <v:imagedata o:title=""/>
                <o:lock v:ext="edit" aspectratio="f"/>
              </v:rect>
            </w:pict>
          </mc:Fallback>
        </mc:AlternateContent>
      </w:r>
      <w:r>
        <w:drawing>
          <wp:inline distT="0" distB="0" distL="114300" distR="114300">
            <wp:extent cx="5969000" cy="5393690"/>
            <wp:effectExtent l="0" t="0" r="5080" b="1270"/>
            <wp:docPr id="1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7"/>
                    <pic:cNvPicPr>
                      <a:picLocks noChangeAspect="1"/>
                    </pic:cNvPicPr>
                  </pic:nvPicPr>
                  <pic:blipFill>
                    <a:blip r:embed="rId29"/>
                    <a:stretch>
                      <a:fillRect/>
                    </a:stretch>
                  </pic:blipFill>
                  <pic:spPr>
                    <a:xfrm>
                      <a:off x="0" y="0"/>
                      <a:ext cx="5969000" cy="5393690"/>
                    </a:xfrm>
                    <a:prstGeom prst="rect">
                      <a:avLst/>
                    </a:prstGeom>
                    <a:noFill/>
                    <a:ln>
                      <a:noFill/>
                    </a:ln>
                  </pic:spPr>
                </pic:pic>
              </a:graphicData>
            </a:graphic>
          </wp:inline>
        </w:drawing>
      </w:r>
    </w:p>
    <w:p>
      <w:pPr>
        <w:pStyle w:val="117"/>
      </w:pPr>
    </w:p>
    <w:p>
      <w:pPr>
        <w:pStyle w:val="116"/>
        <w:rPr>
          <w:rFonts w:hint="eastAsia"/>
        </w:rPr>
      </w:pPr>
      <w:bookmarkStart w:id="92" w:name="_Ref117774181"/>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4.2.1</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2</w:t>
      </w:r>
      <w:r>
        <w:fldChar w:fldCharType="end"/>
      </w:r>
      <w:bookmarkEnd w:id="92"/>
      <w:r>
        <w:t xml:space="preserve"> </w:t>
      </w:r>
      <w:r>
        <w:rPr>
          <w:rFonts w:hint="eastAsia" w:ascii="Calibri" w:eastAsia="宋体"/>
          <w:lang w:val="en-US" w:eastAsia="zh-CN"/>
        </w:rPr>
        <w:t>25t</w:t>
      </w:r>
      <w:r>
        <w:fldChar w:fldCharType="begin"/>
      </w:r>
      <w:r>
        <w:instrText xml:space="preserve"> REF 起重设备1类型 \h </w:instrText>
      </w:r>
      <w:r>
        <w:fldChar w:fldCharType="separate"/>
      </w:r>
      <w:r>
        <w:rPr>
          <w:rFonts w:hint="eastAsia"/>
        </w:rPr>
        <w:t>汽车式起重机</w:t>
      </w:r>
      <w:r>
        <w:fldChar w:fldCharType="end"/>
      </w:r>
      <w:r>
        <w:rPr>
          <w:rFonts w:hint="eastAsia"/>
        </w:rPr>
        <w:t>主臂性能</w:t>
      </w:r>
    </w:p>
    <w:p>
      <w:pPr>
        <w:rPr>
          <w:rFonts w:hint="eastAsia" w:ascii="Times New Roman" w:hAnsi="Times New Roman" w:eastAsia="宋体" w:cs="Times New Roman"/>
        </w:rPr>
      </w:pPr>
      <w:r>
        <w:rPr>
          <w:rFonts w:ascii="Times New Roman" w:hAnsi="Times New Roman" w:eastAsia="宋体" w:cs="Times New Roman"/>
        </w:rPr>
        <w:drawing>
          <wp:inline distT="0" distB="0" distL="114300" distR="114300">
            <wp:extent cx="4922520" cy="5189220"/>
            <wp:effectExtent l="0" t="0" r="0" b="7620"/>
            <wp:docPr id="5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5"/>
                    <pic:cNvPicPr>
                      <a:picLocks noChangeAspect="1"/>
                    </pic:cNvPicPr>
                  </pic:nvPicPr>
                  <pic:blipFill>
                    <a:blip r:embed="rId30"/>
                    <a:stretch>
                      <a:fillRect/>
                    </a:stretch>
                  </pic:blipFill>
                  <pic:spPr>
                    <a:xfrm>
                      <a:off x="0" y="0"/>
                      <a:ext cx="4922520" cy="5189220"/>
                    </a:xfrm>
                    <a:prstGeom prst="rect">
                      <a:avLst/>
                    </a:prstGeom>
                    <a:noFill/>
                    <a:ln>
                      <a:noFill/>
                    </a:ln>
                  </pic:spPr>
                </pic:pic>
              </a:graphicData>
            </a:graphic>
          </wp:inline>
        </w:drawing>
      </w:r>
    </w:p>
    <w:p/>
    <w:p>
      <w:pPr>
        <w:pStyle w:val="116"/>
        <w:rPr>
          <w:rFonts w:hint="eastAsia"/>
        </w:rPr>
      </w:pPr>
      <w:bookmarkStart w:id="93" w:name="_Ref117774182"/>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4.2.1</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3</w:t>
      </w:r>
      <w:r>
        <w:fldChar w:fldCharType="end"/>
      </w:r>
      <w:bookmarkEnd w:id="93"/>
      <w:r>
        <w:t xml:space="preserve"> </w:t>
      </w:r>
      <w:r>
        <w:rPr>
          <w:rFonts w:hint="eastAsia" w:ascii="Calibri" w:eastAsia="宋体"/>
          <w:lang w:val="en-US" w:eastAsia="zh-CN"/>
        </w:rPr>
        <w:t>25t</w:t>
      </w:r>
      <w:r>
        <w:fldChar w:fldCharType="begin"/>
      </w:r>
      <w:r>
        <w:instrText xml:space="preserve"> REF 起重设备1类型 \h </w:instrText>
      </w:r>
      <w:r>
        <w:fldChar w:fldCharType="separate"/>
      </w:r>
      <w:r>
        <w:rPr>
          <w:rFonts w:hint="eastAsia"/>
        </w:rPr>
        <w:t>汽车式起重机</w:t>
      </w:r>
      <w:r>
        <w:fldChar w:fldCharType="end"/>
      </w:r>
      <w:r>
        <w:rPr>
          <w:rFonts w:hint="eastAsia"/>
        </w:rPr>
        <w:t>起升高度曲线</w:t>
      </w:r>
    </w:p>
    <w:p/>
    <w:p>
      <w:pPr>
        <w:pStyle w:val="5"/>
      </w:pPr>
      <w:r>
        <w:rPr>
          <w:rFonts w:hint="eastAsia"/>
        </w:rPr>
        <w:t>全部吊装工况</w:t>
      </w:r>
    </w:p>
    <w:p>
      <w:pPr>
        <w:ind w:firstLine="480"/>
      </w:pPr>
      <w:r>
        <w:fldChar w:fldCharType="begin"/>
      </w:r>
      <w:r>
        <w:instrText xml:space="preserve"> REF 设备类型 \h  \* MERGEFORMAT </w:instrText>
      </w:r>
      <w:r>
        <w:fldChar w:fldCharType="separate"/>
      </w:r>
      <w:r>
        <w:rPr>
          <w:rFonts w:hint="eastAsia"/>
        </w:rPr>
        <w:t>塔式起重机</w:t>
      </w:r>
      <w:r>
        <w:fldChar w:fldCharType="end"/>
      </w:r>
      <w:r>
        <w:t>整机安装（</w:t>
      </w:r>
      <w:r>
        <w:rPr>
          <w:rFonts w:hint="eastAsia"/>
        </w:rPr>
        <w:t>拆除</w:t>
      </w:r>
      <w:r>
        <w:t>）</w:t>
      </w:r>
      <w:r>
        <w:rPr>
          <w:rFonts w:hint="eastAsia"/>
        </w:rPr>
        <w:t>工况吊装参数详见</w:t>
      </w:r>
      <w:r>
        <w:fldChar w:fldCharType="begin"/>
      </w:r>
      <w:r>
        <w:instrText xml:space="preserve"> </w:instrText>
      </w:r>
      <w:r>
        <w:rPr>
          <w:rFonts w:hint="eastAsia"/>
        </w:rPr>
        <w:instrText xml:space="preserve">REF _Ref121249921 \h</w:instrText>
      </w:r>
      <w:r>
        <w:instrText xml:space="preserve"> </w:instrText>
      </w:r>
      <w:r>
        <w:fldChar w:fldCharType="separate"/>
      </w:r>
      <w:r>
        <w:rPr>
          <w:rFonts w:hint="eastAsia"/>
        </w:rPr>
        <w:t>表</w:t>
      </w:r>
      <w:r>
        <w:t>4.2.1-2</w:t>
      </w:r>
      <w:r>
        <w:fldChar w:fldCharType="end"/>
      </w:r>
      <w:r>
        <w:rPr>
          <w:rFonts w:hint="eastAsia"/>
        </w:rPr>
        <w:t>和</w:t>
      </w:r>
      <w:r>
        <w:fldChar w:fldCharType="begin"/>
      </w:r>
      <w:r>
        <w:instrText xml:space="preserve"> REF _Ref121249922 \h </w:instrText>
      </w:r>
      <w:r>
        <w:fldChar w:fldCharType="separate"/>
      </w:r>
      <w:r>
        <w:rPr>
          <w:rFonts w:hint="eastAsia"/>
        </w:rPr>
        <w:t>表</w:t>
      </w:r>
      <w:r>
        <w:t>4.2.1-3</w:t>
      </w:r>
      <w:r>
        <w:fldChar w:fldCharType="end"/>
      </w:r>
      <w:r>
        <w:rPr>
          <w:rFonts w:hint="eastAsia"/>
        </w:rPr>
        <w:t>所示。</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bookmarkStart w:id="94" w:name="_Ref121249921"/>
      <w:r>
        <w:rPr>
          <w:rFonts w:hint="eastAsia" w:ascii="Times New Roman" w:hAnsi="Times New Roman" w:eastAsia="宋体" w:cs="Times New Roman"/>
          <w:b/>
          <w:kern w:val="2"/>
          <w:sz w:val="21"/>
          <w:szCs w:val="21"/>
          <w:lang w:val="en-US" w:eastAsia="zh-CN" w:bidi="ar-SA"/>
        </w:rPr>
        <w:t>表</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3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4.2.1</w:t>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w:instrText>
      </w:r>
      <w:r>
        <w:rPr>
          <w:rFonts w:hint="eastAsia" w:ascii="Times New Roman" w:hAnsi="Times New Roman" w:eastAsia="宋体" w:cs="Times New Roman"/>
          <w:b/>
          <w:kern w:val="2"/>
          <w:sz w:val="21"/>
          <w:szCs w:val="21"/>
          <w:lang w:val="en-US" w:eastAsia="zh-CN" w:bidi="ar-SA"/>
        </w:rPr>
        <w:instrText xml:space="preserve">表</w:instrText>
      </w:r>
      <w:r>
        <w:rPr>
          <w:rFonts w:ascii="Times New Roman" w:hAnsi="Times New Roman" w:eastAsia="宋体" w:cs="Times New Roman"/>
          <w:b/>
          <w:kern w:val="2"/>
          <w:sz w:val="21"/>
          <w:szCs w:val="21"/>
          <w:lang w:val="en-US" w:eastAsia="zh-CN" w:bidi="ar-SA"/>
        </w:rPr>
        <w:instrText xml:space="preserve"> \* ARABIC \s 3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2</w:t>
      </w:r>
      <w:r>
        <w:rPr>
          <w:rFonts w:ascii="Times New Roman" w:hAnsi="Times New Roman" w:eastAsia="宋体" w:cs="Times New Roman"/>
          <w:b/>
          <w:kern w:val="2"/>
          <w:sz w:val="21"/>
          <w:szCs w:val="21"/>
          <w:lang w:val="en-US" w:eastAsia="zh-CN" w:bidi="ar-SA"/>
        </w:rPr>
        <w:fldChar w:fldCharType="end"/>
      </w:r>
      <w:bookmarkEnd w:id="94"/>
      <w:r>
        <w:rPr>
          <w:rFonts w:ascii="Times New Roman" w:hAnsi="Times New Roman" w:eastAsia="宋体" w:cs="Times New Roman"/>
          <w:b/>
          <w:kern w:val="2"/>
          <w:sz w:val="21"/>
          <w:szCs w:val="21"/>
          <w:lang w:val="en-US" w:eastAsia="zh-CN" w:bidi="ar-SA"/>
        </w:rPr>
        <w:t xml:space="preserve">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REF 设备型号1 \h</w:instrText>
      </w:r>
      <w:r>
        <w:rPr>
          <w:rFonts w:ascii="Times New Roman" w:hAnsi="Times New Roman" w:eastAsia="宋体" w:cs="Times New Roman"/>
          <w:b/>
          <w:kern w:val="2"/>
          <w:sz w:val="21"/>
          <w:szCs w:val="21"/>
          <w:lang w:val="en-US" w:eastAsia="zh-CN" w:bidi="ar-SA"/>
        </w:rPr>
        <w:instrText xml:space="preserve">  \* MERGEFORMAT </w:instrText>
      </w:r>
      <w:r>
        <w:rPr>
          <w:rFonts w:ascii="Times New Roman" w:hAnsi="Times New Roman" w:eastAsia="宋体" w:cs="Times New Roman"/>
          <w:b/>
          <w:kern w:val="2"/>
          <w:sz w:val="21"/>
          <w:szCs w:val="21"/>
          <w:lang w:val="en-US" w:eastAsia="zh-CN" w:bidi="ar-SA"/>
        </w:rPr>
        <w:fldChar w:fldCharType="separate"/>
      </w:r>
      <w:r>
        <w:rPr>
          <w:rFonts w:hint="eastAsia" w:ascii="Times New Roman" w:hAnsi="Times New Roman" w:eastAsia="宋体" w:cs="Times New Roman"/>
          <w:b/>
          <w:kern w:val="2"/>
          <w:sz w:val="21"/>
          <w:szCs w:val="21"/>
          <w:lang w:val="en-US" w:eastAsia="zh-CN" w:bidi="ar-SA"/>
        </w:rPr>
        <w:t>XGT6515-10S</w:t>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REF 设备类型 \h  \* MERGEFORMAT </w:instrText>
      </w:r>
      <w:r>
        <w:rPr>
          <w:rFonts w:ascii="Times New Roman" w:hAnsi="Times New Roman" w:eastAsia="宋体" w:cs="Times New Roman"/>
          <w:b/>
          <w:kern w:val="2"/>
          <w:sz w:val="21"/>
          <w:szCs w:val="21"/>
          <w:lang w:val="en-US" w:eastAsia="zh-CN" w:bidi="ar-SA"/>
        </w:rPr>
        <w:fldChar w:fldCharType="separate"/>
      </w:r>
      <w:r>
        <w:rPr>
          <w:rFonts w:hint="eastAsia" w:ascii="Times New Roman" w:hAnsi="Times New Roman" w:eastAsia="宋体" w:cs="Times New Roman"/>
          <w:b/>
          <w:kern w:val="2"/>
          <w:sz w:val="21"/>
          <w:szCs w:val="21"/>
          <w:lang w:val="en-US" w:eastAsia="zh-CN" w:bidi="ar-SA"/>
        </w:rPr>
        <w:t>塔式起重机</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安装</w:t>
      </w:r>
      <w:r>
        <w:rPr>
          <w:rFonts w:ascii="Times New Roman" w:hAnsi="Times New Roman" w:eastAsia="宋体" w:cs="Times New Roman"/>
          <w:b/>
          <w:kern w:val="2"/>
          <w:sz w:val="21"/>
          <w:szCs w:val="21"/>
          <w:lang w:val="en-US" w:eastAsia="zh-CN" w:bidi="ar-SA"/>
        </w:rPr>
        <w:t>（</w:t>
      </w:r>
      <w:r>
        <w:rPr>
          <w:rFonts w:hint="eastAsia" w:ascii="Times New Roman" w:hAnsi="Times New Roman" w:eastAsia="宋体" w:cs="Times New Roman"/>
          <w:b/>
          <w:kern w:val="2"/>
          <w:sz w:val="21"/>
          <w:szCs w:val="21"/>
          <w:lang w:val="en-US" w:eastAsia="zh-CN" w:bidi="ar-SA"/>
        </w:rPr>
        <w:t>拆除</w:t>
      </w:r>
      <w:r>
        <w:rPr>
          <w:rFonts w:ascii="Times New Roman" w:hAnsi="Times New Roman" w:eastAsia="宋体" w:cs="Times New Roman"/>
          <w:b/>
          <w:kern w:val="2"/>
          <w:sz w:val="21"/>
          <w:szCs w:val="21"/>
          <w:lang w:val="en-US" w:eastAsia="zh-CN" w:bidi="ar-SA"/>
        </w:rPr>
        <w:t>）</w:t>
      </w:r>
      <w:r>
        <w:rPr>
          <w:rFonts w:hint="eastAsia" w:ascii="Times New Roman" w:hAnsi="Times New Roman" w:eastAsia="宋体" w:cs="Times New Roman"/>
          <w:b/>
          <w:kern w:val="2"/>
          <w:sz w:val="21"/>
          <w:szCs w:val="21"/>
          <w:lang w:val="en-US" w:eastAsia="zh-CN" w:bidi="ar-SA"/>
        </w:rPr>
        <w:t>工况吊装参数</w:t>
      </w:r>
    </w:p>
    <w:tbl>
      <w:tblPr>
        <w:tblStyle w:val="40"/>
        <w:tblW w:w="9058" w:type="dxa"/>
        <w:tblInd w:w="80" w:type="dxa"/>
        <w:tblLayout w:type="fixed"/>
        <w:tblCellMar>
          <w:top w:w="0" w:type="dxa"/>
          <w:left w:w="10" w:type="dxa"/>
          <w:bottom w:w="0" w:type="dxa"/>
          <w:right w:w="10" w:type="dxa"/>
        </w:tblCellMar>
      </w:tblPr>
      <w:tblGrid>
        <w:gridCol w:w="777"/>
        <w:gridCol w:w="1092"/>
        <w:gridCol w:w="657"/>
        <w:gridCol w:w="811"/>
        <w:gridCol w:w="831"/>
        <w:gridCol w:w="892"/>
        <w:gridCol w:w="893"/>
        <w:gridCol w:w="911"/>
        <w:gridCol w:w="1133"/>
        <w:gridCol w:w="1061"/>
      </w:tblGrid>
      <w:tr>
        <w:tblPrEx>
          <w:tblCellMar>
            <w:top w:w="0" w:type="dxa"/>
            <w:left w:w="10" w:type="dxa"/>
            <w:bottom w:w="0" w:type="dxa"/>
            <w:right w:w="10" w:type="dxa"/>
          </w:tblCellMar>
        </w:tblPrEx>
        <w:trPr>
          <w:trHeight w:val="824" w:hRule="atLeast"/>
        </w:trPr>
        <w:tc>
          <w:tcPr>
            <w:tcW w:w="777" w:type="dxa"/>
            <w:vMerge w:val="restart"/>
            <w:tcBorders>
              <w:top w:val="single" w:color="auto" w:sz="2" w:space="0"/>
              <w:left w:val="single" w:color="auto" w:sz="2" w:space="0"/>
              <w:right w:val="single" w:color="auto" w:sz="2" w:space="0"/>
            </w:tcBorders>
            <w:vAlign w:val="center"/>
          </w:tcPr>
          <w:p>
            <w:pPr>
              <w:widowControl w:val="0"/>
              <w:spacing w:line="240" w:lineRule="auto"/>
              <w:ind w:firstLine="0" w:firstLineChars="0"/>
              <w:jc w:val="center"/>
              <w:rPr>
                <w:rFonts w:hint="eastAsia" w:ascii="Times New Roman" w:hAnsi="Times New Roman" w:eastAsia="宋体" w:cs="Times New Roman"/>
                <w:b/>
                <w:kern w:val="2"/>
                <w:sz w:val="21"/>
                <w:szCs w:val="21"/>
                <w:lang w:val="zh-CN" w:eastAsia="zh-CN" w:bidi="ar-SA"/>
              </w:rPr>
            </w:pPr>
            <w:r>
              <w:rPr>
                <w:rFonts w:hint="eastAsia" w:ascii="Times New Roman" w:hAnsi="Times New Roman" w:eastAsia="宋体" w:cs="Times New Roman"/>
                <w:b/>
                <w:kern w:val="2"/>
                <w:sz w:val="21"/>
                <w:szCs w:val="21"/>
                <w:lang w:val="zh-CN" w:eastAsia="zh-CN" w:bidi="ar-SA"/>
              </w:rPr>
              <w:t>序号</w:t>
            </w:r>
          </w:p>
        </w:tc>
        <w:tc>
          <w:tcPr>
            <w:tcW w:w="3391" w:type="dxa"/>
            <w:gridSpan w:val="4"/>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rPr>
                <w:rFonts w:hint="eastAsia" w:ascii="Times New Roman" w:hAnsi="Times New Roman" w:eastAsia="宋体" w:cs="Times New Roman"/>
                <w:b/>
                <w:kern w:val="2"/>
                <w:sz w:val="21"/>
                <w:szCs w:val="21"/>
                <w:lang w:val="zh-CN" w:eastAsia="zh-CN" w:bidi="ar-SA"/>
              </w:rPr>
            </w:pPr>
            <w:r>
              <w:rPr>
                <w:rFonts w:hint="eastAsia" w:ascii="Times New Roman" w:hAnsi="Times New Roman" w:eastAsia="宋体" w:cs="Times New Roman"/>
                <w:b/>
                <w:kern w:val="2"/>
                <w:sz w:val="21"/>
                <w:szCs w:val="21"/>
                <w:lang w:val="zh-CN" w:eastAsia="zh-CN" w:bidi="ar-SA"/>
              </w:rPr>
              <w:t>塔机部件参数</w:t>
            </w:r>
          </w:p>
        </w:tc>
        <w:tc>
          <w:tcPr>
            <w:tcW w:w="2696" w:type="dxa"/>
            <w:gridSpan w:val="3"/>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rPr>
                <w:rFonts w:hint="eastAsia" w:ascii="Times New Roman" w:hAnsi="Times New Roman" w:eastAsia="宋体" w:cs="Times New Roman"/>
                <w:b/>
                <w:kern w:val="2"/>
                <w:sz w:val="21"/>
                <w:szCs w:val="21"/>
                <w:lang w:val="zh-CN" w:eastAsia="zh-CN" w:bidi="ar-SA"/>
              </w:rPr>
            </w:pPr>
            <w:r>
              <w:rPr>
                <w:rFonts w:hint="eastAsia" w:ascii="Times New Roman" w:hAnsi="Times New Roman" w:eastAsia="宋体" w:cs="Times New Roman"/>
                <w:b/>
                <w:kern w:val="2"/>
                <w:sz w:val="21"/>
                <w:szCs w:val="21"/>
                <w:lang w:val="zh-CN" w:eastAsia="zh-CN" w:bidi="ar-SA"/>
              </w:rPr>
              <w:t>汽车吊吊装参数</w:t>
            </w:r>
          </w:p>
        </w:tc>
        <w:tc>
          <w:tcPr>
            <w:tcW w:w="1133" w:type="dxa"/>
            <w:vMerge w:val="restart"/>
            <w:tcBorders>
              <w:top w:val="single" w:color="auto" w:sz="2" w:space="0"/>
              <w:left w:val="single" w:color="auto" w:sz="2" w:space="0"/>
              <w:right w:val="single" w:color="auto" w:sz="2" w:space="0"/>
            </w:tcBorders>
            <w:vAlign w:val="center"/>
          </w:tcPr>
          <w:p>
            <w:pPr>
              <w:widowControl w:val="0"/>
              <w:spacing w:line="240" w:lineRule="auto"/>
              <w:ind w:firstLine="0" w:firstLineChars="0"/>
              <w:jc w:val="center"/>
              <w:rPr>
                <w:rFonts w:hint="eastAsia" w:ascii="Times New Roman" w:hAnsi="Times New Roman" w:eastAsia="宋体" w:cs="Times New Roman"/>
                <w:b/>
                <w:kern w:val="2"/>
                <w:sz w:val="21"/>
                <w:szCs w:val="21"/>
                <w:lang w:val="zh-CN" w:eastAsia="zh-CN" w:bidi="ar-SA"/>
              </w:rPr>
            </w:pPr>
            <w:r>
              <w:rPr>
                <w:rFonts w:hint="eastAsia" w:ascii="Times New Roman" w:hAnsi="Times New Roman" w:eastAsia="宋体" w:cs="Times New Roman"/>
                <w:b/>
                <w:kern w:val="2"/>
                <w:sz w:val="21"/>
                <w:szCs w:val="21"/>
                <w:lang w:val="zh-CN" w:eastAsia="zh-CN" w:bidi="ar-SA"/>
              </w:rPr>
              <w:t>构件重量/吊重能力</w:t>
            </w:r>
          </w:p>
        </w:tc>
        <w:tc>
          <w:tcPr>
            <w:tcW w:w="1061" w:type="dxa"/>
            <w:vMerge w:val="restart"/>
            <w:tcBorders>
              <w:top w:val="single" w:color="auto" w:sz="2" w:space="0"/>
              <w:left w:val="single" w:color="auto" w:sz="2" w:space="0"/>
              <w:right w:val="single" w:color="auto" w:sz="2" w:space="0"/>
            </w:tcBorders>
            <w:vAlign w:val="center"/>
          </w:tcPr>
          <w:p>
            <w:pPr>
              <w:widowControl w:val="0"/>
              <w:spacing w:line="240" w:lineRule="auto"/>
              <w:ind w:firstLine="0" w:firstLineChars="0"/>
              <w:jc w:val="center"/>
              <w:rPr>
                <w:rFonts w:hint="eastAsia"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zh-CN" w:eastAsia="zh-CN" w:bidi="ar-SA"/>
              </w:rPr>
              <w:t>分析</w:t>
            </w:r>
            <w:r>
              <w:rPr>
                <w:rFonts w:hint="eastAsia" w:ascii="Times New Roman" w:hAnsi="Times New Roman" w:eastAsia="宋体" w:cs="Times New Roman"/>
                <w:b/>
                <w:kern w:val="2"/>
                <w:sz w:val="21"/>
                <w:szCs w:val="21"/>
                <w:lang w:val="en-US" w:eastAsia="zh-CN" w:bidi="ar-SA"/>
              </w:rPr>
              <w:t>结果</w:t>
            </w:r>
          </w:p>
        </w:tc>
      </w:tr>
      <w:tr>
        <w:tblPrEx>
          <w:tblCellMar>
            <w:top w:w="0" w:type="dxa"/>
            <w:left w:w="10" w:type="dxa"/>
            <w:bottom w:w="0" w:type="dxa"/>
            <w:right w:w="10" w:type="dxa"/>
          </w:tblCellMar>
        </w:tblPrEx>
        <w:trPr>
          <w:trHeight w:val="1006" w:hRule="atLeast"/>
        </w:trPr>
        <w:tc>
          <w:tcPr>
            <w:tcW w:w="777" w:type="dxa"/>
            <w:vMerge w:val="continue"/>
            <w:tcBorders>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仿宋_GB2312" w:cs="Times New Roman"/>
                <w:kern w:val="0"/>
                <w:sz w:val="21"/>
                <w:szCs w:val="21"/>
                <w:lang w:val="zh-CN" w:eastAsia="zh-CN" w:bidi="ar-SA"/>
              </w:rPr>
            </w:pPr>
          </w:p>
        </w:tc>
        <w:tc>
          <w:tcPr>
            <w:tcW w:w="1092"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rPr>
                <w:rFonts w:hint="eastAsia" w:ascii="Times New Roman" w:hAnsi="Times New Roman" w:eastAsia="宋体" w:cs="Times New Roman"/>
                <w:b/>
                <w:kern w:val="2"/>
                <w:sz w:val="21"/>
                <w:szCs w:val="21"/>
                <w:lang w:val="zh-CN" w:eastAsia="zh-CN" w:bidi="ar-SA"/>
              </w:rPr>
            </w:pPr>
            <w:r>
              <w:rPr>
                <w:rFonts w:hint="eastAsia" w:ascii="Times New Roman" w:hAnsi="Times New Roman" w:eastAsia="宋体" w:cs="Times New Roman"/>
                <w:b/>
                <w:kern w:val="2"/>
                <w:sz w:val="21"/>
                <w:szCs w:val="21"/>
                <w:lang w:val="zh-CN" w:eastAsia="zh-CN" w:bidi="ar-SA"/>
              </w:rPr>
              <w:t>部件名称</w:t>
            </w:r>
          </w:p>
        </w:tc>
        <w:tc>
          <w:tcPr>
            <w:tcW w:w="65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rPr>
                <w:rFonts w:hint="eastAsia" w:ascii="Times New Roman" w:hAnsi="Times New Roman" w:eastAsia="宋体" w:cs="Times New Roman"/>
                <w:b/>
                <w:kern w:val="2"/>
                <w:sz w:val="21"/>
                <w:szCs w:val="21"/>
                <w:lang w:val="zh-CN" w:eastAsia="zh-CN" w:bidi="ar-SA"/>
              </w:rPr>
            </w:pPr>
            <w:r>
              <w:rPr>
                <w:rFonts w:hint="eastAsia" w:ascii="Times New Roman" w:hAnsi="Times New Roman" w:eastAsia="宋体" w:cs="Times New Roman"/>
                <w:b/>
                <w:kern w:val="2"/>
                <w:sz w:val="21"/>
                <w:szCs w:val="21"/>
                <w:lang w:val="zh-CN" w:eastAsia="zh-CN" w:bidi="ar-SA"/>
              </w:rPr>
              <w:t>部件重量(t)</w:t>
            </w:r>
          </w:p>
        </w:tc>
        <w:tc>
          <w:tcPr>
            <w:tcW w:w="81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rPr>
                <w:rFonts w:hint="eastAsia" w:ascii="Times New Roman" w:hAnsi="Times New Roman" w:eastAsia="宋体" w:cs="Times New Roman"/>
                <w:b/>
                <w:kern w:val="2"/>
                <w:sz w:val="21"/>
                <w:szCs w:val="21"/>
                <w:lang w:val="zh-CN" w:eastAsia="zh-CN" w:bidi="ar-SA"/>
              </w:rPr>
            </w:pPr>
            <w:r>
              <w:rPr>
                <w:rFonts w:hint="eastAsia" w:ascii="Times New Roman" w:hAnsi="Times New Roman" w:eastAsia="宋体" w:cs="Times New Roman"/>
                <w:b/>
                <w:kern w:val="2"/>
                <w:sz w:val="21"/>
                <w:szCs w:val="21"/>
                <w:lang w:val="zh-CN" w:eastAsia="zh-CN" w:bidi="ar-SA"/>
              </w:rPr>
              <w:t>吊装半径(m)</w:t>
            </w:r>
          </w:p>
        </w:tc>
        <w:tc>
          <w:tcPr>
            <w:tcW w:w="83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rPr>
                <w:rFonts w:hint="eastAsia" w:ascii="Times New Roman" w:hAnsi="Times New Roman" w:eastAsia="宋体" w:cs="Times New Roman"/>
                <w:b/>
                <w:kern w:val="2"/>
                <w:sz w:val="21"/>
                <w:szCs w:val="21"/>
                <w:lang w:val="zh-CN" w:eastAsia="zh-CN" w:bidi="ar-SA"/>
              </w:rPr>
            </w:pPr>
            <w:r>
              <w:rPr>
                <w:rFonts w:hint="eastAsia" w:ascii="Times New Roman" w:hAnsi="Times New Roman" w:eastAsia="宋体" w:cs="Times New Roman"/>
                <w:b/>
                <w:kern w:val="2"/>
                <w:sz w:val="21"/>
                <w:szCs w:val="21"/>
                <w:lang w:val="zh-CN" w:eastAsia="zh-CN" w:bidi="ar-SA"/>
              </w:rPr>
              <w:t>吊装高度(m)</w:t>
            </w:r>
          </w:p>
        </w:tc>
        <w:tc>
          <w:tcPr>
            <w:tcW w:w="892"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rPr>
                <w:rFonts w:hint="eastAsia" w:ascii="Times New Roman" w:hAnsi="Times New Roman" w:eastAsia="宋体" w:cs="Times New Roman"/>
                <w:b/>
                <w:kern w:val="2"/>
                <w:sz w:val="21"/>
                <w:szCs w:val="21"/>
                <w:lang w:val="zh-CN" w:eastAsia="zh-CN" w:bidi="ar-SA"/>
              </w:rPr>
            </w:pPr>
            <w:r>
              <w:rPr>
                <w:rFonts w:hint="eastAsia" w:ascii="Times New Roman" w:hAnsi="Times New Roman" w:eastAsia="宋体" w:cs="Times New Roman"/>
                <w:b/>
                <w:kern w:val="2"/>
                <w:sz w:val="21"/>
                <w:szCs w:val="21"/>
                <w:lang w:val="zh-CN" w:eastAsia="zh-CN" w:bidi="ar-SA"/>
              </w:rPr>
              <w:t>主臂半径(m)</w:t>
            </w:r>
          </w:p>
        </w:tc>
        <w:tc>
          <w:tcPr>
            <w:tcW w:w="893"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rPr>
                <w:rFonts w:hint="eastAsia" w:ascii="Times New Roman" w:hAnsi="Times New Roman" w:eastAsia="宋体" w:cs="Times New Roman"/>
                <w:b/>
                <w:kern w:val="2"/>
                <w:sz w:val="21"/>
                <w:szCs w:val="21"/>
                <w:lang w:val="zh-CN" w:eastAsia="zh-CN" w:bidi="ar-SA"/>
              </w:rPr>
            </w:pPr>
            <w:r>
              <w:rPr>
                <w:rFonts w:hint="eastAsia" w:ascii="Times New Roman" w:hAnsi="Times New Roman" w:eastAsia="宋体" w:cs="Times New Roman"/>
                <w:b/>
                <w:kern w:val="2"/>
                <w:sz w:val="21"/>
                <w:szCs w:val="21"/>
                <w:lang w:val="zh-CN" w:eastAsia="zh-CN" w:bidi="ar-SA"/>
              </w:rPr>
              <w:t>吊装能力(t)</w:t>
            </w:r>
          </w:p>
        </w:tc>
        <w:tc>
          <w:tcPr>
            <w:tcW w:w="91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rPr>
                <w:rFonts w:hint="eastAsia" w:ascii="Times New Roman" w:hAnsi="Times New Roman" w:eastAsia="宋体" w:cs="Times New Roman"/>
                <w:b/>
                <w:kern w:val="2"/>
                <w:sz w:val="21"/>
                <w:szCs w:val="21"/>
                <w:lang w:val="zh-CN" w:eastAsia="zh-CN" w:bidi="ar-SA"/>
              </w:rPr>
            </w:pPr>
            <w:r>
              <w:rPr>
                <w:rFonts w:hint="eastAsia" w:ascii="Times New Roman" w:hAnsi="Times New Roman" w:eastAsia="宋体" w:cs="Times New Roman"/>
                <w:b/>
                <w:kern w:val="2"/>
                <w:sz w:val="21"/>
                <w:szCs w:val="21"/>
                <w:lang w:val="zh-CN" w:eastAsia="zh-CN" w:bidi="ar-SA"/>
              </w:rPr>
              <w:t>钩头允许最大高度（m）</w:t>
            </w:r>
          </w:p>
        </w:tc>
        <w:tc>
          <w:tcPr>
            <w:tcW w:w="1133" w:type="dxa"/>
            <w:vMerge w:val="continue"/>
            <w:tcBorders>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仿宋_GB2312" w:cs="Times New Roman"/>
                <w:kern w:val="0"/>
                <w:sz w:val="21"/>
                <w:szCs w:val="21"/>
                <w:lang w:val="zh-CN" w:eastAsia="zh-CN" w:bidi="ar-SA"/>
              </w:rPr>
            </w:pPr>
          </w:p>
        </w:tc>
        <w:tc>
          <w:tcPr>
            <w:tcW w:w="1061" w:type="dxa"/>
            <w:vMerge w:val="continue"/>
            <w:tcBorders>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仿宋_GB2312" w:cs="Times New Roman"/>
                <w:kern w:val="0"/>
                <w:sz w:val="21"/>
                <w:szCs w:val="21"/>
                <w:lang w:val="zh-CN" w:eastAsia="zh-CN" w:bidi="ar-SA"/>
              </w:rPr>
            </w:pPr>
          </w:p>
        </w:tc>
      </w:tr>
      <w:tr>
        <w:tblPrEx>
          <w:tblCellMar>
            <w:top w:w="0" w:type="dxa"/>
            <w:left w:w="10" w:type="dxa"/>
            <w:bottom w:w="0" w:type="dxa"/>
            <w:right w:w="10" w:type="dxa"/>
          </w:tblCellMar>
        </w:tblPrEx>
        <w:trPr>
          <w:trHeight w:val="842" w:hRule="atLeast"/>
        </w:trPr>
        <w:tc>
          <w:tcPr>
            <w:tcW w:w="77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zh-CN" w:eastAsia="zh-CN" w:bidi="ar-SA"/>
              </w:rPr>
            </w:pPr>
            <w:r>
              <w:rPr>
                <w:rFonts w:hint="eastAsia" w:ascii="Times New Roman" w:hAnsi="Times New Roman" w:eastAsia="宋体" w:cs="Times New Roman"/>
                <w:kern w:val="2"/>
                <w:sz w:val="21"/>
                <w:szCs w:val="21"/>
                <w:lang w:val="zh-CN" w:eastAsia="zh-CN" w:bidi="ar-SA"/>
              </w:rPr>
              <w:t>1</w:t>
            </w:r>
          </w:p>
        </w:tc>
        <w:tc>
          <w:tcPr>
            <w:tcW w:w="1092"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基础节</w:t>
            </w:r>
          </w:p>
        </w:tc>
        <w:tc>
          <w:tcPr>
            <w:tcW w:w="65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4.085</w:t>
            </w:r>
          </w:p>
        </w:tc>
        <w:tc>
          <w:tcPr>
            <w:tcW w:w="81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3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11</w:t>
            </w:r>
          </w:p>
        </w:tc>
        <w:tc>
          <w:tcPr>
            <w:tcW w:w="892"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93"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8.2</w:t>
            </w:r>
          </w:p>
        </w:tc>
        <w:tc>
          <w:tcPr>
            <w:tcW w:w="91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29</w:t>
            </w:r>
          </w:p>
        </w:tc>
        <w:tc>
          <w:tcPr>
            <w:tcW w:w="1133"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49.82%</w:t>
            </w:r>
          </w:p>
        </w:tc>
        <w:tc>
          <w:tcPr>
            <w:tcW w:w="106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满足</w:t>
            </w:r>
          </w:p>
        </w:tc>
      </w:tr>
      <w:tr>
        <w:tblPrEx>
          <w:tblCellMar>
            <w:top w:w="0" w:type="dxa"/>
            <w:left w:w="10" w:type="dxa"/>
            <w:bottom w:w="0" w:type="dxa"/>
            <w:right w:w="10" w:type="dxa"/>
          </w:tblCellMar>
        </w:tblPrEx>
        <w:trPr>
          <w:trHeight w:val="824" w:hRule="atLeast"/>
        </w:trPr>
        <w:tc>
          <w:tcPr>
            <w:tcW w:w="77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zh-CN" w:eastAsia="zh-CN" w:bidi="ar-SA"/>
              </w:rPr>
            </w:pPr>
            <w:r>
              <w:rPr>
                <w:rFonts w:hint="eastAsia" w:ascii="Times New Roman" w:hAnsi="Times New Roman" w:eastAsia="宋体" w:cs="Times New Roman"/>
                <w:kern w:val="2"/>
                <w:sz w:val="21"/>
                <w:szCs w:val="21"/>
                <w:lang w:val="zh-CN" w:eastAsia="zh-CN" w:bidi="ar-SA"/>
              </w:rPr>
              <w:t>2</w:t>
            </w:r>
          </w:p>
        </w:tc>
        <w:tc>
          <w:tcPr>
            <w:tcW w:w="1092"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标准节</w:t>
            </w:r>
          </w:p>
        </w:tc>
        <w:tc>
          <w:tcPr>
            <w:tcW w:w="65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1.8</w:t>
            </w:r>
          </w:p>
        </w:tc>
        <w:tc>
          <w:tcPr>
            <w:tcW w:w="81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3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14</w:t>
            </w:r>
          </w:p>
        </w:tc>
        <w:tc>
          <w:tcPr>
            <w:tcW w:w="892"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93"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8.2</w:t>
            </w:r>
          </w:p>
        </w:tc>
        <w:tc>
          <w:tcPr>
            <w:tcW w:w="91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29</w:t>
            </w:r>
          </w:p>
        </w:tc>
        <w:tc>
          <w:tcPr>
            <w:tcW w:w="1133"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21.95%</w:t>
            </w:r>
          </w:p>
        </w:tc>
        <w:tc>
          <w:tcPr>
            <w:tcW w:w="106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满足</w:t>
            </w:r>
          </w:p>
        </w:tc>
      </w:tr>
      <w:tr>
        <w:tblPrEx>
          <w:tblCellMar>
            <w:top w:w="0" w:type="dxa"/>
            <w:left w:w="10" w:type="dxa"/>
            <w:bottom w:w="0" w:type="dxa"/>
            <w:right w:w="10" w:type="dxa"/>
          </w:tblCellMar>
        </w:tblPrEx>
        <w:trPr>
          <w:trHeight w:val="824" w:hRule="atLeast"/>
        </w:trPr>
        <w:tc>
          <w:tcPr>
            <w:tcW w:w="77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zh-CN" w:eastAsia="zh-CN" w:bidi="ar-SA"/>
              </w:rPr>
              <w:t>3</w:t>
            </w:r>
          </w:p>
        </w:tc>
        <w:tc>
          <w:tcPr>
            <w:tcW w:w="1092"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爬升架总成</w:t>
            </w:r>
          </w:p>
        </w:tc>
        <w:tc>
          <w:tcPr>
            <w:tcW w:w="65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5.35</w:t>
            </w:r>
          </w:p>
        </w:tc>
        <w:tc>
          <w:tcPr>
            <w:tcW w:w="81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3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22</w:t>
            </w:r>
          </w:p>
        </w:tc>
        <w:tc>
          <w:tcPr>
            <w:tcW w:w="892"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93"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8.2</w:t>
            </w:r>
          </w:p>
        </w:tc>
        <w:tc>
          <w:tcPr>
            <w:tcW w:w="91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29</w:t>
            </w:r>
          </w:p>
        </w:tc>
        <w:tc>
          <w:tcPr>
            <w:tcW w:w="1133"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65.24%</w:t>
            </w:r>
          </w:p>
        </w:tc>
        <w:tc>
          <w:tcPr>
            <w:tcW w:w="106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满足</w:t>
            </w:r>
          </w:p>
        </w:tc>
      </w:tr>
      <w:tr>
        <w:tblPrEx>
          <w:tblCellMar>
            <w:top w:w="0" w:type="dxa"/>
            <w:left w:w="10" w:type="dxa"/>
            <w:bottom w:w="0" w:type="dxa"/>
            <w:right w:w="10" w:type="dxa"/>
          </w:tblCellMar>
        </w:tblPrEx>
        <w:trPr>
          <w:trHeight w:val="824" w:hRule="atLeast"/>
        </w:trPr>
        <w:tc>
          <w:tcPr>
            <w:tcW w:w="77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w:t>
            </w:r>
          </w:p>
        </w:tc>
        <w:tc>
          <w:tcPr>
            <w:tcW w:w="1092"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特殊节</w:t>
            </w:r>
          </w:p>
        </w:tc>
        <w:tc>
          <w:tcPr>
            <w:tcW w:w="65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3.3</w:t>
            </w:r>
          </w:p>
        </w:tc>
        <w:tc>
          <w:tcPr>
            <w:tcW w:w="81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3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22</w:t>
            </w:r>
          </w:p>
        </w:tc>
        <w:tc>
          <w:tcPr>
            <w:tcW w:w="892"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93"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8.2</w:t>
            </w:r>
          </w:p>
        </w:tc>
        <w:tc>
          <w:tcPr>
            <w:tcW w:w="91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29</w:t>
            </w:r>
          </w:p>
        </w:tc>
        <w:tc>
          <w:tcPr>
            <w:tcW w:w="1133"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40.24%</w:t>
            </w:r>
          </w:p>
        </w:tc>
        <w:tc>
          <w:tcPr>
            <w:tcW w:w="106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满足</w:t>
            </w:r>
          </w:p>
        </w:tc>
      </w:tr>
      <w:tr>
        <w:tblPrEx>
          <w:tblCellMar>
            <w:top w:w="0" w:type="dxa"/>
            <w:left w:w="10" w:type="dxa"/>
            <w:bottom w:w="0" w:type="dxa"/>
            <w:right w:w="10" w:type="dxa"/>
          </w:tblCellMar>
        </w:tblPrEx>
        <w:trPr>
          <w:trHeight w:val="824" w:hRule="atLeast"/>
        </w:trPr>
        <w:tc>
          <w:tcPr>
            <w:tcW w:w="77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w:t>
            </w:r>
          </w:p>
        </w:tc>
        <w:tc>
          <w:tcPr>
            <w:tcW w:w="1092"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回转总成</w:t>
            </w:r>
          </w:p>
        </w:tc>
        <w:tc>
          <w:tcPr>
            <w:tcW w:w="65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4.758</w:t>
            </w:r>
          </w:p>
        </w:tc>
        <w:tc>
          <w:tcPr>
            <w:tcW w:w="81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3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22</w:t>
            </w:r>
          </w:p>
        </w:tc>
        <w:tc>
          <w:tcPr>
            <w:tcW w:w="892"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93"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8.2</w:t>
            </w:r>
          </w:p>
        </w:tc>
        <w:tc>
          <w:tcPr>
            <w:tcW w:w="91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29</w:t>
            </w:r>
          </w:p>
        </w:tc>
        <w:tc>
          <w:tcPr>
            <w:tcW w:w="1133"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58.02%</w:t>
            </w:r>
          </w:p>
        </w:tc>
        <w:tc>
          <w:tcPr>
            <w:tcW w:w="106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满足</w:t>
            </w:r>
          </w:p>
        </w:tc>
      </w:tr>
      <w:tr>
        <w:tblPrEx>
          <w:tblCellMar>
            <w:top w:w="0" w:type="dxa"/>
            <w:left w:w="10" w:type="dxa"/>
            <w:bottom w:w="0" w:type="dxa"/>
            <w:right w:w="10" w:type="dxa"/>
          </w:tblCellMar>
        </w:tblPrEx>
        <w:trPr>
          <w:trHeight w:val="824" w:hRule="atLeast"/>
        </w:trPr>
        <w:tc>
          <w:tcPr>
            <w:tcW w:w="77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w:t>
            </w:r>
          </w:p>
        </w:tc>
        <w:tc>
          <w:tcPr>
            <w:tcW w:w="1092"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安装起重臂臂根节</w:t>
            </w:r>
          </w:p>
        </w:tc>
        <w:tc>
          <w:tcPr>
            <w:tcW w:w="65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3.8</w:t>
            </w:r>
          </w:p>
        </w:tc>
        <w:tc>
          <w:tcPr>
            <w:tcW w:w="81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3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26</w:t>
            </w:r>
          </w:p>
        </w:tc>
        <w:tc>
          <w:tcPr>
            <w:tcW w:w="892"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93"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8.2</w:t>
            </w:r>
          </w:p>
        </w:tc>
        <w:tc>
          <w:tcPr>
            <w:tcW w:w="91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29</w:t>
            </w:r>
          </w:p>
        </w:tc>
        <w:tc>
          <w:tcPr>
            <w:tcW w:w="1133"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46.34%</w:t>
            </w:r>
          </w:p>
        </w:tc>
        <w:tc>
          <w:tcPr>
            <w:tcW w:w="106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满足</w:t>
            </w:r>
          </w:p>
        </w:tc>
      </w:tr>
      <w:tr>
        <w:tblPrEx>
          <w:tblCellMar>
            <w:top w:w="0" w:type="dxa"/>
            <w:left w:w="10" w:type="dxa"/>
            <w:bottom w:w="0" w:type="dxa"/>
            <w:right w:w="10" w:type="dxa"/>
          </w:tblCellMar>
        </w:tblPrEx>
        <w:trPr>
          <w:trHeight w:val="824" w:hRule="atLeast"/>
        </w:trPr>
        <w:tc>
          <w:tcPr>
            <w:tcW w:w="77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7</w:t>
            </w:r>
          </w:p>
        </w:tc>
        <w:tc>
          <w:tcPr>
            <w:tcW w:w="1092"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平衡臂总成</w:t>
            </w:r>
          </w:p>
        </w:tc>
        <w:tc>
          <w:tcPr>
            <w:tcW w:w="65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5.2</w:t>
            </w:r>
          </w:p>
        </w:tc>
        <w:tc>
          <w:tcPr>
            <w:tcW w:w="81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3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26</w:t>
            </w:r>
          </w:p>
        </w:tc>
        <w:tc>
          <w:tcPr>
            <w:tcW w:w="892"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93"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8.2</w:t>
            </w:r>
          </w:p>
        </w:tc>
        <w:tc>
          <w:tcPr>
            <w:tcW w:w="91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29</w:t>
            </w:r>
          </w:p>
        </w:tc>
        <w:tc>
          <w:tcPr>
            <w:tcW w:w="1133"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63.41%</w:t>
            </w:r>
          </w:p>
        </w:tc>
        <w:tc>
          <w:tcPr>
            <w:tcW w:w="106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满足</w:t>
            </w:r>
          </w:p>
        </w:tc>
      </w:tr>
      <w:tr>
        <w:tblPrEx>
          <w:tblCellMar>
            <w:top w:w="0" w:type="dxa"/>
            <w:left w:w="10" w:type="dxa"/>
            <w:bottom w:w="0" w:type="dxa"/>
            <w:right w:w="10" w:type="dxa"/>
          </w:tblCellMar>
        </w:tblPrEx>
        <w:trPr>
          <w:trHeight w:val="824" w:hRule="atLeast"/>
        </w:trPr>
        <w:tc>
          <w:tcPr>
            <w:tcW w:w="77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w:t>
            </w:r>
          </w:p>
        </w:tc>
        <w:tc>
          <w:tcPr>
            <w:tcW w:w="1092"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1块配重</w:t>
            </w:r>
          </w:p>
        </w:tc>
        <w:tc>
          <w:tcPr>
            <w:tcW w:w="65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3.2</w:t>
            </w:r>
          </w:p>
        </w:tc>
        <w:tc>
          <w:tcPr>
            <w:tcW w:w="81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3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26</w:t>
            </w:r>
          </w:p>
        </w:tc>
        <w:tc>
          <w:tcPr>
            <w:tcW w:w="892"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93"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8.2</w:t>
            </w:r>
          </w:p>
        </w:tc>
        <w:tc>
          <w:tcPr>
            <w:tcW w:w="91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29</w:t>
            </w:r>
          </w:p>
        </w:tc>
        <w:tc>
          <w:tcPr>
            <w:tcW w:w="1133"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39.02%</w:t>
            </w:r>
          </w:p>
        </w:tc>
        <w:tc>
          <w:tcPr>
            <w:tcW w:w="106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满足</w:t>
            </w:r>
          </w:p>
        </w:tc>
      </w:tr>
      <w:tr>
        <w:tblPrEx>
          <w:tblCellMar>
            <w:top w:w="0" w:type="dxa"/>
            <w:left w:w="10" w:type="dxa"/>
            <w:bottom w:w="0" w:type="dxa"/>
            <w:right w:w="10" w:type="dxa"/>
          </w:tblCellMar>
        </w:tblPrEx>
        <w:trPr>
          <w:trHeight w:val="824" w:hRule="atLeast"/>
        </w:trPr>
        <w:tc>
          <w:tcPr>
            <w:tcW w:w="77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9</w:t>
            </w:r>
          </w:p>
        </w:tc>
        <w:tc>
          <w:tcPr>
            <w:tcW w:w="1092"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起重臂总成(分段吊装）</w:t>
            </w:r>
          </w:p>
        </w:tc>
        <w:tc>
          <w:tcPr>
            <w:tcW w:w="65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5.967</w:t>
            </w:r>
          </w:p>
        </w:tc>
        <w:tc>
          <w:tcPr>
            <w:tcW w:w="81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3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26</w:t>
            </w:r>
          </w:p>
        </w:tc>
        <w:tc>
          <w:tcPr>
            <w:tcW w:w="892"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93"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8.2</w:t>
            </w:r>
          </w:p>
        </w:tc>
        <w:tc>
          <w:tcPr>
            <w:tcW w:w="91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29</w:t>
            </w:r>
          </w:p>
        </w:tc>
        <w:tc>
          <w:tcPr>
            <w:tcW w:w="1133"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72.77%</w:t>
            </w:r>
          </w:p>
        </w:tc>
        <w:tc>
          <w:tcPr>
            <w:tcW w:w="106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满足</w:t>
            </w:r>
          </w:p>
        </w:tc>
      </w:tr>
      <w:tr>
        <w:tblPrEx>
          <w:tblCellMar>
            <w:top w:w="0" w:type="dxa"/>
            <w:left w:w="10" w:type="dxa"/>
            <w:bottom w:w="0" w:type="dxa"/>
            <w:right w:w="10" w:type="dxa"/>
          </w:tblCellMar>
        </w:tblPrEx>
        <w:trPr>
          <w:trHeight w:val="838" w:hRule="atLeast"/>
        </w:trPr>
        <w:tc>
          <w:tcPr>
            <w:tcW w:w="77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1092"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剩余配重</w:t>
            </w:r>
          </w:p>
        </w:tc>
        <w:tc>
          <w:tcPr>
            <w:tcW w:w="65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3.2</w:t>
            </w:r>
          </w:p>
        </w:tc>
        <w:tc>
          <w:tcPr>
            <w:tcW w:w="81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3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26</w:t>
            </w:r>
          </w:p>
        </w:tc>
        <w:tc>
          <w:tcPr>
            <w:tcW w:w="892"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93"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8.2</w:t>
            </w:r>
          </w:p>
        </w:tc>
        <w:tc>
          <w:tcPr>
            <w:tcW w:w="91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29</w:t>
            </w:r>
          </w:p>
        </w:tc>
        <w:tc>
          <w:tcPr>
            <w:tcW w:w="1133"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39.02%</w:t>
            </w:r>
          </w:p>
        </w:tc>
        <w:tc>
          <w:tcPr>
            <w:tcW w:w="106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满足</w:t>
            </w:r>
          </w:p>
        </w:tc>
      </w:tr>
      <w:bookmarkEnd w:id="90"/>
    </w:tbl>
    <w:p>
      <w:pPr>
        <w:pStyle w:val="4"/>
      </w:pPr>
      <w:r>
        <w:t>吊</w:t>
      </w:r>
      <w:r>
        <w:rPr>
          <w:rFonts w:hint="eastAsia"/>
        </w:rPr>
        <w:t>索具</w:t>
      </w:r>
      <w:r>
        <w:t>选型</w:t>
      </w:r>
    </w:p>
    <w:p>
      <w:pPr>
        <w:ind w:firstLine="480"/>
      </w:pPr>
      <w:r>
        <w:rPr>
          <w:rFonts w:hint="eastAsia"/>
        </w:rPr>
        <w:t>吊索具选型详见第十章计算书相关章节。</w:t>
      </w:r>
    </w:p>
    <w:p>
      <w:pPr>
        <w:pStyle w:val="3"/>
      </w:pPr>
      <w:bookmarkStart w:id="95" w:name="_Toc21918"/>
      <w:r>
        <w:rPr>
          <w:rFonts w:hint="eastAsia"/>
        </w:rPr>
        <w:t>施工准备</w:t>
      </w:r>
      <w:bookmarkEnd w:id="81"/>
      <w:bookmarkEnd w:id="82"/>
      <w:bookmarkEnd w:id="83"/>
      <w:bookmarkEnd w:id="84"/>
      <w:bookmarkEnd w:id="85"/>
      <w:bookmarkEnd w:id="86"/>
      <w:bookmarkEnd w:id="87"/>
      <w:bookmarkEnd w:id="95"/>
    </w:p>
    <w:p>
      <w:pPr>
        <w:pStyle w:val="4"/>
      </w:pPr>
      <w:r>
        <w:rPr>
          <w:rFonts w:hint="eastAsia"/>
        </w:rPr>
        <w:t>技术准备</w:t>
      </w:r>
    </w:p>
    <w:p>
      <w:pPr>
        <w:numPr>
          <w:ilvl w:val="0"/>
          <w:numId w:val="23"/>
        </w:numPr>
        <w:ind w:firstLineChars="0"/>
      </w:pPr>
      <w:r>
        <w:rPr>
          <w:rFonts w:hint="eastAsia"/>
        </w:rPr>
        <w:t>测量准备</w:t>
      </w:r>
    </w:p>
    <w:p>
      <w:pPr>
        <w:ind w:firstLine="480"/>
      </w:pPr>
      <w:r>
        <w:rPr>
          <w:rFonts w:hint="eastAsia"/>
        </w:rPr>
        <w:t>设备安装</w:t>
      </w:r>
      <w:r>
        <w:t>坐标已根据施工图进行复核</w:t>
      </w:r>
      <w:r>
        <w:rPr>
          <w:rFonts w:hint="eastAsia"/>
        </w:rPr>
        <w:t>，</w:t>
      </w:r>
      <w:r>
        <w:t>平面施工测量控制网已建立。</w:t>
      </w:r>
    </w:p>
    <w:p>
      <w:pPr>
        <w:numPr>
          <w:ilvl w:val="0"/>
          <w:numId w:val="23"/>
        </w:numPr>
        <w:ind w:firstLineChars="0"/>
      </w:pPr>
      <w:r>
        <w:rPr>
          <w:rFonts w:hint="eastAsia"/>
        </w:rPr>
        <w:t>审核报备</w:t>
      </w:r>
    </w:p>
    <w:p>
      <w:pPr>
        <w:ind w:firstLine="480"/>
      </w:pPr>
      <w:r>
        <w:rPr>
          <w:rFonts w:hint="eastAsia"/>
        </w:rPr>
        <w:t>项目部审核设备技术资料，安拆方案已编制完成并通过审核与报备，特种作业人员持证上岗，施工所需设备、材料及工器具</w:t>
      </w:r>
    </w:p>
    <w:p>
      <w:pPr>
        <w:numPr>
          <w:ilvl w:val="0"/>
          <w:numId w:val="23"/>
        </w:numPr>
        <w:ind w:firstLineChars="0"/>
      </w:pPr>
      <w:r>
        <w:rPr>
          <w:rFonts w:hint="eastAsia"/>
        </w:rPr>
        <w:t>技术交底</w:t>
      </w:r>
    </w:p>
    <w:p>
      <w:pPr>
        <w:ind w:firstLine="480"/>
      </w:pPr>
      <w:r>
        <w:rPr>
          <w:rFonts w:hint="eastAsia"/>
        </w:rPr>
        <w:t>针对本工程相关管理人员和施工</w:t>
      </w:r>
      <w:r>
        <w:t>人员，</w:t>
      </w:r>
      <w:r>
        <w:rPr>
          <w:rFonts w:hint="eastAsia"/>
        </w:rPr>
        <w:t>项目部</w:t>
      </w:r>
      <w:r>
        <w:t>组织</w:t>
      </w:r>
      <w:r>
        <w:rPr>
          <w:rFonts w:hint="eastAsia"/>
        </w:rPr>
        <w:t>技术方案交底与</w:t>
      </w:r>
      <w:r>
        <w:t>安全</w:t>
      </w:r>
      <w:r>
        <w:rPr>
          <w:rFonts w:hint="eastAsia"/>
        </w:rPr>
        <w:t>教育</w:t>
      </w:r>
      <w:r>
        <w:t>培训。</w:t>
      </w:r>
    </w:p>
    <w:p>
      <w:pPr>
        <w:pStyle w:val="4"/>
      </w:pPr>
      <w:r>
        <w:rPr>
          <w:rFonts w:hint="eastAsia"/>
        </w:rPr>
        <w:t>现场准备</w:t>
      </w:r>
    </w:p>
    <w:p>
      <w:pPr>
        <w:numPr>
          <w:ilvl w:val="0"/>
          <w:numId w:val="24"/>
        </w:numPr>
        <w:ind w:firstLineChars="0"/>
      </w:pPr>
      <w:r>
        <w:rPr>
          <w:rFonts w:hint="eastAsia"/>
        </w:rPr>
        <w:t>场地准备</w:t>
      </w:r>
    </w:p>
    <w:p>
      <w:pPr>
        <w:ind w:firstLine="480"/>
      </w:pPr>
      <w:r>
        <w:rPr>
          <w:rFonts w:hint="eastAsia"/>
        </w:rPr>
        <w:t>项目部根据本施工方案的施工平面布置，清理现场场地，保证施工场所满足空间需求，设备基础施工通过验收。</w:t>
      </w:r>
    </w:p>
    <w:p>
      <w:pPr>
        <w:numPr>
          <w:ilvl w:val="0"/>
          <w:numId w:val="24"/>
        </w:numPr>
        <w:ind w:firstLineChars="0"/>
      </w:pPr>
      <w:r>
        <w:rPr>
          <w:rFonts w:hint="eastAsia"/>
        </w:rPr>
        <w:t>环境准备</w:t>
      </w:r>
    </w:p>
    <w:p>
      <w:pPr>
        <w:ind w:firstLine="480"/>
      </w:pPr>
      <w:r>
        <w:rPr>
          <w:rFonts w:hint="eastAsia"/>
        </w:rPr>
        <w:t>项目部持续关注气候以及水位情况，保证施工过程中不受恶劣天气（6级及以上大风、雨、雪等）以及高水位影响。</w:t>
      </w:r>
    </w:p>
    <w:p>
      <w:pPr>
        <w:numPr>
          <w:ilvl w:val="0"/>
          <w:numId w:val="24"/>
        </w:numPr>
        <w:ind w:firstLineChars="0"/>
      </w:pPr>
      <w:r>
        <w:rPr>
          <w:rFonts w:hint="eastAsia"/>
        </w:rPr>
        <w:t>物资准备</w:t>
      </w:r>
    </w:p>
    <w:p>
      <w:pPr>
        <w:ind w:firstLine="480"/>
      </w:pPr>
      <w:r>
        <w:rPr>
          <w:rFonts w:hint="eastAsia"/>
        </w:rPr>
        <w:t>施工所需</w:t>
      </w:r>
      <w:r>
        <w:t>材料已经进场并</w:t>
      </w:r>
      <w:r>
        <w:rPr>
          <w:rFonts w:hint="eastAsia"/>
        </w:rPr>
        <w:t>通过物资部</w:t>
      </w:r>
      <w:r>
        <w:t>验收合格。在夜晚作业时，应准备足够的照明条件。</w:t>
      </w:r>
    </w:p>
    <w:p>
      <w:pPr>
        <w:numPr>
          <w:ilvl w:val="0"/>
          <w:numId w:val="24"/>
        </w:numPr>
        <w:ind w:firstLineChars="0"/>
      </w:pPr>
      <w:r>
        <w:rPr>
          <w:rFonts w:hint="eastAsia"/>
        </w:rPr>
        <w:t>设备准备</w:t>
      </w:r>
    </w:p>
    <w:p>
      <w:pPr>
        <w:ind w:firstLine="480"/>
      </w:pPr>
      <w:r>
        <w:rPr>
          <w:rFonts w:hint="eastAsia"/>
        </w:rPr>
        <w:t>项目部组织落实机械设备、工具的进场，设备开机前先经检查、调试，检查机械设备的运行情况，保证设备的完好、设备的配套设施齐备。施工设备经过设备部验收合格后准许进场，配备性能好的机械设备，机械设备的检查、验证、维修、保养等记录齐全、正常合规。工索具性能良好，满足施工需求。</w:t>
      </w:r>
    </w:p>
    <w:p>
      <w:pPr>
        <w:numPr>
          <w:ilvl w:val="0"/>
          <w:numId w:val="24"/>
        </w:numPr>
        <w:ind w:firstLineChars="0"/>
      </w:pPr>
      <w:r>
        <w:rPr>
          <w:rFonts w:hint="eastAsia"/>
        </w:rPr>
        <w:t>临时用电</w:t>
      </w:r>
    </w:p>
    <w:p>
      <w:pPr>
        <w:ind w:firstLine="480"/>
        <w:rPr>
          <w:highlight w:val="yellow"/>
        </w:rPr>
      </w:pPr>
      <w:r>
        <w:fldChar w:fldCharType="begin"/>
      </w:r>
      <w:r>
        <w:instrText xml:space="preserve"> </w:instrText>
      </w:r>
      <w:r>
        <w:rPr>
          <w:rFonts w:hint="eastAsia"/>
        </w:rPr>
        <w:instrText xml:space="preserve">REF 设备位置 \h</w:instrText>
      </w:r>
      <w:r>
        <w:instrText xml:space="preserve">  \* MERGEFORMAT </w:instrText>
      </w:r>
      <w:r>
        <w:fldChar w:fldCharType="separate"/>
      </w:r>
      <w:r>
        <w:rPr>
          <w:rFonts w:hint="eastAsia"/>
          <w:lang w:eastAsia="zh-CN"/>
        </w:rPr>
        <w:t>畴阳河大桥</w:t>
      </w:r>
      <w:r>
        <w:fldChar w:fldCharType="end"/>
      </w:r>
      <w:r>
        <w:rPr>
          <w:rFonts w:hint="eastAsia"/>
        </w:rPr>
        <w:t>施工区域配1台</w:t>
      </w:r>
      <w:r>
        <w:t>10</w:t>
      </w:r>
      <w:r>
        <w:rPr>
          <w:rFonts w:hint="eastAsia"/>
        </w:rPr>
        <w:t>00kVA变压器和一台</w:t>
      </w:r>
      <w:r>
        <w:t>30</w:t>
      </w:r>
      <w:r>
        <w:rPr>
          <w:rFonts w:hint="eastAsia"/>
        </w:rPr>
        <w:t>0kW发电机，配备二级配电箱，用电终端配三级配电箱，供电线经PVC管保护地埋敷设。</w:t>
      </w:r>
    </w:p>
    <w:p>
      <w:pPr>
        <w:ind w:firstLine="480"/>
      </w:pPr>
      <w:r>
        <w:rPr>
          <w:rFonts w:hint="eastAsia"/>
        </w:rPr>
        <w:t>供电线路严格按照三相五线配电原则，三级配电箱为“一机一闸一箱一漏保”开关箱，布置在用电设备3m范围内，临时配电箱防护严格按标准图加工定制，二级配电箱均采用配电箱防护棚进行保护，严禁非专业人员私拉乱接电线。</w:t>
      </w:r>
    </w:p>
    <w:p>
      <w:pPr>
        <w:numPr>
          <w:ilvl w:val="0"/>
          <w:numId w:val="24"/>
        </w:numPr>
        <w:ind w:firstLineChars="0"/>
      </w:pPr>
      <w:r>
        <w:rPr>
          <w:rFonts w:hint="eastAsia"/>
        </w:rPr>
        <w:t>人员准备</w:t>
      </w:r>
    </w:p>
    <w:p>
      <w:pPr>
        <w:ind w:firstLine="480"/>
      </w:pPr>
      <w:r>
        <w:rPr>
          <w:rFonts w:hint="eastAsia"/>
        </w:rPr>
        <w:t>施工涉及的特种作业人员应持证上岗，施工前进行吊装演练。</w:t>
      </w:r>
    </w:p>
    <w:p>
      <w:pPr>
        <w:pStyle w:val="3"/>
      </w:pPr>
      <w:bookmarkStart w:id="96" w:name="_Toc7403"/>
      <w:bookmarkStart w:id="97" w:name="_Toc13629"/>
      <w:r>
        <w:rPr>
          <w:rFonts w:hint="eastAsia"/>
        </w:rPr>
        <w:t>施工工艺流程图</w:t>
      </w:r>
      <w:bookmarkEnd w:id="96"/>
    </w:p>
    <w:p>
      <w:pPr>
        <w:ind w:firstLine="480"/>
      </w:pPr>
      <w:r>
        <w:fldChar w:fldCharType="begin"/>
      </w:r>
      <w:r>
        <w:instrText xml:space="preserve"> REF 设备类型 \h  \* MERGEFORMAT </w:instrText>
      </w:r>
      <w:r>
        <w:fldChar w:fldCharType="separate"/>
      </w:r>
      <w:r>
        <w:rPr>
          <w:rFonts w:hint="eastAsia"/>
        </w:rPr>
        <w:t>塔式起重机</w:t>
      </w:r>
      <w:r>
        <w:fldChar w:fldCharType="end"/>
      </w:r>
      <w:r>
        <w:rPr>
          <w:rFonts w:hint="eastAsia"/>
        </w:rPr>
        <w:t>安装工艺流程图如</w:t>
      </w:r>
      <w:r>
        <w:fldChar w:fldCharType="begin"/>
      </w:r>
      <w:r>
        <w:instrText xml:space="preserve"> </w:instrText>
      </w:r>
      <w:r>
        <w:rPr>
          <w:rFonts w:hint="eastAsia"/>
        </w:rPr>
        <w:instrText xml:space="preserve">REF _Ref123658448 \h</w:instrText>
      </w:r>
      <w:r>
        <w:instrText xml:space="preserve"> </w:instrText>
      </w:r>
      <w:r>
        <w:fldChar w:fldCharType="separate"/>
      </w:r>
      <w:r>
        <w:rPr>
          <w:rFonts w:hint="eastAsia"/>
        </w:rPr>
        <w:t>图</w:t>
      </w:r>
      <w:r>
        <w:t>4.4</w:t>
      </w:r>
      <w:r>
        <w:rPr>
          <w:rFonts w:hint="eastAsia"/>
        </w:rPr>
        <w:t>-</w:t>
      </w:r>
      <w:r>
        <w:t>1</w:t>
      </w:r>
      <w:r>
        <w:fldChar w:fldCharType="end"/>
      </w:r>
      <w:r>
        <w:rPr>
          <w:rFonts w:hint="eastAsia"/>
        </w:rPr>
        <w:t>所示。</w:t>
      </w:r>
    </w:p>
    <w:p>
      <w:pPr>
        <w:pStyle w:val="117"/>
        <w:rPr>
          <w:highlight w:val="yellow"/>
        </w:rPr>
      </w:pPr>
      <w:r>
        <w:drawing>
          <wp:inline distT="0" distB="0" distL="114300" distR="114300">
            <wp:extent cx="5177155" cy="2492375"/>
            <wp:effectExtent l="0" t="0" r="4445" b="6985"/>
            <wp:docPr id="1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1"/>
                    <pic:cNvPicPr>
                      <a:picLocks noChangeAspect="1"/>
                    </pic:cNvPicPr>
                  </pic:nvPicPr>
                  <pic:blipFill>
                    <a:blip r:embed="rId31"/>
                    <a:stretch>
                      <a:fillRect/>
                    </a:stretch>
                  </pic:blipFill>
                  <pic:spPr>
                    <a:xfrm>
                      <a:off x="0" y="0"/>
                      <a:ext cx="5177155" cy="2492375"/>
                    </a:xfrm>
                    <a:prstGeom prst="rect">
                      <a:avLst/>
                    </a:prstGeom>
                    <a:noFill/>
                    <a:ln>
                      <a:noFill/>
                    </a:ln>
                  </pic:spPr>
                </pic:pic>
              </a:graphicData>
            </a:graphic>
          </wp:inline>
        </w:drawing>
      </w:r>
    </w:p>
    <w:p>
      <w:pPr>
        <w:pStyle w:val="116"/>
      </w:pPr>
      <w:bookmarkStart w:id="98" w:name="_Ref123658448"/>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4.4</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2 </w:instrText>
      </w:r>
      <w:r>
        <w:fldChar w:fldCharType="separate"/>
      </w:r>
      <w:r>
        <w:t>1</w:t>
      </w:r>
      <w:r>
        <w:fldChar w:fldCharType="end"/>
      </w:r>
      <w:bookmarkEnd w:id="98"/>
      <w:r>
        <w:rPr>
          <w:rFonts w:hint="eastAsia"/>
        </w:rPr>
        <w:t xml:space="preserve"> </w:t>
      </w:r>
      <w:r>
        <w:fldChar w:fldCharType="begin"/>
      </w:r>
      <w:r>
        <w:instrText xml:space="preserve"> </w:instrText>
      </w:r>
      <w:r>
        <w:rPr>
          <w:rFonts w:hint="eastAsia"/>
        </w:rPr>
        <w:instrText xml:space="preserve">REF 设备型号1 \h</w:instrText>
      </w:r>
      <w:r>
        <w:instrText xml:space="preserve"> </w:instrText>
      </w:r>
      <w:r>
        <w:fldChar w:fldCharType="separate"/>
      </w:r>
      <w:r>
        <w:rPr>
          <w:rFonts w:hint="eastAsia"/>
          <w:lang w:eastAsia="zh-CN"/>
        </w:rPr>
        <w:t>XGT6515-10S</w:t>
      </w:r>
      <w:r>
        <w:fldChar w:fldCharType="end"/>
      </w:r>
      <w:r>
        <w:fldChar w:fldCharType="begin"/>
      </w:r>
      <w:r>
        <w:instrText xml:space="preserve"> REF 设备类型 \h  \* MERGEFORMAT </w:instrText>
      </w:r>
      <w:r>
        <w:fldChar w:fldCharType="separate"/>
      </w:r>
      <w:r>
        <w:rPr>
          <w:rFonts w:hint="eastAsia"/>
        </w:rPr>
        <w:t>塔式起重机</w:t>
      </w:r>
      <w:r>
        <w:fldChar w:fldCharType="end"/>
      </w:r>
      <w:r>
        <w:rPr>
          <w:rFonts w:hint="eastAsia"/>
        </w:rPr>
        <w:t>安装工艺流程图</w:t>
      </w:r>
    </w:p>
    <w:p>
      <w:pPr>
        <w:ind w:firstLine="480"/>
      </w:pPr>
      <w:r>
        <w:fldChar w:fldCharType="begin"/>
      </w:r>
      <w:r>
        <w:instrText xml:space="preserve"> REF 设备类型 \h  \* MERGEFORMAT </w:instrText>
      </w:r>
      <w:r>
        <w:fldChar w:fldCharType="separate"/>
      </w:r>
      <w:r>
        <w:rPr>
          <w:rFonts w:hint="eastAsia"/>
        </w:rPr>
        <w:t>塔式起重机</w:t>
      </w:r>
      <w:r>
        <w:fldChar w:fldCharType="end"/>
      </w:r>
      <w:r>
        <w:rPr>
          <w:rFonts w:hint="eastAsia"/>
        </w:rPr>
        <w:t>拆除</w:t>
      </w:r>
      <w:r>
        <w:t>工艺</w:t>
      </w:r>
      <w:r>
        <w:rPr>
          <w:rFonts w:hint="eastAsia"/>
        </w:rPr>
        <w:t>流程图如</w:t>
      </w:r>
      <w:r>
        <w:fldChar w:fldCharType="begin"/>
      </w:r>
      <w:r>
        <w:instrText xml:space="preserve"> REF _Ref123658453 \h </w:instrText>
      </w:r>
      <w:r>
        <w:fldChar w:fldCharType="separate"/>
      </w:r>
      <w:r>
        <w:rPr>
          <w:rFonts w:hint="eastAsia"/>
        </w:rPr>
        <w:t>图</w:t>
      </w:r>
      <w:r>
        <w:t>4.4</w:t>
      </w:r>
      <w:r>
        <w:rPr>
          <w:rFonts w:hint="eastAsia"/>
        </w:rPr>
        <w:t>-</w:t>
      </w:r>
      <w:r>
        <w:t>2</w:t>
      </w:r>
      <w:r>
        <w:fldChar w:fldCharType="end"/>
      </w:r>
      <w:r>
        <w:rPr>
          <w:rFonts w:hint="eastAsia"/>
        </w:rPr>
        <w:t>所示。</w:t>
      </w:r>
    </w:p>
    <w:p>
      <w:pPr>
        <w:pStyle w:val="117"/>
      </w:pPr>
      <w:r>
        <w:object>
          <v:shape id="_x0000_i1025" o:spt="75" type="#_x0000_t75" style="height:661.3pt;width:142.35pt;" o:ole="t" filled="f" o:preferrelative="t" stroked="f" coordsize="21600,21600">
            <v:path/>
            <v:fill on="f" focussize="0,0"/>
            <v:stroke on="f" joinstyle="miter"/>
            <v:imagedata r:id="rId33" o:title=""/>
            <o:lock v:ext="edit" aspectratio="t"/>
            <w10:wrap type="none"/>
            <w10:anchorlock/>
          </v:shape>
          <o:OLEObject Type="Embed" ProgID="Visio.Drawing.15" ShapeID="_x0000_i1025" DrawAspect="Content" ObjectID="_1468075725" r:id="rId32">
            <o:LockedField>false</o:LockedField>
          </o:OLEObject>
        </w:object>
      </w:r>
    </w:p>
    <w:p>
      <w:pPr>
        <w:pStyle w:val="116"/>
      </w:pPr>
      <w:bookmarkStart w:id="99" w:name="_Ref123658453"/>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4.4</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2 </w:instrText>
      </w:r>
      <w:r>
        <w:fldChar w:fldCharType="separate"/>
      </w:r>
      <w:r>
        <w:t>2</w:t>
      </w:r>
      <w:r>
        <w:fldChar w:fldCharType="end"/>
      </w:r>
      <w:bookmarkEnd w:id="99"/>
      <w:r>
        <w:rPr>
          <w:rFonts w:hint="eastAsia"/>
        </w:rPr>
        <w:t xml:space="preserve"> </w:t>
      </w:r>
      <w:r>
        <w:fldChar w:fldCharType="begin"/>
      </w:r>
      <w:r>
        <w:instrText xml:space="preserve"> </w:instrText>
      </w:r>
      <w:r>
        <w:rPr>
          <w:rFonts w:hint="eastAsia"/>
        </w:rPr>
        <w:instrText xml:space="preserve">REF 设备型号1 \h</w:instrText>
      </w:r>
      <w:r>
        <w:instrText xml:space="preserve"> </w:instrText>
      </w:r>
      <w:r>
        <w:fldChar w:fldCharType="separate"/>
      </w:r>
      <w:r>
        <w:rPr>
          <w:rFonts w:hint="eastAsia"/>
          <w:lang w:eastAsia="zh-CN"/>
        </w:rPr>
        <w:t>XGT6515-10S</w:t>
      </w:r>
      <w:r>
        <w:fldChar w:fldCharType="end"/>
      </w:r>
      <w:r>
        <w:fldChar w:fldCharType="begin"/>
      </w:r>
      <w:r>
        <w:instrText xml:space="preserve"> REF 设备类型 \h  \* MERGEFORMAT </w:instrText>
      </w:r>
      <w:r>
        <w:fldChar w:fldCharType="separate"/>
      </w:r>
      <w:r>
        <w:rPr>
          <w:rFonts w:hint="eastAsia"/>
        </w:rPr>
        <w:t>塔式起重机</w:t>
      </w:r>
      <w:r>
        <w:fldChar w:fldCharType="end"/>
      </w:r>
      <w:r>
        <w:rPr>
          <w:rFonts w:hint="eastAsia"/>
        </w:rPr>
        <w:t>拆除工艺流程图</w:t>
      </w:r>
    </w:p>
    <w:p>
      <w:pPr>
        <w:pStyle w:val="3"/>
      </w:pPr>
      <w:bookmarkStart w:id="100" w:name="_Toc4357"/>
      <w:r>
        <w:rPr>
          <w:rFonts w:hint="eastAsia"/>
        </w:rPr>
        <w:t>施工方法</w:t>
      </w:r>
      <w:bookmarkEnd w:id="100"/>
    </w:p>
    <w:p>
      <w:pPr>
        <w:ind w:firstLine="480"/>
      </w:pPr>
      <w:r>
        <w:rPr>
          <w:rFonts w:hint="eastAsia"/>
        </w:rPr>
        <w:t>由于</w:t>
      </w:r>
      <w:r>
        <w:rPr>
          <w:rFonts w:hint="eastAsia"/>
          <w:lang w:val="en-US" w:eastAsia="zh-CN"/>
        </w:rPr>
        <w:t>4台</w:t>
      </w:r>
      <w:r>
        <w:fldChar w:fldCharType="begin"/>
      </w:r>
      <w:r>
        <w:instrText xml:space="preserve"> REF 设备型号1 \h </w:instrText>
      </w:r>
      <w:r>
        <w:fldChar w:fldCharType="separate"/>
      </w:r>
      <w:r>
        <w:rPr>
          <w:rFonts w:hint="eastAsia"/>
          <w:lang w:eastAsia="zh-CN"/>
        </w:rPr>
        <w:t>XGT6515-10S</w:t>
      </w:r>
      <w:r>
        <w:fldChar w:fldCharType="end"/>
      </w:r>
      <w:r>
        <w:fldChar w:fldCharType="begin"/>
      </w:r>
      <w:r>
        <w:instrText xml:space="preserve"> REF 设备类型 \h </w:instrText>
      </w:r>
      <w:r>
        <w:fldChar w:fldCharType="separate"/>
      </w:r>
      <w:r>
        <w:rPr>
          <w:rFonts w:hint="eastAsia"/>
        </w:rPr>
        <w:t>塔式起重机</w:t>
      </w:r>
      <w:r>
        <w:fldChar w:fldCharType="end"/>
      </w:r>
      <w:r>
        <w:rPr>
          <w:rFonts w:hint="eastAsia"/>
        </w:rPr>
        <w:t>安装流程与方法类似，因此本节仅以</w:t>
      </w:r>
      <w:r>
        <w:rPr>
          <w:rFonts w:hint="eastAsia"/>
          <w:lang w:val="en-US" w:eastAsia="zh-CN"/>
        </w:rPr>
        <w:t>左8#墩#</w:t>
      </w:r>
      <w:r>
        <w:fldChar w:fldCharType="begin"/>
      </w:r>
      <w:r>
        <w:instrText xml:space="preserve"> REF 设备型号1 \h </w:instrText>
      </w:r>
      <w:r>
        <w:fldChar w:fldCharType="separate"/>
      </w:r>
      <w:r>
        <w:rPr>
          <w:rFonts w:hint="eastAsia"/>
          <w:lang w:eastAsia="zh-CN"/>
        </w:rPr>
        <w:t>XGT6515-10S</w:t>
      </w:r>
      <w:r>
        <w:fldChar w:fldCharType="end"/>
      </w:r>
      <w:r>
        <w:fldChar w:fldCharType="begin"/>
      </w:r>
      <w:r>
        <w:instrText xml:space="preserve"> REF 设备类型 \h </w:instrText>
      </w:r>
      <w:r>
        <w:fldChar w:fldCharType="separate"/>
      </w:r>
      <w:r>
        <w:rPr>
          <w:rFonts w:hint="eastAsia"/>
        </w:rPr>
        <w:t>塔式起重机</w:t>
      </w:r>
      <w:r>
        <w:fldChar w:fldCharType="end"/>
      </w:r>
      <w:r>
        <w:rPr>
          <w:rFonts w:hint="eastAsia"/>
        </w:rPr>
        <w:t>安装拆除为例进行介绍。</w:t>
      </w:r>
    </w:p>
    <w:bookmarkEnd w:id="97"/>
    <w:p>
      <w:pPr>
        <w:pStyle w:val="4"/>
      </w:pPr>
      <w:r>
        <w:rPr>
          <w:rFonts w:hint="eastAsia"/>
        </w:rPr>
        <w:t>设备安装方法</w:t>
      </w:r>
    </w:p>
    <w:p>
      <w:pPr>
        <w:pStyle w:val="5"/>
        <w:bidi w:val="0"/>
        <w:rPr>
          <w:rFonts w:hint="eastAsia"/>
        </w:rPr>
      </w:pPr>
      <w:r>
        <w:rPr>
          <w:rFonts w:hint="eastAsia"/>
        </w:rPr>
        <w:t>基础验收</w:t>
      </w:r>
    </w:p>
    <w:p>
      <w:pPr>
        <w:spacing w:after="120" w:afterLines="50" w:line="300" w:lineRule="auto"/>
        <w:ind w:firstLine="480"/>
        <w:jc w:val="left"/>
        <w:rPr>
          <w:rFonts w:hint="eastAsia" w:ascii="宋体" w:hAnsi="宋体" w:eastAsia="宋体" w:cs="宋体"/>
          <w:bCs/>
          <w:color w:val="000000"/>
          <w:szCs w:val="24"/>
        </w:rPr>
      </w:pPr>
      <w:r>
        <w:rPr>
          <w:rFonts w:hint="eastAsia" w:ascii="宋体" w:hAnsi="宋体" w:eastAsia="宋体" w:cs="宋体"/>
          <w:bCs/>
          <w:color w:val="000000"/>
          <w:szCs w:val="24"/>
        </w:rPr>
        <w:t>检查基础验收表上凝泥土强度是否达到设计强度（C</w:t>
      </w:r>
      <w:r>
        <w:rPr>
          <w:rFonts w:hint="eastAsia" w:ascii="宋体" w:hAnsi="宋体" w:eastAsia="宋体" w:cs="宋体"/>
          <w:bCs/>
          <w:color w:val="000000"/>
          <w:szCs w:val="24"/>
          <w:lang w:val="en-US" w:eastAsia="zh-CN"/>
        </w:rPr>
        <w:t>40</w:t>
      </w:r>
      <w:r>
        <w:rPr>
          <w:rFonts w:hint="eastAsia" w:ascii="宋体" w:hAnsi="宋体" w:eastAsia="宋体" w:cs="宋体"/>
          <w:bCs/>
          <w:color w:val="000000"/>
          <w:szCs w:val="24"/>
        </w:rPr>
        <w:t>）的80%以上。支设水准仪，观测基础预埋件四角点水平度最大偏差不大于2mm。确认上述数据合格后方可进行下一步安装。</w:t>
      </w:r>
    </w:p>
    <w:p>
      <w:pPr>
        <w:pStyle w:val="5"/>
        <w:bidi w:val="0"/>
        <w:rPr>
          <w:rFonts w:hint="eastAsia"/>
        </w:rPr>
      </w:pPr>
      <w:r>
        <w:rPr>
          <w:rFonts w:hint="eastAsia"/>
          <w:lang w:val="en-US" w:eastAsia="zh-CN"/>
        </w:rPr>
        <w:t>XGT6515-10S</w:t>
      </w:r>
      <w:r>
        <w:rPr>
          <w:rFonts w:hint="eastAsia"/>
        </w:rPr>
        <w:t>安装基础节及标准节</w:t>
      </w:r>
    </w:p>
    <w:p>
      <w:pPr>
        <w:spacing w:after="120" w:afterLines="50" w:line="360" w:lineRule="auto"/>
        <w:ind w:firstLine="480"/>
        <w:jc w:val="left"/>
        <w:rPr>
          <w:rFonts w:hint="eastAsia" w:ascii="宋体" w:hAnsi="宋体" w:eastAsia="宋体" w:cs="宋体"/>
          <w:szCs w:val="24"/>
        </w:rPr>
      </w:pPr>
      <w:r>
        <w:rPr>
          <w:rFonts w:hint="eastAsia" w:ascii="宋体" w:hAnsi="宋体" w:eastAsia="宋体" w:cs="宋体"/>
          <w:szCs w:val="24"/>
        </w:rPr>
        <w:t>塔机初次安装</w:t>
      </w:r>
      <w:r>
        <w:rPr>
          <w:rFonts w:hint="eastAsia" w:ascii="宋体" w:hAnsi="宋体" w:eastAsia="宋体" w:cs="宋体"/>
          <w:szCs w:val="24"/>
          <w:lang w:val="en-US" w:eastAsia="zh-CN"/>
        </w:rPr>
        <w:t>1</w:t>
      </w:r>
      <w:r>
        <w:rPr>
          <w:rFonts w:hint="eastAsia" w:ascii="宋体" w:hAnsi="宋体" w:eastAsia="宋体" w:cs="宋体"/>
          <w:szCs w:val="24"/>
        </w:rPr>
        <w:t>节基础节</w:t>
      </w:r>
      <w:r>
        <w:rPr>
          <w:rFonts w:hint="eastAsia" w:ascii="宋体" w:hAnsi="宋体" w:eastAsia="宋体" w:cs="宋体"/>
          <w:szCs w:val="24"/>
          <w:lang w:val="en-US" w:eastAsia="zh-CN"/>
        </w:rPr>
        <w:t>与1节标准节</w:t>
      </w:r>
      <w:r>
        <w:rPr>
          <w:rFonts w:hint="eastAsia" w:ascii="宋体" w:hAnsi="宋体" w:eastAsia="宋体" w:cs="宋体"/>
          <w:szCs w:val="24"/>
        </w:rPr>
        <w:t>。</w:t>
      </w:r>
    </w:p>
    <w:p>
      <w:pPr>
        <w:spacing w:after="120" w:afterLines="50" w:line="360" w:lineRule="auto"/>
        <w:ind w:firstLine="480"/>
        <w:jc w:val="left"/>
        <w:rPr>
          <w:rFonts w:hint="eastAsia" w:ascii="宋体" w:hAnsi="宋体" w:eastAsia="宋体" w:cs="宋体"/>
          <w:szCs w:val="24"/>
        </w:rPr>
      </w:pPr>
      <w:r>
        <w:rPr>
          <w:rFonts w:hint="eastAsia" w:ascii="宋体" w:hAnsi="宋体" w:eastAsia="宋体" w:cs="宋体"/>
          <w:szCs w:val="24"/>
        </w:rPr>
        <w:t>塔身节的安装顺序为安装</w:t>
      </w:r>
      <w:r>
        <w:rPr>
          <w:rFonts w:hint="eastAsia" w:ascii="宋体" w:hAnsi="宋体" w:eastAsia="宋体" w:cs="宋体"/>
          <w:szCs w:val="24"/>
          <w:lang w:val="en-US" w:eastAsia="zh-CN"/>
        </w:rPr>
        <w:t>1</w:t>
      </w:r>
      <w:r>
        <w:rPr>
          <w:rFonts w:hint="eastAsia" w:ascii="宋体" w:hAnsi="宋体" w:eastAsia="宋体" w:cs="宋体"/>
          <w:szCs w:val="24"/>
        </w:rPr>
        <w:t>节基础节</w:t>
      </w:r>
      <w:r>
        <w:rPr>
          <w:rFonts w:hint="eastAsia" w:ascii="宋体" w:hAnsi="宋体" w:eastAsia="宋体" w:cs="宋体"/>
          <w:szCs w:val="24"/>
          <w:lang w:val="en-US" w:eastAsia="zh-CN"/>
        </w:rPr>
        <w:t>与1节标准节</w:t>
      </w:r>
      <w:r>
        <w:rPr>
          <w:rFonts w:hint="eastAsia" w:ascii="宋体" w:hAnsi="宋体" w:eastAsia="宋体" w:cs="宋体"/>
          <w:szCs w:val="24"/>
        </w:rPr>
        <w:t>。</w:t>
      </w:r>
    </w:p>
    <w:p>
      <w:pPr>
        <w:spacing w:after="120" w:afterLines="50" w:line="360" w:lineRule="auto"/>
        <w:ind w:firstLine="480"/>
        <w:jc w:val="left"/>
        <w:rPr>
          <w:rFonts w:hint="eastAsia" w:ascii="宋体" w:hAnsi="宋体" w:eastAsia="宋体" w:cs="宋体"/>
          <w:szCs w:val="24"/>
        </w:rPr>
      </w:pPr>
      <w:r>
        <w:rPr>
          <w:rFonts w:hint="eastAsia" w:ascii="宋体" w:hAnsi="宋体" w:eastAsia="宋体" w:cs="宋体"/>
          <w:bCs/>
          <w:szCs w:val="24"/>
        </w:rPr>
        <w:t>吊装基础节前，将基础节爬梯组装好，爬梯护圈完全展开，准备好基础节与基础预埋件连接的8个基础销、4个立销和4个立销开口销，检查基础节结构及焊缝有无开裂现象，如有异常立即停止安装。用4根6m长直径24mm吊索和四个额定载荷5t的卸扣吊装基础节，将四个卸扣锁在基础节上口四角内侧四个销轴孔上，起吊至基础预埋件上部，将基础节的安装方向调整至与方案制定顶升方向一致，将基础节安装至预埋件上部，用大锤分别打入8个基础销轴至基础销轴的肩头紧贴预埋件外边，锤击基础销前，注意观察基础销上安装立销的孔的方向，以免无法安装立销。分别安装四角的立销及开口销。</w:t>
      </w:r>
    </w:p>
    <w:p>
      <w:pPr>
        <w:widowControl w:val="0"/>
        <w:spacing w:line="312" w:lineRule="auto"/>
        <w:ind w:firstLine="420"/>
        <w:jc w:val="center"/>
        <w:rPr>
          <w:rFonts w:hint="eastAsia" w:ascii="宋体" w:hAnsi="宋体" w:eastAsia="宋体" w:cs="宋体"/>
          <w:kern w:val="2"/>
          <w:sz w:val="28"/>
          <w:szCs w:val="24"/>
          <w:lang w:val="en-US" w:eastAsia="zh-CN" w:bidi="ar-SA"/>
        </w:rPr>
      </w:pPr>
      <w:r>
        <w:drawing>
          <wp:inline distT="0" distB="0" distL="114300" distR="114300">
            <wp:extent cx="4901565" cy="3840480"/>
            <wp:effectExtent l="0" t="0" r="5715" b="0"/>
            <wp:docPr id="5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
                    <pic:cNvPicPr>
                      <a:picLocks noChangeAspect="1"/>
                    </pic:cNvPicPr>
                  </pic:nvPicPr>
                  <pic:blipFill>
                    <a:blip r:embed="rId34"/>
                    <a:stretch>
                      <a:fillRect/>
                    </a:stretch>
                  </pic:blipFill>
                  <pic:spPr>
                    <a:xfrm>
                      <a:off x="0" y="0"/>
                      <a:ext cx="4901565" cy="3840480"/>
                    </a:xfrm>
                    <a:prstGeom prst="rect">
                      <a:avLst/>
                    </a:prstGeom>
                    <a:noFill/>
                    <a:ln>
                      <a:noFill/>
                    </a:ln>
                  </pic:spPr>
                </pic:pic>
              </a:graphicData>
            </a:graphic>
          </wp:inline>
        </w:drawing>
      </w:r>
    </w:p>
    <w:p>
      <w:pPr>
        <w:spacing w:after="120" w:afterLines="50" w:line="300" w:lineRule="auto"/>
        <w:ind w:firstLine="482"/>
        <w:jc w:val="center"/>
        <w:rPr>
          <w:rFonts w:hint="eastAsia" w:ascii="宋体" w:hAnsi="宋体" w:eastAsia="宋体" w:cs="宋体"/>
          <w:b w:val="0"/>
          <w:bCs w:val="0"/>
          <w:color w:val="000000"/>
          <w:szCs w:val="24"/>
          <w:lang w:val="en-US" w:eastAsia="zh-CN"/>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lang w:val="en-US" w:eastAsia="zh-CN"/>
        </w:rPr>
        <w:t>5</w:t>
      </w:r>
      <w:r>
        <w:fldChar w:fldCharType="end"/>
      </w:r>
      <w:r>
        <w:rPr>
          <w:rFonts w:hint="eastAsia"/>
        </w:rPr>
        <w:t>-</w:t>
      </w:r>
      <w:r>
        <w:rPr>
          <w:rFonts w:hint="eastAsia"/>
          <w:lang w:val="en-US" w:eastAsia="zh-CN"/>
        </w:rPr>
        <w:t>1</w:t>
      </w:r>
      <w:r>
        <w:rPr>
          <w:rFonts w:hint="eastAsia" w:ascii="宋体" w:hAnsi="宋体" w:eastAsia="宋体" w:cs="宋体"/>
          <w:b w:val="0"/>
          <w:bCs w:val="0"/>
          <w:szCs w:val="24"/>
        </w:rPr>
        <w:t xml:space="preserve"> 安装塔身节、套架、过渡节、回转总成等平面示意图</w:t>
      </w:r>
    </w:p>
    <w:p>
      <w:pPr>
        <w:pStyle w:val="5"/>
        <w:bidi w:val="0"/>
        <w:rPr>
          <w:rFonts w:hint="eastAsia" w:ascii="宋体" w:hAnsi="宋体" w:eastAsia="宋体" w:cs="宋体"/>
          <w:bCs/>
          <w:color w:val="000000"/>
          <w:szCs w:val="24"/>
        </w:rPr>
      </w:pPr>
      <w:r>
        <w:rPr>
          <w:rFonts w:hint="eastAsia" w:ascii="宋体" w:hAnsi="宋体" w:eastAsia="宋体" w:cs="宋体"/>
          <w:szCs w:val="24"/>
        </w:rPr>
        <w:t>安装爬升架</w:t>
      </w:r>
    </w:p>
    <w:p>
      <w:pPr>
        <w:spacing w:after="120" w:afterLines="50" w:line="360" w:lineRule="auto"/>
        <w:ind w:firstLine="480" w:firstLineChars="0"/>
        <w:jc w:val="left"/>
        <w:rPr>
          <w:rFonts w:hint="eastAsia" w:ascii="宋体" w:hAnsi="宋体" w:eastAsia="宋体" w:cs="宋体"/>
          <w:szCs w:val="24"/>
        </w:rPr>
      </w:pPr>
      <w:r>
        <w:rPr>
          <w:rFonts w:hint="eastAsia" w:ascii="宋体" w:hAnsi="宋体" w:eastAsia="宋体" w:cs="宋体"/>
          <w:szCs w:val="24"/>
        </w:rPr>
        <w:t>检查爬升架的爬梯、爬升滚轮、爬升换步挂板、爬升架的结构及油缸等爬升架所有结构的连接情况及结构有无开裂、开焊等异常情况，如有异常，应立即停止安装，向技术人员反映异常情况。</w:t>
      </w:r>
    </w:p>
    <w:p>
      <w:pPr>
        <w:spacing w:after="120" w:afterLines="50" w:line="360" w:lineRule="auto"/>
        <w:ind w:firstLine="480" w:firstLineChars="0"/>
        <w:jc w:val="left"/>
        <w:rPr>
          <w:rFonts w:hint="eastAsia" w:ascii="宋体" w:hAnsi="宋体" w:eastAsia="宋体" w:cs="宋体"/>
          <w:szCs w:val="24"/>
        </w:rPr>
      </w:pPr>
      <w:r>
        <w:rPr>
          <w:rFonts w:hint="eastAsia" w:ascii="宋体" w:hAnsi="宋体" w:eastAsia="宋体" w:cs="宋体"/>
          <w:szCs w:val="24"/>
        </w:rPr>
        <w:t>将爬升架的作业平台分别安装在爬升架的平台安装座内，将平台护栏安装在平台的栏杆座内，并安装好开口销，护栏与护栏之间，安装好休息平台夹板。</w:t>
      </w:r>
    </w:p>
    <w:p>
      <w:pPr>
        <w:spacing w:after="120" w:afterLines="50" w:line="360" w:lineRule="auto"/>
        <w:ind w:firstLine="480" w:firstLineChars="0"/>
        <w:jc w:val="left"/>
        <w:rPr>
          <w:rFonts w:hint="eastAsia" w:ascii="宋体" w:hAnsi="宋体" w:eastAsia="宋体" w:cs="宋体"/>
          <w:szCs w:val="24"/>
        </w:rPr>
      </w:pPr>
      <w:r>
        <w:rPr>
          <w:rFonts w:hint="eastAsia" w:ascii="宋体" w:hAnsi="宋体" w:eastAsia="宋体" w:cs="宋体"/>
          <w:szCs w:val="24"/>
        </w:rPr>
        <w:t>用4根6m长直径24mm吊索和四个额定载荷5t的卸扣吊装爬升架，将四个卸扣锁在爬升架上口四角与过渡节连接的四个销轴孔上，起吊至标准节上部，调整爬升架的方向与标准节安装的顶升方向一致，缓慢将爬升架安装至标准节上，待爬升架上口低于最上处一节标准节上口时，操作爬升架上的换步挂板，将换步挂板卡在距离换步挂板下部最近的标准节踏步上，注意观察两个换步挂板均应可靠的卡在标准节踏步上，再指挥汽车吊缓慢落钩，完成爬升架的安装。</w:t>
      </w:r>
    </w:p>
    <w:p>
      <w:pPr>
        <w:spacing w:after="120" w:afterLines="50" w:line="300" w:lineRule="auto"/>
        <w:ind w:firstLine="0" w:firstLineChars="0"/>
        <w:jc w:val="center"/>
        <w:rPr>
          <w:rFonts w:hint="eastAsia" w:ascii="宋体" w:hAnsi="宋体" w:eastAsia="宋体" w:cs="宋体"/>
          <w:szCs w:val="24"/>
        </w:rPr>
      </w:pPr>
      <w:r>
        <w:rPr>
          <w:rFonts w:ascii="仿宋" w:hAnsi="仿宋" w:eastAsia="仿宋" w:cs="Times New Roman"/>
          <w:szCs w:val="24"/>
        </w:rPr>
        <w:drawing>
          <wp:inline distT="0" distB="0" distL="114300" distR="114300">
            <wp:extent cx="3863340" cy="5372100"/>
            <wp:effectExtent l="0" t="0" r="7620" b="7620"/>
            <wp:docPr id="15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22"/>
                    <pic:cNvPicPr>
                      <a:picLocks noChangeAspect="1"/>
                    </pic:cNvPicPr>
                  </pic:nvPicPr>
                  <pic:blipFill>
                    <a:blip r:embed="rId35"/>
                    <a:stretch>
                      <a:fillRect/>
                    </a:stretch>
                  </pic:blipFill>
                  <pic:spPr>
                    <a:xfrm>
                      <a:off x="0" y="0"/>
                      <a:ext cx="3863340" cy="5372100"/>
                    </a:xfrm>
                    <a:prstGeom prst="rect">
                      <a:avLst/>
                    </a:prstGeom>
                    <a:noFill/>
                    <a:ln>
                      <a:noFill/>
                    </a:ln>
                  </pic:spPr>
                </pic:pic>
              </a:graphicData>
            </a:graphic>
          </wp:inline>
        </w:drawing>
      </w:r>
    </w:p>
    <w:p>
      <w:pPr>
        <w:tabs>
          <w:tab w:val="left" w:pos="2006"/>
        </w:tabs>
        <w:spacing w:after="0" w:afterLines="0" w:line="240" w:lineRule="auto"/>
        <w:ind w:firstLine="0" w:firstLineChars="0"/>
        <w:jc w:val="center"/>
        <w:rPr>
          <w:rFonts w:hint="eastAsia" w:ascii="宋体" w:hAnsi="宋体" w:eastAsia="宋体" w:cs="宋体"/>
          <w:b w:val="0"/>
          <w:bCs/>
          <w:color w:val="000000"/>
          <w:szCs w:val="24"/>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lang w:val="en-US" w:eastAsia="zh-CN"/>
        </w:rPr>
        <w:t>2</w:t>
      </w:r>
      <w:r>
        <w:rPr>
          <w:rFonts w:hint="eastAsia" w:ascii="宋体" w:hAnsi="宋体" w:eastAsia="宋体" w:cs="宋体"/>
          <w:b w:val="0"/>
          <w:bCs/>
          <w:kern w:val="2"/>
          <w:sz w:val="24"/>
          <w:szCs w:val="24"/>
          <w:lang w:val="en-US" w:eastAsia="zh-CN" w:bidi="ar-SA"/>
        </w:rPr>
        <w:t xml:space="preserve"> </w:t>
      </w:r>
      <w:r>
        <w:rPr>
          <w:rFonts w:hint="eastAsia" w:ascii="宋体" w:hAnsi="宋体" w:eastAsia="宋体" w:cs="宋体"/>
          <w:b w:val="0"/>
          <w:bCs/>
          <w:color w:val="000000"/>
          <w:szCs w:val="24"/>
        </w:rPr>
        <w:t>安装爬升架立面示意图</w:t>
      </w:r>
    </w:p>
    <w:p>
      <w:pPr>
        <w:pStyle w:val="5"/>
        <w:bidi w:val="0"/>
        <w:rPr>
          <w:rFonts w:hint="eastAsia"/>
        </w:rPr>
      </w:pPr>
      <w:r>
        <w:rPr>
          <w:rFonts w:hint="eastAsia"/>
        </w:rPr>
        <w:t>安装过渡节</w:t>
      </w:r>
    </w:p>
    <w:p>
      <w:pPr>
        <w:spacing w:after="120" w:afterLines="50" w:line="360" w:lineRule="auto"/>
        <w:ind w:firstLine="480" w:firstLineChars="0"/>
        <w:jc w:val="left"/>
        <w:rPr>
          <w:rFonts w:hint="eastAsia" w:ascii="宋体" w:hAnsi="宋体" w:eastAsia="宋体" w:cs="宋体"/>
          <w:b w:val="0"/>
          <w:bCs/>
          <w:szCs w:val="24"/>
        </w:rPr>
      </w:pPr>
      <w:r>
        <w:rPr>
          <w:rFonts w:hint="eastAsia" w:ascii="宋体" w:hAnsi="宋体" w:eastAsia="宋体" w:cs="宋体"/>
          <w:b w:val="0"/>
          <w:bCs/>
          <w:szCs w:val="24"/>
        </w:rPr>
        <w:t>安装特殊节，用销轴分别与爬升架连接。然后将引进装置中的一根引进梁用人力抬 入下支座下面，并将引进梁前端抬起用销轴和开口销固定，向下压下引进梁前端使引进梁后端抬起就位后，用销轴和开口销将引进梁后端固定。用同样方法安装另一引进梁。引进装置安好后，再将这一套部件吊起至已安装好的过渡节上方，使引进梁处于顶升套架开口方向，下降整套部件使回转下支座四条支脚插入过渡节鱼尾板内，打入八根φ55×136.5（182）带肩锥头销轴和 4 根φ20×183.5（252）锁销，装上 5×36 开口销，并将开口销充分打开。在地面上，先将上、下支座以及回转机构、回转支承、平台等装为一体，安装到特殊节上。</w:t>
      </w:r>
    </w:p>
    <w:p>
      <w:pPr>
        <w:spacing w:after="120" w:afterLines="50" w:line="300" w:lineRule="auto"/>
        <w:ind w:firstLine="0" w:firstLineChars="0"/>
        <w:jc w:val="center"/>
        <w:rPr>
          <w:rFonts w:hint="eastAsia" w:ascii="宋体" w:hAnsi="宋体" w:eastAsia="宋体" w:cs="宋体"/>
          <w:b w:val="0"/>
          <w:bCs/>
          <w:szCs w:val="24"/>
        </w:rPr>
      </w:pPr>
      <w:r>
        <w:rPr>
          <w:rFonts w:ascii="仿宋" w:hAnsi="仿宋" w:eastAsia="仿宋" w:cs="Times New Roman"/>
          <w:szCs w:val="24"/>
        </w:rPr>
        <w:drawing>
          <wp:inline distT="0" distB="0" distL="114300" distR="114300">
            <wp:extent cx="1996440" cy="5341620"/>
            <wp:effectExtent l="0" t="0" r="0" b="7620"/>
            <wp:docPr id="1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4"/>
                    <pic:cNvPicPr>
                      <a:picLocks noChangeAspect="1"/>
                    </pic:cNvPicPr>
                  </pic:nvPicPr>
                  <pic:blipFill>
                    <a:blip r:embed="rId36"/>
                    <a:stretch>
                      <a:fillRect/>
                    </a:stretch>
                  </pic:blipFill>
                  <pic:spPr>
                    <a:xfrm>
                      <a:off x="0" y="0"/>
                      <a:ext cx="1996440" cy="5341620"/>
                    </a:xfrm>
                    <a:prstGeom prst="rect">
                      <a:avLst/>
                    </a:prstGeom>
                    <a:noFill/>
                    <a:ln>
                      <a:noFill/>
                    </a:ln>
                  </pic:spPr>
                </pic:pic>
              </a:graphicData>
            </a:graphic>
          </wp:inline>
        </w:drawing>
      </w:r>
    </w:p>
    <w:p>
      <w:pPr>
        <w:tabs>
          <w:tab w:val="left" w:pos="2006"/>
        </w:tabs>
        <w:spacing w:after="0" w:afterLines="0" w:line="240" w:lineRule="auto"/>
        <w:ind w:firstLine="0" w:firstLineChars="0"/>
        <w:jc w:val="center"/>
        <w:rPr>
          <w:rFonts w:hint="eastAsia" w:ascii="宋体" w:hAnsi="宋体" w:eastAsia="宋体" w:cs="宋体"/>
          <w:b w:val="0"/>
          <w:bCs/>
          <w:color w:val="000000"/>
          <w:szCs w:val="24"/>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lang w:val="en-US" w:eastAsia="zh-CN"/>
        </w:rPr>
        <w:t>3</w:t>
      </w:r>
      <w:r>
        <w:rPr>
          <w:rFonts w:hint="eastAsia" w:ascii="宋体" w:hAnsi="宋体" w:eastAsia="宋体" w:cs="宋体"/>
          <w:b w:val="0"/>
          <w:bCs/>
          <w:color w:val="000000"/>
          <w:szCs w:val="24"/>
        </w:rPr>
        <w:t xml:space="preserve"> 安装</w:t>
      </w:r>
      <w:r>
        <w:rPr>
          <w:rFonts w:hint="eastAsia" w:ascii="宋体" w:hAnsi="宋体" w:eastAsia="宋体" w:cs="宋体"/>
          <w:b w:val="0"/>
          <w:bCs/>
          <w:szCs w:val="24"/>
        </w:rPr>
        <w:t>特殊节</w:t>
      </w:r>
      <w:r>
        <w:rPr>
          <w:rFonts w:hint="eastAsia" w:ascii="宋体" w:hAnsi="宋体" w:eastAsia="宋体" w:cs="宋体"/>
          <w:b w:val="0"/>
          <w:bCs/>
          <w:color w:val="000000"/>
          <w:szCs w:val="24"/>
        </w:rPr>
        <w:t>立面图</w:t>
      </w:r>
    </w:p>
    <w:p>
      <w:pPr>
        <w:pStyle w:val="5"/>
        <w:bidi w:val="0"/>
        <w:rPr>
          <w:rFonts w:hint="eastAsia"/>
        </w:rPr>
      </w:pPr>
      <w:r>
        <w:rPr>
          <w:rFonts w:hint="eastAsia"/>
        </w:rPr>
        <w:t>安装回转总成（含司机室）</w:t>
      </w:r>
    </w:p>
    <w:p>
      <w:pPr>
        <w:spacing w:after="120" w:afterLines="50" w:line="360" w:lineRule="auto"/>
        <w:ind w:firstLine="480" w:firstLineChars="0"/>
        <w:jc w:val="left"/>
        <w:rPr>
          <w:rFonts w:hint="eastAsia" w:ascii="宋体" w:hAnsi="宋体" w:eastAsia="宋体" w:cs="宋体"/>
          <w:b w:val="0"/>
          <w:bCs/>
          <w:szCs w:val="24"/>
        </w:rPr>
      </w:pPr>
      <w:r>
        <w:rPr>
          <w:rFonts w:hint="eastAsia" w:ascii="宋体" w:hAnsi="宋体" w:eastAsia="宋体" w:cs="宋体"/>
          <w:b w:val="0"/>
          <w:bCs/>
          <w:szCs w:val="24"/>
        </w:rPr>
        <w:t>回转总成包括回转下支座、回转支承、上支座、回转机构、回转限位装置、司机室、电控柜、电阻柜和平台组成。出厂时，回转上下支座、回转支承、回转机构、回转限位装置已组装好，设备转场不将上下支座与回转支承拆散。</w:t>
      </w:r>
    </w:p>
    <w:p>
      <w:pPr>
        <w:spacing w:after="120" w:afterLines="50" w:line="360" w:lineRule="auto"/>
        <w:ind w:firstLine="480" w:firstLineChars="0"/>
        <w:jc w:val="left"/>
        <w:rPr>
          <w:rFonts w:hint="eastAsia" w:ascii="宋体" w:hAnsi="宋体" w:eastAsia="宋体" w:cs="宋体"/>
          <w:b w:val="0"/>
          <w:bCs/>
          <w:szCs w:val="24"/>
        </w:rPr>
      </w:pPr>
      <w:r>
        <w:rPr>
          <w:rFonts w:hint="eastAsia" w:ascii="宋体" w:hAnsi="宋体" w:eastAsia="宋体" w:cs="宋体"/>
          <w:b w:val="0"/>
          <w:bCs/>
          <w:szCs w:val="24"/>
        </w:rPr>
        <w:t>将平台安装在回转总成上，销轴安装好并装好开口销，平台护栏按尺寸安装在平台的护栏安装座上，将开口销安装好。用4根6m长直径24mm吊索和四个额定载荷1t的卸扣吊装司机室，将司机室安装在回转总成的驾驶室安装位置，安装好司机室与回转总成连接的所有销轴，并安装好开口销。将电控柜及电阻柜依次安装于回转总成上的专用位置，并安装好所有的固定螺栓。</w:t>
      </w:r>
    </w:p>
    <w:p>
      <w:pPr>
        <w:spacing w:after="120" w:afterLines="50" w:line="360" w:lineRule="auto"/>
        <w:ind w:firstLine="480" w:firstLineChars="0"/>
        <w:jc w:val="left"/>
        <w:rPr>
          <w:rFonts w:hint="eastAsia" w:ascii="宋体" w:hAnsi="宋体" w:eastAsia="宋体" w:cs="宋体"/>
          <w:b w:val="0"/>
          <w:bCs/>
          <w:szCs w:val="24"/>
        </w:rPr>
      </w:pPr>
      <w:r>
        <w:rPr>
          <w:rFonts w:hint="eastAsia" w:ascii="宋体" w:hAnsi="宋体" w:eastAsia="宋体" w:cs="宋体"/>
          <w:b w:val="0"/>
          <w:bCs/>
          <w:szCs w:val="24"/>
        </w:rPr>
        <w:t>吊装前，检查组装好的回转总成上所有结构及焊缝有无异常，如有异常立即停止安装。准备好过渡节与回转总成连接的8个标准销轴、立销及开口销。</w:t>
      </w:r>
    </w:p>
    <w:p>
      <w:pPr>
        <w:spacing w:after="120" w:afterLines="50" w:line="360" w:lineRule="auto"/>
        <w:ind w:firstLine="480" w:firstLineChars="0"/>
        <w:jc w:val="left"/>
        <w:rPr>
          <w:rFonts w:hint="eastAsia" w:ascii="宋体" w:hAnsi="宋体" w:eastAsia="宋体" w:cs="宋体"/>
          <w:b w:val="0"/>
          <w:bCs/>
          <w:color w:val="000000"/>
          <w:szCs w:val="24"/>
        </w:rPr>
      </w:pPr>
      <w:r>
        <w:rPr>
          <w:rFonts w:hint="eastAsia" w:ascii="宋体" w:hAnsi="宋体" w:eastAsia="宋体" w:cs="宋体"/>
          <w:b w:val="0"/>
          <w:bCs/>
          <w:szCs w:val="24"/>
        </w:rPr>
        <w:t>用4根6m长直径24mm吊索和四个额定载荷5t的卸扣吊装回转总成，将四个卸扣锁在回转总成上部四个与平衡臂连接的销轴孔上，起吊至过渡节上部，调整回转总成的方向，使回转总成内的爬梯与过渡节爬梯对齐，缓慢落钩，将回转总成与过渡节连接，用大锤分别打入8个标准销轴至标准销轴的肩头紧贴预埋件外边，锤击标准销前，注意观察标准销上安装立销的孔的方向，以免无法安装立销。分别安装四角的立销及开口销。</w:t>
      </w:r>
    </w:p>
    <w:p>
      <w:pPr>
        <w:spacing w:after="120" w:afterLines="50" w:line="300" w:lineRule="auto"/>
        <w:ind w:firstLine="480"/>
        <w:jc w:val="center"/>
        <w:rPr>
          <w:rFonts w:hint="eastAsia" w:ascii="宋体" w:hAnsi="宋体" w:eastAsia="宋体" w:cs="宋体"/>
          <w:b w:val="0"/>
          <w:bCs/>
          <w:color w:val="000000"/>
          <w:szCs w:val="24"/>
        </w:rPr>
      </w:pPr>
      <w:r>
        <w:rPr>
          <w:rFonts w:ascii="仿宋" w:hAnsi="仿宋" w:eastAsia="仿宋" w:cs="Times New Roman"/>
          <w:szCs w:val="24"/>
        </w:rPr>
        <w:drawing>
          <wp:inline distT="0" distB="0" distL="114300" distR="114300">
            <wp:extent cx="1973580" cy="5341620"/>
            <wp:effectExtent l="0" t="0" r="7620" b="7620"/>
            <wp:docPr id="15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25"/>
                    <pic:cNvPicPr>
                      <a:picLocks noChangeAspect="1"/>
                    </pic:cNvPicPr>
                  </pic:nvPicPr>
                  <pic:blipFill>
                    <a:blip r:embed="rId37"/>
                    <a:stretch>
                      <a:fillRect/>
                    </a:stretch>
                  </pic:blipFill>
                  <pic:spPr>
                    <a:xfrm>
                      <a:off x="0" y="0"/>
                      <a:ext cx="1973580" cy="5341620"/>
                    </a:xfrm>
                    <a:prstGeom prst="rect">
                      <a:avLst/>
                    </a:prstGeom>
                    <a:noFill/>
                    <a:ln>
                      <a:noFill/>
                    </a:ln>
                  </pic:spPr>
                </pic:pic>
              </a:graphicData>
            </a:graphic>
          </wp:inline>
        </w:drawing>
      </w:r>
    </w:p>
    <w:p>
      <w:pPr>
        <w:tabs>
          <w:tab w:val="left" w:pos="2006"/>
        </w:tabs>
        <w:spacing w:after="0" w:afterLines="0" w:line="240" w:lineRule="auto"/>
        <w:ind w:firstLine="0" w:firstLineChars="0"/>
        <w:jc w:val="center"/>
        <w:rPr>
          <w:rFonts w:hint="eastAsia" w:ascii="宋体" w:hAnsi="宋体" w:eastAsia="宋体" w:cs="宋体"/>
          <w:b w:val="0"/>
          <w:bCs/>
          <w:color w:val="000000"/>
          <w:szCs w:val="24"/>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lang w:val="en-US" w:eastAsia="zh-CN"/>
        </w:rPr>
        <w:t>4</w:t>
      </w:r>
      <w:r>
        <w:rPr>
          <w:rFonts w:hint="eastAsia" w:ascii="宋体" w:hAnsi="宋体" w:eastAsia="宋体" w:cs="宋体"/>
          <w:b w:val="0"/>
          <w:bCs/>
          <w:color w:val="000000"/>
          <w:szCs w:val="24"/>
        </w:rPr>
        <w:t xml:space="preserve"> </w:t>
      </w:r>
      <w:r>
        <w:rPr>
          <w:rFonts w:hint="eastAsia" w:ascii="宋体" w:hAnsi="宋体" w:eastAsia="宋体" w:cs="宋体"/>
          <w:b w:val="0"/>
          <w:bCs/>
          <w:color w:val="000000"/>
          <w:szCs w:val="24"/>
          <w:lang w:val="en-US" w:eastAsia="zh-CN"/>
        </w:rPr>
        <w:t>XGT6515-10S</w:t>
      </w:r>
      <w:r>
        <w:rPr>
          <w:rFonts w:hint="eastAsia" w:ascii="宋体" w:hAnsi="宋体" w:eastAsia="宋体" w:cs="宋体"/>
          <w:b w:val="0"/>
          <w:bCs/>
          <w:color w:val="000000"/>
          <w:szCs w:val="24"/>
        </w:rPr>
        <w:t>安装回转总成立面图</w:t>
      </w:r>
    </w:p>
    <w:p>
      <w:pPr>
        <w:pStyle w:val="5"/>
        <w:bidi w:val="0"/>
        <w:rPr>
          <w:rFonts w:hint="eastAsia"/>
        </w:rPr>
      </w:pPr>
      <w:r>
        <w:rPr>
          <w:rFonts w:hint="eastAsia"/>
          <w:lang w:val="en-US" w:eastAsia="zh-CN"/>
        </w:rPr>
        <w:t>安装起重臂根节</w:t>
      </w:r>
    </w:p>
    <w:p>
      <w:pPr>
        <w:spacing w:after="120" w:afterLines="50" w:line="360" w:lineRule="auto"/>
        <w:ind w:firstLine="480" w:firstLineChars="0"/>
        <w:jc w:val="left"/>
        <w:rPr>
          <w:rFonts w:hint="eastAsia" w:ascii="宋体" w:hAnsi="宋体" w:eastAsia="宋体" w:cs="宋体"/>
          <w:b w:val="0"/>
          <w:bCs/>
          <w:szCs w:val="24"/>
        </w:rPr>
      </w:pPr>
      <w:r>
        <w:rPr>
          <w:rFonts w:hint="eastAsia" w:ascii="宋体" w:hAnsi="宋体" w:eastAsia="宋体" w:cs="宋体"/>
          <w:b w:val="0"/>
          <w:bCs/>
          <w:szCs w:val="24"/>
          <w:lang w:val="en-US" w:eastAsia="zh-CN"/>
        </w:rPr>
        <w:t>如下图所示，在吊装臂根节时，选用四根钢丝绳分别穿过吊耳，最终统一悬挂在吊钩上，吊装中保证吊装平衡，实现臂根节的吊装。将臂根节与上支座通过</w:t>
      </w:r>
      <w:r>
        <w:rPr>
          <w:rFonts w:hint="default" w:ascii="宋体" w:hAnsi="宋体" w:eastAsia="宋体" w:cs="宋体"/>
          <w:b w:val="0"/>
          <w:bCs/>
          <w:szCs w:val="24"/>
          <w:lang w:val="en-US" w:eastAsia="zh-CN"/>
        </w:rPr>
        <w:t>4</w:t>
      </w:r>
      <w:r>
        <w:rPr>
          <w:rFonts w:hint="eastAsia" w:ascii="宋体" w:hAnsi="宋体" w:eastAsia="宋体" w:cs="宋体"/>
          <w:b w:val="0"/>
          <w:bCs/>
          <w:szCs w:val="24"/>
          <w:lang w:val="en-US" w:eastAsia="zh-CN"/>
        </w:rPr>
        <w:t>根销轴装配到一起， 穿入短轴并用圆形卡锁住。</w:t>
      </w:r>
    </w:p>
    <w:p>
      <w:pPr>
        <w:pStyle w:val="5"/>
        <w:bidi w:val="0"/>
        <w:rPr>
          <w:rFonts w:hint="eastAsia"/>
        </w:rPr>
      </w:pPr>
      <w:r>
        <w:rPr>
          <w:rFonts w:hint="eastAsia"/>
        </w:rPr>
        <w:t>安装平衡臂臂节</w:t>
      </w:r>
    </w:p>
    <w:p>
      <w:pPr>
        <w:spacing w:after="120" w:afterLines="50" w:line="360" w:lineRule="auto"/>
        <w:ind w:firstLine="480" w:firstLineChars="0"/>
        <w:jc w:val="left"/>
        <w:rPr>
          <w:rFonts w:hint="eastAsia" w:ascii="宋体" w:hAnsi="宋体" w:eastAsia="宋体" w:cs="宋体"/>
          <w:b w:val="0"/>
          <w:bCs/>
          <w:szCs w:val="24"/>
        </w:rPr>
      </w:pPr>
      <w:r>
        <w:rPr>
          <w:rFonts w:hint="eastAsia" w:ascii="宋体" w:hAnsi="宋体" w:eastAsia="宋体" w:cs="宋体"/>
          <w:b w:val="0"/>
          <w:bCs/>
          <w:szCs w:val="24"/>
        </w:rPr>
        <w:t>将中臂节与前臂节通过销轴及螺栓联结，吊装前，检查组装好的回转总成上所有结构及焊缝有无异常，如有异常立即停止安装。准备好4个φ80mm的专用平衡臂与回转总成连接销轴。</w:t>
      </w:r>
    </w:p>
    <w:p>
      <w:pPr>
        <w:spacing w:after="120" w:afterLines="50" w:line="360" w:lineRule="auto"/>
        <w:ind w:firstLine="480" w:firstLineChars="0"/>
        <w:jc w:val="left"/>
        <w:rPr>
          <w:rFonts w:hint="eastAsia" w:ascii="宋体" w:hAnsi="宋体" w:eastAsia="宋体" w:cs="宋体"/>
          <w:b w:val="0"/>
          <w:bCs/>
          <w:szCs w:val="24"/>
        </w:rPr>
      </w:pPr>
      <w:r>
        <w:rPr>
          <w:rFonts w:hint="eastAsia" w:ascii="宋体" w:hAnsi="宋体" w:eastAsia="宋体" w:cs="宋体"/>
          <w:b w:val="0"/>
          <w:bCs/>
          <w:szCs w:val="24"/>
        </w:rPr>
        <w:t>用4根6m长直径24mm吊索和四个额定载荷5t的卸扣吊装平衡臂前段臂节，将四个卸扣锁在平衡臂前段臂节顶部的四个专用吊耳上，起吊至回转总成上部，缓慢就位，将平衡臂前臂节上的销轴孔与回转总成上部的销轴孔对正，打入4个φ80mm的专用平衡臂与回转总成连接销轴，穿好平垫及开口销。</w:t>
      </w:r>
    </w:p>
    <w:p>
      <w:pPr>
        <w:widowControl w:val="0"/>
        <w:spacing w:after="50" w:afterLines="50" w:line="240" w:lineRule="auto"/>
        <w:ind w:firstLine="0" w:firstLineChars="0"/>
        <w:jc w:val="center"/>
        <w:rPr>
          <w:rFonts w:hint="eastAsia" w:ascii="Calibri" w:hAnsi="Calibri" w:eastAsia="仿宋" w:cs="仿宋"/>
          <w:b w:val="0"/>
          <w:bCs/>
          <w:kern w:val="3"/>
          <w:sz w:val="28"/>
          <w:szCs w:val="24"/>
          <w:lang w:val="en-US" w:eastAsia="zh-CN" w:bidi="ar-SA"/>
        </w:rPr>
      </w:pPr>
      <w:r>
        <w:rPr>
          <w:rFonts w:ascii="Calibri" w:hAnsi="Calibri" w:eastAsia="仿宋" w:cs="仿宋"/>
          <w:b w:val="0"/>
          <w:bCs/>
          <w:kern w:val="3"/>
          <w:sz w:val="28"/>
          <w:szCs w:val="24"/>
          <w:lang w:val="en-US" w:eastAsia="zh-CN" w:bidi="ar-SA"/>
        </w:rPr>
        <w:drawing>
          <wp:inline distT="0" distB="0" distL="114300" distR="114300">
            <wp:extent cx="4495800" cy="2950210"/>
            <wp:effectExtent l="0" t="0" r="0" b="6350"/>
            <wp:docPr id="1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0"/>
                    <pic:cNvPicPr>
                      <a:picLocks noChangeAspect="1"/>
                    </pic:cNvPicPr>
                  </pic:nvPicPr>
                  <pic:blipFill>
                    <a:blip r:embed="rId38"/>
                    <a:stretch>
                      <a:fillRect/>
                    </a:stretch>
                  </pic:blipFill>
                  <pic:spPr>
                    <a:xfrm>
                      <a:off x="0" y="0"/>
                      <a:ext cx="4495800" cy="2950210"/>
                    </a:xfrm>
                    <a:prstGeom prst="rect">
                      <a:avLst/>
                    </a:prstGeom>
                    <a:noFill/>
                    <a:ln>
                      <a:noFill/>
                    </a:ln>
                  </pic:spPr>
                </pic:pic>
              </a:graphicData>
            </a:graphic>
          </wp:inline>
        </w:drawing>
      </w:r>
    </w:p>
    <w:p>
      <w:pPr>
        <w:widowControl w:val="0"/>
        <w:autoSpaceDE w:val="0"/>
        <w:autoSpaceDN w:val="0"/>
        <w:adjustRightInd w:val="0"/>
        <w:rPr>
          <w:rFonts w:hint="eastAsia" w:ascii="宋体" w:hAnsi="宋体" w:eastAsia="宋体" w:cs="宋体"/>
          <w:b w:val="0"/>
          <w:bCs/>
          <w:color w:val="000000"/>
          <w:sz w:val="24"/>
          <w:szCs w:val="24"/>
          <w:lang w:val="en-US" w:eastAsia="zh-CN" w:bidi="ar-SA"/>
        </w:rPr>
      </w:pPr>
    </w:p>
    <w:p>
      <w:pPr>
        <w:tabs>
          <w:tab w:val="left" w:pos="2006"/>
        </w:tabs>
        <w:spacing w:after="0" w:afterLines="0" w:line="240" w:lineRule="auto"/>
        <w:ind w:firstLine="0" w:firstLineChars="0"/>
        <w:jc w:val="center"/>
        <w:rPr>
          <w:rFonts w:hint="eastAsia" w:ascii="宋体" w:hAnsi="宋体" w:eastAsia="宋体" w:cs="宋体"/>
          <w:b w:val="0"/>
          <w:bCs/>
          <w:color w:val="000000"/>
          <w:szCs w:val="24"/>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lang w:val="en-US" w:eastAsia="zh-CN"/>
        </w:rPr>
        <w:t>5</w:t>
      </w:r>
      <w:r>
        <w:rPr>
          <w:rFonts w:hint="eastAsia" w:ascii="宋体" w:hAnsi="宋体" w:eastAsia="宋体" w:cs="宋体"/>
          <w:b w:val="0"/>
          <w:bCs/>
          <w:color w:val="000000"/>
          <w:szCs w:val="24"/>
        </w:rPr>
        <w:t xml:space="preserve"> </w:t>
      </w:r>
      <w:r>
        <w:rPr>
          <w:rFonts w:hint="eastAsia" w:ascii="宋体" w:hAnsi="宋体" w:eastAsia="宋体" w:cs="宋体"/>
          <w:b w:val="0"/>
          <w:bCs/>
          <w:color w:val="000000"/>
          <w:szCs w:val="24"/>
          <w:lang w:val="en-US" w:eastAsia="zh-CN"/>
        </w:rPr>
        <w:t>XGT6515-10S</w:t>
      </w:r>
      <w:r>
        <w:rPr>
          <w:rFonts w:hint="eastAsia" w:ascii="宋体" w:hAnsi="宋体" w:eastAsia="宋体" w:cs="宋体"/>
          <w:b w:val="0"/>
          <w:bCs/>
          <w:color w:val="000000"/>
          <w:szCs w:val="24"/>
        </w:rPr>
        <w:t>型塔机安装平衡臂节平面示意图</w:t>
      </w:r>
    </w:p>
    <w:p>
      <w:pPr>
        <w:tabs>
          <w:tab w:val="left" w:pos="2006"/>
        </w:tabs>
        <w:spacing w:after="0" w:afterLines="0" w:line="240" w:lineRule="auto"/>
        <w:ind w:firstLine="0" w:firstLineChars="0"/>
        <w:jc w:val="center"/>
        <w:rPr>
          <w:rFonts w:hint="eastAsia" w:ascii="宋体" w:hAnsi="宋体" w:eastAsia="宋体" w:cs="宋体"/>
          <w:b w:val="0"/>
          <w:bCs/>
          <w:color w:val="000000"/>
          <w:szCs w:val="24"/>
        </w:rPr>
      </w:pPr>
      <w:r>
        <w:rPr>
          <w:rFonts w:ascii="仿宋" w:hAnsi="仿宋" w:eastAsia="仿宋" w:cs="Times New Roman"/>
          <w:szCs w:val="24"/>
        </w:rPr>
        <w:drawing>
          <wp:inline distT="0" distB="0" distL="114300" distR="114300">
            <wp:extent cx="4061460" cy="1478280"/>
            <wp:effectExtent l="0" t="0" r="7620" b="0"/>
            <wp:docPr id="15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26"/>
                    <pic:cNvPicPr>
                      <a:picLocks noChangeAspect="1"/>
                    </pic:cNvPicPr>
                  </pic:nvPicPr>
                  <pic:blipFill>
                    <a:blip r:embed="rId39"/>
                    <a:stretch>
                      <a:fillRect/>
                    </a:stretch>
                  </pic:blipFill>
                  <pic:spPr>
                    <a:xfrm>
                      <a:off x="0" y="0"/>
                      <a:ext cx="4061460" cy="1478280"/>
                    </a:xfrm>
                    <a:prstGeom prst="rect">
                      <a:avLst/>
                    </a:prstGeom>
                    <a:noFill/>
                    <a:ln>
                      <a:noFill/>
                    </a:ln>
                  </pic:spPr>
                </pic:pic>
              </a:graphicData>
            </a:graphic>
          </wp:inline>
        </w:drawing>
      </w:r>
    </w:p>
    <w:p>
      <w:pPr>
        <w:tabs>
          <w:tab w:val="left" w:pos="2006"/>
        </w:tabs>
        <w:spacing w:after="0" w:afterLines="0" w:line="240" w:lineRule="auto"/>
        <w:ind w:firstLine="0" w:firstLineChars="0"/>
        <w:jc w:val="center"/>
        <w:rPr>
          <w:rFonts w:hint="eastAsia" w:ascii="宋体" w:hAnsi="宋体" w:eastAsia="宋体" w:cs="宋体"/>
          <w:b w:val="0"/>
          <w:bCs/>
          <w:color w:val="000000"/>
          <w:szCs w:val="24"/>
        </w:rPr>
      </w:pPr>
    </w:p>
    <w:p>
      <w:pPr>
        <w:tabs>
          <w:tab w:val="left" w:pos="2006"/>
        </w:tabs>
        <w:spacing w:after="0" w:afterLines="0" w:line="240" w:lineRule="auto"/>
        <w:ind w:firstLine="0" w:firstLineChars="0"/>
        <w:jc w:val="center"/>
        <w:rPr>
          <w:rFonts w:hint="eastAsia" w:ascii="宋体" w:hAnsi="宋体" w:eastAsia="宋体" w:cs="宋体"/>
          <w:b w:val="0"/>
          <w:bCs/>
          <w:color w:val="000000"/>
          <w:szCs w:val="24"/>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lang w:val="en-US" w:eastAsia="zh-CN"/>
        </w:rPr>
        <w:t>6</w:t>
      </w:r>
      <w:r>
        <w:rPr>
          <w:rFonts w:hint="eastAsia" w:ascii="宋体" w:hAnsi="宋体" w:eastAsia="宋体" w:cs="宋体"/>
          <w:b w:val="0"/>
          <w:bCs/>
          <w:color w:val="000000"/>
          <w:szCs w:val="24"/>
        </w:rPr>
        <w:t xml:space="preserve"> </w:t>
      </w:r>
      <w:r>
        <w:rPr>
          <w:rFonts w:hint="eastAsia" w:ascii="宋体" w:hAnsi="宋体" w:eastAsia="宋体" w:cs="宋体"/>
          <w:b w:val="0"/>
          <w:bCs/>
          <w:color w:val="000000"/>
          <w:szCs w:val="24"/>
          <w:lang w:eastAsia="zh-CN"/>
        </w:rPr>
        <w:t>XGT6515-10S</w:t>
      </w:r>
      <w:r>
        <w:rPr>
          <w:rFonts w:hint="eastAsia" w:ascii="宋体" w:hAnsi="宋体" w:eastAsia="宋体" w:cs="宋体"/>
          <w:b w:val="0"/>
          <w:bCs/>
          <w:color w:val="000000"/>
          <w:szCs w:val="24"/>
        </w:rPr>
        <w:t>型塔机安装</w:t>
      </w:r>
      <w:r>
        <w:rPr>
          <w:rFonts w:hint="eastAsia" w:ascii="宋体" w:hAnsi="宋体" w:eastAsia="宋体" w:cs="宋体"/>
          <w:b w:val="0"/>
          <w:bCs/>
          <w:color w:val="000000"/>
          <w:szCs w:val="24"/>
          <w:lang w:val="en-US" w:eastAsia="zh-CN"/>
        </w:rPr>
        <w:t>起重臂根节</w:t>
      </w:r>
      <w:r>
        <w:rPr>
          <w:rFonts w:hint="eastAsia" w:ascii="宋体" w:hAnsi="宋体" w:eastAsia="宋体" w:cs="宋体"/>
          <w:b w:val="0"/>
          <w:bCs/>
          <w:color w:val="000000"/>
          <w:szCs w:val="24"/>
        </w:rPr>
        <w:t>示意图</w:t>
      </w:r>
    </w:p>
    <w:p>
      <w:pPr>
        <w:pStyle w:val="5"/>
        <w:bidi w:val="0"/>
        <w:rPr>
          <w:rFonts w:hint="eastAsia"/>
        </w:rPr>
      </w:pPr>
      <w:r>
        <w:rPr>
          <w:rFonts w:hint="eastAsia"/>
        </w:rPr>
        <w:t>安装平衡臂端部臂节</w:t>
      </w:r>
    </w:p>
    <w:p>
      <w:pPr>
        <w:spacing w:after="120" w:afterLines="50" w:line="360" w:lineRule="auto"/>
        <w:ind w:firstLine="480" w:firstLineChars="0"/>
        <w:jc w:val="left"/>
        <w:rPr>
          <w:rFonts w:hint="eastAsia" w:ascii="宋体" w:hAnsi="宋体" w:eastAsia="宋体" w:cs="宋体"/>
          <w:b w:val="0"/>
          <w:bCs/>
          <w:szCs w:val="24"/>
        </w:rPr>
      </w:pPr>
      <w:r>
        <w:rPr>
          <w:rFonts w:hint="eastAsia" w:ascii="宋体" w:hAnsi="宋体" w:eastAsia="宋体" w:cs="宋体"/>
          <w:b w:val="0"/>
          <w:bCs/>
          <w:szCs w:val="24"/>
        </w:rPr>
        <w:t>平衡臂后臂节两侧平台及护栏组装好，安装好连接处的销轴及开口销。将起升机构安装于平衡臂后臂节的专用安装位置，注意起升机构电机朝向平衡臂尾部，安装好连接销轴及开口销。将维修吊杆安装在平衡臂专用底座上，安装好所有固定螺栓及防松背母。将两根拉杆安装在平衡臂起升机构后部专用销轴孔上，并安装好拉杆支承杆架，将两根平衡臂拉杆放在专用支承架上，拉杆与平衡臂后臂节连接销轴安装好开口销。</w:t>
      </w:r>
    </w:p>
    <w:p>
      <w:pPr>
        <w:spacing w:after="120" w:afterLines="50" w:line="360" w:lineRule="auto"/>
        <w:ind w:firstLine="480" w:firstLineChars="0"/>
        <w:jc w:val="left"/>
        <w:rPr>
          <w:rFonts w:hint="eastAsia" w:ascii="宋体" w:hAnsi="宋体" w:eastAsia="宋体" w:cs="宋体"/>
          <w:b w:val="0"/>
          <w:bCs/>
          <w:szCs w:val="24"/>
        </w:rPr>
      </w:pPr>
      <w:r>
        <w:rPr>
          <w:rFonts w:hint="eastAsia" w:ascii="宋体" w:hAnsi="宋体" w:eastAsia="宋体" w:cs="宋体"/>
          <w:b w:val="0"/>
          <w:bCs/>
          <w:szCs w:val="24"/>
        </w:rPr>
        <w:t>吊装前，准备好平衡臂前后段臂节连接的两个销轴，安装于平衡臂后臂节上，准备好平衡臂前段臂节拉杆与平衡臂后臂节拉杆连接的两个销轴和开口销放置在平衡臂前段臂节上。检查平衡臂后臂节的所有结构及焊缝位置有无异常，如有异常，停止安装。</w:t>
      </w:r>
    </w:p>
    <w:p>
      <w:pPr>
        <w:spacing w:after="120" w:afterLines="50" w:line="360" w:lineRule="auto"/>
        <w:ind w:firstLine="0" w:firstLineChars="0"/>
        <w:jc w:val="left"/>
        <w:rPr>
          <w:rFonts w:hint="eastAsia" w:ascii="宋体" w:hAnsi="宋体" w:eastAsia="宋体" w:cs="宋体"/>
          <w:b w:val="0"/>
          <w:bCs/>
          <w:szCs w:val="24"/>
        </w:rPr>
      </w:pPr>
      <w:r>
        <w:rPr>
          <w:rFonts w:hint="eastAsia" w:ascii="宋体" w:hAnsi="宋体" w:eastAsia="宋体" w:cs="宋体"/>
          <w:b w:val="0"/>
          <w:bCs/>
          <w:szCs w:val="24"/>
        </w:rPr>
        <w:t>用4根6m长直径24mm吊索和四个额定载荷5t的卸扣吊装平衡臂后臂节，将四个卸扣锁在平衡臂后臂节的四个专用吊耳上，用麻绳系在平衡臂后臂节的一端，起吊至平衡臂前段臂节尾部，缓慢牵引麻绳，使平衡臂后臂节的前部与平衡臂前段臂节的尾部对正，将平衡臂后臂节的两个高强螺栓孔与前段臂节对正，安装好连接螺栓，缓慢起钩或者落钩，调整两节平衡臂拉杆的连接位置，直到两节平衡臂拉杆能顺利连接，并能安装销轴，穿好开口销后缓慢落钩，完成平衡臂后臂节的安装。</w:t>
      </w:r>
    </w:p>
    <w:p>
      <w:pPr>
        <w:widowControl w:val="0"/>
        <w:spacing w:after="50" w:afterLines="50" w:line="240" w:lineRule="auto"/>
        <w:ind w:firstLine="0" w:firstLineChars="0"/>
        <w:jc w:val="left"/>
        <w:rPr>
          <w:rFonts w:ascii="Calibri" w:hAnsi="Calibri" w:eastAsia="仿宋" w:cs="仿宋"/>
          <w:kern w:val="3"/>
          <w:sz w:val="28"/>
          <w:szCs w:val="24"/>
          <w:lang w:val="en-US" w:eastAsia="zh-CN" w:bidi="ar-SA"/>
        </w:rPr>
      </w:pPr>
      <w:r>
        <w:rPr>
          <w:rFonts w:ascii="Calibri" w:hAnsi="Calibri" w:eastAsia="仿宋" w:cs="仿宋"/>
          <w:kern w:val="3"/>
          <w:sz w:val="28"/>
          <w:szCs w:val="24"/>
          <w:lang w:val="en-US" w:eastAsia="zh-CN" w:bidi="ar-SA"/>
        </w:rPr>
        <w:drawing>
          <wp:inline distT="0" distB="0" distL="114300" distR="114300">
            <wp:extent cx="6330315" cy="1784985"/>
            <wp:effectExtent l="0" t="0" r="9525" b="13335"/>
            <wp:docPr id="16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27"/>
                    <pic:cNvPicPr>
                      <a:picLocks noChangeAspect="1"/>
                    </pic:cNvPicPr>
                  </pic:nvPicPr>
                  <pic:blipFill>
                    <a:blip r:embed="rId40"/>
                    <a:stretch>
                      <a:fillRect/>
                    </a:stretch>
                  </pic:blipFill>
                  <pic:spPr>
                    <a:xfrm>
                      <a:off x="0" y="0"/>
                      <a:ext cx="6330315" cy="1784985"/>
                    </a:xfrm>
                    <a:prstGeom prst="rect">
                      <a:avLst/>
                    </a:prstGeom>
                    <a:noFill/>
                    <a:ln>
                      <a:noFill/>
                    </a:ln>
                  </pic:spPr>
                </pic:pic>
              </a:graphicData>
            </a:graphic>
          </wp:inline>
        </w:drawing>
      </w:r>
    </w:p>
    <w:p>
      <w:pPr>
        <w:tabs>
          <w:tab w:val="left" w:pos="2006"/>
        </w:tabs>
        <w:spacing w:after="0" w:afterLines="0" w:line="240" w:lineRule="auto"/>
        <w:ind w:firstLine="0" w:firstLineChars="0"/>
        <w:jc w:val="center"/>
        <w:rPr>
          <w:rFonts w:hint="eastAsia" w:ascii="宋体" w:hAnsi="宋体" w:eastAsia="宋体" w:cs="宋体"/>
          <w:b w:val="0"/>
          <w:bCs/>
          <w:color w:val="000000"/>
          <w:szCs w:val="24"/>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lang w:val="en-US" w:eastAsia="zh-CN"/>
        </w:rPr>
        <w:t>7</w:t>
      </w:r>
      <w:r>
        <w:rPr>
          <w:rFonts w:hint="eastAsia" w:ascii="宋体" w:hAnsi="宋体" w:eastAsia="宋体" w:cs="宋体"/>
          <w:b w:val="0"/>
          <w:bCs/>
          <w:color w:val="000000"/>
          <w:szCs w:val="24"/>
        </w:rPr>
        <w:t xml:space="preserve"> </w:t>
      </w:r>
      <w:r>
        <w:rPr>
          <w:rFonts w:hint="eastAsia" w:ascii="宋体" w:hAnsi="宋体" w:eastAsia="宋体" w:cs="宋体"/>
          <w:b w:val="0"/>
          <w:bCs/>
          <w:color w:val="000000"/>
          <w:szCs w:val="24"/>
          <w:lang w:eastAsia="zh-CN"/>
        </w:rPr>
        <w:t>XGT6515-10S</w:t>
      </w:r>
      <w:r>
        <w:rPr>
          <w:rFonts w:hint="eastAsia" w:ascii="宋体" w:hAnsi="宋体" w:eastAsia="宋体" w:cs="宋体"/>
          <w:b w:val="0"/>
          <w:bCs/>
          <w:color w:val="000000"/>
          <w:szCs w:val="24"/>
        </w:rPr>
        <w:t>型塔机安装平衡臂示意图</w:t>
      </w:r>
    </w:p>
    <w:p>
      <w:pPr>
        <w:pStyle w:val="5"/>
        <w:bidi w:val="0"/>
        <w:rPr>
          <w:rFonts w:hint="eastAsia"/>
        </w:rPr>
      </w:pPr>
      <w:r>
        <w:rPr>
          <w:rFonts w:hint="eastAsia"/>
        </w:rPr>
        <w:t>安装</w:t>
      </w:r>
      <w:r>
        <w:rPr>
          <w:rFonts w:hint="eastAsia"/>
          <w:lang w:val="en-US" w:eastAsia="zh-CN"/>
        </w:rPr>
        <w:t>1</w:t>
      </w:r>
      <w:r>
        <w:rPr>
          <w:rFonts w:hint="eastAsia"/>
        </w:rPr>
        <w:t>块平衡重</w:t>
      </w:r>
    </w:p>
    <w:p>
      <w:pPr>
        <w:spacing w:after="120" w:afterLines="50" w:line="360" w:lineRule="auto"/>
        <w:ind w:firstLine="480"/>
        <w:jc w:val="left"/>
        <w:rPr>
          <w:rFonts w:hint="eastAsia" w:ascii="宋体" w:hAnsi="宋体" w:eastAsia="宋体" w:cs="宋体"/>
          <w:b w:val="0"/>
          <w:bCs/>
          <w:szCs w:val="24"/>
        </w:rPr>
      </w:pPr>
      <w:r>
        <w:rPr>
          <w:rFonts w:hint="eastAsia" w:ascii="宋体" w:hAnsi="宋体" w:eastAsia="宋体" w:cs="宋体"/>
          <w:b w:val="0"/>
          <w:bCs/>
          <w:szCs w:val="24"/>
        </w:rPr>
        <w:t>根据该型号塔机说明书要求，塔机在安装起重臂前应安装</w:t>
      </w:r>
      <w:r>
        <w:rPr>
          <w:rFonts w:hint="eastAsia" w:ascii="宋体" w:hAnsi="宋体" w:eastAsia="宋体" w:cs="宋体"/>
          <w:b w:val="0"/>
          <w:bCs/>
          <w:szCs w:val="24"/>
          <w:highlight w:val="none"/>
          <w:lang w:val="en-US" w:eastAsia="zh-CN"/>
        </w:rPr>
        <w:t>1</w:t>
      </w:r>
      <w:r>
        <w:rPr>
          <w:rFonts w:hint="eastAsia" w:ascii="宋体" w:hAnsi="宋体" w:eastAsia="宋体" w:cs="宋体"/>
          <w:b w:val="0"/>
          <w:bCs/>
          <w:szCs w:val="24"/>
          <w:highlight w:val="none"/>
        </w:rPr>
        <w:t>块</w:t>
      </w:r>
      <w:r>
        <w:rPr>
          <w:rFonts w:hint="eastAsia" w:ascii="宋体" w:hAnsi="宋体" w:eastAsia="宋体" w:cs="宋体"/>
          <w:b w:val="0"/>
          <w:bCs/>
          <w:szCs w:val="24"/>
          <w:highlight w:val="none"/>
          <w:lang w:val="en-US" w:eastAsia="zh-CN"/>
        </w:rPr>
        <w:t>3200kg</w:t>
      </w:r>
      <w:r>
        <w:rPr>
          <w:rFonts w:hint="eastAsia" w:ascii="宋体" w:hAnsi="宋体" w:eastAsia="宋体" w:cs="宋体"/>
          <w:b w:val="0"/>
          <w:bCs/>
          <w:szCs w:val="24"/>
          <w:highlight w:val="none"/>
        </w:rPr>
        <w:t>重</w:t>
      </w:r>
      <w:r>
        <w:rPr>
          <w:rFonts w:hint="eastAsia" w:ascii="宋体" w:hAnsi="宋体" w:eastAsia="宋体" w:cs="宋体"/>
          <w:b w:val="0"/>
          <w:bCs/>
          <w:szCs w:val="24"/>
        </w:rPr>
        <w:t>的平衡重。吊装平衡重前，检查平衡重的外观质量情况和吊耳处的连接情况，如有异常，停止安装。准备两个平衡重安装销轴安装于平衡重两侧。</w:t>
      </w:r>
    </w:p>
    <w:p>
      <w:pPr>
        <w:spacing w:after="120" w:afterLines="50" w:line="360" w:lineRule="auto"/>
        <w:ind w:firstLine="480"/>
        <w:jc w:val="both"/>
        <w:rPr>
          <w:rFonts w:hint="eastAsia" w:ascii="宋体" w:hAnsi="宋体" w:eastAsia="宋体" w:cs="宋体"/>
          <w:b w:val="0"/>
          <w:bCs/>
          <w:szCs w:val="24"/>
        </w:rPr>
      </w:pPr>
      <w:r>
        <w:rPr>
          <w:rFonts w:hint="eastAsia" w:ascii="宋体" w:hAnsi="宋体" w:eastAsia="宋体" w:cs="宋体"/>
          <w:b w:val="0"/>
          <w:bCs/>
          <w:szCs w:val="24"/>
        </w:rPr>
        <w:t>用1根直径24mm长3m的吊索和1个额定载荷5t的卸扣吊装平衡重，将平衡重吊起至平衡臂上平衡重安装位置上部，缓慢落钩，将平衡重放置于安装第一块平衡重的安装槽内，继续缓慢落钩，调整两个平衡重安装销轴的位置，使平衡重可靠安装于平衡臂上。安装平面及立面示意图如下图。</w:t>
      </w:r>
    </w:p>
    <w:p>
      <w:pPr>
        <w:spacing w:after="120" w:afterLines="50" w:line="300" w:lineRule="auto"/>
        <w:ind w:firstLine="480"/>
        <w:jc w:val="center"/>
        <w:rPr>
          <w:rFonts w:hint="eastAsia" w:ascii="宋体" w:hAnsi="宋体" w:eastAsia="宋体" w:cs="宋体"/>
          <w:b w:val="0"/>
          <w:bCs/>
          <w:szCs w:val="24"/>
        </w:rPr>
      </w:pPr>
      <w:r>
        <w:rPr>
          <w:rFonts w:ascii="仿宋" w:hAnsi="仿宋" w:eastAsia="仿宋" w:cs="Times New Roman"/>
          <w:b w:val="0"/>
          <w:bCs/>
          <w:szCs w:val="24"/>
        </w:rPr>
        <w:drawing>
          <wp:inline distT="0" distB="0" distL="114300" distR="114300">
            <wp:extent cx="5167630" cy="2894965"/>
            <wp:effectExtent l="0" t="0" r="13970" b="635"/>
            <wp:docPr id="1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9"/>
                    <pic:cNvPicPr>
                      <a:picLocks noChangeAspect="1"/>
                    </pic:cNvPicPr>
                  </pic:nvPicPr>
                  <pic:blipFill>
                    <a:blip r:embed="rId41"/>
                    <a:stretch>
                      <a:fillRect/>
                    </a:stretch>
                  </pic:blipFill>
                  <pic:spPr>
                    <a:xfrm>
                      <a:off x="0" y="0"/>
                      <a:ext cx="5167630" cy="2894965"/>
                    </a:xfrm>
                    <a:prstGeom prst="rect">
                      <a:avLst/>
                    </a:prstGeom>
                    <a:noFill/>
                    <a:ln>
                      <a:noFill/>
                    </a:ln>
                  </pic:spPr>
                </pic:pic>
              </a:graphicData>
            </a:graphic>
          </wp:inline>
        </w:drawing>
      </w:r>
    </w:p>
    <w:p>
      <w:pPr>
        <w:spacing w:after="120" w:afterLines="50" w:line="300" w:lineRule="auto"/>
        <w:ind w:firstLine="482"/>
        <w:jc w:val="center"/>
        <w:rPr>
          <w:rFonts w:hint="eastAsia" w:ascii="宋体" w:hAnsi="宋体" w:eastAsia="宋体" w:cs="宋体"/>
          <w:b w:val="0"/>
          <w:bCs/>
          <w:szCs w:val="24"/>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lang w:val="en-US" w:eastAsia="zh-CN"/>
        </w:rPr>
        <w:t>8</w:t>
      </w:r>
      <w:r>
        <w:rPr>
          <w:rFonts w:hint="eastAsia" w:ascii="宋体" w:hAnsi="宋体" w:eastAsia="宋体" w:cs="宋体"/>
          <w:b w:val="0"/>
          <w:bCs/>
          <w:szCs w:val="24"/>
        </w:rPr>
        <w:t xml:space="preserve">  安装</w:t>
      </w:r>
      <w:r>
        <w:rPr>
          <w:rFonts w:hint="eastAsia" w:ascii="宋体" w:hAnsi="宋体" w:eastAsia="宋体" w:cs="宋体"/>
          <w:b w:val="0"/>
          <w:bCs/>
          <w:szCs w:val="24"/>
          <w:lang w:val="en-US" w:eastAsia="zh-CN"/>
        </w:rPr>
        <w:t>一</w:t>
      </w:r>
      <w:r>
        <w:rPr>
          <w:rFonts w:hint="eastAsia" w:ascii="宋体" w:hAnsi="宋体" w:eastAsia="宋体" w:cs="宋体"/>
          <w:b w:val="0"/>
          <w:bCs/>
          <w:szCs w:val="24"/>
        </w:rPr>
        <w:t>块平衡重平面示意图</w:t>
      </w:r>
    </w:p>
    <w:p>
      <w:pPr>
        <w:spacing w:after="120" w:afterLines="50" w:line="300" w:lineRule="auto"/>
        <w:ind w:firstLine="0" w:firstLineChars="0"/>
        <w:jc w:val="center"/>
        <w:rPr>
          <w:rFonts w:hint="eastAsia" w:ascii="宋体" w:hAnsi="宋体" w:eastAsia="宋体" w:cs="宋体"/>
          <w:b w:val="0"/>
          <w:bCs/>
          <w:szCs w:val="24"/>
        </w:rPr>
      </w:pPr>
      <w:r>
        <w:rPr>
          <w:rFonts w:ascii="仿宋" w:hAnsi="仿宋" w:eastAsia="仿宋" w:cs="Times New Roman"/>
          <w:szCs w:val="24"/>
        </w:rPr>
        <w:drawing>
          <wp:inline distT="0" distB="0" distL="114300" distR="114300">
            <wp:extent cx="5069840" cy="1666240"/>
            <wp:effectExtent l="0" t="0" r="5080" b="10160"/>
            <wp:docPr id="16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28"/>
                    <pic:cNvPicPr>
                      <a:picLocks noChangeAspect="1"/>
                    </pic:cNvPicPr>
                  </pic:nvPicPr>
                  <pic:blipFill>
                    <a:blip r:embed="rId42"/>
                    <a:stretch>
                      <a:fillRect/>
                    </a:stretch>
                  </pic:blipFill>
                  <pic:spPr>
                    <a:xfrm>
                      <a:off x="0" y="0"/>
                      <a:ext cx="5069840" cy="1666240"/>
                    </a:xfrm>
                    <a:prstGeom prst="rect">
                      <a:avLst/>
                    </a:prstGeom>
                    <a:noFill/>
                    <a:ln>
                      <a:noFill/>
                    </a:ln>
                  </pic:spPr>
                </pic:pic>
              </a:graphicData>
            </a:graphic>
          </wp:inline>
        </w:drawing>
      </w:r>
    </w:p>
    <w:p>
      <w:pPr>
        <w:tabs>
          <w:tab w:val="left" w:pos="2006"/>
        </w:tabs>
        <w:spacing w:after="0" w:afterLines="0" w:line="240" w:lineRule="auto"/>
        <w:ind w:firstLine="420" w:firstLineChars="0"/>
        <w:jc w:val="center"/>
        <w:rPr>
          <w:rFonts w:hint="eastAsia" w:ascii="宋体" w:hAnsi="宋体" w:eastAsia="宋体" w:cs="宋体"/>
          <w:b w:val="0"/>
          <w:bCs/>
          <w:szCs w:val="24"/>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lang w:val="en-US" w:eastAsia="zh-CN"/>
        </w:rPr>
        <w:t>9</w:t>
      </w:r>
      <w:r>
        <w:rPr>
          <w:rFonts w:hint="eastAsia" w:ascii="宋体" w:hAnsi="宋体" w:eastAsia="宋体" w:cs="宋体"/>
          <w:b w:val="0"/>
          <w:bCs/>
          <w:szCs w:val="24"/>
        </w:rPr>
        <w:t xml:space="preserve">  安装</w:t>
      </w:r>
      <w:r>
        <w:rPr>
          <w:rFonts w:hint="eastAsia" w:ascii="宋体" w:hAnsi="宋体" w:eastAsia="宋体" w:cs="宋体"/>
          <w:b w:val="0"/>
          <w:bCs/>
          <w:szCs w:val="24"/>
          <w:lang w:val="en-US" w:eastAsia="zh-CN"/>
        </w:rPr>
        <w:t>一</w:t>
      </w:r>
      <w:r>
        <w:rPr>
          <w:rFonts w:hint="eastAsia" w:ascii="宋体" w:hAnsi="宋体" w:eastAsia="宋体" w:cs="宋体"/>
          <w:b w:val="0"/>
          <w:bCs/>
          <w:szCs w:val="24"/>
        </w:rPr>
        <w:t>块平衡重立面示意图</w:t>
      </w:r>
    </w:p>
    <w:p>
      <w:pPr>
        <w:pStyle w:val="5"/>
        <w:bidi w:val="0"/>
        <w:rPr>
          <w:rFonts w:hint="eastAsia"/>
        </w:rPr>
      </w:pPr>
      <w:r>
        <w:rPr>
          <w:rFonts w:hint="eastAsia"/>
        </w:rPr>
        <w:t>安装</w:t>
      </w:r>
      <w:r>
        <w:rPr>
          <w:rFonts w:hint="eastAsia"/>
          <w:lang w:val="en-US" w:eastAsia="zh-CN"/>
        </w:rPr>
        <w:t>剩余</w:t>
      </w:r>
      <w:r>
        <w:rPr>
          <w:rFonts w:hint="eastAsia"/>
        </w:rPr>
        <w:t>起重臂总成</w:t>
      </w:r>
    </w:p>
    <w:p>
      <w:pPr>
        <w:spacing w:after="120" w:afterLines="50" w:line="300" w:lineRule="auto"/>
        <w:ind w:firstLine="480"/>
        <w:jc w:val="left"/>
        <w:rPr>
          <w:rFonts w:hint="eastAsia" w:ascii="宋体" w:hAnsi="宋体" w:eastAsia="宋体" w:cs="宋体"/>
          <w:b w:val="0"/>
          <w:bCs/>
          <w:szCs w:val="24"/>
        </w:rPr>
      </w:pPr>
      <w:r>
        <w:rPr>
          <w:rFonts w:hint="eastAsia" w:ascii="宋体" w:hAnsi="宋体" w:eastAsia="宋体" w:cs="宋体"/>
          <w:b w:val="0"/>
          <w:bCs/>
          <w:szCs w:val="24"/>
        </w:rPr>
        <w:t>本工程该塔机安装</w:t>
      </w:r>
      <w:r>
        <w:rPr>
          <w:rFonts w:hint="eastAsia" w:ascii="宋体" w:hAnsi="宋体" w:eastAsia="宋体" w:cs="宋体"/>
          <w:b w:val="0"/>
          <w:bCs/>
          <w:szCs w:val="24"/>
          <w:lang w:val="en-US" w:eastAsia="zh-CN"/>
        </w:rPr>
        <w:t>60m</w:t>
      </w:r>
      <w:r>
        <w:rPr>
          <w:rFonts w:hint="eastAsia" w:ascii="宋体" w:hAnsi="宋体" w:eastAsia="宋体" w:cs="宋体"/>
          <w:b w:val="0"/>
          <w:bCs/>
          <w:szCs w:val="24"/>
        </w:rPr>
        <w:t>起重臂，</w:t>
      </w:r>
    </w:p>
    <w:p>
      <w:pPr>
        <w:widowControl w:val="0"/>
        <w:autoSpaceDE w:val="0"/>
        <w:autoSpaceDN w:val="0"/>
        <w:adjustRightInd w:val="0"/>
        <w:jc w:val="center"/>
        <w:rPr>
          <w:rFonts w:hint="eastAsia" w:ascii="宋体" w:hAnsi="宋体" w:eastAsia="宋体" w:cs="宋体"/>
          <w:b w:val="0"/>
          <w:bCs/>
          <w:color w:val="000000"/>
          <w:sz w:val="24"/>
          <w:szCs w:val="24"/>
          <w:highlight w:val="red"/>
          <w:lang w:val="en-US" w:eastAsia="zh-CN" w:bidi="ar-SA"/>
        </w:rPr>
      </w:pPr>
      <w:r>
        <w:rPr>
          <w:rFonts w:ascii="ST Kaiti" w:hAnsi="Times New Roman" w:eastAsia="ST Kaiti" w:cs="Times New Roman"/>
          <w:b w:val="0"/>
          <w:bCs/>
          <w:color w:val="000000"/>
          <w:sz w:val="24"/>
          <w:szCs w:val="24"/>
          <w:lang w:val="en-US" w:eastAsia="zh-CN" w:bidi="ar-SA"/>
        </w:rPr>
        <mc:AlternateContent>
          <mc:Choice Requires="wps">
            <w:drawing>
              <wp:anchor distT="0" distB="0" distL="114300" distR="114300" simplePos="0" relativeHeight="251661312" behindDoc="0" locked="0" layoutInCell="1" allowOverlap="1">
                <wp:simplePos x="0" y="0"/>
                <wp:positionH relativeFrom="column">
                  <wp:posOffset>221615</wp:posOffset>
                </wp:positionH>
                <wp:positionV relativeFrom="paragraph">
                  <wp:posOffset>1010285</wp:posOffset>
                </wp:positionV>
                <wp:extent cx="5556885" cy="438150"/>
                <wp:effectExtent l="13970" t="13970" r="22225" b="20320"/>
                <wp:wrapNone/>
                <wp:docPr id="18" name="矩形 18"/>
                <wp:cNvGraphicFramePr/>
                <a:graphic xmlns:a="http://schemas.openxmlformats.org/drawingml/2006/main">
                  <a:graphicData uri="http://schemas.microsoft.com/office/word/2010/wordprocessingShape">
                    <wps:wsp>
                      <wps:cNvSpPr/>
                      <wps:spPr>
                        <a:xfrm>
                          <a:off x="1452245" y="2691765"/>
                          <a:ext cx="5556885" cy="438150"/>
                        </a:xfrm>
                        <a:prstGeom prst="rect">
                          <a:avLst/>
                        </a:prstGeom>
                        <a:noFill/>
                        <a:ln w="28575" cap="flat" cmpd="sng" algn="ctr">
                          <a:solidFill>
                            <a:srgbClr val="FF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45pt;margin-top:79.55pt;height:34.5pt;width:437.55pt;z-index:251661312;v-text-anchor:middle;mso-width-relative:page;mso-height-relative:page;" filled="f" stroked="t" coordsize="21600,21600" o:gfxdata="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ATMrRjZAAAACgEAAA8AAAAAAAAAAQAg&#10;AAAAIgAAAGRycy9kb3ducmV2LnhtbFBLAQIUABQAAAAIAIdO4kBq6pSofwIAAOcEAAAOAAAAAAAA&#10;AAEAIAAAACgBAABkcnMvZTJvRG9jLnhtbFBLBQYAAAAABgAGAFkBAAAZBgAAAAA=&#10;">
                <v:fill on="f" focussize="0,0"/>
                <v:stroke weight="2.25pt" color="#FF0000 [3204]" miterlimit="8" joinstyle="miter"/>
                <v:imagedata o:title=""/>
                <o:lock v:ext="edit" aspectratio="f"/>
              </v:rect>
            </w:pict>
          </mc:Fallback>
        </mc:AlternateContent>
      </w:r>
      <w:r>
        <w:rPr>
          <w:rFonts w:ascii="ST Kaiti" w:hAnsi="Times New Roman" w:eastAsia="ST Kaiti" w:cs="Times New Roman"/>
          <w:color w:val="000000"/>
          <w:sz w:val="24"/>
          <w:szCs w:val="24"/>
          <w:lang w:val="en-US" w:eastAsia="zh-CN" w:bidi="ar-SA"/>
        </w:rPr>
        <w:drawing>
          <wp:inline distT="0" distB="0" distL="114300" distR="114300">
            <wp:extent cx="5132705" cy="2560320"/>
            <wp:effectExtent l="0" t="0" r="3175" b="0"/>
            <wp:docPr id="1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
                    <pic:cNvPicPr>
                      <a:picLocks noChangeAspect="1"/>
                    </pic:cNvPicPr>
                  </pic:nvPicPr>
                  <pic:blipFill>
                    <a:blip r:embed="rId43"/>
                    <a:stretch>
                      <a:fillRect/>
                    </a:stretch>
                  </pic:blipFill>
                  <pic:spPr>
                    <a:xfrm>
                      <a:off x="0" y="0"/>
                      <a:ext cx="5132705" cy="2560320"/>
                    </a:xfrm>
                    <a:prstGeom prst="rect">
                      <a:avLst/>
                    </a:prstGeom>
                    <a:noFill/>
                    <a:ln>
                      <a:noFill/>
                    </a:ln>
                  </pic:spPr>
                </pic:pic>
              </a:graphicData>
            </a:graphic>
          </wp:inline>
        </w:drawing>
      </w:r>
    </w:p>
    <w:p>
      <w:pPr>
        <w:widowControl w:val="0"/>
        <w:autoSpaceDE w:val="0"/>
        <w:autoSpaceDN w:val="0"/>
        <w:adjustRightInd w:val="0"/>
        <w:rPr>
          <w:rFonts w:hint="eastAsia" w:ascii="宋体" w:hAnsi="宋体" w:eastAsia="宋体" w:cs="宋体"/>
          <w:b w:val="0"/>
          <w:bCs/>
          <w:color w:val="000000"/>
          <w:sz w:val="24"/>
          <w:szCs w:val="24"/>
          <w:highlight w:val="red"/>
          <w:lang w:val="en-US" w:eastAsia="zh-CN" w:bidi="ar-SA"/>
        </w:rPr>
      </w:pPr>
    </w:p>
    <w:p>
      <w:pPr>
        <w:spacing w:after="120" w:afterLines="50" w:line="300" w:lineRule="auto"/>
        <w:ind w:firstLine="0" w:firstLineChars="0"/>
        <w:jc w:val="center"/>
        <w:rPr>
          <w:rFonts w:hint="eastAsia" w:ascii="宋体" w:hAnsi="宋体" w:eastAsia="宋体" w:cs="宋体"/>
          <w:b w:val="0"/>
          <w:bCs/>
          <w:szCs w:val="24"/>
          <w:highlight w:val="none"/>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lang w:val="en-US" w:eastAsia="zh-CN"/>
        </w:rPr>
        <w:t>10</w:t>
      </w:r>
      <w:r>
        <w:rPr>
          <w:rFonts w:hint="eastAsia" w:ascii="宋体" w:hAnsi="宋体" w:eastAsia="宋体" w:cs="宋体"/>
          <w:b w:val="0"/>
          <w:bCs/>
          <w:kern w:val="2"/>
          <w:sz w:val="24"/>
          <w:szCs w:val="24"/>
          <w:lang w:val="en-US" w:eastAsia="zh-CN" w:bidi="ar-SA"/>
        </w:rPr>
        <w:t xml:space="preserve"> </w:t>
      </w:r>
      <w:r>
        <w:rPr>
          <w:rFonts w:hint="eastAsia" w:ascii="宋体" w:hAnsi="宋体" w:eastAsia="宋体" w:cs="宋体"/>
          <w:b w:val="0"/>
          <w:bCs/>
          <w:szCs w:val="24"/>
          <w:highlight w:val="none"/>
        </w:rPr>
        <w:t>塔吊</w:t>
      </w:r>
      <w:r>
        <w:rPr>
          <w:rFonts w:hint="eastAsia" w:ascii="宋体" w:hAnsi="宋体" w:cs="宋体"/>
          <w:b w:val="0"/>
          <w:bCs/>
          <w:szCs w:val="24"/>
          <w:highlight w:val="none"/>
          <w:lang w:val="en-US" w:eastAsia="zh-CN"/>
        </w:rPr>
        <w:t>55</w:t>
      </w:r>
      <w:r>
        <w:rPr>
          <w:rFonts w:hint="eastAsia" w:ascii="宋体" w:hAnsi="宋体" w:eastAsia="宋体" w:cs="宋体"/>
          <w:b w:val="0"/>
          <w:bCs/>
          <w:szCs w:val="24"/>
          <w:highlight w:val="none"/>
          <w:lang w:val="en-US" w:eastAsia="zh-CN"/>
        </w:rPr>
        <w:t>m</w:t>
      </w:r>
      <w:r>
        <w:rPr>
          <w:rFonts w:hint="eastAsia" w:ascii="宋体" w:hAnsi="宋体" w:eastAsia="宋体" w:cs="宋体"/>
          <w:b w:val="0"/>
          <w:bCs/>
          <w:szCs w:val="24"/>
          <w:highlight w:val="none"/>
        </w:rPr>
        <w:t>起重臂组成示意图</w:t>
      </w:r>
    </w:p>
    <w:p>
      <w:pPr>
        <w:widowControl w:val="0"/>
        <w:autoSpaceDE w:val="0"/>
        <w:autoSpaceDN w:val="0"/>
        <w:adjustRightInd w:val="0"/>
        <w:rPr>
          <w:rFonts w:hint="eastAsia" w:ascii="ST Kaiti" w:hAnsi="Times New Roman" w:eastAsia="ST Kaiti" w:cs="Times New Roman"/>
          <w:b w:val="0"/>
          <w:bCs/>
          <w:color w:val="000000"/>
          <w:sz w:val="24"/>
          <w:szCs w:val="24"/>
          <w:lang w:val="en-US" w:eastAsia="zh-CN" w:bidi="ar-SA"/>
        </w:rPr>
      </w:pPr>
    </w:p>
    <w:p>
      <w:pPr>
        <w:spacing w:after="120" w:afterLines="50" w:line="300" w:lineRule="auto"/>
        <w:ind w:firstLine="0" w:firstLineChars="0"/>
        <w:jc w:val="center"/>
        <w:rPr>
          <w:rFonts w:hint="eastAsia" w:ascii="宋体" w:hAnsi="宋体" w:eastAsia="宋体" w:cs="宋体"/>
          <w:b w:val="0"/>
          <w:bCs/>
          <w:szCs w:val="24"/>
        </w:rPr>
      </w:pPr>
      <w:r>
        <w:rPr>
          <w:rFonts w:hint="eastAsia" w:ascii="宋体" w:hAnsi="宋体" w:eastAsia="宋体" w:cs="宋体"/>
          <w:b w:val="0"/>
          <w:bCs/>
          <w:szCs w:val="24"/>
        </w:rPr>
        <w:drawing>
          <wp:inline distT="0" distB="0" distL="114300" distR="114300">
            <wp:extent cx="3445510" cy="2211070"/>
            <wp:effectExtent l="0" t="0" r="13970" b="1397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44"/>
                    <a:stretch>
                      <a:fillRect/>
                    </a:stretch>
                  </pic:blipFill>
                  <pic:spPr>
                    <a:xfrm>
                      <a:off x="0" y="0"/>
                      <a:ext cx="3445510" cy="2211070"/>
                    </a:xfrm>
                    <a:prstGeom prst="rect">
                      <a:avLst/>
                    </a:prstGeom>
                    <a:noFill/>
                    <a:ln w="9525">
                      <a:noFill/>
                    </a:ln>
                  </pic:spPr>
                </pic:pic>
              </a:graphicData>
            </a:graphic>
          </wp:inline>
        </w:drawing>
      </w:r>
    </w:p>
    <w:p>
      <w:pPr>
        <w:spacing w:after="120" w:afterLines="50" w:line="300" w:lineRule="auto"/>
        <w:ind w:firstLine="0" w:firstLineChars="0"/>
        <w:jc w:val="center"/>
        <w:rPr>
          <w:rFonts w:hint="eastAsia" w:ascii="宋体" w:hAnsi="宋体" w:eastAsia="宋体" w:cs="宋体"/>
          <w:b w:val="0"/>
          <w:bCs/>
          <w:szCs w:val="24"/>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lang w:val="en-US" w:eastAsia="zh-CN"/>
        </w:rPr>
        <w:t>11</w:t>
      </w:r>
      <w:r>
        <w:rPr>
          <w:rFonts w:hint="eastAsia" w:ascii="宋体" w:hAnsi="宋体" w:eastAsia="宋体" w:cs="宋体"/>
          <w:b w:val="0"/>
          <w:bCs/>
          <w:kern w:val="2"/>
          <w:sz w:val="24"/>
          <w:szCs w:val="24"/>
          <w:lang w:val="en-US" w:eastAsia="zh-CN" w:bidi="ar-SA"/>
        </w:rPr>
        <w:t xml:space="preserve"> </w:t>
      </w:r>
      <w:r>
        <w:rPr>
          <w:rFonts w:hint="eastAsia" w:ascii="宋体" w:hAnsi="宋体" w:eastAsia="宋体" w:cs="宋体"/>
          <w:b w:val="0"/>
          <w:bCs/>
          <w:szCs w:val="24"/>
        </w:rPr>
        <w:t>起重臂吊点挂绳方式示意图</w:t>
      </w:r>
    </w:p>
    <w:p>
      <w:pPr>
        <w:spacing w:after="120" w:afterLines="50" w:line="360" w:lineRule="auto"/>
        <w:ind w:firstLine="720" w:firstLineChars="300"/>
        <w:jc w:val="left"/>
        <w:rPr>
          <w:rFonts w:hint="eastAsia" w:ascii="宋体" w:hAnsi="宋体" w:eastAsia="宋体" w:cs="宋体"/>
          <w:b w:val="0"/>
          <w:bCs/>
          <w:szCs w:val="24"/>
        </w:rPr>
      </w:pPr>
      <w:r>
        <w:rPr>
          <w:rFonts w:hint="eastAsia" w:ascii="宋体" w:hAnsi="宋体" w:eastAsia="宋体" w:cs="宋体"/>
          <w:b w:val="0"/>
          <w:bCs/>
          <w:szCs w:val="24"/>
        </w:rPr>
        <w:t>安装起重臂节及臂头：</w:t>
      </w:r>
    </w:p>
    <w:p>
      <w:pPr>
        <w:spacing w:after="120" w:afterLines="50" w:line="360" w:lineRule="auto"/>
        <w:ind w:firstLine="723" w:firstLineChars="300"/>
        <w:jc w:val="left"/>
        <w:rPr>
          <w:rFonts w:hint="default" w:ascii="宋体" w:hAnsi="宋体" w:eastAsia="宋体" w:cs="宋体"/>
          <w:b/>
          <w:bCs w:val="0"/>
          <w:szCs w:val="24"/>
          <w:lang w:val="en-US" w:eastAsia="zh-CN"/>
        </w:rPr>
      </w:pPr>
      <w:r>
        <w:rPr>
          <w:rFonts w:hint="eastAsia" w:ascii="宋体" w:hAnsi="宋体" w:eastAsia="宋体" w:cs="宋体"/>
          <w:b/>
          <w:bCs w:val="0"/>
          <w:szCs w:val="24"/>
          <w:lang w:val="en-US" w:eastAsia="zh-CN"/>
        </w:rPr>
        <w:t>汽车吊移位。</w:t>
      </w:r>
    </w:p>
    <w:p>
      <w:pPr>
        <w:widowControl w:val="0"/>
        <w:spacing w:after="50" w:afterLines="50" w:line="360" w:lineRule="auto"/>
        <w:ind w:firstLine="480" w:firstLineChars="200"/>
        <w:jc w:val="left"/>
        <w:rPr>
          <w:rFonts w:hint="default" w:ascii="宋体" w:hAnsi="宋体" w:eastAsia="宋体" w:cs="宋体"/>
          <w:bCs/>
          <w:kern w:val="2"/>
          <w:sz w:val="24"/>
          <w:szCs w:val="24"/>
          <w:lang w:val="en-GB" w:eastAsia="zh-CN" w:bidi="ar-SA"/>
        </w:rPr>
      </w:pPr>
      <w:r>
        <w:rPr>
          <w:rFonts w:hint="eastAsia" w:ascii="宋体" w:hAnsi="宋体" w:eastAsia="宋体" w:cs="宋体"/>
          <w:bCs/>
          <w:kern w:val="2"/>
          <w:sz w:val="24"/>
          <w:szCs w:val="24"/>
          <w:lang w:val="en-US" w:eastAsia="zh-CN" w:bidi="ar-SA"/>
        </w:rPr>
        <w:t>起重臂的安装采用分节吊装的方式。用4根6m长直径24mm和4个额定载荷5t的卸扣按顺序吊装起重臂臂节，试吊起重臂，使根部稍倾斜，倾斜角度不合适，应适当调整，并再次试吊，直至起重臂角度最佳为止，在起重臂上弦做好标志，以便拆卸时吊点选择。起吊前，将麻绳固定于便于牵引的一端，缓慢起吊起重臂至空中，可通过电力或手动摇动回转机构回转到安装起重臂的最佳角度，将起重臂上弦杆1个用销轴与前一节臂上弦杆的销孔连接，穿好立销及开口销。缓慢落钩至起重臂下弦与平衡臂下弦连接口对正后，缓慢落下起重臂，安装下弦连接专用高强螺栓，完成一节起重臂的安装。</w:t>
      </w:r>
    </w:p>
    <w:p>
      <w:pPr>
        <w:spacing w:after="50" w:afterLines="50" w:line="300" w:lineRule="auto"/>
        <w:ind w:firstLine="420"/>
        <w:jc w:val="left"/>
        <w:rPr>
          <w:rFonts w:hint="default" w:ascii="仿宋" w:hAnsi="仿宋" w:eastAsia="仿宋" w:cs="Times New Roman"/>
          <w:szCs w:val="24"/>
          <w:lang w:val="en-US" w:eastAsia="zh-CN"/>
        </w:rPr>
      </w:pPr>
      <w:r>
        <w:rPr>
          <w:rFonts w:hint="eastAsia" w:ascii="宋体" w:hAnsi="宋体" w:eastAsia="宋体" w:cs="宋体"/>
          <w:bCs/>
          <w:kern w:val="2"/>
          <w:sz w:val="24"/>
          <w:szCs w:val="24"/>
          <w:lang w:val="en-US" w:eastAsia="zh-CN" w:bidi="ar-SA"/>
        </w:rPr>
        <w:t>各个起重臂节的在空中拼装方式都相同。如下图所示。</w:t>
      </w:r>
    </w:p>
    <w:p>
      <w:pPr>
        <w:spacing w:after="156" w:afterLines="50" w:line="300" w:lineRule="auto"/>
        <w:ind w:firstLine="0" w:firstLineChars="0"/>
        <w:jc w:val="both"/>
        <w:rPr>
          <w:rFonts w:ascii="仿宋" w:hAnsi="仿宋" w:eastAsia="仿宋" w:cs="Times New Roman"/>
          <w:szCs w:val="24"/>
        </w:rPr>
      </w:pPr>
      <w:r>
        <w:rPr>
          <w:rFonts w:ascii="仿宋" w:hAnsi="仿宋" w:eastAsia="仿宋" w:cs="Times New Roman"/>
          <w:szCs w:val="24"/>
        </w:rPr>
        <w:drawing>
          <wp:anchor distT="0" distB="0" distL="114300" distR="114300" simplePos="0" relativeHeight="251662336" behindDoc="0" locked="0" layoutInCell="1" allowOverlap="1">
            <wp:simplePos x="0" y="0"/>
            <wp:positionH relativeFrom="column">
              <wp:posOffset>3233420</wp:posOffset>
            </wp:positionH>
            <wp:positionV relativeFrom="paragraph">
              <wp:posOffset>130810</wp:posOffset>
            </wp:positionV>
            <wp:extent cx="2771140" cy="2497455"/>
            <wp:effectExtent l="0" t="0" r="2540" b="1905"/>
            <wp:wrapNone/>
            <wp:docPr id="16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7"/>
                    <pic:cNvPicPr>
                      <a:picLocks noChangeAspect="1"/>
                    </pic:cNvPicPr>
                  </pic:nvPicPr>
                  <pic:blipFill>
                    <a:blip r:embed="rId45"/>
                    <a:stretch>
                      <a:fillRect/>
                    </a:stretch>
                  </pic:blipFill>
                  <pic:spPr>
                    <a:xfrm>
                      <a:off x="0" y="0"/>
                      <a:ext cx="2771140" cy="2497455"/>
                    </a:xfrm>
                    <a:prstGeom prst="rect">
                      <a:avLst/>
                    </a:prstGeom>
                    <a:noFill/>
                    <a:ln>
                      <a:noFill/>
                    </a:ln>
                  </pic:spPr>
                </pic:pic>
              </a:graphicData>
            </a:graphic>
          </wp:anchor>
        </w:drawing>
      </w:r>
      <w:r>
        <w:rPr>
          <w:rFonts w:ascii="仿宋" w:hAnsi="仿宋" w:eastAsia="仿宋" w:cs="Times New Roman"/>
          <w:szCs w:val="24"/>
        </w:rPr>
        <w:drawing>
          <wp:inline distT="0" distB="0" distL="114300" distR="114300">
            <wp:extent cx="2947035" cy="2463800"/>
            <wp:effectExtent l="0" t="0" r="9525" b="508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46"/>
                    <a:stretch>
                      <a:fillRect/>
                    </a:stretch>
                  </pic:blipFill>
                  <pic:spPr>
                    <a:xfrm>
                      <a:off x="0" y="0"/>
                      <a:ext cx="2947035" cy="2463800"/>
                    </a:xfrm>
                    <a:prstGeom prst="rect">
                      <a:avLst/>
                    </a:prstGeom>
                    <a:noFill/>
                    <a:ln>
                      <a:noFill/>
                    </a:ln>
                  </pic:spPr>
                </pic:pic>
              </a:graphicData>
            </a:graphic>
          </wp:inline>
        </w:drawing>
      </w:r>
    </w:p>
    <w:p>
      <w:pPr>
        <w:spacing w:after="156" w:afterLines="50" w:line="300" w:lineRule="auto"/>
        <w:ind w:firstLine="0" w:firstLineChars="0"/>
        <w:jc w:val="center"/>
        <w:rPr>
          <w:rFonts w:hint="eastAsia" w:ascii="宋体" w:hAnsi="宋体" w:eastAsia="宋体" w:cs="宋体"/>
          <w:b/>
          <w:bCs/>
          <w:szCs w:val="24"/>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lang w:val="en-US" w:eastAsia="zh-CN"/>
        </w:rPr>
        <w:t>12</w:t>
      </w:r>
      <w:r>
        <w:rPr>
          <w:rFonts w:hint="eastAsia" w:ascii="宋体" w:hAnsi="宋体" w:eastAsia="宋体" w:cs="宋体"/>
          <w:b/>
          <w:bCs/>
          <w:szCs w:val="24"/>
        </w:rPr>
        <w:t xml:space="preserve"> </w:t>
      </w:r>
      <w:r>
        <w:rPr>
          <w:rFonts w:hint="eastAsia" w:ascii="宋体" w:hAnsi="宋体" w:eastAsia="宋体" w:cs="宋体"/>
          <w:b/>
          <w:bCs/>
          <w:szCs w:val="24"/>
          <w:lang w:val="en-US" w:eastAsia="zh-CN"/>
        </w:rPr>
        <w:t>分节安装</w:t>
      </w:r>
      <w:r>
        <w:rPr>
          <w:rFonts w:hint="eastAsia" w:ascii="宋体" w:hAnsi="宋体" w:eastAsia="宋体" w:cs="宋体"/>
          <w:b/>
          <w:bCs/>
          <w:szCs w:val="24"/>
        </w:rPr>
        <w:t>起重臂臂节示意图</w:t>
      </w:r>
    </w:p>
    <w:p>
      <w:pPr>
        <w:spacing w:after="120" w:afterLines="50" w:line="300" w:lineRule="auto"/>
        <w:ind w:firstLine="0" w:firstLineChars="0"/>
        <w:jc w:val="left"/>
        <w:rPr>
          <w:rFonts w:hint="eastAsia" w:ascii="宋体" w:hAnsi="宋体" w:eastAsia="宋体" w:cs="宋体"/>
          <w:b w:val="0"/>
          <w:bCs/>
          <w:szCs w:val="24"/>
        </w:rPr>
      </w:pPr>
      <w:r>
        <w:rPr>
          <w:rFonts w:hint="eastAsia" w:ascii="宋体" w:hAnsi="宋体" w:eastAsia="宋体" w:cs="宋体"/>
          <w:b w:val="0"/>
          <w:bCs/>
          <w:szCs w:val="24"/>
        </w:rPr>
        <w:t>安装变幅钢丝绳：</w:t>
      </w:r>
    </w:p>
    <w:p>
      <w:pPr>
        <w:spacing w:after="120" w:afterLines="50" w:line="300" w:lineRule="auto"/>
        <w:ind w:firstLine="0" w:firstLineChars="0"/>
        <w:jc w:val="center"/>
        <w:rPr>
          <w:rFonts w:hint="eastAsia" w:ascii="宋体" w:hAnsi="宋体" w:eastAsia="宋体" w:cs="宋体"/>
          <w:b w:val="0"/>
          <w:bCs/>
          <w:szCs w:val="24"/>
        </w:rPr>
      </w:pPr>
      <w:r>
        <w:rPr>
          <w:rFonts w:hint="eastAsia" w:ascii="宋体" w:hAnsi="宋体" w:eastAsia="宋体" w:cs="宋体"/>
          <w:b w:val="0"/>
          <w:bCs/>
          <w:szCs w:val="24"/>
        </w:rPr>
        <w:drawing>
          <wp:inline distT="0" distB="0" distL="114300" distR="114300">
            <wp:extent cx="5363210" cy="1442085"/>
            <wp:effectExtent l="0" t="0" r="1270" b="5715"/>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47"/>
                    <a:stretch>
                      <a:fillRect/>
                    </a:stretch>
                  </pic:blipFill>
                  <pic:spPr>
                    <a:xfrm>
                      <a:off x="0" y="0"/>
                      <a:ext cx="5363210" cy="1442085"/>
                    </a:xfrm>
                    <a:prstGeom prst="rect">
                      <a:avLst/>
                    </a:prstGeom>
                    <a:noFill/>
                    <a:ln>
                      <a:noFill/>
                    </a:ln>
                  </pic:spPr>
                </pic:pic>
              </a:graphicData>
            </a:graphic>
          </wp:inline>
        </w:drawing>
      </w:r>
    </w:p>
    <w:p>
      <w:pPr>
        <w:spacing w:after="120" w:afterLines="50" w:line="300" w:lineRule="auto"/>
        <w:ind w:firstLine="0" w:firstLineChars="0"/>
        <w:jc w:val="center"/>
        <w:rPr>
          <w:rFonts w:hint="eastAsia" w:ascii="宋体" w:hAnsi="宋体" w:eastAsia="宋体" w:cs="宋体"/>
          <w:b w:val="0"/>
          <w:bCs/>
          <w:szCs w:val="24"/>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lang w:val="en-US" w:eastAsia="zh-CN"/>
        </w:rPr>
        <w:t>13</w:t>
      </w:r>
      <w:r>
        <w:rPr>
          <w:rFonts w:hint="eastAsia" w:ascii="宋体" w:hAnsi="宋体" w:eastAsia="宋体" w:cs="宋体"/>
          <w:b w:val="0"/>
          <w:bCs/>
          <w:szCs w:val="24"/>
        </w:rPr>
        <w:t>变幅钢丝绳穿绕示意图</w:t>
      </w:r>
    </w:p>
    <w:p>
      <w:pPr>
        <w:spacing w:after="120" w:afterLines="50" w:line="360" w:lineRule="auto"/>
        <w:ind w:firstLine="720" w:firstLineChars="300"/>
        <w:jc w:val="left"/>
        <w:rPr>
          <w:rFonts w:hint="eastAsia" w:ascii="宋体" w:hAnsi="宋体" w:eastAsia="宋体" w:cs="宋体"/>
          <w:b w:val="0"/>
          <w:bCs/>
          <w:szCs w:val="24"/>
        </w:rPr>
      </w:pPr>
      <w:r>
        <w:rPr>
          <w:rFonts w:hint="eastAsia" w:ascii="宋体" w:hAnsi="宋体" w:eastAsia="宋体" w:cs="宋体"/>
          <w:b w:val="0"/>
          <w:bCs/>
          <w:szCs w:val="24"/>
        </w:rPr>
        <w:t>将起升钢丝绳引经塔顶导向滑轮后，绕过在起重臂根部上的起重量限制器滑轮，再引向小车滑轮与吊钩滑轮穿绕，最后，将绳端固定在臂头上（见图）。</w:t>
      </w:r>
    </w:p>
    <w:p>
      <w:pPr>
        <w:pStyle w:val="5"/>
        <w:bidi w:val="0"/>
        <w:rPr>
          <w:rFonts w:hint="eastAsia"/>
        </w:rPr>
      </w:pPr>
      <w:r>
        <w:rPr>
          <w:rFonts w:hint="eastAsia"/>
        </w:rPr>
        <w:t>安装剩余平衡重</w:t>
      </w:r>
    </w:p>
    <w:p>
      <w:pPr>
        <w:spacing w:after="120" w:afterLines="50" w:line="360" w:lineRule="auto"/>
        <w:ind w:firstLine="480"/>
        <w:jc w:val="left"/>
        <w:rPr>
          <w:rFonts w:hint="default" w:ascii="宋体" w:hAnsi="宋体" w:eastAsia="宋体" w:cs="宋体"/>
          <w:b/>
          <w:bCs w:val="0"/>
          <w:szCs w:val="24"/>
          <w:lang w:val="en-US" w:eastAsia="zh-CN"/>
        </w:rPr>
      </w:pPr>
      <w:r>
        <w:rPr>
          <w:rFonts w:hint="eastAsia" w:ascii="宋体" w:hAnsi="宋体" w:eastAsia="宋体" w:cs="宋体"/>
          <w:b/>
          <w:bCs w:val="0"/>
          <w:szCs w:val="24"/>
          <w:lang w:val="en-US" w:eastAsia="zh-CN"/>
        </w:rPr>
        <w:t>汽车吊移回至初始位置。</w:t>
      </w:r>
    </w:p>
    <w:p>
      <w:pPr>
        <w:spacing w:after="120" w:afterLines="50" w:line="360" w:lineRule="auto"/>
        <w:ind w:firstLine="480"/>
        <w:jc w:val="left"/>
        <w:rPr>
          <w:rFonts w:hint="eastAsia" w:ascii="宋体" w:hAnsi="宋体" w:eastAsia="宋体" w:cs="宋体"/>
          <w:b w:val="0"/>
          <w:bCs/>
          <w:szCs w:val="24"/>
          <w:highlight w:val="none"/>
        </w:rPr>
      </w:pPr>
      <w:r>
        <w:rPr>
          <w:rFonts w:hint="eastAsia" w:ascii="宋体" w:hAnsi="宋体" w:eastAsia="宋体" w:cs="宋体"/>
          <w:b w:val="0"/>
          <w:bCs/>
          <w:szCs w:val="24"/>
        </w:rPr>
        <w:t>用1根直径24mm长3m的吊索和1个额定载荷5t的卸扣吊装平衡重，将平衡重吊起至平衡臂后段臂节平衡重安装位置上部，缓慢落钩，靠近安装的一块平衡重后侧，继续缓慢落钩，调</w:t>
      </w:r>
      <w:r>
        <w:rPr>
          <w:rFonts w:hint="eastAsia" w:ascii="宋体" w:hAnsi="宋体" w:eastAsia="宋体" w:cs="宋体"/>
          <w:b w:val="0"/>
          <w:bCs/>
          <w:szCs w:val="24"/>
          <w:highlight w:val="none"/>
        </w:rPr>
        <w:t>整两个平衡重安装销轴的位置，使平衡重可靠安装于平衡臂后段臂节上。依次安装剩余的平衡重。</w:t>
      </w:r>
    </w:p>
    <w:p>
      <w:pPr>
        <w:widowControl w:val="0"/>
        <w:spacing w:line="312" w:lineRule="auto"/>
        <w:ind w:firstLine="420"/>
        <w:jc w:val="center"/>
        <w:rPr>
          <w:rFonts w:hint="eastAsia" w:ascii="Times New Roman" w:hAnsi="Times New Roman" w:eastAsia="宋体" w:cs="Times New Roman"/>
          <w:b w:val="0"/>
          <w:bCs/>
          <w:kern w:val="2"/>
          <w:sz w:val="28"/>
          <w:szCs w:val="24"/>
          <w:highlight w:val="none"/>
          <w:lang w:val="en-US" w:eastAsia="zh-CN" w:bidi="ar-SA"/>
        </w:rPr>
      </w:pPr>
      <w:r>
        <w:drawing>
          <wp:inline distT="0" distB="0" distL="114300" distR="114300">
            <wp:extent cx="4858385" cy="2824480"/>
            <wp:effectExtent l="0" t="0" r="3175" b="10160"/>
            <wp:docPr id="6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8"/>
                    <pic:cNvPicPr>
                      <a:picLocks noChangeAspect="1"/>
                    </pic:cNvPicPr>
                  </pic:nvPicPr>
                  <pic:blipFill>
                    <a:blip r:embed="rId48"/>
                    <a:stretch>
                      <a:fillRect/>
                    </a:stretch>
                  </pic:blipFill>
                  <pic:spPr>
                    <a:xfrm>
                      <a:off x="0" y="0"/>
                      <a:ext cx="4858385" cy="2824480"/>
                    </a:xfrm>
                    <a:prstGeom prst="rect">
                      <a:avLst/>
                    </a:prstGeom>
                    <a:noFill/>
                    <a:ln>
                      <a:noFill/>
                    </a:ln>
                  </pic:spPr>
                </pic:pic>
              </a:graphicData>
            </a:graphic>
          </wp:inline>
        </w:drawing>
      </w:r>
    </w:p>
    <w:p>
      <w:pPr>
        <w:spacing w:after="120" w:afterLines="50" w:line="300" w:lineRule="auto"/>
        <w:ind w:firstLine="0" w:firstLineChars="0"/>
        <w:jc w:val="center"/>
        <w:rPr>
          <w:rFonts w:hint="eastAsia" w:ascii="宋体" w:hAnsi="宋体" w:eastAsia="宋体" w:cs="宋体"/>
          <w:b w:val="0"/>
          <w:bCs/>
          <w:color w:val="000000"/>
          <w:szCs w:val="24"/>
          <w:highlight w:val="none"/>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14</w:t>
      </w:r>
      <w:r>
        <w:rPr>
          <w:rFonts w:hint="eastAsia" w:ascii="宋体" w:hAnsi="宋体" w:eastAsia="宋体" w:cs="宋体"/>
          <w:b w:val="0"/>
          <w:bCs/>
          <w:color w:val="000000"/>
          <w:szCs w:val="24"/>
          <w:highlight w:val="none"/>
        </w:rPr>
        <w:t xml:space="preserve"> 安装起重臂后剩余配重数量统计表</w:t>
      </w:r>
    </w:p>
    <w:p>
      <w:pPr>
        <w:spacing w:after="120" w:afterLines="50" w:line="300" w:lineRule="auto"/>
        <w:ind w:firstLine="0" w:firstLineChars="0"/>
        <w:jc w:val="center"/>
        <w:rPr>
          <w:rFonts w:hint="eastAsia" w:ascii="宋体" w:hAnsi="宋体" w:eastAsia="宋体" w:cs="宋体"/>
          <w:b w:val="0"/>
          <w:bCs/>
          <w:szCs w:val="24"/>
        </w:rPr>
      </w:pPr>
    </w:p>
    <w:p>
      <w:pPr>
        <w:spacing w:after="120" w:afterLines="50" w:line="300" w:lineRule="auto"/>
        <w:ind w:firstLine="0" w:firstLineChars="0"/>
        <w:jc w:val="center"/>
        <w:rPr>
          <w:rFonts w:hint="eastAsia" w:ascii="宋体" w:hAnsi="宋体" w:eastAsia="宋体" w:cs="宋体"/>
          <w:b w:val="0"/>
          <w:bCs/>
          <w:szCs w:val="24"/>
        </w:rPr>
      </w:pPr>
      <w:r>
        <w:rPr>
          <w:rFonts w:hint="eastAsia" w:ascii="宋体" w:hAnsi="宋体" w:eastAsia="宋体" w:cs="宋体"/>
          <w:b w:val="0"/>
          <w:bCs/>
          <w:szCs w:val="24"/>
        </w:rPr>
        <w:drawing>
          <wp:inline distT="0" distB="0" distL="114300" distR="114300">
            <wp:extent cx="4521835" cy="2852420"/>
            <wp:effectExtent l="0" t="0" r="4445" b="12700"/>
            <wp:docPr id="35" name="图片 35" descr="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0080"/>
                    <pic:cNvPicPr>
                      <a:picLocks noChangeAspect="1"/>
                    </pic:cNvPicPr>
                  </pic:nvPicPr>
                  <pic:blipFill>
                    <a:blip r:embed="rId49"/>
                    <a:stretch>
                      <a:fillRect/>
                    </a:stretch>
                  </pic:blipFill>
                  <pic:spPr>
                    <a:xfrm>
                      <a:off x="0" y="0"/>
                      <a:ext cx="4521835" cy="2852420"/>
                    </a:xfrm>
                    <a:prstGeom prst="rect">
                      <a:avLst/>
                    </a:prstGeom>
                  </pic:spPr>
                </pic:pic>
              </a:graphicData>
            </a:graphic>
          </wp:inline>
        </w:drawing>
      </w:r>
      <w:r>
        <w:rPr>
          <w:rFonts w:hint="eastAsia" w:ascii="宋体" w:hAnsi="宋体" w:eastAsia="宋体" w:cs="宋体"/>
          <w:b w:val="0"/>
          <w:bCs/>
          <w:szCs w:val="24"/>
        </w:rPr>
        <w:t xml:space="preserve"> </w:t>
      </w:r>
    </w:p>
    <w:p>
      <w:pPr>
        <w:spacing w:after="120" w:afterLines="50" w:line="300" w:lineRule="auto"/>
        <w:ind w:firstLine="0" w:firstLineChars="0"/>
        <w:jc w:val="center"/>
        <w:rPr>
          <w:rFonts w:hint="eastAsia" w:ascii="宋体" w:hAnsi="宋体" w:eastAsia="宋体" w:cs="宋体"/>
          <w:b w:val="0"/>
          <w:bCs/>
          <w:color w:val="000000"/>
          <w:szCs w:val="24"/>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15</w:t>
      </w:r>
      <w:r>
        <w:rPr>
          <w:rFonts w:hint="eastAsia" w:ascii="宋体" w:hAnsi="宋体" w:eastAsia="宋体" w:cs="宋体"/>
          <w:b w:val="0"/>
          <w:bCs/>
          <w:szCs w:val="24"/>
        </w:rPr>
        <w:t xml:space="preserve"> 安装剩余平衡重立面示意图</w:t>
      </w:r>
    </w:p>
    <w:p>
      <w:pPr>
        <w:pStyle w:val="5"/>
        <w:bidi w:val="0"/>
        <w:rPr>
          <w:rFonts w:hint="eastAsia"/>
          <w:lang w:val="en-US" w:eastAsia="zh-CN"/>
        </w:rPr>
      </w:pPr>
      <w:r>
        <w:rPr>
          <w:rFonts w:hint="eastAsia"/>
          <w:lang w:val="en-US" w:eastAsia="zh-CN"/>
        </w:rPr>
        <w:t>穿绕起升钢丝绳</w:t>
      </w:r>
    </w:p>
    <w:p>
      <w:pPr>
        <w:spacing w:after="120" w:afterLines="50" w:line="300" w:lineRule="auto"/>
        <w:ind w:firstLine="480"/>
        <w:jc w:val="center"/>
        <w:rPr>
          <w:rFonts w:hint="eastAsia" w:ascii="宋体" w:hAnsi="宋体" w:eastAsia="宋体" w:cs="宋体"/>
          <w:b w:val="0"/>
          <w:bCs/>
          <w:szCs w:val="24"/>
        </w:rPr>
      </w:pPr>
      <w:r>
        <w:rPr>
          <w:rFonts w:hint="eastAsia" w:ascii="宋体" w:hAnsi="宋体" w:eastAsia="宋体" w:cs="宋体"/>
          <w:b w:val="0"/>
          <w:bCs/>
          <w:szCs w:val="24"/>
        </w:rPr>
        <w:drawing>
          <wp:inline distT="0" distB="0" distL="114300" distR="114300">
            <wp:extent cx="5558790" cy="2043430"/>
            <wp:effectExtent l="0" t="0" r="3810" b="1397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50"/>
                    <a:stretch>
                      <a:fillRect/>
                    </a:stretch>
                  </pic:blipFill>
                  <pic:spPr>
                    <a:xfrm>
                      <a:off x="0" y="0"/>
                      <a:ext cx="5558790" cy="2043430"/>
                    </a:xfrm>
                    <a:prstGeom prst="rect">
                      <a:avLst/>
                    </a:prstGeom>
                    <a:noFill/>
                    <a:ln>
                      <a:noFill/>
                    </a:ln>
                  </pic:spPr>
                </pic:pic>
              </a:graphicData>
            </a:graphic>
          </wp:inline>
        </w:drawing>
      </w: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16</w:t>
      </w:r>
      <w:r>
        <w:rPr>
          <w:rFonts w:hint="eastAsia" w:ascii="宋体" w:hAnsi="宋体" w:eastAsia="宋体" w:cs="宋体"/>
          <w:b w:val="0"/>
          <w:bCs/>
          <w:szCs w:val="24"/>
        </w:rPr>
        <w:t xml:space="preserve"> 起升钢丝绳穿绕示意图</w:t>
      </w:r>
    </w:p>
    <w:p>
      <w:pPr>
        <w:spacing w:after="120" w:afterLines="50" w:line="360" w:lineRule="auto"/>
        <w:ind w:firstLine="480"/>
        <w:jc w:val="left"/>
        <w:rPr>
          <w:rFonts w:hint="eastAsia" w:ascii="宋体" w:hAnsi="宋体" w:eastAsia="宋体" w:cs="宋体"/>
          <w:b w:val="0"/>
          <w:bCs/>
          <w:szCs w:val="24"/>
        </w:rPr>
      </w:pPr>
      <w:r>
        <w:rPr>
          <w:rFonts w:hint="eastAsia" w:ascii="宋体" w:hAnsi="宋体" w:eastAsia="宋体" w:cs="宋体"/>
          <w:b w:val="0"/>
          <w:bCs/>
          <w:szCs w:val="24"/>
        </w:rPr>
        <w:t>如图</w:t>
      </w:r>
      <w:r>
        <w:rPr>
          <w:rFonts w:hint="eastAsia" w:ascii="宋体" w:hAnsi="宋体" w:eastAsia="宋体" w:cs="宋体"/>
          <w:b w:val="0"/>
          <w:bCs/>
          <w:szCs w:val="24"/>
          <w:lang w:val="en-US" w:eastAsia="zh-CN"/>
        </w:rPr>
        <w:t>6.4-17</w:t>
      </w:r>
      <w:r>
        <w:rPr>
          <w:rFonts w:hint="eastAsia" w:ascii="宋体" w:hAnsi="宋体" w:eastAsia="宋体" w:cs="宋体"/>
          <w:b w:val="0"/>
          <w:bCs/>
          <w:szCs w:val="24"/>
        </w:rPr>
        <w:t>所示，起升钢丝绳由起升机构卷筒放出，绕过塔顶导向滑轮向下进入塔头上起重量限制器滑轮，向前再绕到载重小车和吊钩滑轮组，最后将绳头通过绳夹，用销轴固定在起重臂头部的防扭装置。</w:t>
      </w:r>
    </w:p>
    <w:p>
      <w:pPr>
        <w:spacing w:after="120" w:afterLines="50" w:line="300" w:lineRule="auto"/>
        <w:ind w:firstLine="480"/>
        <w:jc w:val="left"/>
        <w:rPr>
          <w:rFonts w:hint="eastAsia" w:ascii="宋体" w:hAnsi="宋体" w:eastAsia="宋体" w:cs="宋体"/>
          <w:b w:val="0"/>
          <w:bCs/>
          <w:szCs w:val="24"/>
        </w:rPr>
      </w:pPr>
      <w:r>
        <w:rPr>
          <w:rFonts w:hint="eastAsia" w:ascii="宋体" w:hAnsi="宋体" w:eastAsia="宋体" w:cs="宋体"/>
          <w:b w:val="0"/>
          <w:bCs/>
          <w:szCs w:val="24"/>
        </w:rPr>
        <w:drawing>
          <wp:inline distT="0" distB="0" distL="0" distR="0">
            <wp:extent cx="4339590" cy="1139190"/>
            <wp:effectExtent l="0" t="0" r="3810" b="38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4339590" cy="1139190"/>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安全装置调试</w:t>
      </w:r>
    </w:p>
    <w:p>
      <w:pPr>
        <w:numPr>
          <w:ilvl w:val="0"/>
          <w:numId w:val="25"/>
        </w:numPr>
        <w:spacing w:after="120" w:afterLines="50" w:line="300" w:lineRule="auto"/>
        <w:ind w:firstLine="0" w:firstLineChars="0"/>
        <w:jc w:val="left"/>
        <w:rPr>
          <w:rFonts w:hint="eastAsia" w:ascii="宋体" w:hAnsi="宋体" w:eastAsia="宋体" w:cs="宋体"/>
          <w:b w:val="0"/>
          <w:bCs/>
          <w:color w:val="000000"/>
          <w:szCs w:val="24"/>
        </w:rPr>
      </w:pPr>
      <w:r>
        <w:rPr>
          <w:rFonts w:hint="eastAsia" w:ascii="宋体" w:hAnsi="宋体" w:eastAsia="宋体" w:cs="宋体"/>
          <w:b w:val="0"/>
          <w:bCs/>
          <w:color w:val="000000"/>
          <w:szCs w:val="24"/>
        </w:rPr>
        <w:t>起升高度限位器调试</w:t>
      </w:r>
    </w:p>
    <w:p>
      <w:pPr>
        <w:spacing w:after="120" w:afterLines="50" w:line="300" w:lineRule="auto"/>
        <w:ind w:firstLine="0" w:firstLineChars="0"/>
        <w:jc w:val="center"/>
        <w:rPr>
          <w:rFonts w:hint="eastAsia" w:ascii="宋体" w:hAnsi="宋体" w:eastAsia="宋体" w:cs="宋体"/>
          <w:b w:val="0"/>
          <w:bCs/>
          <w:color w:val="000000"/>
          <w:szCs w:val="24"/>
        </w:rPr>
      </w:pPr>
      <w:r>
        <w:rPr>
          <w:rFonts w:hint="eastAsia" w:ascii="宋体" w:hAnsi="宋体" w:eastAsia="宋体" w:cs="宋体"/>
          <w:b w:val="0"/>
          <w:bCs/>
          <w:color w:val="000000"/>
          <w:szCs w:val="24"/>
        </w:rPr>
        <w:drawing>
          <wp:inline distT="0" distB="0" distL="114300" distR="114300">
            <wp:extent cx="2934970" cy="3014345"/>
            <wp:effectExtent l="0" t="0" r="6350"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52"/>
                    <a:stretch>
                      <a:fillRect/>
                    </a:stretch>
                  </pic:blipFill>
                  <pic:spPr>
                    <a:xfrm>
                      <a:off x="0" y="0"/>
                      <a:ext cx="2934970" cy="3014345"/>
                    </a:xfrm>
                    <a:prstGeom prst="rect">
                      <a:avLst/>
                    </a:prstGeom>
                    <a:noFill/>
                    <a:ln w="9525">
                      <a:noFill/>
                    </a:ln>
                  </pic:spPr>
                </pic:pic>
              </a:graphicData>
            </a:graphic>
          </wp:inline>
        </w:drawing>
      </w:r>
    </w:p>
    <w:p>
      <w:pPr>
        <w:tabs>
          <w:tab w:val="left" w:pos="2006"/>
        </w:tabs>
        <w:spacing w:after="0" w:afterLines="0" w:line="240" w:lineRule="auto"/>
        <w:ind w:firstLine="0" w:firstLineChars="0"/>
        <w:jc w:val="center"/>
        <w:rPr>
          <w:rFonts w:hint="eastAsia" w:ascii="宋体" w:hAnsi="宋体" w:eastAsia="宋体" w:cs="宋体"/>
          <w:b w:val="0"/>
          <w:bCs/>
          <w:color w:val="000000"/>
          <w:szCs w:val="24"/>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 xml:space="preserve">17 </w:t>
      </w:r>
      <w:r>
        <w:rPr>
          <w:rFonts w:hint="eastAsia" w:ascii="宋体" w:hAnsi="宋体" w:eastAsia="宋体" w:cs="宋体"/>
          <w:b w:val="0"/>
          <w:bCs/>
          <w:color w:val="000000"/>
          <w:szCs w:val="24"/>
        </w:rPr>
        <w:t>起升高度限位器示意图</w:t>
      </w:r>
    </w:p>
    <w:p>
      <w:pPr>
        <w:spacing w:after="120" w:afterLines="50" w:line="360" w:lineRule="auto"/>
        <w:ind w:firstLine="480"/>
        <w:jc w:val="left"/>
        <w:rPr>
          <w:rFonts w:hint="eastAsia" w:ascii="宋体" w:hAnsi="宋体" w:eastAsia="宋体" w:cs="宋体"/>
          <w:b w:val="0"/>
          <w:bCs/>
          <w:color w:val="000000"/>
          <w:szCs w:val="24"/>
        </w:rPr>
      </w:pPr>
      <w:r>
        <w:rPr>
          <w:rFonts w:hint="eastAsia" w:ascii="宋体" w:hAnsi="宋体" w:eastAsia="宋体" w:cs="宋体"/>
          <w:b w:val="0"/>
          <w:bCs/>
          <w:color w:val="000000"/>
          <w:szCs w:val="24"/>
        </w:rPr>
        <w:t>塔机起升高度限位器的型号一致，调试方法相同，如图6</w:t>
      </w:r>
      <w:r>
        <w:rPr>
          <w:rFonts w:hint="eastAsia" w:ascii="宋体" w:hAnsi="宋体" w:eastAsia="宋体" w:cs="宋体"/>
          <w:b w:val="0"/>
          <w:bCs/>
          <w:color w:val="000000"/>
          <w:szCs w:val="24"/>
          <w:lang w:val="en-US" w:eastAsia="zh-CN"/>
        </w:rPr>
        <w:t>.4-1</w:t>
      </w:r>
      <w:r>
        <w:rPr>
          <w:rFonts w:hint="eastAsia" w:ascii="宋体" w:hAnsi="宋体" w:eastAsia="宋体" w:cs="宋体"/>
          <w:b w:val="0"/>
          <w:bCs/>
          <w:color w:val="000000"/>
          <w:szCs w:val="24"/>
        </w:rPr>
        <w:t>拆开起升高度限位器的上罩壳，检查并拧紧2个M3×55螺钉，松开M5螺母，调整在空载下进行，用手指分别下压微动开关（1WK、2WK、3WK、4WK），确认限制提升或下降的微动开关是否正确。确认1WK和2WK是分别控制起升减速和起升停止的微动开关。操作起升机构起升，当吊钩滑轮距变幅小车距离约为10米时，调动（1Z）轴，至长凸轮（1T）压下微动开关（1WK），使吊钩只能慢速提升；当吊钩滑轮距变幅小车距离约为3米时，调动（2Z）轴，使凸轮（2T）压下微动开关（2WK），使吊钩自动减速提升，并最终停止在距变幅小车不小于1米的位置，拧紧M5螺母。</w:t>
      </w:r>
    </w:p>
    <w:p>
      <w:pPr>
        <w:numPr>
          <w:ilvl w:val="0"/>
          <w:numId w:val="25"/>
        </w:numPr>
        <w:spacing w:after="120" w:afterLines="50" w:line="360" w:lineRule="auto"/>
        <w:ind w:firstLine="0" w:firstLineChars="0"/>
        <w:jc w:val="left"/>
        <w:rPr>
          <w:rFonts w:hint="eastAsia" w:ascii="宋体" w:hAnsi="宋体" w:eastAsia="宋体" w:cs="宋体"/>
          <w:b w:val="0"/>
          <w:bCs/>
          <w:color w:val="000000"/>
          <w:szCs w:val="24"/>
        </w:rPr>
      </w:pPr>
      <w:r>
        <w:rPr>
          <w:rFonts w:hint="eastAsia" w:ascii="宋体" w:hAnsi="宋体" w:eastAsia="宋体" w:cs="宋体"/>
          <w:b w:val="0"/>
          <w:bCs/>
          <w:color w:val="000000"/>
          <w:szCs w:val="24"/>
        </w:rPr>
        <w:t>幅度限位器调试</w:t>
      </w:r>
    </w:p>
    <w:p>
      <w:pPr>
        <w:spacing w:after="120" w:afterLines="50" w:line="360" w:lineRule="auto"/>
        <w:ind w:firstLine="480"/>
        <w:jc w:val="left"/>
        <w:rPr>
          <w:rFonts w:hint="eastAsia" w:ascii="宋体" w:hAnsi="宋体" w:eastAsia="宋体" w:cs="宋体"/>
          <w:b w:val="0"/>
          <w:bCs/>
          <w:color w:val="000000"/>
          <w:szCs w:val="24"/>
        </w:rPr>
      </w:pPr>
      <w:r>
        <w:rPr>
          <w:rFonts w:hint="eastAsia" w:ascii="宋体" w:hAnsi="宋体" w:eastAsia="宋体" w:cs="宋体"/>
          <w:b w:val="0"/>
          <w:bCs/>
          <w:color w:val="000000"/>
          <w:szCs w:val="24"/>
        </w:rPr>
        <w:t>塔机幅度限位器的型号一致，调试方法相同，且和起升高度限位器型号一致。如图6</w:t>
      </w:r>
      <w:r>
        <w:rPr>
          <w:rFonts w:hint="eastAsia" w:ascii="宋体" w:hAnsi="宋体" w:eastAsia="宋体" w:cs="宋体"/>
          <w:b w:val="0"/>
          <w:bCs/>
          <w:color w:val="000000"/>
          <w:szCs w:val="24"/>
          <w:lang w:val="en-US" w:eastAsia="zh-CN"/>
        </w:rPr>
        <w:t>.4-1</w:t>
      </w:r>
      <w:r>
        <w:rPr>
          <w:rFonts w:hint="eastAsia" w:ascii="宋体" w:hAnsi="宋体" w:eastAsia="宋体" w:cs="宋体"/>
          <w:b w:val="0"/>
          <w:bCs/>
          <w:color w:val="000000"/>
          <w:szCs w:val="24"/>
        </w:rPr>
        <w:t>拆开幅度限位器的上罩壳，检查并拧紧2个M3×55螺钉，松开M5螺母，调整在空载下进行。</w:t>
      </w:r>
    </w:p>
    <w:p>
      <w:pPr>
        <w:spacing w:after="120" w:afterLines="50" w:line="360" w:lineRule="auto"/>
        <w:ind w:firstLine="480"/>
        <w:jc w:val="left"/>
        <w:rPr>
          <w:rFonts w:hint="eastAsia" w:ascii="宋体" w:hAnsi="宋体" w:eastAsia="宋体" w:cs="宋体"/>
          <w:b w:val="0"/>
          <w:bCs/>
          <w:color w:val="000000"/>
          <w:szCs w:val="24"/>
        </w:rPr>
      </w:pPr>
      <w:r>
        <w:rPr>
          <w:rFonts w:hint="eastAsia" w:ascii="宋体" w:hAnsi="宋体" w:eastAsia="宋体" w:cs="宋体"/>
          <w:b w:val="0"/>
          <w:bCs/>
          <w:color w:val="000000"/>
          <w:szCs w:val="24"/>
        </w:rPr>
        <w:t>向外变幅及减速和起重臂臂尖极限限位调整：将载重小车开到距起重臂臂尖缓冲器4.6m处，调动（1Z）轴，使长凸轮(1T）压下微动开关（1WK）（调整时应同时使凸轮(3T）与（1T）重叠，以避免在制动前发生减速干扰），使小车只能以低速向前运行，并拧紧M5螺母；再将载重小车以低速开至起重臂臂尖缓冲器220mm处，按程序调整（2Z)轴，使短凸轮（2T）压下微动开关（2WK)，使小车停止向前移动，拧紧M5螺母。</w:t>
      </w:r>
    </w:p>
    <w:p>
      <w:pPr>
        <w:spacing w:after="120" w:afterLines="50" w:line="360" w:lineRule="auto"/>
        <w:ind w:firstLine="480"/>
        <w:jc w:val="left"/>
        <w:rPr>
          <w:rFonts w:hint="eastAsia" w:ascii="宋体" w:hAnsi="宋体" w:eastAsia="宋体" w:cs="宋体"/>
          <w:b w:val="0"/>
          <w:bCs/>
          <w:color w:val="000000"/>
          <w:szCs w:val="24"/>
        </w:rPr>
      </w:pPr>
      <w:r>
        <w:rPr>
          <w:rFonts w:hint="eastAsia" w:ascii="宋体" w:hAnsi="宋体" w:eastAsia="宋体" w:cs="宋体"/>
          <w:b w:val="0"/>
          <w:bCs/>
          <w:color w:val="000000"/>
          <w:szCs w:val="24"/>
        </w:rPr>
        <w:t>向内变幅及减速和起重臂臂根限位调整：调整方法同“向外变幅及减速和起重臂臂尖极限限位调整”，分别距起重臂臂根缓冲器4.6m和220mm处进行（3Z-3T-3WK，4T-4T-4WK）减速和起重臂臂根限位的调整。</w:t>
      </w:r>
    </w:p>
    <w:p>
      <w:pPr>
        <w:numPr>
          <w:ilvl w:val="0"/>
          <w:numId w:val="25"/>
        </w:numPr>
        <w:spacing w:after="120" w:afterLines="50" w:line="300" w:lineRule="auto"/>
        <w:ind w:firstLine="0" w:firstLineChars="0"/>
        <w:jc w:val="left"/>
        <w:rPr>
          <w:rFonts w:hint="eastAsia" w:ascii="宋体" w:hAnsi="宋体" w:eastAsia="宋体" w:cs="宋体"/>
          <w:b w:val="0"/>
          <w:bCs/>
          <w:color w:val="000000"/>
          <w:szCs w:val="24"/>
        </w:rPr>
      </w:pPr>
      <w:r>
        <w:rPr>
          <w:rFonts w:hint="eastAsia" w:ascii="宋体" w:hAnsi="宋体" w:eastAsia="宋体" w:cs="宋体"/>
          <w:b w:val="0"/>
          <w:bCs/>
          <w:color w:val="000000"/>
          <w:szCs w:val="24"/>
        </w:rPr>
        <w:t>回转限位器调试</w:t>
      </w:r>
    </w:p>
    <w:p>
      <w:pPr>
        <w:spacing w:after="120" w:afterLines="50" w:line="300" w:lineRule="auto"/>
        <w:ind w:firstLine="0" w:firstLineChars="0"/>
        <w:jc w:val="center"/>
        <w:rPr>
          <w:rFonts w:hint="eastAsia" w:ascii="宋体" w:hAnsi="宋体" w:eastAsia="宋体" w:cs="宋体"/>
          <w:b w:val="0"/>
          <w:bCs/>
          <w:color w:val="000000"/>
          <w:szCs w:val="24"/>
        </w:rPr>
      </w:pPr>
      <w:r>
        <w:rPr>
          <w:rFonts w:hint="eastAsia" w:ascii="宋体" w:hAnsi="宋体" w:eastAsia="宋体" w:cs="宋体"/>
          <w:b w:val="0"/>
          <w:bCs/>
          <w:color w:val="000000"/>
          <w:szCs w:val="24"/>
        </w:rPr>
        <w:drawing>
          <wp:inline distT="0" distB="0" distL="114300" distR="114300">
            <wp:extent cx="3054985" cy="2847975"/>
            <wp:effectExtent l="0" t="0" r="8255" b="1905"/>
            <wp:docPr id="51" name="图片 51" descr="1561885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561885424(1)"/>
                    <pic:cNvPicPr>
                      <a:picLocks noChangeAspect="1"/>
                    </pic:cNvPicPr>
                  </pic:nvPicPr>
                  <pic:blipFill>
                    <a:blip r:embed="rId53"/>
                    <a:srcRect t="5453"/>
                    <a:stretch>
                      <a:fillRect/>
                    </a:stretch>
                  </pic:blipFill>
                  <pic:spPr>
                    <a:xfrm>
                      <a:off x="0" y="0"/>
                      <a:ext cx="3057606" cy="2849915"/>
                    </a:xfrm>
                    <a:prstGeom prst="rect">
                      <a:avLst/>
                    </a:prstGeom>
                  </pic:spPr>
                </pic:pic>
              </a:graphicData>
            </a:graphic>
          </wp:inline>
        </w:drawing>
      </w:r>
    </w:p>
    <w:p>
      <w:pPr>
        <w:tabs>
          <w:tab w:val="left" w:pos="2006"/>
        </w:tabs>
        <w:spacing w:after="0" w:afterLines="0" w:line="360" w:lineRule="auto"/>
        <w:ind w:firstLine="420" w:firstLineChars="0"/>
        <w:jc w:val="center"/>
        <w:rPr>
          <w:rFonts w:hint="eastAsia" w:ascii="宋体" w:hAnsi="宋体" w:eastAsia="宋体" w:cs="宋体"/>
          <w:b w:val="0"/>
          <w:bCs/>
          <w:color w:val="000000"/>
          <w:szCs w:val="24"/>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18</w:t>
      </w:r>
      <w:r>
        <w:rPr>
          <w:rFonts w:hint="eastAsia" w:ascii="宋体" w:hAnsi="宋体" w:eastAsia="宋体" w:cs="宋体"/>
          <w:b w:val="0"/>
          <w:bCs/>
          <w:color w:val="000000"/>
          <w:szCs w:val="24"/>
        </w:rPr>
        <w:t xml:space="preserve"> 回转限位示意图</w:t>
      </w:r>
    </w:p>
    <w:p>
      <w:pPr>
        <w:spacing w:after="120" w:afterLines="50" w:line="360" w:lineRule="auto"/>
        <w:ind w:firstLine="480"/>
        <w:jc w:val="left"/>
        <w:rPr>
          <w:rFonts w:hint="eastAsia" w:ascii="宋体" w:hAnsi="宋体" w:eastAsia="宋体" w:cs="宋体"/>
          <w:b w:val="0"/>
          <w:bCs/>
          <w:color w:val="000000"/>
          <w:szCs w:val="24"/>
        </w:rPr>
      </w:pPr>
      <w:r>
        <w:rPr>
          <w:rFonts w:hint="eastAsia" w:ascii="宋体" w:hAnsi="宋体" w:eastAsia="宋体" w:cs="宋体"/>
          <w:b w:val="0"/>
          <w:bCs/>
          <w:color w:val="000000"/>
          <w:szCs w:val="24"/>
        </w:rPr>
        <w:t>如图</w:t>
      </w:r>
      <w:r>
        <w:rPr>
          <w:rFonts w:hint="eastAsia" w:ascii="宋体" w:hAnsi="宋体" w:eastAsia="宋体" w:cs="宋体"/>
          <w:b w:val="0"/>
          <w:bCs/>
          <w:color w:val="000000"/>
          <w:szCs w:val="24"/>
          <w:lang w:val="en-US" w:eastAsia="zh-CN"/>
        </w:rPr>
        <w:t>6.4-2</w:t>
      </w:r>
      <w:r>
        <w:rPr>
          <w:rFonts w:hint="eastAsia" w:ascii="宋体" w:hAnsi="宋体" w:eastAsia="宋体" w:cs="宋体"/>
          <w:b w:val="0"/>
          <w:bCs/>
          <w:color w:val="000000"/>
          <w:szCs w:val="24"/>
        </w:rPr>
        <w:t>拆开回转限位器的上罩壳，检查并拧紧2个M3×55螺钉，松开M5螺母，在电缆处于自由状态时调整回转限位器，调整在空载下进行，用手指逐个压下微动开关（1WK、2WK）确认控制左右的微动开关（WK）是否正确，向左回转540°（1.5圈），调动（1Z）轴，至长凸轮（1T)压下微动开关（1WK)，塔机不能左转，但可右转，然后拧紧M5螺母向右回转1080°（3圈），调动（2Z)轴，至长凸轮(2T）压下微动开关（2WK)，塔机不能右转，但可左转，并拧紧M5螺母。</w:t>
      </w:r>
    </w:p>
    <w:p>
      <w:pPr>
        <w:numPr>
          <w:ilvl w:val="0"/>
          <w:numId w:val="25"/>
        </w:numPr>
        <w:spacing w:after="120" w:afterLines="50" w:line="300" w:lineRule="auto"/>
        <w:ind w:firstLine="0" w:firstLineChars="0"/>
        <w:jc w:val="left"/>
        <w:rPr>
          <w:rFonts w:hint="eastAsia" w:ascii="宋体" w:hAnsi="宋体" w:eastAsia="宋体" w:cs="宋体"/>
          <w:b w:val="0"/>
          <w:bCs/>
          <w:color w:val="000000"/>
          <w:szCs w:val="24"/>
        </w:rPr>
      </w:pPr>
      <w:r>
        <w:rPr>
          <w:rFonts w:hint="eastAsia" w:ascii="宋体" w:hAnsi="宋体" w:eastAsia="宋体" w:cs="宋体"/>
          <w:b w:val="0"/>
          <w:bCs/>
          <w:color w:val="000000"/>
          <w:szCs w:val="24"/>
        </w:rPr>
        <w:t>力矩限制器调试</w:t>
      </w:r>
    </w:p>
    <w:p>
      <w:pPr>
        <w:tabs>
          <w:tab w:val="left" w:pos="2006"/>
        </w:tabs>
        <w:spacing w:after="0" w:afterLines="0" w:line="240" w:lineRule="auto"/>
        <w:ind w:firstLine="420" w:firstLineChars="0"/>
        <w:jc w:val="center"/>
        <w:rPr>
          <w:rFonts w:hint="eastAsia" w:ascii="宋体" w:hAnsi="宋体" w:eastAsia="宋体" w:cs="宋体"/>
          <w:b w:val="0"/>
          <w:bCs/>
          <w:szCs w:val="24"/>
        </w:rPr>
      </w:pPr>
      <w:r>
        <w:rPr>
          <w:rFonts w:hint="eastAsia" w:ascii="宋体" w:hAnsi="宋体" w:eastAsia="宋体" w:cs="宋体"/>
          <w:b w:val="0"/>
          <w:bCs/>
          <w:szCs w:val="24"/>
        </w:rPr>
        <w:drawing>
          <wp:inline distT="0" distB="0" distL="114300" distR="114300">
            <wp:extent cx="5095875" cy="2553335"/>
            <wp:effectExtent l="0" t="0" r="9525" b="18415"/>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54"/>
                    <a:stretch>
                      <a:fillRect/>
                    </a:stretch>
                  </pic:blipFill>
                  <pic:spPr>
                    <a:xfrm>
                      <a:off x="0" y="0"/>
                      <a:ext cx="5095875" cy="2553335"/>
                    </a:xfrm>
                    <a:prstGeom prst="rect">
                      <a:avLst/>
                    </a:prstGeom>
                    <a:noFill/>
                    <a:ln>
                      <a:noFill/>
                    </a:ln>
                  </pic:spPr>
                </pic:pic>
              </a:graphicData>
            </a:graphic>
          </wp:inline>
        </w:drawing>
      </w:r>
    </w:p>
    <w:p>
      <w:pPr>
        <w:tabs>
          <w:tab w:val="left" w:pos="2006"/>
        </w:tabs>
        <w:spacing w:after="0" w:afterLines="0" w:line="240" w:lineRule="auto"/>
        <w:ind w:firstLine="420" w:firstLineChars="0"/>
        <w:jc w:val="center"/>
        <w:rPr>
          <w:rFonts w:hint="eastAsia" w:ascii="宋体" w:hAnsi="宋体" w:eastAsia="宋体" w:cs="宋体"/>
          <w:b w:val="0"/>
          <w:bCs/>
          <w:color w:val="000000"/>
          <w:szCs w:val="24"/>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19</w:t>
      </w:r>
      <w:r>
        <w:rPr>
          <w:rFonts w:hint="eastAsia" w:ascii="宋体" w:hAnsi="宋体" w:eastAsia="宋体" w:cs="宋体"/>
          <w:b w:val="0"/>
          <w:bCs/>
          <w:color w:val="000000"/>
          <w:szCs w:val="24"/>
          <w:lang w:val="en-US" w:eastAsia="zh-CN"/>
        </w:rPr>
        <w:t xml:space="preserve"> </w:t>
      </w:r>
      <w:r>
        <w:rPr>
          <w:rFonts w:hint="eastAsia" w:ascii="宋体" w:hAnsi="宋体" w:eastAsia="宋体" w:cs="宋体"/>
          <w:b w:val="0"/>
          <w:bCs/>
          <w:color w:val="000000"/>
          <w:szCs w:val="24"/>
        </w:rPr>
        <w:t>力矩限制器示意图</w:t>
      </w:r>
    </w:p>
    <w:p>
      <w:pPr>
        <w:spacing w:after="120" w:afterLines="50" w:line="360" w:lineRule="auto"/>
        <w:ind w:firstLine="480"/>
        <w:jc w:val="left"/>
        <w:rPr>
          <w:rFonts w:hint="eastAsia" w:ascii="宋体" w:hAnsi="宋体" w:eastAsia="宋体" w:cs="宋体"/>
          <w:b w:val="0"/>
          <w:bCs/>
          <w:color w:val="000000"/>
          <w:szCs w:val="24"/>
        </w:rPr>
      </w:pPr>
      <w:r>
        <w:rPr>
          <w:rFonts w:hint="eastAsia" w:ascii="宋体" w:hAnsi="宋体" w:eastAsia="宋体" w:cs="宋体"/>
          <w:b w:val="0"/>
          <w:bCs/>
          <w:color w:val="000000"/>
          <w:szCs w:val="24"/>
        </w:rPr>
        <w:t>力矩限制器为机械式保护装置，当力矩达到额定值的90%左右时司机室的预警灯点亮，变幅只能有低速变幅，当达到额定值的100%-110%时，起升向上断电，变幅小车向外变幅断电，同时发出声光报警。</w:t>
      </w:r>
    </w:p>
    <w:p>
      <w:pPr>
        <w:spacing w:after="120" w:afterLines="50" w:line="360" w:lineRule="auto"/>
        <w:ind w:firstLine="480"/>
        <w:jc w:val="left"/>
        <w:rPr>
          <w:rFonts w:hint="eastAsia" w:ascii="宋体" w:hAnsi="宋体" w:eastAsia="宋体" w:cs="宋体"/>
          <w:b w:val="0"/>
          <w:bCs/>
          <w:color w:val="000000"/>
          <w:szCs w:val="24"/>
        </w:rPr>
      </w:pPr>
      <w:r>
        <w:rPr>
          <w:rFonts w:hint="eastAsia" w:ascii="宋体" w:hAnsi="宋体" w:eastAsia="宋体" w:cs="宋体"/>
          <w:b w:val="0"/>
          <w:bCs/>
          <w:color w:val="000000"/>
          <w:szCs w:val="24"/>
        </w:rPr>
        <w:t>该装置安装在塔顶靠平衡臂一侧，它由一对弓形板，三个微动开关及安装底座，调节螺钉，外罩等组成。当有载荷时，在载荷力矩的作用下，弓形板弯曲变形(两弹性板距离变小)，当载荷超过规定值时，其中一弓形板上的调整螺栓压下固定在另一弓形板上的开关触头，使开关动作切断其控制电路，机构停止运行，达到保护目的。</w:t>
      </w:r>
    </w:p>
    <w:p>
      <w:pPr>
        <w:spacing w:after="120" w:afterLines="50" w:line="360" w:lineRule="auto"/>
        <w:ind w:firstLine="480"/>
        <w:jc w:val="left"/>
        <w:rPr>
          <w:rFonts w:hint="eastAsia" w:ascii="宋体" w:hAnsi="宋体" w:eastAsia="宋体" w:cs="宋体"/>
          <w:b w:val="0"/>
          <w:bCs/>
          <w:color w:val="000000"/>
          <w:szCs w:val="24"/>
        </w:rPr>
      </w:pPr>
      <w:r>
        <w:rPr>
          <w:rFonts w:hint="eastAsia" w:ascii="宋体" w:hAnsi="宋体" w:eastAsia="宋体" w:cs="宋体"/>
          <w:b w:val="0"/>
          <w:bCs/>
          <w:color w:val="000000"/>
          <w:szCs w:val="24"/>
        </w:rPr>
        <w:t>力矩限制器的校核（四倍率）：</w:t>
      </w:r>
    </w:p>
    <w:p>
      <w:pPr>
        <w:spacing w:after="120" w:afterLines="50" w:line="360" w:lineRule="auto"/>
        <w:ind w:firstLine="480"/>
        <w:jc w:val="left"/>
        <w:rPr>
          <w:rFonts w:hint="eastAsia" w:ascii="宋体" w:hAnsi="宋体" w:eastAsia="宋体" w:cs="宋体"/>
          <w:b w:val="0"/>
          <w:bCs/>
          <w:color w:val="000000"/>
          <w:szCs w:val="24"/>
        </w:rPr>
      </w:pPr>
      <w:r>
        <w:rPr>
          <w:rFonts w:hint="eastAsia" w:ascii="宋体" w:hAnsi="宋体" w:eastAsia="宋体" w:cs="宋体"/>
          <w:b w:val="0"/>
          <w:bCs/>
          <w:color w:val="000000"/>
          <w:szCs w:val="24"/>
        </w:rPr>
        <w:t>分别按定码变幅和定幅变码的方式校核力矩限制器，每种方式校核不少于3次，力矩限制器应灵敏可靠。</w:t>
      </w:r>
    </w:p>
    <w:p>
      <w:pPr>
        <w:numPr>
          <w:ilvl w:val="0"/>
          <w:numId w:val="25"/>
        </w:numPr>
        <w:spacing w:after="120" w:afterLines="50" w:line="360" w:lineRule="auto"/>
        <w:ind w:firstLine="0" w:firstLineChars="0"/>
        <w:jc w:val="left"/>
        <w:rPr>
          <w:rFonts w:hint="eastAsia" w:ascii="宋体" w:hAnsi="宋体" w:eastAsia="宋体" w:cs="宋体"/>
          <w:bCs/>
          <w:color w:val="000000"/>
          <w:szCs w:val="24"/>
        </w:rPr>
      </w:pPr>
      <w:r>
        <w:rPr>
          <w:rFonts w:hint="eastAsia" w:ascii="宋体" w:hAnsi="宋体" w:eastAsia="宋体" w:cs="宋体"/>
          <w:bCs/>
          <w:color w:val="000000"/>
          <w:szCs w:val="24"/>
        </w:rPr>
        <w:t>起重量限制器调试</w:t>
      </w:r>
    </w:p>
    <w:p>
      <w:pPr>
        <w:spacing w:after="120" w:afterLines="50" w:line="360" w:lineRule="auto"/>
        <w:ind w:firstLine="420" w:firstLineChars="0"/>
        <w:jc w:val="left"/>
        <w:rPr>
          <w:rFonts w:hint="eastAsia" w:ascii="宋体" w:hAnsi="宋体" w:eastAsia="宋体" w:cs="宋体"/>
          <w:szCs w:val="24"/>
        </w:rPr>
      </w:pPr>
      <w:r>
        <w:rPr>
          <w:rFonts w:hint="eastAsia" w:ascii="宋体" w:hAnsi="宋体" w:eastAsia="宋体" w:cs="宋体"/>
          <w:szCs w:val="24"/>
        </w:rPr>
        <w:t>起重量限制器的作用是防止塔机吊重超过额定最大起重量。起重量限制器是一个由金属变形板和若干个行程开关组成的测力环,螺钉与行程开关对应,塔机吊重通过起升钢丝绳使测力环受到一作用力，测力环内的金属板在该力的作用下产生变形,使得调节螺钉与行程开关接触,即可将超载变形的信号传递出去,以提醒塔机司机或使塔吊操作者的操作无效。通过调节螺钉与行程开关的间距,可使开关根据吊重在安全控制回路内动作。起重量限制器调整时使用四倍率滑轮组。</w:t>
      </w:r>
    </w:p>
    <w:p>
      <w:pPr>
        <w:spacing w:after="120" w:afterLines="50" w:line="360" w:lineRule="auto"/>
        <w:ind w:firstLine="420" w:firstLineChars="0"/>
        <w:jc w:val="left"/>
        <w:rPr>
          <w:rFonts w:hint="eastAsia" w:ascii="宋体" w:hAnsi="宋体" w:eastAsia="宋体" w:cs="宋体"/>
          <w:bCs/>
          <w:color w:val="000000"/>
          <w:szCs w:val="24"/>
        </w:rPr>
      </w:pPr>
      <w:r>
        <w:rPr>
          <w:rFonts w:hint="eastAsia" w:ascii="宋体" w:hAnsi="宋体" w:eastAsia="宋体" w:cs="宋体"/>
          <w:szCs w:val="24"/>
        </w:rPr>
        <w:t>每台塔机起重量限制器高低速调整完成后</w:t>
      </w:r>
      <w:r>
        <w:rPr>
          <w:rFonts w:hint="eastAsia" w:ascii="宋体" w:hAnsi="宋体" w:eastAsia="宋体" w:cs="宋体"/>
          <w:i/>
          <w:iCs/>
          <w:szCs w:val="24"/>
        </w:rPr>
        <w:t>，</w:t>
      </w:r>
      <w:r>
        <w:rPr>
          <w:rFonts w:hint="eastAsia" w:ascii="宋体" w:hAnsi="宋体" w:eastAsia="宋体" w:cs="宋体"/>
          <w:szCs w:val="24"/>
        </w:rPr>
        <w:t>重复额定吊载试验3次以上。</w:t>
      </w:r>
    </w:p>
    <w:p>
      <w:pPr>
        <w:pStyle w:val="5"/>
        <w:bidi w:val="0"/>
        <w:rPr>
          <w:rFonts w:hint="eastAsia"/>
          <w:lang w:val="en-US" w:eastAsia="zh-CN"/>
        </w:rPr>
      </w:pPr>
      <w:r>
        <w:rPr>
          <w:rFonts w:hint="eastAsia"/>
          <w:lang w:val="en-US" w:eastAsia="zh-CN"/>
        </w:rPr>
        <w:t>红色障碍灯安装</w:t>
      </w:r>
    </w:p>
    <w:p>
      <w:pPr>
        <w:spacing w:after="120" w:afterLines="50" w:line="360" w:lineRule="auto"/>
        <w:ind w:firstLine="480"/>
        <w:jc w:val="left"/>
        <w:rPr>
          <w:rFonts w:hint="eastAsia" w:ascii="宋体" w:hAnsi="宋体" w:eastAsia="宋体" w:cs="宋体"/>
          <w:bCs/>
          <w:color w:val="000000"/>
          <w:szCs w:val="24"/>
        </w:rPr>
      </w:pPr>
      <w:r>
        <w:rPr>
          <w:rFonts w:hint="eastAsia" w:ascii="宋体" w:hAnsi="宋体" w:eastAsia="宋体" w:cs="宋体"/>
          <w:bCs/>
          <w:color w:val="000000"/>
          <w:szCs w:val="24"/>
        </w:rPr>
        <w:t>分别在平衡臂尾部、塔顶（平头塔平衡臂根部上端）及起重臂端部的位置安装红色障碍灯，用U型螺栓障碍灯座可靠固定。安装完成后，将障碍灯开关置于开的位置。</w:t>
      </w:r>
    </w:p>
    <w:p>
      <w:pPr>
        <w:keepNext/>
        <w:keepLines/>
        <w:widowControl w:val="0"/>
        <w:numPr>
          <w:ilvl w:val="3"/>
          <w:numId w:val="1"/>
        </w:numPr>
        <w:spacing w:line="360" w:lineRule="auto"/>
        <w:ind w:firstLine="200" w:firstLineChars="0"/>
        <w:jc w:val="left"/>
        <w:outlineLvl w:val="3"/>
        <w:rPr>
          <w:rFonts w:ascii="Times New Roman" w:hAnsi="Times New Roman" w:eastAsiaTheme="majorEastAsia" w:cstheme="majorBidi"/>
          <w:b/>
          <w:bCs w:val="0"/>
          <w:kern w:val="2"/>
          <w:sz w:val="24"/>
          <w:szCs w:val="28"/>
          <w:lang w:val="en-US" w:eastAsia="zh-CN" w:bidi="ar-SA"/>
        </w:rPr>
      </w:pPr>
      <w:r>
        <w:rPr>
          <w:rFonts w:hint="eastAsia" w:ascii="Times New Roman" w:hAnsi="Times New Roman" w:eastAsiaTheme="majorEastAsia" w:cstheme="majorBidi"/>
          <w:b/>
          <w:bCs w:val="0"/>
          <w:kern w:val="2"/>
          <w:sz w:val="24"/>
          <w:szCs w:val="28"/>
          <w:lang w:val="en-US" w:eastAsia="zh-CN" w:bidi="ar-SA"/>
        </w:rPr>
        <w:t>调试与试验</w:t>
      </w:r>
    </w:p>
    <w:p>
      <w:pPr>
        <w:keepNext/>
        <w:keepLines/>
        <w:widowControl w:val="0"/>
        <w:numPr>
          <w:ilvl w:val="4"/>
          <w:numId w:val="1"/>
        </w:numPr>
        <w:spacing w:line="360" w:lineRule="auto"/>
        <w:ind w:firstLine="0" w:firstLineChars="0"/>
        <w:jc w:val="both"/>
        <w:outlineLvl w:val="4"/>
        <w:rPr>
          <w:rFonts w:ascii="Times New Roman" w:hAnsi="Times New Roman" w:eastAsia="宋体" w:cs="Times New Roman"/>
          <w:b/>
          <w:bCs/>
          <w:kern w:val="2"/>
          <w:sz w:val="24"/>
          <w:szCs w:val="28"/>
          <w:lang w:val="en-US" w:eastAsia="zh-CN" w:bidi="ar-SA"/>
        </w:rPr>
      </w:pPr>
      <w:r>
        <w:rPr>
          <w:rFonts w:hint="eastAsia" w:ascii="Times New Roman" w:hAnsi="Times New Roman" w:eastAsia="宋体" w:cs="Times New Roman"/>
          <w:b/>
          <w:bCs/>
          <w:kern w:val="2"/>
          <w:sz w:val="24"/>
          <w:szCs w:val="28"/>
          <w:lang w:val="en-US" w:eastAsia="zh-CN" w:bidi="ar-SA"/>
        </w:rPr>
        <w:t>试验条件</w:t>
      </w:r>
    </w:p>
    <w:p>
      <w:pPr>
        <w:numPr>
          <w:ilvl w:val="0"/>
          <w:numId w:val="26"/>
        </w:numPr>
        <w:ind w:firstLineChars="0"/>
        <w:rPr>
          <w:rFonts w:ascii="Times New Roman" w:hAnsi="Times New Roman" w:eastAsia="宋体" w:cs="Times New Roman"/>
        </w:rPr>
      </w:pPr>
      <w:r>
        <w:rPr>
          <w:rFonts w:hint="eastAsia" w:ascii="Times New Roman" w:hAnsi="Times New Roman" w:eastAsia="宋体" w:cs="Times New Roman"/>
        </w:rPr>
        <w:t>仪器、设备</w:t>
      </w:r>
    </w:p>
    <w:p>
      <w:pPr>
        <w:numPr>
          <w:ilvl w:val="0"/>
          <w:numId w:val="27"/>
        </w:numPr>
        <w:ind w:firstLineChars="0"/>
        <w:rPr>
          <w:rFonts w:ascii="Times New Roman" w:hAnsi="Times New Roman" w:eastAsia="宋体" w:cs="Times New Roman"/>
        </w:rPr>
      </w:pPr>
      <w:r>
        <w:rPr>
          <w:rFonts w:hint="eastAsia" w:ascii="Times New Roman" w:hAnsi="Times New Roman" w:eastAsia="宋体" w:cs="Times New Roman"/>
        </w:rPr>
        <w:t>测试用的仪器、设备均应有产品合格证,应是在检定周期内且检定合格。其性能和精度应满足测量的要求。</w:t>
      </w:r>
    </w:p>
    <w:p>
      <w:pPr>
        <w:numPr>
          <w:ilvl w:val="0"/>
          <w:numId w:val="27"/>
        </w:numPr>
        <w:ind w:firstLineChars="0"/>
        <w:rPr>
          <w:rFonts w:ascii="Times New Roman" w:hAnsi="Times New Roman" w:eastAsia="宋体" w:cs="Times New Roman"/>
        </w:rPr>
      </w:pPr>
      <w:r>
        <w:rPr>
          <w:rFonts w:hint="eastAsia" w:ascii="Times New Roman" w:hAnsi="Times New Roman" w:eastAsia="宋体" w:cs="Times New Roman"/>
        </w:rPr>
        <w:t>试验用载荷的质量与其标定值的误差应不大于1%。</w:t>
      </w:r>
    </w:p>
    <w:p>
      <w:pPr>
        <w:numPr>
          <w:ilvl w:val="0"/>
          <w:numId w:val="26"/>
        </w:numPr>
        <w:ind w:firstLineChars="0"/>
        <w:rPr>
          <w:rFonts w:ascii="Times New Roman" w:hAnsi="Times New Roman" w:eastAsia="宋体" w:cs="Times New Roman"/>
        </w:rPr>
      </w:pPr>
      <w:r>
        <w:rPr>
          <w:rFonts w:hint="eastAsia" w:ascii="Times New Roman" w:hAnsi="Times New Roman" w:eastAsia="宋体" w:cs="Times New Roman"/>
        </w:rPr>
        <w:t>其他</w:t>
      </w:r>
    </w:p>
    <w:p>
      <w:pPr>
        <w:numPr>
          <w:ilvl w:val="0"/>
          <w:numId w:val="28"/>
        </w:numPr>
        <w:ind w:firstLineChars="0"/>
        <w:rPr>
          <w:rFonts w:ascii="Times New Roman" w:hAnsi="Times New Roman" w:eastAsia="宋体" w:cs="Times New Roman"/>
        </w:rPr>
      </w:pPr>
      <w:r>
        <w:rPr>
          <w:rFonts w:hint="eastAsia" w:ascii="Times New Roman" w:hAnsi="Times New Roman" w:eastAsia="宋体" w:cs="Times New Roman"/>
        </w:rPr>
        <w:t>试验塔机的基础或轨道应符合制造商使用说明书的规定。</w:t>
      </w:r>
    </w:p>
    <w:p>
      <w:pPr>
        <w:numPr>
          <w:ilvl w:val="0"/>
          <w:numId w:val="28"/>
        </w:numPr>
        <w:ind w:firstLineChars="0"/>
        <w:rPr>
          <w:rFonts w:ascii="Times New Roman" w:hAnsi="Times New Roman" w:eastAsia="宋体" w:cs="Times New Roman"/>
        </w:rPr>
      </w:pPr>
      <w:r>
        <w:rPr>
          <w:rFonts w:hint="eastAsia" w:ascii="Times New Roman" w:hAnsi="Times New Roman" w:eastAsia="宋体" w:cs="Times New Roman"/>
        </w:rPr>
        <w:t>试验环境温度为-15℃~+40℃。试验时风速不超过8.3m/s,对小车变幅速度、全程变幅时间、回转速度、运行速度及侧向垂直度测试时风速不超过3m/s。</w:t>
      </w:r>
    </w:p>
    <w:p>
      <w:pPr>
        <w:numPr>
          <w:ilvl w:val="0"/>
          <w:numId w:val="28"/>
        </w:numPr>
        <w:ind w:firstLineChars="0"/>
        <w:rPr>
          <w:rFonts w:ascii="Times New Roman" w:hAnsi="Times New Roman" w:eastAsia="宋体" w:cs="Times New Roman"/>
        </w:rPr>
      </w:pPr>
      <w:r>
        <w:rPr>
          <w:rFonts w:hint="eastAsia" w:ascii="Times New Roman" w:hAnsi="Times New Roman" w:eastAsia="宋体" w:cs="Times New Roman"/>
        </w:rPr>
        <w:t>电源电压误差为额定电压的士10%。</w:t>
      </w:r>
    </w:p>
    <w:p>
      <w:pPr>
        <w:numPr>
          <w:ilvl w:val="0"/>
          <w:numId w:val="28"/>
        </w:numPr>
        <w:ind w:firstLineChars="0"/>
        <w:rPr>
          <w:rFonts w:ascii="Times New Roman" w:hAnsi="Times New Roman" w:eastAsia="宋体" w:cs="Times New Roman"/>
        </w:rPr>
      </w:pPr>
      <w:r>
        <w:rPr>
          <w:rFonts w:hint="eastAsia" w:ascii="Times New Roman" w:hAnsi="Times New Roman" w:eastAsia="宋体" w:cs="Times New Roman"/>
        </w:rPr>
        <w:t>参与塔机测试的司机及指挥等人员应有相关的资质。</w:t>
      </w:r>
    </w:p>
    <w:p>
      <w:pPr>
        <w:keepNext/>
        <w:keepLines/>
        <w:widowControl w:val="0"/>
        <w:numPr>
          <w:ilvl w:val="4"/>
          <w:numId w:val="1"/>
        </w:numPr>
        <w:spacing w:line="360" w:lineRule="auto"/>
        <w:ind w:firstLine="0" w:firstLineChars="0"/>
        <w:jc w:val="both"/>
        <w:outlineLvl w:val="4"/>
        <w:rPr>
          <w:rFonts w:ascii="Times New Roman" w:hAnsi="Times New Roman" w:eastAsia="宋体" w:cs="Times New Roman"/>
          <w:b/>
          <w:bCs/>
          <w:kern w:val="2"/>
          <w:sz w:val="24"/>
          <w:szCs w:val="28"/>
          <w:lang w:val="en-US" w:eastAsia="zh-CN" w:bidi="ar-SA"/>
        </w:rPr>
      </w:pPr>
      <w:r>
        <w:rPr>
          <w:rFonts w:hint="eastAsia" w:ascii="Times New Roman" w:hAnsi="Times New Roman" w:eastAsia="宋体" w:cs="Times New Roman"/>
          <w:b/>
          <w:bCs/>
          <w:kern w:val="2"/>
          <w:sz w:val="24"/>
          <w:szCs w:val="28"/>
          <w:lang w:val="en-US" w:eastAsia="zh-CN" w:bidi="ar-SA"/>
        </w:rPr>
        <w:t>空载试验</w:t>
      </w:r>
    </w:p>
    <w:p>
      <w:pPr>
        <w:numPr>
          <w:ilvl w:val="0"/>
          <w:numId w:val="29"/>
        </w:numPr>
        <w:ind w:firstLineChars="0"/>
        <w:rPr>
          <w:rFonts w:ascii="Times New Roman" w:hAnsi="Times New Roman" w:eastAsia="宋体" w:cs="Times New Roman"/>
        </w:rPr>
      </w:pPr>
      <w:r>
        <w:rPr>
          <w:rFonts w:hint="eastAsia" w:ascii="Times New Roman" w:hAnsi="Times New Roman" w:eastAsia="宋体" w:cs="Times New Roman"/>
        </w:rPr>
        <w:t>常规方法测量工作幅度、起升高度等主要性能参数。</w:t>
      </w:r>
    </w:p>
    <w:p>
      <w:pPr>
        <w:numPr>
          <w:ilvl w:val="0"/>
          <w:numId w:val="29"/>
        </w:numPr>
        <w:ind w:firstLineChars="0"/>
        <w:rPr>
          <w:rFonts w:ascii="Times New Roman" w:hAnsi="Times New Roman" w:eastAsia="宋体" w:cs="Times New Roman"/>
        </w:rPr>
      </w:pPr>
      <w:r>
        <w:rPr>
          <w:rFonts w:hint="eastAsia" w:ascii="Times New Roman" w:hAnsi="Times New Roman" w:eastAsia="宋体" w:cs="Times New Roman"/>
        </w:rPr>
        <w:t>侧向垂直度检查，应在塔身最大独立安装高度、空载、臂架相对塔身0°和90°时分别沿臂架方向测量，标尺贴靠在塔身结构中心的最低处和最高处，读出两处的值。</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5274310" cy="762635"/>
            <wp:effectExtent l="0" t="0" r="13970" b="1460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55"/>
                    <a:stretch>
                      <a:fillRect/>
                    </a:stretch>
                  </pic:blipFill>
                  <pic:spPr>
                    <a:xfrm>
                      <a:off x="0" y="0"/>
                      <a:ext cx="5274310" cy="762635"/>
                    </a:xfrm>
                    <a:prstGeom prst="rect">
                      <a:avLst/>
                    </a:prstGeom>
                  </pic:spPr>
                </pic:pic>
              </a:graphicData>
            </a:graphic>
          </wp:inline>
        </w:drawing>
      </w:r>
    </w:p>
    <w:p>
      <w:pPr>
        <w:keepNext w:val="0"/>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lang w:val="en-US" w:eastAsia="zh-CN"/>
        </w:rPr>
        <w:t>20</w:t>
      </w:r>
      <w:r>
        <w:rPr>
          <w:rFonts w:hint="eastAsia" w:ascii="Times New Roman" w:hAnsi="Times New Roman" w:eastAsia="宋体" w:cs="Times New Roman"/>
          <w:b/>
          <w:kern w:val="2"/>
          <w:sz w:val="21"/>
          <w:szCs w:val="21"/>
          <w:lang w:val="en-US" w:eastAsia="zh-CN" w:bidi="ar-SA"/>
        </w:rPr>
        <w:t xml:space="preserve"> </w:t>
      </w:r>
      <w:r>
        <w:rPr>
          <w:rFonts w:ascii="Times New Roman" w:hAnsi="Times New Roman" w:eastAsia="宋体" w:cs="Times New Roman"/>
          <w:b/>
          <w:kern w:val="2"/>
          <w:sz w:val="21"/>
          <w:szCs w:val="21"/>
          <w:lang w:val="en-US" w:eastAsia="zh-CN" w:bidi="ar-SA"/>
        </w:rPr>
        <w:t>侧向垂直度</w:t>
      </w:r>
      <w:r>
        <w:rPr>
          <w:rFonts w:hint="eastAsia" w:ascii="Times New Roman" w:hAnsi="Times New Roman" w:eastAsia="宋体" w:cs="Times New Roman"/>
          <w:b/>
          <w:kern w:val="2"/>
          <w:sz w:val="21"/>
          <w:szCs w:val="21"/>
          <w:lang w:val="en-US" w:eastAsia="zh-CN" w:bidi="ar-SA"/>
        </w:rPr>
        <w:t>测量方向</w:t>
      </w:r>
    </w:p>
    <w:p>
      <w:pPr>
        <w:ind w:left="480" w:firstLine="0" w:firstLineChars="0"/>
        <w:rPr>
          <w:rFonts w:ascii="Times New Roman" w:hAnsi="Times New Roman" w:eastAsia="宋体" w:cs="Times New Roman"/>
        </w:rPr>
      </w:pPr>
      <w:r>
        <w:rPr>
          <w:rFonts w:hint="eastAsia" w:ascii="Times New Roman" w:hAnsi="Times New Roman" w:eastAsia="宋体" w:cs="Times New Roman"/>
        </w:rPr>
        <w:t>侧向垂直度按下式计算。</w:t>
      </w:r>
    </w:p>
    <w:p>
      <w:pPr>
        <w:widowControl w:val="0"/>
        <w:spacing w:line="360" w:lineRule="auto"/>
        <w:ind w:firstLine="0" w:firstLineChars="0"/>
        <w:jc w:val="center"/>
        <w:rPr>
          <w:rFonts w:ascii="Times New Roman" w:hAnsi="Times New Roman" w:eastAsia="仿宋" w:cs="Times New Roman"/>
          <w:kern w:val="2"/>
          <w:sz w:val="24"/>
          <w:szCs w:val="22"/>
          <w:lang w:val="en-US" w:eastAsia="zh-CN" w:bidi="ar-SA"/>
        </w:rPr>
      </w:pPr>
      <w:r>
        <w:rPr>
          <w:rFonts w:ascii="Times New Roman" w:hAnsi="Times New Roman" w:eastAsia="仿宋" w:cs="Times New Roman"/>
          <w:kern w:val="2"/>
          <w:sz w:val="24"/>
          <w:szCs w:val="22"/>
          <w:lang w:val="en-US" w:eastAsia="zh-CN" w:bidi="ar-SA"/>
        </w:rPr>
        <w:object>
          <v:shape id="_x0000_i1026" o:spt="75" type="#_x0000_t75" style="height:21.65pt;width:144pt;" o:ole="t" filled="f" o:preferrelative="t" stroked="f" coordsize="21600,21600">
            <v:path/>
            <v:fill on="f" focussize="0,0"/>
            <v:stroke on="f" joinstyle="miter"/>
            <v:imagedata r:id="rId57" o:title=""/>
            <o:lock v:ext="edit" aspectratio="t"/>
            <w10:wrap type="none"/>
            <w10:anchorlock/>
          </v:shape>
          <o:OLEObject Type="Embed" ProgID="Equation.DSMT4" ShapeID="_x0000_i1026" DrawAspect="Content" ObjectID="_1468075726" r:id="rId56">
            <o:LockedField>false</o:LockedField>
          </o:OLEObject>
        </w:object>
      </w:r>
    </w:p>
    <w:p>
      <w:pPr>
        <w:ind w:firstLine="0" w:firstLineChars="0"/>
        <w:rPr>
          <w:rFonts w:ascii="Times New Roman" w:hAnsi="Times New Roman" w:eastAsia="宋体" w:cs="Times New Roman"/>
        </w:rPr>
      </w:pPr>
      <w:r>
        <w:rPr>
          <w:rFonts w:hint="eastAsia" w:ascii="Times New Roman" w:hAnsi="Times New Roman" w:eastAsia="宋体" w:cs="Times New Roman"/>
        </w:rPr>
        <w:t>式中：△</w:t>
      </w:r>
      <w:r>
        <w:rPr>
          <w:rFonts w:hint="eastAsia" w:ascii="Times New Roman" w:hAnsi="Times New Roman" w:eastAsia="宋体" w:cs="Times New Roman"/>
          <w:i/>
        </w:rPr>
        <w:t>L</w:t>
      </w:r>
      <w:r>
        <w:rPr>
          <w:rFonts w:ascii="Times New Roman" w:hAnsi="Times New Roman" w:eastAsia="宋体" w:cs="Times New Roman"/>
        </w:rPr>
        <w:t>——</w:t>
      </w:r>
      <w:r>
        <w:rPr>
          <w:rFonts w:hint="eastAsia" w:ascii="Times New Roman" w:hAnsi="Times New Roman" w:eastAsia="宋体" w:cs="Times New Roman"/>
        </w:rPr>
        <w:t>侧向垂直度；</w:t>
      </w:r>
    </w:p>
    <w:p>
      <w:pPr>
        <w:ind w:firstLine="720" w:firstLineChars="300"/>
        <w:rPr>
          <w:rFonts w:ascii="Times New Roman" w:hAnsi="Times New Roman" w:eastAsia="宋体" w:cs="Times New Roman"/>
        </w:rPr>
      </w:pPr>
      <w:r>
        <w:rPr>
          <w:rFonts w:hint="eastAsia" w:ascii="Times New Roman" w:hAnsi="Times New Roman" w:eastAsia="宋体" w:cs="Times New Roman"/>
          <w:i/>
        </w:rPr>
        <w:t>L</w:t>
      </w:r>
      <w:r>
        <w:rPr>
          <w:rFonts w:hint="eastAsia" w:ascii="Times New Roman" w:hAnsi="Times New Roman" w:eastAsia="宋体" w:cs="Times New Roman"/>
          <w:vertAlign w:val="subscript"/>
        </w:rPr>
        <w:t>1</w:t>
      </w:r>
      <w:r>
        <w:rPr>
          <w:rFonts w:ascii="Times New Roman" w:hAnsi="Times New Roman" w:eastAsia="宋体" w:cs="Times New Roman"/>
        </w:rPr>
        <w:t>——</w:t>
      </w:r>
      <w:r>
        <w:rPr>
          <w:rFonts w:hint="eastAsia" w:ascii="Times New Roman" w:hAnsi="Times New Roman" w:eastAsia="宋体" w:cs="Times New Roman"/>
        </w:rPr>
        <w:t>上部测量点标尺读数，单位为毫米(mm)；</w:t>
      </w:r>
    </w:p>
    <w:p>
      <w:pPr>
        <w:ind w:firstLine="720" w:firstLineChars="300"/>
        <w:rPr>
          <w:rFonts w:ascii="Times New Roman" w:hAnsi="Times New Roman" w:eastAsia="宋体" w:cs="Times New Roman"/>
        </w:rPr>
      </w:pPr>
      <w:r>
        <w:rPr>
          <w:rFonts w:hint="eastAsia" w:ascii="Times New Roman" w:hAnsi="Times New Roman" w:eastAsia="宋体" w:cs="Times New Roman"/>
          <w:i/>
        </w:rPr>
        <w:t>L</w:t>
      </w:r>
      <w:r>
        <w:rPr>
          <w:rFonts w:ascii="Times New Roman" w:hAnsi="Times New Roman" w:eastAsia="宋体" w:cs="Times New Roman"/>
          <w:vertAlign w:val="subscript"/>
        </w:rPr>
        <w:t>2</w:t>
      </w:r>
      <w:r>
        <w:rPr>
          <w:rFonts w:ascii="Times New Roman" w:hAnsi="Times New Roman" w:eastAsia="宋体" w:cs="Times New Roman"/>
        </w:rPr>
        <w:t>——</w:t>
      </w:r>
      <w:r>
        <w:rPr>
          <w:rFonts w:hint="eastAsia" w:ascii="Times New Roman" w:hAnsi="Times New Roman" w:eastAsia="宋体" w:cs="Times New Roman"/>
        </w:rPr>
        <w:t>下部测量点标尺读数，单位为毫米(mm)；</w:t>
      </w:r>
    </w:p>
    <w:p>
      <w:pPr>
        <w:ind w:firstLine="720" w:firstLineChars="300"/>
        <w:rPr>
          <w:rFonts w:ascii="Times New Roman" w:hAnsi="Times New Roman" w:eastAsia="宋体" w:cs="Times New Roman"/>
        </w:rPr>
      </w:pPr>
      <w:r>
        <w:rPr>
          <w:rFonts w:hint="eastAsia" w:ascii="Times New Roman" w:hAnsi="Times New Roman" w:eastAsia="宋体" w:cs="Times New Roman"/>
        </w:rPr>
        <w:t>△</w:t>
      </w:r>
      <w:r>
        <w:rPr>
          <w:rFonts w:hint="eastAsia" w:ascii="Times New Roman" w:hAnsi="Times New Roman" w:eastAsia="宋体" w:cs="Times New Roman"/>
          <w:i/>
        </w:rPr>
        <w:t>H</w:t>
      </w:r>
      <w:r>
        <w:rPr>
          <w:rFonts w:ascii="Times New Roman" w:hAnsi="Times New Roman" w:eastAsia="宋体" w:cs="Times New Roman"/>
        </w:rPr>
        <w:t>——</w:t>
      </w:r>
      <w:r>
        <w:rPr>
          <w:rFonts w:hint="eastAsia" w:ascii="Times New Roman" w:hAnsi="Times New Roman" w:eastAsia="宋体" w:cs="Times New Roman"/>
        </w:rPr>
        <w:t>两个测量点间高度差，单位为毫米(mm)。</w:t>
      </w:r>
    </w:p>
    <w:p>
      <w:pPr>
        <w:numPr>
          <w:ilvl w:val="0"/>
          <w:numId w:val="29"/>
        </w:numPr>
        <w:ind w:firstLineChars="0"/>
        <w:rPr>
          <w:rFonts w:ascii="Times New Roman" w:hAnsi="Times New Roman" w:eastAsia="宋体" w:cs="Times New Roman"/>
        </w:rPr>
      </w:pPr>
      <w:r>
        <w:rPr>
          <w:rFonts w:hint="eastAsia" w:ascii="Times New Roman" w:hAnsi="Times New Roman" w:eastAsia="宋体" w:cs="Times New Roman"/>
        </w:rPr>
        <w:t>测量电气系统绝缘、接地电阻</w:t>
      </w:r>
    </w:p>
    <w:p>
      <w:pPr>
        <w:numPr>
          <w:ilvl w:val="0"/>
          <w:numId w:val="29"/>
        </w:numPr>
        <w:ind w:firstLineChars="0"/>
        <w:rPr>
          <w:rFonts w:ascii="Times New Roman" w:hAnsi="Times New Roman" w:eastAsia="宋体" w:cs="Times New Roman"/>
        </w:rPr>
      </w:pPr>
      <w:r>
        <w:rPr>
          <w:rFonts w:hint="eastAsia" w:ascii="Times New Roman" w:hAnsi="Times New Roman" w:eastAsia="宋体" w:cs="Times New Roman"/>
        </w:rPr>
        <w:t>目测检查销轴连接、结构表面、排水、通道及安全防护设施、机械防护、标志。</w:t>
      </w:r>
    </w:p>
    <w:p>
      <w:pPr>
        <w:numPr>
          <w:ilvl w:val="0"/>
          <w:numId w:val="29"/>
        </w:numPr>
        <w:ind w:firstLineChars="0"/>
        <w:rPr>
          <w:rFonts w:ascii="Times New Roman" w:hAnsi="Times New Roman" w:eastAsia="宋体" w:cs="Times New Roman"/>
        </w:rPr>
      </w:pPr>
      <w:r>
        <w:rPr>
          <w:rFonts w:hint="eastAsia" w:ascii="Times New Roman" w:hAnsi="Times New Roman" w:eastAsia="宋体" w:cs="Times New Roman"/>
        </w:rPr>
        <w:t>操作起升、回转、变幅、运行各动作,检查机构运行、控制装置操控、电气保护、行程限位器的动作准确性和可靠性等是否符合规定。</w:t>
      </w:r>
    </w:p>
    <w:p>
      <w:pPr>
        <w:keepNext/>
        <w:keepLines/>
        <w:widowControl w:val="0"/>
        <w:numPr>
          <w:ilvl w:val="4"/>
          <w:numId w:val="1"/>
        </w:numPr>
        <w:spacing w:line="360" w:lineRule="auto"/>
        <w:ind w:firstLine="0" w:firstLineChars="0"/>
        <w:jc w:val="both"/>
        <w:outlineLvl w:val="4"/>
        <w:rPr>
          <w:rFonts w:ascii="Times New Roman" w:hAnsi="Times New Roman" w:eastAsia="宋体" w:cs="Times New Roman"/>
          <w:b/>
          <w:bCs/>
          <w:kern w:val="2"/>
          <w:sz w:val="24"/>
          <w:szCs w:val="28"/>
          <w:lang w:val="en-US" w:eastAsia="zh-CN" w:bidi="ar-SA"/>
        </w:rPr>
      </w:pPr>
      <w:r>
        <w:rPr>
          <w:rFonts w:hint="eastAsia" w:ascii="Times New Roman" w:hAnsi="Times New Roman" w:eastAsia="宋体" w:cs="Times New Roman"/>
          <w:b/>
          <w:bCs/>
          <w:kern w:val="2"/>
          <w:sz w:val="24"/>
          <w:szCs w:val="28"/>
          <w:lang w:val="en-US" w:eastAsia="zh-CN" w:bidi="ar-SA"/>
        </w:rPr>
        <w:t>额定载荷试验</w:t>
      </w:r>
    </w:p>
    <w:p>
      <w:pPr>
        <w:ind w:firstLine="480"/>
        <w:rPr>
          <w:rFonts w:ascii="Times New Roman" w:hAnsi="Times New Roman" w:eastAsia="宋体" w:cs="Times New Roman"/>
        </w:rPr>
      </w:pPr>
      <w:r>
        <w:rPr>
          <w:rFonts w:hint="eastAsia" w:ascii="Times New Roman" w:hAnsi="Times New Roman" w:eastAsia="宋体" w:cs="Times New Roman"/>
        </w:rPr>
        <w:t>额定载荷试验按</w:t>
      </w:r>
      <w:r>
        <w:rPr>
          <w:rFonts w:ascii="Times New Roman" w:hAnsi="Times New Roman" w:eastAsia="宋体" w:cs="Times New Roman"/>
        </w:rPr>
        <w:fldChar w:fldCharType="begin"/>
      </w:r>
      <w:r>
        <w:rPr>
          <w:rFonts w:ascii="Times New Roman" w:hAnsi="Times New Roman" w:eastAsia="宋体" w:cs="Times New Roman"/>
        </w:rPr>
        <w:instrText xml:space="preserve"> </w:instrText>
      </w:r>
      <w:r>
        <w:rPr>
          <w:rFonts w:hint="eastAsia" w:ascii="Times New Roman" w:hAnsi="Times New Roman" w:eastAsia="宋体" w:cs="Times New Roman"/>
        </w:rPr>
        <w:instrText xml:space="preserve">REF _Ref130979408 \h</w:instrText>
      </w:r>
      <w:r>
        <w:rPr>
          <w:rFonts w:ascii="Times New Roman" w:hAnsi="Times New Roman" w:eastAsia="宋体" w:cs="Times New Roman"/>
        </w:rPr>
        <w:instrText xml:space="preserve"> </w:instrText>
      </w:r>
      <w:r>
        <w:rPr>
          <w:rFonts w:ascii="Times New Roman" w:hAnsi="Times New Roman" w:eastAsia="宋体" w:cs="Times New Roman"/>
        </w:rPr>
        <w:fldChar w:fldCharType="separate"/>
      </w:r>
      <w:r>
        <w:rPr>
          <w:rFonts w:hint="eastAsia" w:ascii="Times New Roman" w:hAnsi="Times New Roman" w:eastAsia="宋体" w:cs="Times New Roman"/>
        </w:rPr>
        <w:t>表</w:t>
      </w:r>
      <w:r>
        <w:rPr>
          <w:rFonts w:ascii="Times New Roman" w:hAnsi="Times New Roman" w:eastAsia="宋体" w:cs="Times New Roman"/>
        </w:rPr>
        <w:t>4.5.1-1</w:t>
      </w:r>
      <w:r>
        <w:rPr>
          <w:rFonts w:ascii="Times New Roman" w:hAnsi="Times New Roman" w:eastAsia="宋体" w:cs="Times New Roman"/>
        </w:rPr>
        <w:fldChar w:fldCharType="end"/>
      </w:r>
      <w:r>
        <w:rPr>
          <w:rFonts w:hint="eastAsia" w:ascii="Times New Roman" w:hAnsi="Times New Roman" w:eastAsia="宋体" w:cs="Times New Roman"/>
        </w:rPr>
        <w:t>进行。每一工况试验不少于3次。各参数的测定值取为3次测量的算术平均值。</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bookmarkStart w:id="101" w:name="_Ref130979408"/>
      <w:r>
        <w:rPr>
          <w:rFonts w:hint="eastAsia" w:ascii="Times New Roman" w:hAnsi="Times New Roman" w:eastAsia="宋体" w:cs="Times New Roman"/>
          <w:b/>
          <w:kern w:val="2"/>
          <w:sz w:val="21"/>
          <w:szCs w:val="21"/>
          <w:lang w:val="en-US" w:eastAsia="zh-CN" w:bidi="ar-SA"/>
        </w:rPr>
        <w:t>表</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3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4.5.1</w:t>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b/>
          <w:kern w:val="2"/>
          <w:sz w:val="21"/>
          <w:szCs w:val="21"/>
          <w:lang w:val="en-US" w:eastAsia="zh-CN" w:bidi="ar-SA"/>
        </w:rPr>
        <w:t>-</w:t>
      </w:r>
      <w:bookmarkEnd w:id="101"/>
      <w:r>
        <w:rPr>
          <w:rFonts w:hint="eastAsia" w:cs="Times New Roman"/>
          <w:b/>
          <w:kern w:val="2"/>
          <w:sz w:val="21"/>
          <w:szCs w:val="21"/>
          <w:lang w:val="en-US" w:eastAsia="zh-CN" w:bidi="ar-SA"/>
        </w:rPr>
        <w:t>1</w:t>
      </w:r>
      <w:r>
        <w:rPr>
          <w:rFonts w:ascii="Times New Roman" w:hAnsi="Times New Roman" w:eastAsia="宋体" w:cs="Times New Roman"/>
          <w:b/>
          <w:kern w:val="2"/>
          <w:sz w:val="21"/>
          <w:szCs w:val="21"/>
          <w:lang w:val="en-US" w:eastAsia="zh-CN" w:bidi="ar-SA"/>
        </w:rPr>
        <w:t xml:space="preserve"> </w:t>
      </w:r>
      <w:r>
        <w:rPr>
          <w:rFonts w:hint="eastAsia" w:ascii="Times New Roman" w:hAnsi="Times New Roman" w:eastAsia="宋体" w:cs="Times New Roman"/>
          <w:b/>
          <w:kern w:val="2"/>
          <w:sz w:val="21"/>
          <w:szCs w:val="21"/>
          <w:lang w:val="en-US" w:eastAsia="zh-CN" w:bidi="ar-SA"/>
        </w:rPr>
        <w:t>额定载荷试验</w:t>
      </w:r>
    </w:p>
    <w:tbl>
      <w:tblPr>
        <w:tblStyle w:val="25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51"/>
        <w:gridCol w:w="878"/>
        <w:gridCol w:w="1336"/>
        <w:gridCol w:w="1582"/>
        <w:gridCol w:w="1168"/>
        <w:gridCol w:w="1314"/>
        <w:gridCol w:w="10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76" w:type="pct"/>
            <w:vMerge w:val="restart"/>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工况</w:t>
            </w:r>
          </w:p>
        </w:tc>
        <w:tc>
          <w:tcPr>
            <w:tcW w:w="3683" w:type="pct"/>
            <w:gridSpan w:val="5"/>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试验方法</w:t>
            </w:r>
          </w:p>
        </w:tc>
        <w:tc>
          <w:tcPr>
            <w:tcW w:w="641" w:type="pct"/>
            <w:vMerge w:val="restart"/>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试验目的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76"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p>
        </w:tc>
        <w:tc>
          <w:tcPr>
            <w:tcW w:w="515" w:type="pct"/>
            <w:vMerge w:val="restart"/>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起升</w:t>
            </w:r>
          </w:p>
        </w:tc>
        <w:tc>
          <w:tcPr>
            <w:tcW w:w="1712" w:type="pct"/>
            <w:gridSpan w:val="2"/>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变幅</w:t>
            </w:r>
          </w:p>
        </w:tc>
        <w:tc>
          <w:tcPr>
            <w:tcW w:w="685" w:type="pct"/>
            <w:vMerge w:val="restart"/>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回转</w:t>
            </w:r>
          </w:p>
        </w:tc>
        <w:tc>
          <w:tcPr>
            <w:tcW w:w="771" w:type="pct"/>
            <w:vMerge w:val="restart"/>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运行</w:t>
            </w:r>
          </w:p>
        </w:tc>
        <w:tc>
          <w:tcPr>
            <w:tcW w:w="641"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76"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p>
        </w:tc>
        <w:tc>
          <w:tcPr>
            <w:tcW w:w="515"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p>
        </w:tc>
        <w:tc>
          <w:tcPr>
            <w:tcW w:w="784" w:type="pct"/>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动臂变幅</w:t>
            </w:r>
          </w:p>
        </w:tc>
        <w:tc>
          <w:tcPr>
            <w:tcW w:w="928" w:type="pct"/>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小车变幅</w:t>
            </w:r>
          </w:p>
        </w:tc>
        <w:tc>
          <w:tcPr>
            <w:tcW w:w="685"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p>
        </w:tc>
        <w:tc>
          <w:tcPr>
            <w:tcW w:w="771"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p>
        </w:tc>
        <w:tc>
          <w:tcPr>
            <w:tcW w:w="641"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6"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最大幅度相应的额定起重量</w:t>
            </w:r>
          </w:p>
        </w:tc>
        <w:tc>
          <w:tcPr>
            <w:tcW w:w="515" w:type="pct"/>
            <w:vMerge w:val="restar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在起升全程范围内以额定速度进行起升、下降，在每一起升、下降过程中进行不少于三次的正常制动</w:t>
            </w:r>
          </w:p>
        </w:tc>
        <w:tc>
          <w:tcPr>
            <w:tcW w:w="784"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在最大幅度和最小幅度间，臂架以额定速度进行俯仰变幅</w:t>
            </w:r>
          </w:p>
        </w:tc>
        <w:tc>
          <w:tcPr>
            <w:tcW w:w="928"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在最大幅度和最小幅度间，小车以额定速度进行两个方向变幅</w:t>
            </w:r>
          </w:p>
        </w:tc>
        <w:tc>
          <w:tcPr>
            <w:tcW w:w="685" w:type="pct"/>
            <w:vMerge w:val="restar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以额定速度进行左右回转。对不能全回转的塔机，应超过最大回转角</w:t>
            </w:r>
          </w:p>
        </w:tc>
        <w:tc>
          <w:tcPr>
            <w:tcW w:w="771" w:type="pct"/>
            <w:vMerge w:val="restar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以额定速度往复行走。臂架垂直于轨道，吊重离地500mm左右，往返运行不小于20m</w:t>
            </w:r>
          </w:p>
        </w:tc>
        <w:tc>
          <w:tcPr>
            <w:tcW w:w="641" w:type="pct"/>
            <w:vMerge w:val="restar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测量各机构的运动速度；机构及司机室噪声；力矩限制器、起重量限制器精度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6"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最大额定起重量相应的最大幅度</w:t>
            </w:r>
          </w:p>
        </w:tc>
        <w:tc>
          <w:tcPr>
            <w:tcW w:w="515"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p>
        </w:tc>
        <w:tc>
          <w:tcPr>
            <w:tcW w:w="784"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p>
        </w:tc>
        <w:tc>
          <w:tcPr>
            <w:tcW w:w="928"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在最小幅度和对应该起重量允许的最大幅度间，小车以额定速度进行两个方向变幅</w:t>
            </w:r>
          </w:p>
        </w:tc>
        <w:tc>
          <w:tcPr>
            <w:tcW w:w="685"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p>
        </w:tc>
        <w:tc>
          <w:tcPr>
            <w:tcW w:w="771"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p>
        </w:tc>
        <w:tc>
          <w:tcPr>
            <w:tcW w:w="641"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6"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具有多挡变速的起升机构，每挡速度允许的额定起重量</w:t>
            </w:r>
          </w:p>
        </w:tc>
        <w:tc>
          <w:tcPr>
            <w:tcW w:w="515"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p>
        </w:tc>
        <w:tc>
          <w:tcPr>
            <w:tcW w:w="3168" w:type="pct"/>
            <w:gridSpan w:val="4"/>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p>
        </w:tc>
        <w:tc>
          <w:tcPr>
            <w:tcW w:w="641"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测量每挡工作速度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00" w:type="pct"/>
            <w:gridSpan w:val="7"/>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对设计规定不能带载变幅的动臂式塔机,可不按本表规定进行带载变幅试验。</w:t>
            </w:r>
          </w:p>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对可变速的其他机构，应进行试验并测量各挡工作速度。</w:t>
            </w:r>
          </w:p>
        </w:tc>
      </w:tr>
    </w:tbl>
    <w:p>
      <w:pPr>
        <w:keepNext/>
        <w:keepLines/>
        <w:widowControl w:val="0"/>
        <w:numPr>
          <w:ilvl w:val="4"/>
          <w:numId w:val="1"/>
        </w:numPr>
        <w:spacing w:line="360" w:lineRule="auto"/>
        <w:ind w:firstLine="0" w:firstLineChars="0"/>
        <w:jc w:val="both"/>
        <w:outlineLvl w:val="4"/>
        <w:rPr>
          <w:rFonts w:ascii="Times New Roman" w:hAnsi="Times New Roman" w:eastAsia="宋体" w:cs="Times New Roman"/>
          <w:b/>
          <w:bCs/>
          <w:kern w:val="2"/>
          <w:sz w:val="24"/>
          <w:szCs w:val="28"/>
          <w:lang w:val="en-US" w:eastAsia="zh-CN" w:bidi="ar-SA"/>
        </w:rPr>
      </w:pPr>
      <w:r>
        <w:rPr>
          <w:rFonts w:hint="eastAsia" w:ascii="Times New Roman" w:hAnsi="Times New Roman" w:eastAsia="宋体" w:cs="Times New Roman"/>
          <w:b/>
          <w:bCs/>
          <w:kern w:val="2"/>
          <w:sz w:val="24"/>
          <w:szCs w:val="28"/>
          <w:lang w:val="en-US" w:eastAsia="zh-CN" w:bidi="ar-SA"/>
        </w:rPr>
        <w:t>1</w:t>
      </w:r>
      <w:r>
        <w:rPr>
          <w:rFonts w:ascii="Times New Roman" w:hAnsi="Times New Roman" w:eastAsia="宋体" w:cs="Times New Roman"/>
          <w:b/>
          <w:bCs/>
          <w:kern w:val="2"/>
          <w:sz w:val="24"/>
          <w:szCs w:val="28"/>
          <w:lang w:val="en-US" w:eastAsia="zh-CN" w:bidi="ar-SA"/>
        </w:rPr>
        <w:t>10%</w:t>
      </w:r>
      <w:r>
        <w:rPr>
          <w:rFonts w:hint="eastAsia" w:ascii="Times New Roman" w:hAnsi="Times New Roman" w:eastAsia="宋体" w:cs="Times New Roman"/>
          <w:b/>
          <w:bCs/>
          <w:kern w:val="2"/>
          <w:sz w:val="24"/>
          <w:szCs w:val="28"/>
          <w:lang w:val="en-US" w:eastAsia="zh-CN" w:bidi="ar-SA"/>
        </w:rPr>
        <w:t>额定载荷动载试验</w:t>
      </w:r>
    </w:p>
    <w:p>
      <w:pPr>
        <w:ind w:firstLine="480"/>
        <w:rPr>
          <w:rFonts w:ascii="Times New Roman" w:hAnsi="Times New Roman" w:eastAsia="宋体" w:cs="Times New Roman"/>
        </w:rPr>
      </w:pPr>
      <w:r>
        <w:rPr>
          <w:rFonts w:hint="eastAsia" w:ascii="Times New Roman" w:hAnsi="Times New Roman" w:eastAsia="宋体" w:cs="Times New Roman"/>
        </w:rPr>
        <w:t>110%额定载荷动载试验按</w:t>
      </w:r>
      <w:r>
        <w:rPr>
          <w:rFonts w:ascii="Times New Roman" w:hAnsi="Times New Roman" w:eastAsia="宋体" w:cs="Times New Roman"/>
        </w:rPr>
        <w:fldChar w:fldCharType="begin"/>
      </w:r>
      <w:r>
        <w:rPr>
          <w:rFonts w:ascii="Times New Roman" w:hAnsi="Times New Roman" w:eastAsia="宋体" w:cs="Times New Roman"/>
        </w:rPr>
        <w:instrText xml:space="preserve"> </w:instrText>
      </w:r>
      <w:r>
        <w:rPr>
          <w:rFonts w:hint="eastAsia" w:ascii="Times New Roman" w:hAnsi="Times New Roman" w:eastAsia="宋体" w:cs="Times New Roman"/>
        </w:rPr>
        <w:instrText xml:space="preserve">REF _Ref130979465 \h</w:instrText>
      </w:r>
      <w:r>
        <w:rPr>
          <w:rFonts w:ascii="Times New Roman" w:hAnsi="Times New Roman" w:eastAsia="宋体" w:cs="Times New Roman"/>
        </w:rPr>
        <w:instrText xml:space="preserve"> </w:instrText>
      </w:r>
      <w:r>
        <w:rPr>
          <w:rFonts w:ascii="Times New Roman" w:hAnsi="Times New Roman" w:eastAsia="宋体" w:cs="Times New Roman"/>
        </w:rPr>
        <w:fldChar w:fldCharType="separate"/>
      </w:r>
      <w:r>
        <w:rPr>
          <w:rFonts w:hint="eastAsia" w:ascii="Times New Roman" w:hAnsi="Times New Roman" w:eastAsia="宋体" w:cs="Times New Roman"/>
        </w:rPr>
        <w:t>表</w:t>
      </w:r>
      <w:r>
        <w:rPr>
          <w:rFonts w:ascii="Times New Roman" w:hAnsi="Times New Roman" w:eastAsia="宋体" w:cs="Times New Roman"/>
        </w:rPr>
        <w:t>4.5.1-</w:t>
      </w:r>
      <w:r>
        <w:rPr>
          <w:rFonts w:hint="eastAsia" w:cs="Times New Roman"/>
          <w:lang w:val="en-US" w:eastAsia="zh-CN"/>
        </w:rPr>
        <w:t>2</w:t>
      </w:r>
      <w:r>
        <w:rPr>
          <w:rFonts w:ascii="Times New Roman" w:hAnsi="Times New Roman" w:eastAsia="宋体" w:cs="Times New Roman"/>
        </w:rPr>
        <w:fldChar w:fldCharType="end"/>
      </w:r>
      <w:r>
        <w:rPr>
          <w:rFonts w:hint="eastAsia" w:ascii="Times New Roman" w:hAnsi="Times New Roman" w:eastAsia="宋体" w:cs="Times New Roman"/>
        </w:rPr>
        <w:t>进行。每一工况试验不少于3次。每一次的动作停稳后再进行下一次启动。</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bookmarkStart w:id="102" w:name="_Ref130979465"/>
      <w:r>
        <w:rPr>
          <w:rFonts w:hint="eastAsia" w:ascii="Times New Roman" w:hAnsi="Times New Roman" w:eastAsia="宋体" w:cs="Times New Roman"/>
          <w:b/>
          <w:kern w:val="2"/>
          <w:sz w:val="21"/>
          <w:szCs w:val="21"/>
          <w:lang w:val="en-US" w:eastAsia="zh-CN" w:bidi="ar-SA"/>
        </w:rPr>
        <w:t>表</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3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4.5.1</w:t>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b/>
          <w:kern w:val="2"/>
          <w:sz w:val="21"/>
          <w:szCs w:val="21"/>
          <w:lang w:val="en-US" w:eastAsia="zh-CN" w:bidi="ar-SA"/>
        </w:rPr>
        <w:t>-</w:t>
      </w:r>
      <w:bookmarkEnd w:id="102"/>
      <w:r>
        <w:rPr>
          <w:rFonts w:hint="eastAsia" w:cs="Times New Roman"/>
          <w:b/>
          <w:kern w:val="2"/>
          <w:sz w:val="21"/>
          <w:szCs w:val="21"/>
          <w:lang w:val="en-US" w:eastAsia="zh-CN" w:bidi="ar-SA"/>
        </w:rPr>
        <w:t>2</w:t>
      </w:r>
      <w:r>
        <w:rPr>
          <w:rFonts w:ascii="Times New Roman" w:hAnsi="Times New Roman" w:eastAsia="宋体" w:cs="Times New Roman"/>
          <w:b/>
          <w:kern w:val="2"/>
          <w:sz w:val="21"/>
          <w:szCs w:val="21"/>
          <w:lang w:val="en-US" w:eastAsia="zh-CN" w:bidi="ar-SA"/>
        </w:rPr>
        <w:t xml:space="preserve"> 110%</w:t>
      </w:r>
      <w:r>
        <w:rPr>
          <w:rFonts w:hint="eastAsia" w:ascii="Times New Roman" w:hAnsi="Times New Roman" w:eastAsia="宋体" w:cs="Times New Roman"/>
          <w:b/>
          <w:kern w:val="2"/>
          <w:sz w:val="21"/>
          <w:szCs w:val="21"/>
          <w:lang w:val="en-US" w:eastAsia="zh-CN" w:bidi="ar-SA"/>
        </w:rPr>
        <w:t>额定载荷动载试验</w:t>
      </w:r>
    </w:p>
    <w:tbl>
      <w:tblPr>
        <w:tblStyle w:val="25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45"/>
        <w:gridCol w:w="873"/>
        <w:gridCol w:w="1316"/>
        <w:gridCol w:w="1312"/>
        <w:gridCol w:w="1168"/>
        <w:gridCol w:w="1106"/>
        <w:gridCol w:w="13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848" w:type="pct"/>
            <w:vMerge w:val="restart"/>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工况</w:t>
            </w:r>
          </w:p>
        </w:tc>
        <w:tc>
          <w:tcPr>
            <w:tcW w:w="3388" w:type="pct"/>
            <w:gridSpan w:val="5"/>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试验方法</w:t>
            </w:r>
          </w:p>
        </w:tc>
        <w:tc>
          <w:tcPr>
            <w:tcW w:w="765" w:type="pct"/>
            <w:vMerge w:val="restart"/>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试验目的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848"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p>
        </w:tc>
        <w:tc>
          <w:tcPr>
            <w:tcW w:w="512" w:type="pct"/>
            <w:vMerge w:val="restart"/>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起升</w:t>
            </w:r>
          </w:p>
        </w:tc>
        <w:tc>
          <w:tcPr>
            <w:tcW w:w="1542" w:type="pct"/>
            <w:gridSpan w:val="2"/>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变幅</w:t>
            </w:r>
          </w:p>
        </w:tc>
        <w:tc>
          <w:tcPr>
            <w:tcW w:w="685" w:type="pct"/>
            <w:vMerge w:val="restart"/>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回转</w:t>
            </w:r>
          </w:p>
        </w:tc>
        <w:tc>
          <w:tcPr>
            <w:tcW w:w="648" w:type="pct"/>
            <w:vMerge w:val="restart"/>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运行</w:t>
            </w:r>
          </w:p>
        </w:tc>
        <w:tc>
          <w:tcPr>
            <w:tcW w:w="765"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848"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p>
        </w:tc>
        <w:tc>
          <w:tcPr>
            <w:tcW w:w="512"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p>
        </w:tc>
        <w:tc>
          <w:tcPr>
            <w:tcW w:w="772" w:type="pct"/>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动臂变幅</w:t>
            </w:r>
          </w:p>
        </w:tc>
        <w:tc>
          <w:tcPr>
            <w:tcW w:w="770" w:type="pct"/>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小车变幅</w:t>
            </w:r>
          </w:p>
        </w:tc>
        <w:tc>
          <w:tcPr>
            <w:tcW w:w="685"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p>
        </w:tc>
        <w:tc>
          <w:tcPr>
            <w:tcW w:w="648"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p>
        </w:tc>
        <w:tc>
          <w:tcPr>
            <w:tcW w:w="765"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48"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最大幅度相应的额定起重量的1</w:t>
            </w:r>
            <w:r>
              <w:rPr>
                <w:rFonts w:ascii="Times New Roman" w:hAnsi="Times New Roman" w:eastAsia="宋体" w:cs="Times New Roman"/>
                <w:kern w:val="2"/>
                <w:sz w:val="21"/>
                <w:szCs w:val="21"/>
                <w:lang w:val="en-US" w:eastAsia="zh-CN" w:bidi="ar-SA"/>
              </w:rPr>
              <w:t>10%</w:t>
            </w:r>
          </w:p>
        </w:tc>
        <w:tc>
          <w:tcPr>
            <w:tcW w:w="512" w:type="pct"/>
            <w:vMerge w:val="restar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在起升全程范围内以额定速度进行起升、下降</w:t>
            </w:r>
          </w:p>
        </w:tc>
        <w:tc>
          <w:tcPr>
            <w:tcW w:w="772"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在最大幅度和最小幅度间，臂架以额定速度进行俯仰变幅</w:t>
            </w:r>
          </w:p>
        </w:tc>
        <w:tc>
          <w:tcPr>
            <w:tcW w:w="770"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在最大幅度和最小幅度间，小车以额定速度进行两个方向变幅</w:t>
            </w:r>
          </w:p>
        </w:tc>
        <w:tc>
          <w:tcPr>
            <w:tcW w:w="685" w:type="pct"/>
            <w:vMerge w:val="restar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以额定速度进行左右回转。对不能全回转的塔机，应超过最大回转角</w:t>
            </w:r>
          </w:p>
        </w:tc>
        <w:tc>
          <w:tcPr>
            <w:tcW w:w="648" w:type="pct"/>
            <w:vMerge w:val="restar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以额定速度往复行走。臂架垂直于轨道，吊重离地500mm左右，往返运行不小于20m</w:t>
            </w:r>
          </w:p>
        </w:tc>
        <w:tc>
          <w:tcPr>
            <w:tcW w:w="765" w:type="pct"/>
            <w:vMerge w:val="restar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根据设计要求进行组合动作试验，并目测检查各机构运转的ling</w:t>
            </w:r>
            <w:r>
              <w:rPr>
                <w:rFonts w:ascii="Times New Roman" w:hAnsi="Times New Roman" w:eastAsia="宋体" w:cs="Times New Roman"/>
                <w:kern w:val="2"/>
                <w:sz w:val="21"/>
                <w:szCs w:val="21"/>
                <w:lang w:val="en-US" w:eastAsia="zh-CN" w:bidi="ar-SA"/>
              </w:rPr>
              <w:t>’</w:t>
            </w:r>
            <w:r>
              <w:rPr>
                <w:rFonts w:hint="eastAsia" w:ascii="Times New Roman" w:hAnsi="Times New Roman" w:eastAsia="宋体" w:cs="Times New Roman"/>
                <w:kern w:val="2"/>
                <w:sz w:val="21"/>
                <w:szCs w:val="21"/>
                <w:lang w:val="en-US" w:eastAsia="zh-CN" w:bidi="ar-SA"/>
              </w:rPr>
              <w:t>huo</w:t>
            </w:r>
            <w:r>
              <w:rPr>
                <w:rFonts w:ascii="Times New Roman" w:hAnsi="Times New Roman" w:eastAsia="宋体" w:cs="Times New Roman"/>
                <w:kern w:val="2"/>
                <w:sz w:val="21"/>
                <w:szCs w:val="21"/>
                <w:lang w:val="en-US" w:eastAsia="zh-CN" w:bidi="ar-SA"/>
              </w:rPr>
              <w:t>’</w:t>
            </w:r>
            <w:r>
              <w:rPr>
                <w:rFonts w:hint="eastAsia" w:ascii="Times New Roman" w:hAnsi="Times New Roman" w:eastAsia="宋体" w:cs="Times New Roman"/>
                <w:kern w:val="2"/>
                <w:sz w:val="21"/>
                <w:szCs w:val="21"/>
                <w:lang w:val="en-US" w:eastAsia="zh-CN" w:bidi="ar-SA"/>
              </w:rPr>
              <w:t>xin</w:t>
            </w:r>
            <w:r>
              <w:rPr>
                <w:rFonts w:ascii="Times New Roman" w:hAnsi="Times New Roman" w:eastAsia="宋体" w:cs="Times New Roman"/>
                <w:kern w:val="2"/>
                <w:sz w:val="21"/>
                <w:szCs w:val="21"/>
                <w:lang w:val="en-US" w:eastAsia="zh-CN" w:bidi="ar-SA"/>
              </w:rPr>
              <w:t xml:space="preserve"> </w:t>
            </w:r>
            <w:r>
              <w:rPr>
                <w:rFonts w:hint="eastAsia" w:ascii="Times New Roman" w:hAnsi="Times New Roman" w:eastAsia="宋体" w:cs="Times New Roman"/>
                <w:kern w:val="2"/>
                <w:sz w:val="21"/>
                <w:szCs w:val="21"/>
                <w:lang w:val="en-US" w:eastAsia="zh-CN" w:bidi="ar-SA"/>
              </w:rPr>
              <w:t>和制动器的可靠性。卸载后检查机构及结构各部件有无松动和破坏等异常现象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48"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起吊最大额定起重量的1</w:t>
            </w:r>
            <w:r>
              <w:rPr>
                <w:rFonts w:ascii="Times New Roman" w:hAnsi="Times New Roman" w:eastAsia="宋体" w:cs="Times New Roman"/>
                <w:kern w:val="2"/>
                <w:sz w:val="21"/>
                <w:szCs w:val="21"/>
                <w:lang w:val="en-US" w:eastAsia="zh-CN" w:bidi="ar-SA"/>
              </w:rPr>
              <w:t>10%</w:t>
            </w:r>
            <w:r>
              <w:rPr>
                <w:rFonts w:hint="eastAsia" w:ascii="Times New Roman" w:hAnsi="Times New Roman" w:eastAsia="宋体" w:cs="Times New Roman"/>
                <w:kern w:val="2"/>
                <w:sz w:val="21"/>
                <w:szCs w:val="21"/>
                <w:lang w:val="en-US" w:eastAsia="zh-CN" w:bidi="ar-SA"/>
              </w:rPr>
              <w:t>，在该吊重相应的最大幅度时</w:t>
            </w:r>
          </w:p>
        </w:tc>
        <w:tc>
          <w:tcPr>
            <w:tcW w:w="512"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p>
        </w:tc>
        <w:tc>
          <w:tcPr>
            <w:tcW w:w="772"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p>
        </w:tc>
        <w:tc>
          <w:tcPr>
            <w:tcW w:w="770" w:type="pct"/>
            <w:vMerge w:val="restar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在最小幅度和对应该起重量允许的最大幅度间，小车以额定速度进行两个方向变幅</w:t>
            </w:r>
          </w:p>
        </w:tc>
        <w:tc>
          <w:tcPr>
            <w:tcW w:w="685"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p>
        </w:tc>
        <w:tc>
          <w:tcPr>
            <w:tcW w:w="648"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p>
        </w:tc>
        <w:tc>
          <w:tcPr>
            <w:tcW w:w="765"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48"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在上两个幅度的中间幅度处，相应额定起重量的1</w:t>
            </w:r>
            <w:r>
              <w:rPr>
                <w:rFonts w:ascii="Times New Roman" w:hAnsi="Times New Roman" w:eastAsia="宋体" w:cs="Times New Roman"/>
                <w:kern w:val="2"/>
                <w:sz w:val="21"/>
                <w:szCs w:val="21"/>
                <w:lang w:val="en-US" w:eastAsia="zh-CN" w:bidi="ar-SA"/>
              </w:rPr>
              <w:t>10%</w:t>
            </w:r>
          </w:p>
        </w:tc>
        <w:tc>
          <w:tcPr>
            <w:tcW w:w="512"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p>
        </w:tc>
        <w:tc>
          <w:tcPr>
            <w:tcW w:w="772"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p>
        </w:tc>
        <w:tc>
          <w:tcPr>
            <w:tcW w:w="770"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p>
        </w:tc>
        <w:tc>
          <w:tcPr>
            <w:tcW w:w="685"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p>
        </w:tc>
        <w:tc>
          <w:tcPr>
            <w:tcW w:w="648"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p>
        </w:tc>
        <w:tc>
          <w:tcPr>
            <w:tcW w:w="765"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48"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具有多挡变速的起升机构，每挡速度允许的额定起重量的1</w:t>
            </w:r>
            <w:r>
              <w:rPr>
                <w:rFonts w:ascii="Times New Roman" w:hAnsi="Times New Roman" w:eastAsia="宋体" w:cs="Times New Roman"/>
                <w:kern w:val="2"/>
                <w:sz w:val="21"/>
                <w:szCs w:val="21"/>
                <w:lang w:val="en-US" w:eastAsia="zh-CN" w:bidi="ar-SA"/>
              </w:rPr>
              <w:t>10%</w:t>
            </w:r>
          </w:p>
        </w:tc>
        <w:tc>
          <w:tcPr>
            <w:tcW w:w="512"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p>
        </w:tc>
        <w:tc>
          <w:tcPr>
            <w:tcW w:w="2876" w:type="pct"/>
            <w:gridSpan w:val="4"/>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p>
        </w:tc>
        <w:tc>
          <w:tcPr>
            <w:tcW w:w="765"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00" w:type="pct"/>
            <w:gridSpan w:val="7"/>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对设计规定不能带载变幅的动臂式塔机,可不按本表规定进行带载变幅试验。</w:t>
            </w:r>
          </w:p>
        </w:tc>
      </w:tr>
    </w:tbl>
    <w:p>
      <w:pPr>
        <w:keepNext/>
        <w:keepLines/>
        <w:widowControl w:val="0"/>
        <w:numPr>
          <w:ilvl w:val="4"/>
          <w:numId w:val="1"/>
        </w:numPr>
        <w:spacing w:line="360" w:lineRule="auto"/>
        <w:ind w:firstLine="0" w:firstLineChars="0"/>
        <w:jc w:val="both"/>
        <w:outlineLvl w:val="4"/>
        <w:rPr>
          <w:rFonts w:ascii="Times New Roman" w:hAnsi="Times New Roman" w:eastAsia="宋体" w:cs="Times New Roman"/>
          <w:b/>
          <w:bCs/>
          <w:kern w:val="2"/>
          <w:sz w:val="24"/>
          <w:szCs w:val="28"/>
          <w:lang w:val="en-US" w:eastAsia="zh-CN" w:bidi="ar-SA"/>
        </w:rPr>
      </w:pPr>
      <w:r>
        <w:rPr>
          <w:rFonts w:hint="eastAsia" w:ascii="Times New Roman" w:hAnsi="Times New Roman" w:eastAsia="宋体" w:cs="Times New Roman"/>
          <w:b/>
          <w:bCs/>
          <w:kern w:val="2"/>
          <w:sz w:val="24"/>
          <w:szCs w:val="28"/>
          <w:lang w:val="en-US" w:eastAsia="zh-CN" w:bidi="ar-SA"/>
        </w:rPr>
        <w:t>1</w:t>
      </w:r>
      <w:r>
        <w:rPr>
          <w:rFonts w:ascii="Times New Roman" w:hAnsi="Times New Roman" w:eastAsia="宋体" w:cs="Times New Roman"/>
          <w:b/>
          <w:bCs/>
          <w:kern w:val="2"/>
          <w:sz w:val="24"/>
          <w:szCs w:val="28"/>
          <w:lang w:val="en-US" w:eastAsia="zh-CN" w:bidi="ar-SA"/>
        </w:rPr>
        <w:t>25%</w:t>
      </w:r>
      <w:r>
        <w:rPr>
          <w:rFonts w:hint="eastAsia" w:ascii="Times New Roman" w:hAnsi="Times New Roman" w:eastAsia="宋体" w:cs="Times New Roman"/>
          <w:b/>
          <w:bCs/>
          <w:kern w:val="2"/>
          <w:sz w:val="24"/>
          <w:szCs w:val="28"/>
          <w:lang w:val="en-US" w:eastAsia="zh-CN" w:bidi="ar-SA"/>
        </w:rPr>
        <w:t>额定载荷静载试验</w:t>
      </w:r>
    </w:p>
    <w:p>
      <w:pPr>
        <w:ind w:firstLine="480"/>
        <w:rPr>
          <w:rFonts w:ascii="Times New Roman" w:hAnsi="Times New Roman" w:eastAsia="宋体" w:cs="Times New Roman"/>
        </w:rPr>
      </w:pPr>
      <w:r>
        <w:rPr>
          <w:rFonts w:hint="eastAsia" w:ascii="Times New Roman" w:hAnsi="Times New Roman" w:eastAsia="宋体" w:cs="Times New Roman"/>
        </w:rPr>
        <w:t>125%额定载荷静载试验按</w:t>
      </w:r>
      <w:r>
        <w:rPr>
          <w:rFonts w:ascii="Times New Roman" w:hAnsi="Times New Roman" w:eastAsia="宋体" w:cs="Times New Roman"/>
        </w:rPr>
        <w:fldChar w:fldCharType="begin"/>
      </w:r>
      <w:r>
        <w:rPr>
          <w:rFonts w:ascii="Times New Roman" w:hAnsi="Times New Roman" w:eastAsia="宋体" w:cs="Times New Roman"/>
        </w:rPr>
        <w:instrText xml:space="preserve"> </w:instrText>
      </w:r>
      <w:r>
        <w:rPr>
          <w:rFonts w:hint="eastAsia" w:ascii="Times New Roman" w:hAnsi="Times New Roman" w:eastAsia="宋体" w:cs="Times New Roman"/>
        </w:rPr>
        <w:instrText xml:space="preserve">REF _Ref130980291 \h</w:instrText>
      </w:r>
      <w:r>
        <w:rPr>
          <w:rFonts w:ascii="Times New Roman" w:hAnsi="Times New Roman" w:eastAsia="宋体" w:cs="Times New Roman"/>
        </w:rPr>
        <w:instrText xml:space="preserve">  \* MERGEFORMAT </w:instrText>
      </w:r>
      <w:r>
        <w:rPr>
          <w:rFonts w:ascii="Times New Roman" w:hAnsi="Times New Roman" w:eastAsia="宋体" w:cs="Times New Roman"/>
        </w:rPr>
        <w:fldChar w:fldCharType="separate"/>
      </w:r>
      <w:r>
        <w:rPr>
          <w:rFonts w:hint="eastAsia" w:ascii="Times New Roman" w:hAnsi="Times New Roman" w:eastAsia="宋体" w:cs="Times New Roman"/>
        </w:rPr>
        <w:t>表</w:t>
      </w:r>
      <w:r>
        <w:rPr>
          <w:rFonts w:ascii="Times New Roman" w:hAnsi="Times New Roman" w:eastAsia="宋体" w:cs="Times New Roman"/>
        </w:rPr>
        <w:t>4.5.1-</w:t>
      </w:r>
      <w:r>
        <w:rPr>
          <w:rFonts w:hint="eastAsia" w:cs="Times New Roman"/>
          <w:lang w:val="en-US" w:eastAsia="zh-CN"/>
        </w:rPr>
        <w:t>3</w:t>
      </w:r>
      <w:r>
        <w:rPr>
          <w:rFonts w:ascii="Times New Roman" w:hAnsi="Times New Roman" w:eastAsia="宋体" w:cs="Times New Roman"/>
        </w:rPr>
        <w:fldChar w:fldCharType="end"/>
      </w:r>
      <w:r>
        <w:rPr>
          <w:rFonts w:hint="eastAsia" w:ascii="Times New Roman" w:hAnsi="Times New Roman" w:eastAsia="宋体" w:cs="Times New Roman"/>
        </w:rPr>
        <w:t>进行，试验时臂架分别位于与塔身成0°和45°的两个方位。</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bookmarkStart w:id="103" w:name="_Ref130980291"/>
      <w:r>
        <w:rPr>
          <w:rFonts w:hint="eastAsia" w:ascii="Times New Roman" w:hAnsi="Times New Roman" w:eastAsia="宋体" w:cs="Times New Roman"/>
          <w:b/>
          <w:kern w:val="2"/>
          <w:sz w:val="21"/>
          <w:szCs w:val="21"/>
          <w:lang w:val="en-US" w:eastAsia="zh-CN" w:bidi="ar-SA"/>
        </w:rPr>
        <w:t>表</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3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4.5.1</w:t>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b/>
          <w:kern w:val="2"/>
          <w:sz w:val="21"/>
          <w:szCs w:val="21"/>
          <w:lang w:val="en-US" w:eastAsia="zh-CN" w:bidi="ar-SA"/>
        </w:rPr>
        <w:t>-</w:t>
      </w:r>
      <w:bookmarkEnd w:id="103"/>
      <w:r>
        <w:rPr>
          <w:rFonts w:hint="eastAsia" w:cs="Times New Roman"/>
          <w:b/>
          <w:kern w:val="2"/>
          <w:sz w:val="21"/>
          <w:szCs w:val="21"/>
          <w:lang w:val="en-US" w:eastAsia="zh-CN" w:bidi="ar-SA"/>
        </w:rPr>
        <w:t>3</w:t>
      </w:r>
      <w:r>
        <w:rPr>
          <w:rFonts w:ascii="Times New Roman" w:hAnsi="Times New Roman" w:eastAsia="宋体" w:cs="Times New Roman"/>
          <w:b/>
          <w:kern w:val="2"/>
          <w:sz w:val="21"/>
          <w:szCs w:val="21"/>
          <w:lang w:val="en-US" w:eastAsia="zh-CN" w:bidi="ar-SA"/>
        </w:rPr>
        <w:t xml:space="preserve"> 125%</w:t>
      </w:r>
      <w:r>
        <w:rPr>
          <w:rFonts w:hint="eastAsia" w:ascii="Times New Roman" w:hAnsi="Times New Roman" w:eastAsia="宋体" w:cs="Times New Roman"/>
          <w:b/>
          <w:kern w:val="2"/>
          <w:sz w:val="21"/>
          <w:szCs w:val="21"/>
          <w:lang w:val="en-US" w:eastAsia="zh-CN" w:bidi="ar-SA"/>
        </w:rPr>
        <w:t>额定载荷静载试验</w:t>
      </w:r>
    </w:p>
    <w:tbl>
      <w:tblPr>
        <w:tblStyle w:val="25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196"/>
        <w:gridCol w:w="2626"/>
        <w:gridCol w:w="27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1875" w:type="pct"/>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工况</w:t>
            </w:r>
          </w:p>
        </w:tc>
        <w:tc>
          <w:tcPr>
            <w:tcW w:w="1541" w:type="pct"/>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试验方法</w:t>
            </w:r>
          </w:p>
        </w:tc>
        <w:tc>
          <w:tcPr>
            <w:tcW w:w="1583" w:type="pct"/>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试验目的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75"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最大幅度相应额定起重量的125%</w:t>
            </w:r>
          </w:p>
        </w:tc>
        <w:tc>
          <w:tcPr>
            <w:tcW w:w="1541" w:type="pct"/>
            <w:vMerge w:val="restar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起升额定载荷，离地100mm~200mm,停稳后,逐次加载至125%，测量载荷离地高度，停留10min后同一位置测量并进行比较</w:t>
            </w:r>
          </w:p>
        </w:tc>
        <w:tc>
          <w:tcPr>
            <w:tcW w:w="1583" w:type="pct"/>
            <w:vMerge w:val="restar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检查制动器可靠性,并在卸载后目测检查塔机是否出现可见裂纹、永久变形、油漆剥落、连接松动及其他可能对塔机性能和安全有影响的隐患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75"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起吊最大额定起重量的125%，在该吊重相应的最大幅度时</w:t>
            </w:r>
          </w:p>
        </w:tc>
        <w:tc>
          <w:tcPr>
            <w:tcW w:w="1541"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p>
        </w:tc>
        <w:tc>
          <w:tcPr>
            <w:tcW w:w="1583"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75"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在上两个幅度的中间幅度处，相应额定起重量的125%</w:t>
            </w:r>
          </w:p>
        </w:tc>
        <w:tc>
          <w:tcPr>
            <w:tcW w:w="1541"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p>
        </w:tc>
        <w:tc>
          <w:tcPr>
            <w:tcW w:w="1583"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00" w:type="pct"/>
            <w:gridSpan w:val="3"/>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试验时不准许对制动器进行调整。</w:t>
            </w:r>
          </w:p>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试验时允许对力矩限制器、起重量限制器进行调整。试验后应重新将其调整到规定值。</w:t>
            </w:r>
          </w:p>
        </w:tc>
      </w:tr>
    </w:tbl>
    <w:p>
      <w:pPr>
        <w:keepNext/>
        <w:keepLines/>
        <w:widowControl w:val="0"/>
        <w:numPr>
          <w:ilvl w:val="4"/>
          <w:numId w:val="1"/>
        </w:numPr>
        <w:spacing w:line="360" w:lineRule="auto"/>
        <w:ind w:firstLine="0" w:firstLineChars="0"/>
        <w:jc w:val="both"/>
        <w:outlineLvl w:val="4"/>
        <w:rPr>
          <w:rFonts w:ascii="Times New Roman" w:hAnsi="Times New Roman" w:eastAsia="宋体" w:cs="Times New Roman"/>
          <w:b/>
          <w:bCs/>
          <w:kern w:val="2"/>
          <w:sz w:val="24"/>
          <w:szCs w:val="28"/>
          <w:lang w:val="en-US" w:eastAsia="zh-CN" w:bidi="ar-SA"/>
        </w:rPr>
      </w:pPr>
      <w:r>
        <w:rPr>
          <w:rFonts w:hint="eastAsia" w:ascii="Times New Roman" w:hAnsi="Times New Roman" w:eastAsia="宋体" w:cs="Times New Roman"/>
          <w:b/>
          <w:bCs/>
          <w:kern w:val="2"/>
          <w:sz w:val="24"/>
          <w:szCs w:val="28"/>
          <w:lang w:val="en-US" w:eastAsia="zh-CN" w:bidi="ar-SA"/>
        </w:rPr>
        <w:t>安全装置调节</w:t>
      </w:r>
    </w:p>
    <w:p>
      <w:pPr>
        <w:numPr>
          <w:ilvl w:val="0"/>
          <w:numId w:val="30"/>
        </w:numPr>
        <w:ind w:firstLineChars="0"/>
        <w:rPr>
          <w:rFonts w:ascii="Times New Roman" w:hAnsi="Times New Roman" w:eastAsia="宋体" w:cs="Times New Roman"/>
        </w:rPr>
      </w:pPr>
      <w:r>
        <w:rPr>
          <w:rFonts w:hint="eastAsia" w:ascii="Times New Roman" w:hAnsi="Times New Roman" w:eastAsia="宋体" w:cs="Times New Roman"/>
        </w:rPr>
        <w:t>调节顺序</w:t>
      </w:r>
    </w:p>
    <w:p>
      <w:pPr>
        <w:ind w:firstLine="480"/>
        <w:rPr>
          <w:rFonts w:ascii="Times New Roman" w:hAnsi="Times New Roman" w:eastAsia="宋体" w:cs="Times New Roman"/>
        </w:rPr>
      </w:pPr>
      <w:r>
        <w:rPr>
          <w:rFonts w:hint="eastAsia" w:ascii="Times New Roman" w:hAnsi="Times New Roman" w:eastAsia="宋体" w:cs="Times New Roman"/>
        </w:rPr>
        <w:t>各类安全设备的调节顺序额为：力矩限制器→起重量限制器→行程限位器</w:t>
      </w:r>
    </w:p>
    <w:p>
      <w:pPr>
        <w:numPr>
          <w:ilvl w:val="0"/>
          <w:numId w:val="30"/>
        </w:numPr>
        <w:ind w:firstLineChars="0"/>
        <w:rPr>
          <w:rFonts w:ascii="Times New Roman" w:hAnsi="Times New Roman" w:eastAsia="宋体" w:cs="Times New Roman"/>
        </w:rPr>
      </w:pPr>
      <w:r>
        <w:rPr>
          <w:rFonts w:hint="eastAsia" w:ascii="Times New Roman" w:hAnsi="Times New Roman" w:eastAsia="宋体" w:cs="Times New Roman"/>
        </w:rPr>
        <w:t>预防性维护</w:t>
      </w:r>
    </w:p>
    <w:p>
      <w:pPr>
        <w:numPr>
          <w:ilvl w:val="0"/>
          <w:numId w:val="31"/>
        </w:numPr>
        <w:ind w:firstLineChars="0"/>
        <w:rPr>
          <w:rFonts w:ascii="Times New Roman" w:hAnsi="Times New Roman" w:eastAsia="宋体" w:cs="Times New Roman"/>
        </w:rPr>
      </w:pPr>
      <w:r>
        <w:rPr>
          <w:rFonts w:hint="eastAsia" w:ascii="Times New Roman" w:hAnsi="Times New Roman" w:eastAsia="宋体" w:cs="Times New Roman"/>
        </w:rPr>
        <w:t>安全设备的一般状态：无裂纹、锈蚀和变形，无径向偏差，无磨损；</w:t>
      </w:r>
    </w:p>
    <w:p>
      <w:pPr>
        <w:numPr>
          <w:ilvl w:val="0"/>
          <w:numId w:val="31"/>
        </w:numPr>
        <w:ind w:firstLineChars="0"/>
        <w:rPr>
          <w:rFonts w:ascii="Times New Roman" w:hAnsi="Times New Roman" w:eastAsia="宋体" w:cs="Times New Roman"/>
        </w:rPr>
      </w:pPr>
      <w:r>
        <w:rPr>
          <w:rFonts w:hint="eastAsia" w:ascii="Times New Roman" w:hAnsi="Times New Roman" w:eastAsia="宋体" w:cs="Times New Roman"/>
        </w:rPr>
        <w:t>安全设备的正确功能性，另外还需检查传感器及其连接的状况；</w:t>
      </w:r>
    </w:p>
    <w:p>
      <w:pPr>
        <w:numPr>
          <w:ilvl w:val="0"/>
          <w:numId w:val="31"/>
        </w:numPr>
        <w:ind w:firstLineChars="0"/>
        <w:rPr>
          <w:rFonts w:ascii="Times New Roman" w:hAnsi="Times New Roman" w:eastAsia="宋体" w:cs="Times New Roman"/>
        </w:rPr>
      </w:pPr>
      <w:r>
        <w:rPr>
          <w:rFonts w:hint="eastAsia" w:ascii="Times New Roman" w:hAnsi="Times New Roman" w:eastAsia="宋体" w:cs="Times New Roman"/>
        </w:rPr>
        <w:t>清洁度；</w:t>
      </w:r>
    </w:p>
    <w:p>
      <w:pPr>
        <w:numPr>
          <w:ilvl w:val="0"/>
          <w:numId w:val="31"/>
        </w:numPr>
        <w:ind w:firstLineChars="0"/>
        <w:rPr>
          <w:rFonts w:ascii="Times New Roman" w:hAnsi="Times New Roman" w:eastAsia="宋体" w:cs="Times New Roman"/>
        </w:rPr>
      </w:pPr>
      <w:r>
        <w:rPr>
          <w:rFonts w:hint="eastAsia" w:ascii="Times New Roman" w:hAnsi="Times New Roman" w:eastAsia="宋体" w:cs="Times New Roman"/>
        </w:rPr>
        <w:t>盖子和填料压盖很好拧紧(无受潮迹象)。</w:t>
      </w:r>
    </w:p>
    <w:p>
      <w:pPr>
        <w:numPr>
          <w:ilvl w:val="0"/>
          <w:numId w:val="30"/>
        </w:numPr>
        <w:ind w:firstLineChars="0"/>
        <w:rPr>
          <w:rFonts w:ascii="Times New Roman" w:hAnsi="Times New Roman" w:eastAsia="宋体" w:cs="Times New Roman"/>
        </w:rPr>
      </w:pPr>
      <w:r>
        <w:rPr>
          <w:rFonts w:hint="eastAsia" w:ascii="Times New Roman" w:hAnsi="Times New Roman" w:eastAsia="宋体" w:cs="Times New Roman"/>
        </w:rPr>
        <w:t>力矩限制器调节（钢丝绳四倍率）</w:t>
      </w:r>
    </w:p>
    <w:p>
      <w:pPr>
        <w:ind w:firstLine="480"/>
        <w:rPr>
          <w:rFonts w:ascii="Times New Roman" w:hAnsi="Times New Roman" w:eastAsia="宋体" w:cs="Times New Roman"/>
        </w:rPr>
      </w:pPr>
      <w:r>
        <w:rPr>
          <w:rFonts w:hint="eastAsia" w:ascii="Times New Roman" w:hAnsi="Times New Roman" w:eastAsia="宋体" w:cs="Times New Roman"/>
        </w:rPr>
        <w:t>塔机是按恒定的最大载荷力矩设计计算，使用中不能超过最大载荷力矩，力矩限制器的用途就是检测额定载荷的起升和向前变幅，防止超力矩到达倾翻区发生事故而设定。</w:t>
      </w:r>
    </w:p>
    <w:p>
      <w:pPr>
        <w:ind w:firstLine="480"/>
        <w:rPr>
          <w:rFonts w:ascii="Times New Roman" w:hAnsi="Times New Roman" w:eastAsia="宋体" w:cs="Times New Roman"/>
        </w:rPr>
      </w:pPr>
      <w:r>
        <w:rPr>
          <w:rFonts w:hint="eastAsia" w:ascii="Times New Roman" w:hAnsi="Times New Roman" w:eastAsia="宋体" w:cs="Times New Roman"/>
        </w:rPr>
        <w:t>力矩限制器的主要结构如</w:t>
      </w:r>
      <w:r>
        <w:rPr>
          <w:rFonts w:ascii="Times New Roman" w:hAnsi="Times New Roman" w:eastAsia="宋体" w:cs="Times New Roman"/>
        </w:rPr>
        <w:fldChar w:fldCharType="begin"/>
      </w:r>
      <w:r>
        <w:rPr>
          <w:rFonts w:ascii="Times New Roman" w:hAnsi="Times New Roman" w:eastAsia="宋体" w:cs="Times New Roman"/>
        </w:rPr>
        <w:instrText xml:space="preserve"> </w:instrText>
      </w:r>
      <w:r>
        <w:rPr>
          <w:rFonts w:hint="eastAsia" w:ascii="Times New Roman" w:hAnsi="Times New Roman" w:eastAsia="宋体" w:cs="Times New Roman"/>
        </w:rPr>
        <w:instrText xml:space="preserve">REF _Ref130912977 \h</w:instrText>
      </w:r>
      <w:r>
        <w:rPr>
          <w:rFonts w:ascii="Times New Roman" w:hAnsi="Times New Roman" w:eastAsia="宋体" w:cs="Times New Roman"/>
        </w:rPr>
        <w:instrText xml:space="preserve"> </w:instrText>
      </w:r>
      <w:r>
        <w:rPr>
          <w:rFonts w:ascii="Times New Roman" w:hAnsi="Times New Roman" w:eastAsia="宋体" w:cs="Times New Roman"/>
        </w:rPr>
        <w:fldChar w:fldCharType="separate"/>
      </w:r>
      <w:r>
        <w:rPr>
          <w:rFonts w:hint="eastAsia" w:ascii="Times New Roman" w:hAnsi="Times New Roman" w:eastAsia="宋体" w:cs="Times New Roman"/>
        </w:rPr>
        <w:t>图</w:t>
      </w:r>
      <w:r>
        <w:rPr>
          <w:rFonts w:ascii="Times New Roman" w:hAnsi="Times New Roman" w:eastAsia="宋体" w:cs="Times New Roman"/>
        </w:rPr>
        <w:t>4.5.1</w:t>
      </w:r>
      <w:r>
        <w:rPr>
          <w:rFonts w:hint="eastAsia" w:ascii="Times New Roman" w:hAnsi="Times New Roman" w:eastAsia="宋体" w:cs="Times New Roman"/>
        </w:rPr>
        <w:t>-</w:t>
      </w:r>
      <w:r>
        <w:rPr>
          <w:rFonts w:hint="eastAsia" w:cs="Times New Roman"/>
          <w:lang w:val="en-US" w:eastAsia="zh-CN"/>
        </w:rPr>
        <w:t>2</w:t>
      </w:r>
      <w:r>
        <w:rPr>
          <w:rFonts w:ascii="Times New Roman" w:hAnsi="Times New Roman" w:eastAsia="宋体" w:cs="Times New Roman"/>
        </w:rPr>
        <w:fldChar w:fldCharType="end"/>
      </w:r>
      <w:r>
        <w:rPr>
          <w:rFonts w:hint="eastAsia" w:cs="Times New Roman"/>
          <w:lang w:val="en-US" w:eastAsia="zh-CN"/>
        </w:rPr>
        <w:t>1</w:t>
      </w:r>
      <w:r>
        <w:rPr>
          <w:rFonts w:hint="eastAsia" w:ascii="Times New Roman" w:hAnsi="Times New Roman" w:eastAsia="宋体" w:cs="Times New Roman"/>
        </w:rPr>
        <w:t>所示。</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5274945" cy="3419475"/>
            <wp:effectExtent l="0" t="0" r="13335" b="952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58"/>
                    <a:stretch>
                      <a:fillRect/>
                    </a:stretch>
                  </pic:blipFill>
                  <pic:spPr>
                    <a:xfrm>
                      <a:off x="0" y="0"/>
                      <a:ext cx="5275233" cy="3420000"/>
                    </a:xfrm>
                    <a:prstGeom prst="rect">
                      <a:avLst/>
                    </a:prstGeom>
                  </pic:spPr>
                </pic:pic>
              </a:graphicData>
            </a:graphic>
          </wp:inline>
        </w:drawing>
      </w:r>
    </w:p>
    <w:p>
      <w:pPr>
        <w:keepNext w:val="0"/>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21</w:t>
      </w:r>
      <w:r>
        <w:rPr>
          <w:rFonts w:ascii="Times New Roman" w:hAnsi="Times New Roman" w:eastAsia="宋体" w:cs="Times New Roman"/>
          <w:b/>
          <w:kern w:val="2"/>
          <w:sz w:val="21"/>
          <w:szCs w:val="21"/>
          <w:lang w:val="en-US" w:eastAsia="zh-CN" w:bidi="ar-SA"/>
        </w:rPr>
        <w:t xml:space="preserve"> </w:t>
      </w:r>
      <w:r>
        <w:rPr>
          <w:rFonts w:hint="eastAsia" w:ascii="Times New Roman" w:hAnsi="Times New Roman" w:eastAsia="宋体" w:cs="Times New Roman"/>
          <w:b/>
          <w:kern w:val="2"/>
          <w:sz w:val="21"/>
          <w:szCs w:val="21"/>
          <w:lang w:val="en-US" w:eastAsia="zh-CN" w:bidi="ar-SA"/>
        </w:rPr>
        <w:t>力矩限制器主要结构</w:t>
      </w:r>
    </w:p>
    <w:p>
      <w:pPr>
        <w:ind w:firstLine="480"/>
        <w:rPr>
          <w:rFonts w:ascii="Times New Roman" w:hAnsi="Times New Roman" w:eastAsia="宋体" w:cs="Times New Roman"/>
        </w:rPr>
      </w:pPr>
      <w:r>
        <w:rPr>
          <w:rFonts w:hint="eastAsia" w:ascii="Times New Roman" w:hAnsi="Times New Roman" w:eastAsia="宋体" w:cs="Times New Roman"/>
        </w:rPr>
        <w:t>该装置安装在塔顶靠平衡臂一侧，它由一对弓形板，三个微动开关及安装底座，调节螺栓，外罩等组成。当有载荷时，在载荷力矩的作用下，弓形板弯曲变形(弓形板距离变小)，当载荷超过规定值时，其中一弓形板上的调节螺栓压下固定在另一弓形板上的开关触头，使开关动作切断其控制电路，机构停止运行，达到保护目的。</w:t>
      </w:r>
    </w:p>
    <w:p>
      <w:pPr>
        <w:ind w:firstLine="480"/>
        <w:rPr>
          <w:rFonts w:ascii="Times New Roman" w:hAnsi="Times New Roman" w:eastAsia="宋体" w:cs="Times New Roman"/>
        </w:rPr>
      </w:pPr>
      <w:r>
        <w:rPr>
          <w:rFonts w:hint="eastAsia" w:ascii="Times New Roman" w:hAnsi="Times New Roman" w:eastAsia="宋体" w:cs="Times New Roman"/>
        </w:rPr>
        <w:t>调整力矩限制器之前，必须首先确认本塔机的额定力矩之后，再查找对应的数据进行调试。</w:t>
      </w:r>
    </w:p>
    <w:p>
      <w:pPr>
        <w:ind w:firstLine="480"/>
        <w:rPr>
          <w:rFonts w:ascii="Times New Roman" w:hAnsi="Times New Roman" w:eastAsia="宋体" w:cs="Times New Roman"/>
        </w:rPr>
      </w:pPr>
      <w:r>
        <w:rPr>
          <w:rFonts w:hint="eastAsia" w:ascii="Times New Roman" w:hAnsi="Times New Roman" w:eastAsia="宋体" w:cs="Times New Roman"/>
        </w:rPr>
        <w:t>本机装有力矩限制器保护装置，当力矩达到额定值的80%时，司机室内的预报警灯亮，当超过100%但小于110%额定值时，起升向上断电，小车向外变幅断电，同时发出超载报警声。</w:t>
      </w:r>
    </w:p>
    <w:p>
      <w:pPr>
        <w:ind w:firstLine="480"/>
        <w:rPr>
          <w:rFonts w:ascii="Times New Roman" w:hAnsi="Times New Roman" w:eastAsia="宋体" w:cs="Times New Roman"/>
        </w:rPr>
      </w:pPr>
      <w:r>
        <w:rPr>
          <w:rFonts w:hint="eastAsia" w:ascii="Times New Roman" w:hAnsi="Times New Roman" w:eastAsia="宋体" w:cs="Times New Roman"/>
        </w:rPr>
        <w:t>调节项目如下：</w:t>
      </w:r>
    </w:p>
    <w:p>
      <w:pPr>
        <w:numPr>
          <w:ilvl w:val="0"/>
          <w:numId w:val="32"/>
        </w:numPr>
        <w:ind w:firstLineChars="0"/>
        <w:rPr>
          <w:rFonts w:ascii="Times New Roman" w:hAnsi="Times New Roman" w:eastAsia="宋体" w:cs="Times New Roman"/>
        </w:rPr>
      </w:pPr>
      <w:r>
        <w:rPr>
          <w:rFonts w:hint="eastAsia" w:ascii="Times New Roman" w:hAnsi="Times New Roman" w:eastAsia="宋体" w:cs="Times New Roman"/>
        </w:rPr>
        <w:t>定码变幅调整</w:t>
      </w:r>
    </w:p>
    <w:p>
      <w:pPr>
        <w:numPr>
          <w:ilvl w:val="0"/>
          <w:numId w:val="33"/>
        </w:numPr>
        <w:ind w:firstLineChars="0"/>
        <w:rPr>
          <w:rFonts w:ascii="Times New Roman" w:hAnsi="Times New Roman" w:eastAsia="宋体" w:cs="Times New Roman"/>
        </w:rPr>
      </w:pPr>
      <w:r>
        <w:rPr>
          <w:rFonts w:ascii="Times New Roman" w:hAnsi="Times New Roman" w:eastAsia="宋体" w:cs="Times New Roman"/>
        </w:rPr>
        <w:t>定码变幅</w:t>
      </w:r>
      <w:r>
        <w:rPr>
          <w:rFonts w:hint="eastAsia" w:ascii="Times New Roman" w:hAnsi="Times New Roman" w:eastAsia="宋体" w:cs="Times New Roman"/>
        </w:rPr>
        <w:t>报警</w:t>
      </w:r>
      <w:r>
        <w:rPr>
          <w:rFonts w:ascii="Times New Roman" w:hAnsi="Times New Roman" w:eastAsia="宋体" w:cs="Times New Roman"/>
        </w:rPr>
        <w:t>调整</w:t>
      </w:r>
    </w:p>
    <w:p>
      <w:pPr>
        <w:ind w:firstLine="480"/>
        <w:rPr>
          <w:rFonts w:ascii="Times New Roman" w:hAnsi="Times New Roman" w:eastAsia="宋体" w:cs="Times New Roman"/>
        </w:rPr>
      </w:pPr>
      <w:r>
        <w:rPr>
          <w:rFonts w:hint="eastAsia" w:ascii="Times New Roman" w:hAnsi="Times New Roman" w:eastAsia="宋体" w:cs="Times New Roman"/>
        </w:rPr>
        <w:t>在起点吊幅处吊额定起重量，以平稳速度运行起重小车，调节调节螺栓，使其在反馈点范围内红灯亮起并发出预警声、起升向上断电、变幅向外断电。</w:t>
      </w:r>
    </w:p>
    <w:p>
      <w:pPr>
        <w:ind w:firstLine="480"/>
        <w:rPr>
          <w:rFonts w:ascii="Times New Roman" w:hAnsi="Times New Roman" w:eastAsia="宋体" w:cs="Times New Roman"/>
        </w:rPr>
      </w:pPr>
      <w:r>
        <w:rPr>
          <w:rFonts w:hint="eastAsia" w:ascii="Times New Roman" w:hAnsi="Times New Roman" w:eastAsia="宋体" w:cs="Times New Roman"/>
        </w:rPr>
        <w:t>重复测试3次，要求每次均能满足要求。</w:t>
      </w:r>
    </w:p>
    <w:p>
      <w:pPr>
        <w:numPr>
          <w:ilvl w:val="0"/>
          <w:numId w:val="33"/>
        </w:numPr>
        <w:ind w:firstLineChars="0"/>
        <w:rPr>
          <w:rFonts w:ascii="Times New Roman" w:hAnsi="Times New Roman" w:eastAsia="宋体" w:cs="Times New Roman"/>
        </w:rPr>
      </w:pPr>
      <w:r>
        <w:rPr>
          <w:rFonts w:hint="eastAsia" w:ascii="Times New Roman" w:hAnsi="Times New Roman" w:eastAsia="宋体" w:cs="Times New Roman"/>
        </w:rPr>
        <w:t>定码变幅预警调整</w:t>
      </w:r>
    </w:p>
    <w:p>
      <w:pPr>
        <w:ind w:firstLine="480"/>
        <w:rPr>
          <w:rFonts w:ascii="Times New Roman" w:hAnsi="Times New Roman" w:eastAsia="宋体" w:cs="Times New Roman"/>
        </w:rPr>
      </w:pPr>
      <w:r>
        <w:rPr>
          <w:rFonts w:ascii="Times New Roman" w:hAnsi="Times New Roman" w:eastAsia="宋体" w:cs="Times New Roman"/>
        </w:rPr>
        <w:t>在</w:t>
      </w:r>
      <w:r>
        <w:rPr>
          <w:rFonts w:hint="eastAsia" w:ascii="Times New Roman" w:hAnsi="Times New Roman" w:eastAsia="宋体" w:cs="Times New Roman"/>
        </w:rPr>
        <w:t>起点吊幅处吊额定起重量，以平稳速度运行起重小车，调节调节螺栓，使其在反馈点范围内橙灯亮起并发出预警声、降速变幅。</w:t>
      </w:r>
    </w:p>
    <w:p>
      <w:pPr>
        <w:ind w:firstLine="480"/>
        <w:rPr>
          <w:rFonts w:ascii="Times New Roman" w:hAnsi="Times New Roman" w:eastAsia="宋体" w:cs="Times New Roman"/>
        </w:rPr>
      </w:pPr>
      <w:r>
        <w:rPr>
          <w:rFonts w:hint="eastAsia" w:ascii="Times New Roman" w:hAnsi="Times New Roman" w:eastAsia="宋体" w:cs="Times New Roman"/>
        </w:rPr>
        <w:t>重复测试3次，要求每次均能满足要求。</w:t>
      </w:r>
    </w:p>
    <w:p>
      <w:pPr>
        <w:numPr>
          <w:ilvl w:val="0"/>
          <w:numId w:val="32"/>
        </w:numPr>
        <w:ind w:firstLineChars="0"/>
        <w:rPr>
          <w:rFonts w:ascii="Times New Roman" w:hAnsi="Times New Roman" w:eastAsia="宋体" w:cs="Times New Roman"/>
        </w:rPr>
      </w:pPr>
      <w:r>
        <w:rPr>
          <w:rFonts w:ascii="Times New Roman" w:hAnsi="Times New Roman" w:eastAsia="宋体" w:cs="Times New Roman"/>
        </w:rPr>
        <w:t>定幅变码调整</w:t>
      </w:r>
    </w:p>
    <w:p>
      <w:pPr>
        <w:numPr>
          <w:ilvl w:val="0"/>
          <w:numId w:val="34"/>
        </w:numPr>
        <w:ind w:firstLineChars="0"/>
        <w:rPr>
          <w:rFonts w:ascii="Times New Roman" w:hAnsi="Times New Roman" w:eastAsia="宋体" w:cs="Times New Roman"/>
        </w:rPr>
      </w:pPr>
      <w:r>
        <w:rPr>
          <w:rFonts w:ascii="Times New Roman" w:hAnsi="Times New Roman" w:eastAsia="宋体" w:cs="Times New Roman"/>
        </w:rPr>
        <w:t>定幅变码</w:t>
      </w:r>
      <w:r>
        <w:rPr>
          <w:rFonts w:hint="eastAsia" w:ascii="Times New Roman" w:hAnsi="Times New Roman" w:eastAsia="宋体" w:cs="Times New Roman"/>
        </w:rPr>
        <w:t>报警</w:t>
      </w:r>
      <w:r>
        <w:rPr>
          <w:rFonts w:ascii="Times New Roman" w:hAnsi="Times New Roman" w:eastAsia="宋体" w:cs="Times New Roman"/>
        </w:rPr>
        <w:t>调整</w:t>
      </w:r>
    </w:p>
    <w:p>
      <w:pPr>
        <w:ind w:firstLine="480"/>
        <w:rPr>
          <w:rFonts w:ascii="Times New Roman" w:hAnsi="Times New Roman" w:eastAsia="宋体" w:cs="Times New Roman"/>
        </w:rPr>
      </w:pPr>
      <w:r>
        <w:rPr>
          <w:rFonts w:ascii="Times New Roman" w:hAnsi="Times New Roman" w:eastAsia="宋体" w:cs="Times New Roman"/>
        </w:rPr>
        <w:t>在</w:t>
      </w:r>
      <w:r>
        <w:rPr>
          <w:rFonts w:hint="eastAsia" w:ascii="Times New Roman" w:hAnsi="Times New Roman" w:eastAsia="宋体" w:cs="Times New Roman"/>
        </w:rPr>
        <w:t>最大吊幅处吊规定起重量，并加载后续规定重量，调节调节螺栓，使其在反馈点（最大吊幅）处无反馈。</w:t>
      </w:r>
    </w:p>
    <w:p>
      <w:pPr>
        <w:ind w:firstLine="480"/>
        <w:rPr>
          <w:rFonts w:ascii="Times New Roman" w:hAnsi="Times New Roman" w:eastAsia="宋体" w:cs="Times New Roman"/>
        </w:rPr>
      </w:pPr>
      <w:r>
        <w:rPr>
          <w:rFonts w:hint="eastAsia" w:ascii="Times New Roman" w:hAnsi="Times New Roman" w:eastAsia="宋体" w:cs="Times New Roman"/>
        </w:rPr>
        <w:t>重复测试3次，要求每次均能满足要求。</w:t>
      </w:r>
    </w:p>
    <w:p>
      <w:pPr>
        <w:numPr>
          <w:ilvl w:val="0"/>
          <w:numId w:val="34"/>
        </w:numPr>
        <w:ind w:firstLineChars="0"/>
        <w:rPr>
          <w:rFonts w:ascii="Times New Roman" w:hAnsi="Times New Roman" w:eastAsia="宋体" w:cs="Times New Roman"/>
        </w:rPr>
      </w:pPr>
      <w:r>
        <w:rPr>
          <w:rFonts w:ascii="Times New Roman" w:hAnsi="Times New Roman" w:eastAsia="宋体" w:cs="Times New Roman"/>
        </w:rPr>
        <w:t>定幅变码</w:t>
      </w:r>
      <w:r>
        <w:rPr>
          <w:rFonts w:hint="eastAsia" w:ascii="Times New Roman" w:hAnsi="Times New Roman" w:eastAsia="宋体" w:cs="Times New Roman"/>
        </w:rPr>
        <w:t>预警调整</w:t>
      </w:r>
    </w:p>
    <w:p>
      <w:pPr>
        <w:ind w:firstLine="480"/>
        <w:rPr>
          <w:rFonts w:ascii="Times New Roman" w:hAnsi="Times New Roman" w:eastAsia="宋体" w:cs="Times New Roman"/>
        </w:rPr>
      </w:pPr>
      <w:r>
        <w:rPr>
          <w:rFonts w:ascii="Times New Roman" w:hAnsi="Times New Roman" w:eastAsia="宋体" w:cs="Times New Roman"/>
        </w:rPr>
        <w:t>在</w:t>
      </w:r>
      <w:r>
        <w:rPr>
          <w:rFonts w:hint="eastAsia" w:ascii="Times New Roman" w:hAnsi="Times New Roman" w:eastAsia="宋体" w:cs="Times New Roman"/>
        </w:rPr>
        <w:t>最大吊幅处吊规定起重量，并加载后续规定重量，调节调节螺栓，使其在反馈点（最大吊幅）处红灯亮起并发出预警声、起升向上断电。</w:t>
      </w:r>
    </w:p>
    <w:p>
      <w:pPr>
        <w:ind w:firstLine="480"/>
        <w:rPr>
          <w:rFonts w:ascii="Times New Roman" w:hAnsi="Times New Roman" w:eastAsia="宋体" w:cs="Times New Roman"/>
        </w:rPr>
      </w:pPr>
      <w:r>
        <w:rPr>
          <w:rFonts w:hint="eastAsia" w:ascii="Times New Roman" w:hAnsi="Times New Roman" w:eastAsia="宋体" w:cs="Times New Roman"/>
        </w:rPr>
        <w:t>重复测试3次，要求每次均能满足要求。</w:t>
      </w:r>
    </w:p>
    <w:p>
      <w:pPr>
        <w:numPr>
          <w:ilvl w:val="0"/>
          <w:numId w:val="32"/>
        </w:numPr>
        <w:ind w:firstLineChars="0"/>
        <w:rPr>
          <w:rFonts w:ascii="Times New Roman" w:hAnsi="Times New Roman" w:eastAsia="宋体" w:cs="Times New Roman"/>
        </w:rPr>
      </w:pPr>
      <w:r>
        <w:rPr>
          <w:rFonts w:hint="eastAsia" w:ascii="Times New Roman" w:hAnsi="Times New Roman" w:eastAsia="宋体" w:cs="Times New Roman"/>
        </w:rPr>
        <w:t>校核</w:t>
      </w:r>
    </w:p>
    <w:p>
      <w:pPr>
        <w:numPr>
          <w:ilvl w:val="0"/>
          <w:numId w:val="35"/>
        </w:numPr>
        <w:ind w:firstLineChars="0"/>
        <w:rPr>
          <w:rFonts w:ascii="Times New Roman" w:hAnsi="Times New Roman" w:eastAsia="宋体" w:cs="Times New Roman"/>
        </w:rPr>
      </w:pPr>
      <w:r>
        <w:rPr>
          <w:rFonts w:hint="eastAsia" w:ascii="Times New Roman" w:hAnsi="Times New Roman" w:eastAsia="宋体" w:cs="Times New Roman"/>
        </w:rPr>
        <w:t>定码变幅预警校核</w:t>
      </w:r>
    </w:p>
    <w:p>
      <w:pPr>
        <w:ind w:firstLine="480"/>
        <w:rPr>
          <w:rFonts w:ascii="Times New Roman" w:hAnsi="Times New Roman" w:eastAsia="宋体" w:cs="Times New Roman"/>
        </w:rPr>
      </w:pPr>
      <w:r>
        <w:rPr>
          <w:rFonts w:hint="eastAsia" w:ascii="Times New Roman" w:hAnsi="Times New Roman" w:eastAsia="宋体" w:cs="Times New Roman"/>
        </w:rPr>
        <w:t>在起点吊幅处吊规定起重量，以平稳速度运行起重小车，校核是否在反馈点范围内橙灯亮起并发出预警声、降速变幅。</w:t>
      </w:r>
    </w:p>
    <w:p>
      <w:pPr>
        <w:ind w:firstLine="480"/>
        <w:rPr>
          <w:rFonts w:ascii="Times New Roman" w:hAnsi="Times New Roman" w:eastAsia="宋体" w:cs="Times New Roman"/>
        </w:rPr>
      </w:pPr>
      <w:r>
        <w:rPr>
          <w:rFonts w:hint="eastAsia" w:ascii="Times New Roman" w:hAnsi="Times New Roman" w:eastAsia="宋体" w:cs="Times New Roman"/>
        </w:rPr>
        <w:t>重复测试3次，要求每次均能满足要求。</w:t>
      </w:r>
    </w:p>
    <w:p>
      <w:pPr>
        <w:numPr>
          <w:ilvl w:val="0"/>
          <w:numId w:val="35"/>
        </w:numPr>
        <w:ind w:firstLineChars="0"/>
        <w:rPr>
          <w:rFonts w:ascii="Times New Roman" w:hAnsi="Times New Roman" w:eastAsia="宋体" w:cs="Times New Roman"/>
        </w:rPr>
      </w:pPr>
      <w:r>
        <w:rPr>
          <w:rFonts w:ascii="Times New Roman" w:hAnsi="Times New Roman" w:eastAsia="宋体" w:cs="Times New Roman"/>
        </w:rPr>
        <w:t>定码变幅</w:t>
      </w:r>
      <w:r>
        <w:rPr>
          <w:rFonts w:hint="eastAsia" w:ascii="Times New Roman" w:hAnsi="Times New Roman" w:eastAsia="宋体" w:cs="Times New Roman"/>
        </w:rPr>
        <w:t>报警校核</w:t>
      </w:r>
    </w:p>
    <w:p>
      <w:pPr>
        <w:ind w:firstLine="480"/>
        <w:rPr>
          <w:rFonts w:ascii="Times New Roman" w:hAnsi="Times New Roman" w:eastAsia="宋体" w:cs="Times New Roman"/>
        </w:rPr>
      </w:pPr>
      <w:r>
        <w:rPr>
          <w:rFonts w:hint="eastAsia" w:ascii="Times New Roman" w:hAnsi="Times New Roman" w:eastAsia="宋体" w:cs="Times New Roman"/>
        </w:rPr>
        <w:t>在起点吊幅处吊规定起重量，以平稳速度运行起重小车，校核是否在反馈点范围内红灯亮起并发出预警声、起升向上断电、变幅向外断电。</w:t>
      </w:r>
    </w:p>
    <w:p>
      <w:pPr>
        <w:ind w:firstLine="480"/>
        <w:rPr>
          <w:rFonts w:ascii="Times New Roman" w:hAnsi="Times New Roman" w:eastAsia="宋体" w:cs="Times New Roman"/>
        </w:rPr>
      </w:pPr>
      <w:r>
        <w:rPr>
          <w:rFonts w:hint="eastAsia" w:ascii="Times New Roman" w:hAnsi="Times New Roman" w:eastAsia="宋体" w:cs="Times New Roman"/>
        </w:rPr>
        <w:t>重复测试3次，要求每次均能满足要求。</w:t>
      </w:r>
    </w:p>
    <w:p>
      <w:pPr>
        <w:numPr>
          <w:ilvl w:val="0"/>
          <w:numId w:val="35"/>
        </w:numPr>
        <w:ind w:firstLineChars="0"/>
        <w:rPr>
          <w:rFonts w:ascii="Times New Roman" w:hAnsi="Times New Roman" w:eastAsia="宋体" w:cs="Times New Roman"/>
        </w:rPr>
      </w:pPr>
      <w:r>
        <w:rPr>
          <w:rFonts w:ascii="Times New Roman" w:hAnsi="Times New Roman" w:eastAsia="宋体" w:cs="Times New Roman"/>
        </w:rPr>
        <w:t>定幅变码</w:t>
      </w:r>
      <w:r>
        <w:rPr>
          <w:rFonts w:hint="eastAsia" w:ascii="Times New Roman" w:hAnsi="Times New Roman" w:eastAsia="宋体" w:cs="Times New Roman"/>
        </w:rPr>
        <w:t>报警校核</w:t>
      </w:r>
    </w:p>
    <w:p>
      <w:pPr>
        <w:ind w:firstLine="480"/>
        <w:rPr>
          <w:rFonts w:ascii="Times New Roman" w:hAnsi="Times New Roman" w:eastAsia="宋体" w:cs="Times New Roman"/>
        </w:rPr>
      </w:pPr>
      <w:r>
        <w:rPr>
          <w:rFonts w:ascii="Times New Roman" w:hAnsi="Times New Roman" w:eastAsia="宋体" w:cs="Times New Roman"/>
        </w:rPr>
        <w:t>在</w:t>
      </w:r>
      <w:r>
        <w:rPr>
          <w:rFonts w:hint="eastAsia" w:ascii="Times New Roman" w:hAnsi="Times New Roman" w:eastAsia="宋体" w:cs="Times New Roman"/>
        </w:rPr>
        <w:t>最大吊幅处吊规定起重量，并加载后续规定重量，校核是否在反馈点（最大吊幅）处红灯亮起并发出预警声、起升向上断电。</w:t>
      </w:r>
    </w:p>
    <w:p>
      <w:pPr>
        <w:ind w:firstLine="480"/>
        <w:rPr>
          <w:rFonts w:ascii="Times New Roman" w:hAnsi="Times New Roman" w:eastAsia="宋体" w:cs="Times New Roman"/>
        </w:rPr>
      </w:pPr>
      <w:r>
        <w:rPr>
          <w:rFonts w:hint="eastAsia" w:ascii="Times New Roman" w:hAnsi="Times New Roman" w:eastAsia="宋体" w:cs="Times New Roman"/>
        </w:rPr>
        <w:t>重复测试3次，要求每次均能满足要求。</w:t>
      </w:r>
    </w:p>
    <w:p>
      <w:pPr>
        <w:numPr>
          <w:ilvl w:val="0"/>
          <w:numId w:val="30"/>
        </w:numPr>
        <w:ind w:firstLineChars="0"/>
        <w:rPr>
          <w:rFonts w:ascii="Times New Roman" w:hAnsi="Times New Roman" w:eastAsia="宋体" w:cs="Times New Roman"/>
        </w:rPr>
      </w:pPr>
      <w:r>
        <w:rPr>
          <w:rFonts w:hint="eastAsia" w:ascii="Times New Roman" w:hAnsi="Times New Roman" w:eastAsia="宋体" w:cs="Times New Roman"/>
        </w:rPr>
        <w:t>起重量限制器调节（钢丝绳四倍率）</w:t>
      </w:r>
    </w:p>
    <w:p>
      <w:pPr>
        <w:ind w:firstLine="480"/>
        <w:rPr>
          <w:rFonts w:ascii="Times New Roman" w:hAnsi="Times New Roman" w:eastAsia="宋体" w:cs="Times New Roman"/>
        </w:rPr>
      </w:pPr>
      <w:r>
        <w:rPr>
          <w:rFonts w:hint="eastAsia" w:ascii="Times New Roman" w:hAnsi="Times New Roman" w:eastAsia="宋体" w:cs="Times New Roman"/>
        </w:rPr>
        <w:t>起重量限制器调整(结构调整方法见外购件BWL-D</w:t>
      </w:r>
      <w:r>
        <w:rPr>
          <w:rFonts w:ascii="Times New Roman" w:hAnsi="Times New Roman" w:eastAsia="宋体" w:cs="Times New Roman"/>
        </w:rPr>
        <w:t>1-</w:t>
      </w:r>
      <w:r>
        <w:rPr>
          <w:rFonts w:hint="eastAsia" w:ascii="Times New Roman" w:hAnsi="Times New Roman" w:eastAsia="宋体" w:cs="Times New Roman"/>
        </w:rPr>
        <w:t>2</w:t>
      </w:r>
      <w:r>
        <w:rPr>
          <w:rFonts w:ascii="Times New Roman" w:hAnsi="Times New Roman" w:eastAsia="宋体" w:cs="Times New Roman"/>
        </w:rPr>
        <w:t>.5</w:t>
      </w:r>
      <w:r>
        <w:rPr>
          <w:rFonts w:hint="eastAsia" w:ascii="Times New Roman" w:hAnsi="Times New Roman" w:eastAsia="宋体" w:cs="Times New Roman"/>
        </w:rPr>
        <w:t>T起重量限制器说明书，此塔机只使用四个微动开关中的三个，安装时控制线入口应向下)。调整时吊钩采用四倍率滑轮组。</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5247640" cy="3059430"/>
            <wp:effectExtent l="0" t="0" r="10160" b="381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59"/>
                    <a:stretch>
                      <a:fillRect/>
                    </a:stretch>
                  </pic:blipFill>
                  <pic:spPr>
                    <a:xfrm>
                      <a:off x="0" y="0"/>
                      <a:ext cx="5248062" cy="3060000"/>
                    </a:xfrm>
                    <a:prstGeom prst="rect">
                      <a:avLst/>
                    </a:prstGeom>
                  </pic:spPr>
                </pic:pic>
              </a:graphicData>
            </a:graphic>
          </wp:inline>
        </w:drawing>
      </w:r>
    </w:p>
    <w:p>
      <w:pPr>
        <w:keepNext w:val="0"/>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22</w:t>
      </w:r>
      <w:r>
        <w:rPr>
          <w:rFonts w:ascii="Times New Roman" w:hAnsi="Times New Roman" w:eastAsia="宋体" w:cs="Times New Roman"/>
          <w:b/>
          <w:kern w:val="2"/>
          <w:sz w:val="21"/>
          <w:szCs w:val="21"/>
          <w:lang w:val="en-US" w:eastAsia="zh-CN" w:bidi="ar-SA"/>
        </w:rPr>
        <w:t xml:space="preserve"> 起重量限制器</w:t>
      </w:r>
    </w:p>
    <w:p>
      <w:pPr>
        <w:ind w:firstLine="480"/>
        <w:rPr>
          <w:rFonts w:ascii="Times New Roman" w:hAnsi="Times New Roman" w:eastAsia="宋体" w:cs="Times New Roman"/>
        </w:rPr>
      </w:pPr>
      <w:r>
        <w:rPr>
          <w:rFonts w:hint="eastAsia" w:ascii="Times New Roman" w:hAnsi="Times New Roman" w:eastAsia="宋体" w:cs="Times New Roman"/>
        </w:rPr>
        <w:t>起升钢丝绳经过测力环滑轮时，由于载荷的作用，钢丝绳产生张力，张力传到与滑轮连接的测力环上，该测力环随着负载的变化而发生变形，使固定于环内的金属板条亦发生变形(原理同力矩限制器)，其上装有微动开关及可调螺栓，根据载荷的要求，经适当调整后，压开微动开关起到控制电路的作用。</w:t>
      </w:r>
    </w:p>
    <w:p>
      <w:pPr>
        <w:ind w:firstLine="480"/>
        <w:rPr>
          <w:rFonts w:ascii="Times New Roman" w:hAnsi="Times New Roman" w:eastAsia="宋体" w:cs="Times New Roman"/>
        </w:rPr>
      </w:pPr>
      <w:r>
        <w:rPr>
          <w:rFonts w:hint="eastAsia" w:ascii="Times New Roman" w:hAnsi="Times New Roman" w:eastAsia="宋体" w:cs="Times New Roman"/>
        </w:rPr>
        <w:t>调整起重量限制器之前，必须首先确认本塔机的额定吊重量后，再查找对应的数据进行调试。否则将造成塔机超载现象，进一步会导致塔机结构件损伤，造成倒塔及人员伤亡。</w:t>
      </w:r>
    </w:p>
    <w:p>
      <w:pPr>
        <w:ind w:firstLine="480"/>
        <w:rPr>
          <w:rFonts w:ascii="Times New Roman" w:hAnsi="Times New Roman" w:eastAsia="宋体" w:cs="Times New Roman"/>
        </w:rPr>
      </w:pPr>
      <w:r>
        <w:rPr>
          <w:rFonts w:hint="eastAsia" w:ascii="Times New Roman" w:hAnsi="Times New Roman" w:eastAsia="宋体" w:cs="Times New Roman"/>
        </w:rPr>
        <w:t>调节项目如下：</w:t>
      </w:r>
    </w:p>
    <w:p>
      <w:pPr>
        <w:numPr>
          <w:ilvl w:val="0"/>
          <w:numId w:val="36"/>
        </w:numPr>
        <w:ind w:firstLineChars="0"/>
        <w:rPr>
          <w:rFonts w:ascii="Times New Roman" w:hAnsi="Times New Roman" w:eastAsia="宋体" w:cs="Times New Roman"/>
        </w:rPr>
      </w:pPr>
      <w:r>
        <w:rPr>
          <w:rFonts w:hint="eastAsia" w:ascii="Times New Roman" w:hAnsi="Times New Roman" w:eastAsia="宋体" w:cs="Times New Roman"/>
        </w:rPr>
        <w:t>调整高速限制器</w:t>
      </w:r>
    </w:p>
    <w:p>
      <w:pPr>
        <w:numPr>
          <w:ilvl w:val="0"/>
          <w:numId w:val="37"/>
        </w:numPr>
        <w:ind w:firstLineChars="0"/>
        <w:rPr>
          <w:rFonts w:ascii="Times New Roman" w:hAnsi="Times New Roman" w:eastAsia="宋体" w:cs="Times New Roman"/>
        </w:rPr>
      </w:pPr>
      <w:r>
        <w:rPr>
          <w:rFonts w:hint="eastAsia" w:ascii="Times New Roman" w:hAnsi="Times New Roman" w:eastAsia="宋体" w:cs="Times New Roman"/>
        </w:rPr>
        <w:t>先以低速(1、2、3、4档)起吊载荷V，然后再以高速(5档)起升。调整螺栓(4)直至其头部接触到微动开关(K4)。</w:t>
      </w:r>
    </w:p>
    <w:p>
      <w:pPr>
        <w:numPr>
          <w:ilvl w:val="0"/>
          <w:numId w:val="37"/>
        </w:numPr>
        <w:ind w:firstLineChars="0"/>
        <w:rPr>
          <w:rFonts w:ascii="Times New Roman" w:hAnsi="Times New Roman" w:eastAsia="宋体" w:cs="Times New Roman"/>
        </w:rPr>
      </w:pPr>
      <w:r>
        <w:rPr>
          <w:rFonts w:hint="eastAsia" w:ascii="Times New Roman" w:hAnsi="Times New Roman" w:eastAsia="宋体" w:cs="Times New Roman"/>
        </w:rPr>
        <w:t>降下载荷，增重10%，以低速起吊新增重载荷W，然后试换速高速起升，此时不应有高速5档。如果得到高速，应重新调整。</w:t>
      </w:r>
    </w:p>
    <w:p>
      <w:pPr>
        <w:numPr>
          <w:ilvl w:val="0"/>
          <w:numId w:val="37"/>
        </w:numPr>
        <w:ind w:firstLineChars="0"/>
        <w:rPr>
          <w:rFonts w:ascii="Times New Roman" w:hAnsi="Times New Roman" w:eastAsia="宋体" w:cs="Times New Roman"/>
        </w:rPr>
      </w:pPr>
      <w:r>
        <w:rPr>
          <w:rFonts w:hint="eastAsia" w:ascii="Times New Roman" w:hAnsi="Times New Roman" w:eastAsia="宋体" w:cs="Times New Roman"/>
        </w:rPr>
        <w:t>重复3次，均应满足以上要求。</w:t>
      </w:r>
    </w:p>
    <w:p>
      <w:pPr>
        <w:numPr>
          <w:ilvl w:val="0"/>
          <w:numId w:val="36"/>
        </w:numPr>
        <w:ind w:firstLineChars="0"/>
        <w:rPr>
          <w:rFonts w:ascii="Times New Roman" w:hAnsi="Times New Roman" w:eastAsia="宋体" w:cs="Times New Roman"/>
        </w:rPr>
      </w:pPr>
      <w:r>
        <w:rPr>
          <w:rFonts w:hint="eastAsia" w:ascii="Times New Roman" w:hAnsi="Times New Roman" w:eastAsia="宋体" w:cs="Times New Roman"/>
        </w:rPr>
        <w:t>调整中速限制器</w:t>
      </w:r>
    </w:p>
    <w:p>
      <w:pPr>
        <w:numPr>
          <w:ilvl w:val="0"/>
          <w:numId w:val="38"/>
        </w:numPr>
        <w:ind w:firstLineChars="0"/>
        <w:rPr>
          <w:rFonts w:ascii="Times New Roman" w:hAnsi="Times New Roman" w:eastAsia="宋体" w:cs="Times New Roman"/>
        </w:rPr>
      </w:pPr>
      <w:r>
        <w:rPr>
          <w:rFonts w:hint="eastAsia" w:ascii="Times New Roman" w:hAnsi="Times New Roman" w:eastAsia="宋体" w:cs="Times New Roman"/>
        </w:rPr>
        <w:t>先以低速(1、2、3档)起吊载荷X，然后再以高速(4)起升。调整螺栓(2)至其头部接触到微动开关(K2)</w:t>
      </w:r>
    </w:p>
    <w:p>
      <w:pPr>
        <w:numPr>
          <w:ilvl w:val="0"/>
          <w:numId w:val="38"/>
        </w:numPr>
        <w:ind w:firstLineChars="0"/>
        <w:rPr>
          <w:rFonts w:ascii="Times New Roman" w:hAnsi="Times New Roman" w:eastAsia="宋体" w:cs="Times New Roman"/>
        </w:rPr>
      </w:pPr>
      <w:r>
        <w:rPr>
          <w:rFonts w:hint="eastAsia" w:ascii="Times New Roman" w:hAnsi="Times New Roman" w:eastAsia="宋体" w:cs="Times New Roman"/>
        </w:rPr>
        <w:t>降下载荷，增重10%，以低速起吊新增重载荷Y，然后试换速高速起升，此时不应有高速4。如果得到高速，应重新调整。</w:t>
      </w:r>
    </w:p>
    <w:p>
      <w:pPr>
        <w:numPr>
          <w:ilvl w:val="0"/>
          <w:numId w:val="38"/>
        </w:numPr>
        <w:ind w:firstLineChars="0"/>
        <w:rPr>
          <w:rFonts w:ascii="Times New Roman" w:hAnsi="Times New Roman" w:eastAsia="宋体" w:cs="Times New Roman"/>
        </w:rPr>
      </w:pPr>
      <w:r>
        <w:rPr>
          <w:rFonts w:hint="eastAsia" w:ascii="Times New Roman" w:hAnsi="Times New Roman" w:eastAsia="宋体" w:cs="Times New Roman"/>
        </w:rPr>
        <w:t>重复3次，均应满足以上要求。</w:t>
      </w:r>
    </w:p>
    <w:p>
      <w:pPr>
        <w:numPr>
          <w:ilvl w:val="0"/>
          <w:numId w:val="36"/>
        </w:numPr>
        <w:ind w:firstLineChars="0"/>
        <w:rPr>
          <w:rFonts w:ascii="Times New Roman" w:hAnsi="Times New Roman" w:eastAsia="宋体" w:cs="Times New Roman"/>
        </w:rPr>
      </w:pPr>
      <w:r>
        <w:rPr>
          <w:rFonts w:hint="eastAsia" w:ascii="Times New Roman" w:hAnsi="Times New Roman" w:eastAsia="宋体" w:cs="Times New Roman"/>
        </w:rPr>
        <w:t>调整低速限制器</w:t>
      </w:r>
    </w:p>
    <w:p>
      <w:pPr>
        <w:numPr>
          <w:ilvl w:val="0"/>
          <w:numId w:val="39"/>
        </w:numPr>
        <w:ind w:firstLineChars="0"/>
        <w:rPr>
          <w:rFonts w:ascii="Times New Roman" w:hAnsi="Times New Roman" w:eastAsia="宋体" w:cs="Times New Roman"/>
        </w:rPr>
      </w:pPr>
      <w:r>
        <w:rPr>
          <w:rFonts w:hint="eastAsia" w:ascii="Times New Roman" w:hAnsi="Times New Roman" w:eastAsia="宋体" w:cs="Times New Roman"/>
        </w:rPr>
        <w:t>以低速(1、2、3档)起吊载荷K，调整螺栓(1)直至其头部接触到微动开关K1为止。</w:t>
      </w:r>
    </w:p>
    <w:p>
      <w:pPr>
        <w:numPr>
          <w:ilvl w:val="0"/>
          <w:numId w:val="39"/>
        </w:numPr>
        <w:ind w:firstLineChars="0"/>
        <w:rPr>
          <w:rFonts w:ascii="Times New Roman" w:hAnsi="Times New Roman" w:eastAsia="宋体" w:cs="Times New Roman"/>
        </w:rPr>
      </w:pPr>
      <w:r>
        <w:rPr>
          <w:rFonts w:hint="eastAsia" w:ascii="Times New Roman" w:hAnsi="Times New Roman" w:eastAsia="宋体" w:cs="Times New Roman"/>
        </w:rPr>
        <w:t>降下载荷，增重10%，试以低速起吊该载荷Z，如果载荷被吊起，则应重新调整。</w:t>
      </w:r>
    </w:p>
    <w:p>
      <w:pPr>
        <w:numPr>
          <w:ilvl w:val="0"/>
          <w:numId w:val="39"/>
        </w:numPr>
        <w:ind w:firstLineChars="0"/>
        <w:rPr>
          <w:rFonts w:ascii="Times New Roman" w:hAnsi="Times New Roman" w:eastAsia="宋体" w:cs="Times New Roman"/>
        </w:rPr>
      </w:pPr>
      <w:r>
        <w:rPr>
          <w:rFonts w:hint="eastAsia" w:ascii="Times New Roman" w:hAnsi="Times New Roman" w:eastAsia="宋体" w:cs="Times New Roman"/>
        </w:rPr>
        <w:t>重复3次，均应满足以上要求。</w:t>
      </w:r>
    </w:p>
    <w:p>
      <w:pPr>
        <w:numPr>
          <w:ilvl w:val="0"/>
          <w:numId w:val="30"/>
        </w:numPr>
        <w:ind w:firstLineChars="0"/>
        <w:rPr>
          <w:rFonts w:ascii="Times New Roman" w:hAnsi="Times New Roman" w:eastAsia="宋体" w:cs="Times New Roman"/>
        </w:rPr>
      </w:pPr>
      <w:r>
        <w:rPr>
          <w:rFonts w:hint="eastAsia" w:ascii="Times New Roman" w:hAnsi="Times New Roman" w:eastAsia="宋体" w:cs="Times New Roman"/>
        </w:rPr>
        <w:t>起升限位器</w:t>
      </w:r>
    </w:p>
    <w:p>
      <w:pPr>
        <w:ind w:firstLine="480"/>
        <w:rPr>
          <w:rFonts w:ascii="Times New Roman" w:hAnsi="Times New Roman" w:eastAsia="宋体" w:cs="Times New Roman"/>
        </w:rPr>
      </w:pPr>
      <w:r>
        <w:rPr>
          <w:rFonts w:hint="eastAsia" w:ascii="Times New Roman" w:hAnsi="Times New Roman" w:eastAsia="宋体" w:cs="Times New Roman"/>
        </w:rPr>
        <w:t>在塔身高度到达预定高度后，调整必须在空载下进行，控制起升或下降，进行调整，并且用手动操纵触点1WK或4WK，以便确定切断控制运动的是哪一个(注：改变塔机高度或倍率时，均应调整上升限位器、上减速限位器及下降限位器)。</w:t>
      </w:r>
    </w:p>
    <w:p>
      <w:pPr>
        <w:ind w:firstLine="480"/>
        <w:rPr>
          <w:rFonts w:ascii="Times New Roman" w:hAnsi="Times New Roman" w:eastAsia="宋体" w:cs="Times New Roman"/>
        </w:rPr>
      </w:pPr>
      <w:r>
        <w:rPr>
          <w:rFonts w:hint="eastAsia" w:ascii="Times New Roman" w:hAnsi="Times New Roman" w:eastAsia="宋体" w:cs="Times New Roman"/>
        </w:rPr>
        <w:t>调节项目如下：</w:t>
      </w:r>
    </w:p>
    <w:p>
      <w:pPr>
        <w:numPr>
          <w:ilvl w:val="0"/>
          <w:numId w:val="40"/>
        </w:numPr>
        <w:ind w:firstLineChars="0"/>
        <w:rPr>
          <w:rFonts w:ascii="Times New Roman" w:hAnsi="Times New Roman" w:eastAsia="宋体" w:cs="Times New Roman"/>
        </w:rPr>
      </w:pPr>
      <w:r>
        <w:rPr>
          <w:rFonts w:hint="eastAsia" w:ascii="Times New Roman" w:hAnsi="Times New Roman" w:eastAsia="宋体" w:cs="Times New Roman"/>
        </w:rPr>
        <w:t>调整起升上限位SHUL</w:t>
      </w:r>
    </w:p>
    <w:p>
      <w:pPr>
        <w:ind w:firstLine="480"/>
        <w:rPr>
          <w:rFonts w:ascii="Times New Roman" w:hAnsi="Times New Roman" w:eastAsia="宋体" w:cs="Times New Roman"/>
        </w:rPr>
      </w:pPr>
      <w:r>
        <w:rPr>
          <w:rFonts w:hint="eastAsia" w:ascii="Times New Roman" w:hAnsi="Times New Roman" w:eastAsia="宋体" w:cs="Times New Roman"/>
        </w:rPr>
        <w:t>双绳或四绳起升吊钩，直至小车与吊钩滑轮组仅相距4m(二倍率)或2m(四倍率)距离，用相应的调整螺丝旋动凸块(4T)，检查起升控制，直至其压下相应的触点4WK，起升停止。(见</w:t>
      </w:r>
      <w:r>
        <w:rPr>
          <w:rFonts w:ascii="Times New Roman" w:hAnsi="Times New Roman" w:eastAsia="宋体" w:cs="Times New Roman"/>
        </w:rPr>
        <w:fldChar w:fldCharType="begin"/>
      </w:r>
      <w:r>
        <w:rPr>
          <w:rFonts w:ascii="Times New Roman" w:hAnsi="Times New Roman" w:eastAsia="宋体" w:cs="Times New Roman"/>
        </w:rPr>
        <w:instrText xml:space="preserve"> </w:instrText>
      </w:r>
      <w:r>
        <w:rPr>
          <w:rFonts w:hint="eastAsia" w:ascii="Times New Roman" w:hAnsi="Times New Roman" w:eastAsia="宋体" w:cs="Times New Roman"/>
        </w:rPr>
        <w:instrText xml:space="preserve">REF _Ref130973373 \h</w:instrText>
      </w:r>
      <w:r>
        <w:rPr>
          <w:rFonts w:ascii="Times New Roman" w:hAnsi="Times New Roman" w:eastAsia="宋体" w:cs="Times New Roman"/>
        </w:rPr>
        <w:instrText xml:space="preserve"> </w:instrText>
      </w:r>
      <w:r>
        <w:rPr>
          <w:rFonts w:ascii="Times New Roman" w:hAnsi="Times New Roman" w:eastAsia="宋体" w:cs="Times New Roman"/>
        </w:rPr>
        <w:fldChar w:fldCharType="separate"/>
      </w:r>
      <w:r>
        <w:rPr>
          <w:rFonts w:hint="eastAsia" w:ascii="Times New Roman" w:hAnsi="Times New Roman" w:eastAsia="宋体" w:cs="Times New Roman"/>
        </w:rPr>
        <w:t>图</w:t>
      </w:r>
      <w:r>
        <w:rPr>
          <w:rFonts w:ascii="Times New Roman" w:hAnsi="Times New Roman" w:eastAsia="宋体" w:cs="Times New Roman"/>
        </w:rPr>
        <w:t>4.5.1</w:t>
      </w:r>
      <w:r>
        <w:rPr>
          <w:rFonts w:hint="eastAsia" w:ascii="Times New Roman" w:hAnsi="Times New Roman" w:eastAsia="宋体" w:cs="Times New Roman"/>
        </w:rPr>
        <w:t>-</w:t>
      </w:r>
      <w:r>
        <w:rPr>
          <w:rFonts w:ascii="Times New Roman" w:hAnsi="Times New Roman" w:eastAsia="宋体" w:cs="Times New Roman"/>
        </w:rPr>
        <w:t>87</w:t>
      </w:r>
      <w:r>
        <w:rPr>
          <w:rFonts w:ascii="Times New Roman" w:hAnsi="Times New Roman" w:eastAsia="宋体" w:cs="Times New Roman"/>
        </w:rPr>
        <w:fldChar w:fldCharType="end"/>
      </w:r>
      <w:r>
        <w:rPr>
          <w:rFonts w:hint="eastAsia" w:ascii="Times New Roman" w:hAnsi="Times New Roman" w:eastAsia="宋体" w:cs="Times New Roman"/>
        </w:rPr>
        <w:t>)。</w:t>
      </w:r>
    </w:p>
    <w:p>
      <w:pPr>
        <w:ind w:firstLine="480"/>
        <w:rPr>
          <w:rFonts w:ascii="Times New Roman" w:hAnsi="Times New Roman" w:eastAsia="宋体" w:cs="Times New Roman"/>
        </w:rPr>
      </w:pPr>
      <w:r>
        <w:rPr>
          <w:rFonts w:hint="eastAsia" w:ascii="Times New Roman" w:hAnsi="Times New Roman" w:eastAsia="宋体" w:cs="Times New Roman"/>
        </w:rPr>
        <w:t>重复3次，均应满足以上要求。</w:t>
      </w:r>
    </w:p>
    <w:p>
      <w:pPr>
        <w:numPr>
          <w:ilvl w:val="0"/>
          <w:numId w:val="40"/>
        </w:numPr>
        <w:ind w:firstLineChars="0"/>
        <w:rPr>
          <w:rFonts w:ascii="Times New Roman" w:hAnsi="Times New Roman" w:eastAsia="宋体" w:cs="Times New Roman"/>
        </w:rPr>
      </w:pPr>
      <w:r>
        <w:rPr>
          <w:rFonts w:hint="eastAsia" w:ascii="Times New Roman" w:hAnsi="Times New Roman" w:eastAsia="宋体" w:cs="Times New Roman"/>
        </w:rPr>
        <w:t>调整起升下限位SHDL</w:t>
      </w:r>
    </w:p>
    <w:p>
      <w:pPr>
        <w:ind w:firstLine="480"/>
        <w:rPr>
          <w:rFonts w:ascii="Times New Roman" w:hAnsi="Times New Roman" w:eastAsia="宋体" w:cs="Times New Roman"/>
        </w:rPr>
      </w:pPr>
      <w:r>
        <w:rPr>
          <w:rFonts w:hint="eastAsia" w:ascii="Times New Roman" w:hAnsi="Times New Roman" w:eastAsia="宋体" w:cs="Times New Roman"/>
        </w:rPr>
        <w:t>双绳或四绳起升吊钩，直至吊钩与地面仅相距lm距离或卷筒上还剩3圈钢丝绳时，用相应的调整螺丝旋动凸块(1T)，检查起升控制，直至其压下相应的触点1WK，起升停止。(见</w:t>
      </w:r>
      <w:r>
        <w:rPr>
          <w:rFonts w:ascii="Times New Roman" w:hAnsi="Times New Roman" w:eastAsia="宋体" w:cs="Times New Roman"/>
        </w:rPr>
        <w:fldChar w:fldCharType="begin"/>
      </w:r>
      <w:r>
        <w:rPr>
          <w:rFonts w:ascii="Times New Roman" w:hAnsi="Times New Roman" w:eastAsia="宋体" w:cs="Times New Roman"/>
        </w:rPr>
        <w:instrText xml:space="preserve"> </w:instrText>
      </w:r>
      <w:r>
        <w:rPr>
          <w:rFonts w:hint="eastAsia" w:ascii="Times New Roman" w:hAnsi="Times New Roman" w:eastAsia="宋体" w:cs="Times New Roman"/>
        </w:rPr>
        <w:instrText xml:space="preserve">REF _Ref130973373 \h</w:instrText>
      </w:r>
      <w:r>
        <w:rPr>
          <w:rFonts w:ascii="Times New Roman" w:hAnsi="Times New Roman" w:eastAsia="宋体" w:cs="Times New Roman"/>
        </w:rPr>
        <w:instrText xml:space="preserve"> </w:instrText>
      </w:r>
      <w:r>
        <w:rPr>
          <w:rFonts w:ascii="Times New Roman" w:hAnsi="Times New Roman" w:eastAsia="宋体" w:cs="Times New Roman"/>
        </w:rPr>
        <w:fldChar w:fldCharType="separate"/>
      </w:r>
      <w:r>
        <w:rPr>
          <w:rFonts w:hint="eastAsia" w:ascii="Times New Roman" w:hAnsi="Times New Roman" w:eastAsia="宋体" w:cs="Times New Roman"/>
        </w:rPr>
        <w:t>图</w:t>
      </w:r>
      <w:r>
        <w:rPr>
          <w:rFonts w:ascii="Times New Roman" w:hAnsi="Times New Roman" w:eastAsia="宋体" w:cs="Times New Roman"/>
        </w:rPr>
        <w:t>4.5.1</w:t>
      </w:r>
      <w:r>
        <w:rPr>
          <w:rFonts w:hint="eastAsia" w:ascii="Times New Roman" w:hAnsi="Times New Roman" w:eastAsia="宋体" w:cs="Times New Roman"/>
        </w:rPr>
        <w:t>-</w:t>
      </w:r>
      <w:r>
        <w:rPr>
          <w:rFonts w:ascii="Times New Roman" w:hAnsi="Times New Roman" w:eastAsia="宋体" w:cs="Times New Roman"/>
        </w:rPr>
        <w:t>87</w:t>
      </w:r>
      <w:r>
        <w:rPr>
          <w:rFonts w:ascii="Times New Roman" w:hAnsi="Times New Roman" w:eastAsia="宋体" w:cs="Times New Roman"/>
        </w:rPr>
        <w:fldChar w:fldCharType="end"/>
      </w:r>
      <w:r>
        <w:rPr>
          <w:rFonts w:hint="eastAsia" w:ascii="Times New Roman" w:hAnsi="Times New Roman" w:eastAsia="宋体" w:cs="Times New Roman"/>
        </w:rPr>
        <w:t>)。</w:t>
      </w:r>
    </w:p>
    <w:p>
      <w:pPr>
        <w:ind w:firstLine="480"/>
        <w:rPr>
          <w:rFonts w:ascii="Times New Roman" w:hAnsi="Times New Roman" w:eastAsia="宋体" w:cs="Times New Roman"/>
        </w:rPr>
      </w:pPr>
      <w:r>
        <w:rPr>
          <w:rFonts w:hint="eastAsia" w:ascii="Times New Roman" w:hAnsi="Times New Roman" w:eastAsia="宋体" w:cs="Times New Roman"/>
        </w:rPr>
        <w:t>重复3次，均应满足以上要求。</w:t>
      </w:r>
    </w:p>
    <w:p>
      <w:pPr>
        <w:numPr>
          <w:ilvl w:val="0"/>
          <w:numId w:val="40"/>
        </w:numPr>
        <w:ind w:firstLineChars="0"/>
        <w:rPr>
          <w:rFonts w:ascii="Times New Roman" w:hAnsi="Times New Roman" w:eastAsia="宋体" w:cs="Times New Roman"/>
        </w:rPr>
      </w:pPr>
      <w:r>
        <w:rPr>
          <w:rFonts w:hint="eastAsia" w:ascii="Times New Roman" w:hAnsi="Times New Roman" w:eastAsia="宋体" w:cs="Times New Roman"/>
        </w:rPr>
        <w:t>调整起升，上减速限位SHUC</w:t>
      </w:r>
    </w:p>
    <w:p>
      <w:pPr>
        <w:ind w:firstLine="480"/>
        <w:rPr>
          <w:rFonts w:ascii="Times New Roman" w:hAnsi="Times New Roman" w:eastAsia="宋体" w:cs="Times New Roman"/>
        </w:rPr>
      </w:pPr>
      <w:r>
        <w:rPr>
          <w:rFonts w:hint="eastAsia" w:ascii="Times New Roman" w:hAnsi="Times New Roman" w:eastAsia="宋体" w:cs="Times New Roman"/>
        </w:rPr>
        <w:t>起升吊钩直至小车与吊钩滑轮组相距10m(2倍率)或5m(四倍率)距离，用相应的调整螺丝旋动凸块(3T)，检查起升控制，直至其压下相应的触点3WK，起升上升减速运行。(见</w:t>
      </w:r>
      <w:r>
        <w:rPr>
          <w:rFonts w:ascii="Times New Roman" w:hAnsi="Times New Roman" w:eastAsia="宋体" w:cs="Times New Roman"/>
        </w:rPr>
        <w:fldChar w:fldCharType="begin"/>
      </w:r>
      <w:r>
        <w:rPr>
          <w:rFonts w:ascii="Times New Roman" w:hAnsi="Times New Roman" w:eastAsia="宋体" w:cs="Times New Roman"/>
        </w:rPr>
        <w:instrText xml:space="preserve"> </w:instrText>
      </w:r>
      <w:r>
        <w:rPr>
          <w:rFonts w:hint="eastAsia" w:ascii="Times New Roman" w:hAnsi="Times New Roman" w:eastAsia="宋体" w:cs="Times New Roman"/>
        </w:rPr>
        <w:instrText xml:space="preserve">REF _Ref130973373 \h</w:instrText>
      </w:r>
      <w:r>
        <w:rPr>
          <w:rFonts w:ascii="Times New Roman" w:hAnsi="Times New Roman" w:eastAsia="宋体" w:cs="Times New Roman"/>
        </w:rPr>
        <w:instrText xml:space="preserve"> </w:instrText>
      </w:r>
      <w:r>
        <w:rPr>
          <w:rFonts w:ascii="Times New Roman" w:hAnsi="Times New Roman" w:eastAsia="宋体" w:cs="Times New Roman"/>
        </w:rPr>
        <w:fldChar w:fldCharType="separate"/>
      </w:r>
      <w:r>
        <w:rPr>
          <w:rFonts w:hint="eastAsia" w:ascii="Times New Roman" w:hAnsi="Times New Roman" w:eastAsia="宋体" w:cs="Times New Roman"/>
        </w:rPr>
        <w:t>图</w:t>
      </w:r>
      <w:r>
        <w:rPr>
          <w:rFonts w:ascii="Times New Roman" w:hAnsi="Times New Roman" w:eastAsia="宋体" w:cs="Times New Roman"/>
        </w:rPr>
        <w:t>4.5.1</w:t>
      </w:r>
      <w:r>
        <w:rPr>
          <w:rFonts w:hint="eastAsia" w:ascii="Times New Roman" w:hAnsi="Times New Roman" w:eastAsia="宋体" w:cs="Times New Roman"/>
        </w:rPr>
        <w:t>-</w:t>
      </w:r>
      <w:r>
        <w:rPr>
          <w:rFonts w:ascii="Times New Roman" w:hAnsi="Times New Roman" w:eastAsia="宋体" w:cs="Times New Roman"/>
        </w:rPr>
        <w:t>87</w:t>
      </w:r>
      <w:r>
        <w:rPr>
          <w:rFonts w:ascii="Times New Roman" w:hAnsi="Times New Roman" w:eastAsia="宋体" w:cs="Times New Roman"/>
        </w:rPr>
        <w:fldChar w:fldCharType="end"/>
      </w:r>
      <w:r>
        <w:rPr>
          <w:rFonts w:hint="eastAsia" w:ascii="Times New Roman" w:hAnsi="Times New Roman" w:eastAsia="宋体" w:cs="Times New Roman"/>
        </w:rPr>
        <w:t>)。</w:t>
      </w:r>
    </w:p>
    <w:p>
      <w:pPr>
        <w:ind w:firstLine="480"/>
        <w:rPr>
          <w:rFonts w:ascii="Times New Roman" w:hAnsi="Times New Roman" w:eastAsia="宋体" w:cs="Times New Roman"/>
        </w:rPr>
      </w:pPr>
      <w:r>
        <w:rPr>
          <w:rFonts w:hint="eastAsia" w:ascii="Times New Roman" w:hAnsi="Times New Roman" w:eastAsia="宋体" w:cs="Times New Roman"/>
        </w:rPr>
        <w:t>重复3次，均应满足以上要求。</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3301365" cy="3599815"/>
            <wp:effectExtent l="0" t="0" r="5715" b="1206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60"/>
                    <a:stretch>
                      <a:fillRect/>
                    </a:stretch>
                  </pic:blipFill>
                  <pic:spPr>
                    <a:xfrm>
                      <a:off x="0" y="0"/>
                      <a:ext cx="3301493" cy="3600000"/>
                    </a:xfrm>
                    <a:prstGeom prst="rect">
                      <a:avLst/>
                    </a:prstGeom>
                  </pic:spPr>
                </pic:pic>
              </a:graphicData>
            </a:graphic>
          </wp:inline>
        </w:drawing>
      </w:r>
    </w:p>
    <w:p>
      <w:pPr>
        <w:keepNext w:val="0"/>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23</w:t>
      </w:r>
      <w:r>
        <w:rPr>
          <w:rFonts w:ascii="Times New Roman" w:hAnsi="Times New Roman" w:eastAsia="宋体" w:cs="Times New Roman"/>
          <w:b/>
          <w:kern w:val="2"/>
          <w:sz w:val="21"/>
          <w:szCs w:val="21"/>
          <w:lang w:val="en-US" w:eastAsia="zh-CN" w:bidi="ar-SA"/>
        </w:rPr>
        <w:t xml:space="preserve"> 起升限位器</w:t>
      </w:r>
    </w:p>
    <w:p>
      <w:pPr>
        <w:numPr>
          <w:ilvl w:val="0"/>
          <w:numId w:val="30"/>
        </w:numPr>
        <w:ind w:firstLineChars="0"/>
        <w:rPr>
          <w:rFonts w:ascii="Times New Roman" w:hAnsi="Times New Roman" w:eastAsia="宋体" w:cs="Times New Roman"/>
        </w:rPr>
      </w:pPr>
      <w:r>
        <w:rPr>
          <w:rFonts w:hint="eastAsia" w:ascii="Times New Roman" w:hAnsi="Times New Roman" w:eastAsia="宋体" w:cs="Times New Roman"/>
        </w:rPr>
        <w:t>回转限位器调节</w:t>
      </w:r>
    </w:p>
    <w:p>
      <w:pPr>
        <w:ind w:firstLine="480"/>
        <w:rPr>
          <w:rFonts w:ascii="Times New Roman" w:hAnsi="Times New Roman" w:eastAsia="宋体" w:cs="Times New Roman"/>
        </w:rPr>
      </w:pPr>
      <w:r>
        <w:rPr>
          <w:rFonts w:hint="eastAsia" w:ascii="Times New Roman" w:hAnsi="Times New Roman" w:eastAsia="宋体" w:cs="Times New Roman"/>
        </w:rPr>
        <w:t>用途：该装置用于防止电缆缠绕及损坏。回转限位器允许最大回转圈数为3圈。</w:t>
      </w:r>
    </w:p>
    <w:p>
      <w:pPr>
        <w:ind w:firstLine="480"/>
        <w:rPr>
          <w:rFonts w:ascii="Times New Roman" w:hAnsi="Times New Roman" w:eastAsia="宋体" w:cs="Times New Roman"/>
        </w:rPr>
      </w:pPr>
      <w:r>
        <w:rPr>
          <w:rFonts w:hint="eastAsia" w:ascii="Times New Roman" w:hAnsi="Times New Roman" w:eastAsia="宋体" w:cs="Times New Roman"/>
        </w:rPr>
        <w:t>工作原理：回转限位器带有由小齿轮驱动的减速装置，小齿轮直接与回转齿圈啮合，当塔机回转时，限位器减速装置带动凸块4T、1T旋转，凸块又控制微动开关4WK、1WK，这样通过调整即可在适当位置使回转停止运行。(见</w:t>
      </w:r>
      <w:r>
        <w:rPr>
          <w:rFonts w:ascii="Times New Roman" w:hAnsi="Times New Roman" w:eastAsia="宋体" w:cs="Times New Roman"/>
        </w:rPr>
        <w:fldChar w:fldCharType="begin"/>
      </w:r>
      <w:r>
        <w:rPr>
          <w:rFonts w:ascii="Times New Roman" w:hAnsi="Times New Roman" w:eastAsia="宋体" w:cs="Times New Roman"/>
        </w:rPr>
        <w:instrText xml:space="preserve"> </w:instrText>
      </w:r>
      <w:r>
        <w:rPr>
          <w:rFonts w:hint="eastAsia" w:ascii="Times New Roman" w:hAnsi="Times New Roman" w:eastAsia="宋体" w:cs="Times New Roman"/>
        </w:rPr>
        <w:instrText xml:space="preserve">REF _Ref130973983 \h</w:instrText>
      </w:r>
      <w:r>
        <w:rPr>
          <w:rFonts w:ascii="Times New Roman" w:hAnsi="Times New Roman" w:eastAsia="宋体" w:cs="Times New Roman"/>
        </w:rPr>
        <w:instrText xml:space="preserve"> </w:instrText>
      </w:r>
      <w:r>
        <w:rPr>
          <w:rFonts w:ascii="Times New Roman" w:hAnsi="Times New Roman" w:eastAsia="宋体" w:cs="Times New Roman"/>
        </w:rPr>
        <w:fldChar w:fldCharType="separate"/>
      </w:r>
      <w:r>
        <w:rPr>
          <w:rFonts w:hint="eastAsia" w:ascii="Times New Roman" w:hAnsi="Times New Roman" w:eastAsia="宋体" w:cs="Times New Roman"/>
        </w:rPr>
        <w:t>图</w:t>
      </w:r>
      <w:r>
        <w:rPr>
          <w:rFonts w:ascii="Times New Roman" w:hAnsi="Times New Roman" w:eastAsia="宋体" w:cs="Times New Roman"/>
        </w:rPr>
        <w:t>4.5.1</w:t>
      </w:r>
      <w:r>
        <w:rPr>
          <w:rFonts w:hint="eastAsia" w:ascii="Times New Roman" w:hAnsi="Times New Roman" w:eastAsia="宋体" w:cs="Times New Roman"/>
        </w:rPr>
        <w:t>-</w:t>
      </w:r>
      <w:r>
        <w:rPr>
          <w:rFonts w:ascii="Times New Roman" w:hAnsi="Times New Roman" w:eastAsia="宋体" w:cs="Times New Roman"/>
        </w:rPr>
        <w:t>88</w:t>
      </w:r>
      <w:r>
        <w:rPr>
          <w:rFonts w:ascii="Times New Roman" w:hAnsi="Times New Roman" w:eastAsia="宋体" w:cs="Times New Roman"/>
        </w:rPr>
        <w:fldChar w:fldCharType="end"/>
      </w:r>
      <w:r>
        <w:rPr>
          <w:rFonts w:ascii="Times New Roman" w:hAnsi="Times New Roman" w:eastAsia="宋体" w:cs="Times New Roman"/>
        </w:rPr>
        <w:t>)</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3301365" cy="3599815"/>
            <wp:effectExtent l="0" t="0" r="5715"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0"/>
                    <a:stretch>
                      <a:fillRect/>
                    </a:stretch>
                  </pic:blipFill>
                  <pic:spPr>
                    <a:xfrm>
                      <a:off x="0" y="0"/>
                      <a:ext cx="3301493" cy="3600000"/>
                    </a:xfrm>
                    <a:prstGeom prst="rect">
                      <a:avLst/>
                    </a:prstGeom>
                  </pic:spPr>
                </pic:pic>
              </a:graphicData>
            </a:graphic>
          </wp:inline>
        </w:drawing>
      </w:r>
    </w:p>
    <w:p>
      <w:pPr>
        <w:keepNext w:val="0"/>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24</w:t>
      </w:r>
      <w:r>
        <w:rPr>
          <w:rFonts w:ascii="Times New Roman" w:hAnsi="Times New Roman" w:eastAsia="宋体" w:cs="Times New Roman"/>
          <w:b/>
          <w:kern w:val="2"/>
          <w:sz w:val="21"/>
          <w:szCs w:val="21"/>
          <w:lang w:val="en-US" w:eastAsia="zh-CN" w:bidi="ar-SA"/>
        </w:rPr>
        <w:t xml:space="preserve"> </w:t>
      </w:r>
      <w:r>
        <w:rPr>
          <w:rFonts w:hint="eastAsia" w:ascii="Times New Roman" w:hAnsi="Times New Roman" w:eastAsia="宋体" w:cs="Times New Roman"/>
          <w:b/>
          <w:kern w:val="2"/>
          <w:sz w:val="21"/>
          <w:szCs w:val="21"/>
          <w:lang w:val="en-US" w:eastAsia="zh-CN" w:bidi="ar-SA"/>
        </w:rPr>
        <w:t>回转</w:t>
      </w:r>
      <w:r>
        <w:rPr>
          <w:rFonts w:ascii="Times New Roman" w:hAnsi="Times New Roman" w:eastAsia="宋体" w:cs="Times New Roman"/>
          <w:b/>
          <w:kern w:val="2"/>
          <w:sz w:val="21"/>
          <w:szCs w:val="21"/>
          <w:lang w:val="en-US" w:eastAsia="zh-CN" w:bidi="ar-SA"/>
        </w:rPr>
        <w:t>限位器</w:t>
      </w:r>
    </w:p>
    <w:p>
      <w:pPr>
        <w:ind w:firstLine="480"/>
        <w:rPr>
          <w:rFonts w:ascii="Times New Roman" w:hAnsi="Times New Roman" w:eastAsia="宋体" w:cs="Times New Roman"/>
        </w:rPr>
      </w:pPr>
      <w:r>
        <w:rPr>
          <w:rFonts w:hint="eastAsia" w:ascii="Times New Roman" w:hAnsi="Times New Roman" w:eastAsia="宋体" w:cs="Times New Roman"/>
        </w:rPr>
        <w:t>调节项目如下：</w:t>
      </w:r>
    </w:p>
    <w:p>
      <w:pPr>
        <w:ind w:firstLine="480"/>
        <w:rPr>
          <w:rFonts w:ascii="Times New Roman" w:hAnsi="Times New Roman" w:eastAsia="宋体" w:cs="Times New Roman"/>
        </w:rPr>
      </w:pPr>
      <w:r>
        <w:rPr>
          <w:rFonts w:hint="eastAsia" w:ascii="Times New Roman" w:hAnsi="Times New Roman" w:eastAsia="宋体" w:cs="Times New Roman"/>
        </w:rPr>
        <w:t>在空载下进行调整，控制做回转或右回转，调整触点(4Z),确定切断回转运动的是哪一个。</w:t>
      </w:r>
    </w:p>
    <w:p>
      <w:pPr>
        <w:numPr>
          <w:ilvl w:val="0"/>
          <w:numId w:val="41"/>
        </w:numPr>
        <w:ind w:firstLineChars="0"/>
        <w:rPr>
          <w:rFonts w:ascii="Times New Roman" w:hAnsi="Times New Roman" w:eastAsia="宋体" w:cs="Times New Roman"/>
        </w:rPr>
      </w:pPr>
      <w:r>
        <w:rPr>
          <w:rFonts w:hint="eastAsia" w:ascii="Times New Roman" w:hAnsi="Times New Roman" w:eastAsia="宋体" w:cs="Times New Roman"/>
        </w:rPr>
        <w:t>调整右回转限位器SSR</w:t>
      </w:r>
    </w:p>
    <w:p>
      <w:pPr>
        <w:ind w:firstLine="480"/>
        <w:rPr>
          <w:rFonts w:ascii="Times New Roman" w:hAnsi="Times New Roman" w:eastAsia="宋体" w:cs="Times New Roman"/>
        </w:rPr>
      </w:pPr>
      <w:r>
        <w:rPr>
          <w:rFonts w:hint="eastAsia" w:ascii="Times New Roman" w:hAnsi="Times New Roman" w:eastAsia="宋体" w:cs="Times New Roman"/>
        </w:rPr>
        <w:t>旋转臂架使电缆不致缠绕，向右回转一圈半，然后调整凸块(4T)检查其动作，直至其压下相应的触点(4WK)。</w:t>
      </w:r>
    </w:p>
    <w:p>
      <w:pPr>
        <w:ind w:firstLine="480"/>
        <w:rPr>
          <w:rFonts w:ascii="Times New Roman" w:hAnsi="Times New Roman" w:eastAsia="宋体" w:cs="Times New Roman"/>
        </w:rPr>
      </w:pPr>
      <w:r>
        <w:rPr>
          <w:rFonts w:hint="eastAsia" w:ascii="Times New Roman" w:hAnsi="Times New Roman" w:eastAsia="宋体" w:cs="Times New Roman"/>
        </w:rPr>
        <w:t>重复3次，均应满足以上要求。</w:t>
      </w:r>
    </w:p>
    <w:p>
      <w:pPr>
        <w:numPr>
          <w:ilvl w:val="0"/>
          <w:numId w:val="41"/>
        </w:numPr>
        <w:ind w:firstLineChars="0"/>
        <w:rPr>
          <w:rFonts w:ascii="Times New Roman" w:hAnsi="Times New Roman" w:eastAsia="宋体" w:cs="Times New Roman"/>
        </w:rPr>
      </w:pPr>
      <w:r>
        <w:rPr>
          <w:rFonts w:hint="eastAsia" w:ascii="Times New Roman" w:hAnsi="Times New Roman" w:eastAsia="宋体" w:cs="Times New Roman"/>
        </w:rPr>
        <w:t>调整左回转限位器SSL</w:t>
      </w:r>
    </w:p>
    <w:p>
      <w:pPr>
        <w:ind w:firstLine="480"/>
        <w:rPr>
          <w:rFonts w:ascii="Times New Roman" w:hAnsi="Times New Roman" w:eastAsia="宋体" w:cs="Times New Roman"/>
        </w:rPr>
      </w:pPr>
      <w:r>
        <w:rPr>
          <w:rFonts w:hint="eastAsia" w:ascii="Times New Roman" w:hAnsi="Times New Roman" w:eastAsia="宋体" w:cs="Times New Roman"/>
        </w:rPr>
        <w:t>向相反的方向转3圈，调整凸块(1T)直至其压下触点(1WK)。</w:t>
      </w:r>
    </w:p>
    <w:p>
      <w:pPr>
        <w:ind w:firstLine="480"/>
        <w:rPr>
          <w:rFonts w:ascii="Times New Roman" w:hAnsi="Times New Roman" w:eastAsia="宋体" w:cs="Times New Roman"/>
        </w:rPr>
      </w:pPr>
      <w:r>
        <w:rPr>
          <w:rFonts w:hint="eastAsia" w:ascii="Times New Roman" w:hAnsi="Times New Roman" w:eastAsia="宋体" w:cs="Times New Roman"/>
        </w:rPr>
        <w:t>重复3次，均应满足以上要求。</w:t>
      </w:r>
    </w:p>
    <w:p>
      <w:pPr>
        <w:numPr>
          <w:ilvl w:val="0"/>
          <w:numId w:val="30"/>
        </w:numPr>
        <w:ind w:firstLineChars="0"/>
        <w:rPr>
          <w:rFonts w:ascii="Times New Roman" w:hAnsi="Times New Roman" w:eastAsia="宋体" w:cs="Times New Roman"/>
        </w:rPr>
      </w:pPr>
      <w:r>
        <w:rPr>
          <w:rFonts w:hint="eastAsia" w:ascii="Times New Roman" w:hAnsi="Times New Roman" w:eastAsia="宋体" w:cs="Times New Roman"/>
        </w:rPr>
        <w:t>变幅限位器调节</w:t>
      </w:r>
    </w:p>
    <w:p>
      <w:pPr>
        <w:ind w:firstLine="480"/>
        <w:rPr>
          <w:rFonts w:ascii="Times New Roman" w:hAnsi="Times New Roman" w:eastAsia="宋体" w:cs="Times New Roman"/>
        </w:rPr>
      </w:pPr>
      <w:r>
        <w:rPr>
          <w:rFonts w:hint="eastAsia" w:ascii="Times New Roman" w:hAnsi="Times New Roman" w:eastAsia="宋体" w:cs="Times New Roman"/>
        </w:rPr>
        <w:t>用途：变幅限位器用途在于防止可能出现的操作失误，使小车距离臂端或臂架根部有一定的安全距离运行。</w:t>
      </w:r>
    </w:p>
    <w:p>
      <w:pPr>
        <w:ind w:firstLine="480"/>
        <w:rPr>
          <w:rFonts w:ascii="Times New Roman" w:hAnsi="Times New Roman" w:eastAsia="宋体" w:cs="Times New Roman"/>
        </w:rPr>
      </w:pPr>
      <w:r>
        <w:rPr>
          <w:rFonts w:hint="eastAsia" w:ascii="Times New Roman" w:hAnsi="Times New Roman" w:eastAsia="宋体" w:cs="Times New Roman"/>
        </w:rPr>
        <w:t>工作原理：变幅限位器带有由小齿轮驱动的减速装置，通过一个小齿轮与固定于卷筒上的齿圈啮合，减速装置带动凸块旋转，凸块控制微动开关，这样通过调整即可在适当位置使变幅减速或停止运行。(见</w:t>
      </w:r>
      <w:r>
        <w:rPr>
          <w:rFonts w:ascii="Times New Roman" w:hAnsi="Times New Roman" w:eastAsia="宋体" w:cs="Times New Roman"/>
        </w:rPr>
        <w:fldChar w:fldCharType="begin"/>
      </w:r>
      <w:r>
        <w:rPr>
          <w:rFonts w:ascii="Times New Roman" w:hAnsi="Times New Roman" w:eastAsia="宋体" w:cs="Times New Roman"/>
        </w:rPr>
        <w:instrText xml:space="preserve"> </w:instrText>
      </w:r>
      <w:r>
        <w:rPr>
          <w:rFonts w:hint="eastAsia" w:ascii="Times New Roman" w:hAnsi="Times New Roman" w:eastAsia="宋体" w:cs="Times New Roman"/>
        </w:rPr>
        <w:instrText xml:space="preserve">REF _Ref130974026 \h</w:instrText>
      </w:r>
      <w:r>
        <w:rPr>
          <w:rFonts w:ascii="Times New Roman" w:hAnsi="Times New Roman" w:eastAsia="宋体" w:cs="Times New Roman"/>
        </w:rPr>
        <w:instrText xml:space="preserve"> </w:instrText>
      </w:r>
      <w:r>
        <w:rPr>
          <w:rFonts w:ascii="Times New Roman" w:hAnsi="Times New Roman" w:eastAsia="宋体" w:cs="Times New Roman"/>
        </w:rPr>
        <w:fldChar w:fldCharType="separate"/>
      </w:r>
      <w:r>
        <w:rPr>
          <w:rFonts w:hint="eastAsia" w:ascii="Times New Roman" w:hAnsi="Times New Roman" w:eastAsia="宋体" w:cs="Times New Roman"/>
        </w:rPr>
        <w:t>图</w:t>
      </w:r>
      <w:r>
        <w:rPr>
          <w:rFonts w:ascii="Times New Roman" w:hAnsi="Times New Roman" w:eastAsia="宋体" w:cs="Times New Roman"/>
        </w:rPr>
        <w:t>4.5.1</w:t>
      </w:r>
      <w:r>
        <w:rPr>
          <w:rFonts w:hint="eastAsia" w:ascii="Times New Roman" w:hAnsi="Times New Roman" w:eastAsia="宋体" w:cs="Times New Roman"/>
        </w:rPr>
        <w:t>-</w:t>
      </w:r>
      <w:r>
        <w:rPr>
          <w:rFonts w:ascii="Times New Roman" w:hAnsi="Times New Roman" w:eastAsia="宋体" w:cs="Times New Roman"/>
        </w:rPr>
        <w:t>89</w:t>
      </w:r>
      <w:r>
        <w:rPr>
          <w:rFonts w:ascii="Times New Roman" w:hAnsi="Times New Roman" w:eastAsia="宋体" w:cs="Times New Roman"/>
        </w:rPr>
        <w:fldChar w:fldCharType="end"/>
      </w:r>
      <w:r>
        <w:rPr>
          <w:rFonts w:hint="eastAsia" w:ascii="Times New Roman" w:hAnsi="Times New Roman" w:eastAsia="宋体" w:cs="Times New Roman"/>
        </w:rPr>
        <w:t>)。</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3301365" cy="3599815"/>
            <wp:effectExtent l="0" t="0" r="5715" b="1206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0"/>
                    <a:stretch>
                      <a:fillRect/>
                    </a:stretch>
                  </pic:blipFill>
                  <pic:spPr>
                    <a:xfrm>
                      <a:off x="0" y="0"/>
                      <a:ext cx="3301493" cy="3600000"/>
                    </a:xfrm>
                    <a:prstGeom prst="rect">
                      <a:avLst/>
                    </a:prstGeom>
                  </pic:spPr>
                </pic:pic>
              </a:graphicData>
            </a:graphic>
          </wp:inline>
        </w:drawing>
      </w:r>
    </w:p>
    <w:p>
      <w:pPr>
        <w:keepNext w:val="0"/>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25</w:t>
      </w:r>
      <w:r>
        <w:rPr>
          <w:rFonts w:ascii="Times New Roman" w:hAnsi="Times New Roman" w:eastAsia="宋体" w:cs="Times New Roman"/>
          <w:b/>
          <w:kern w:val="2"/>
          <w:sz w:val="21"/>
          <w:szCs w:val="21"/>
          <w:lang w:val="en-US" w:eastAsia="zh-CN" w:bidi="ar-SA"/>
        </w:rPr>
        <w:t xml:space="preserve"> </w:t>
      </w:r>
      <w:r>
        <w:rPr>
          <w:rFonts w:hint="eastAsia" w:ascii="Times New Roman" w:hAnsi="Times New Roman" w:eastAsia="宋体" w:cs="Times New Roman"/>
          <w:b/>
          <w:kern w:val="2"/>
          <w:sz w:val="21"/>
          <w:szCs w:val="21"/>
          <w:lang w:val="en-US" w:eastAsia="zh-CN" w:bidi="ar-SA"/>
        </w:rPr>
        <w:t>变幅</w:t>
      </w:r>
      <w:r>
        <w:rPr>
          <w:rFonts w:ascii="Times New Roman" w:hAnsi="Times New Roman" w:eastAsia="宋体" w:cs="Times New Roman"/>
          <w:b/>
          <w:kern w:val="2"/>
          <w:sz w:val="21"/>
          <w:szCs w:val="21"/>
          <w:lang w:val="en-US" w:eastAsia="zh-CN" w:bidi="ar-SA"/>
        </w:rPr>
        <w:t>限位器</w:t>
      </w:r>
    </w:p>
    <w:p>
      <w:pPr>
        <w:ind w:firstLine="480"/>
        <w:rPr>
          <w:rFonts w:ascii="Times New Roman" w:hAnsi="Times New Roman" w:eastAsia="宋体" w:cs="Times New Roman"/>
        </w:rPr>
      </w:pPr>
      <w:r>
        <w:rPr>
          <w:rFonts w:hint="eastAsia" w:ascii="Times New Roman" w:hAnsi="Times New Roman" w:eastAsia="宋体" w:cs="Times New Roman"/>
        </w:rPr>
        <w:t>调节项目如下：</w:t>
      </w:r>
    </w:p>
    <w:p>
      <w:pPr>
        <w:numPr>
          <w:ilvl w:val="0"/>
          <w:numId w:val="42"/>
        </w:numPr>
        <w:ind w:firstLineChars="0"/>
        <w:rPr>
          <w:rFonts w:ascii="Times New Roman" w:hAnsi="Times New Roman" w:eastAsia="宋体" w:cs="Times New Roman"/>
        </w:rPr>
      </w:pPr>
      <w:r>
        <w:rPr>
          <w:rFonts w:hint="eastAsia" w:ascii="Times New Roman" w:hAnsi="Times New Roman" w:eastAsia="宋体" w:cs="Times New Roman"/>
        </w:rPr>
        <w:t>调整向外变幅减速限位器SVFC开至距臂尖缓冲器1.5m处，转动凸块(3T)直至其压下相应的触点。重复3次，均应满足以上要求。</w:t>
      </w:r>
    </w:p>
    <w:p>
      <w:pPr>
        <w:numPr>
          <w:ilvl w:val="0"/>
          <w:numId w:val="42"/>
        </w:numPr>
        <w:ind w:firstLineChars="0"/>
        <w:rPr>
          <w:rFonts w:ascii="Times New Roman" w:hAnsi="Times New Roman" w:eastAsia="宋体" w:cs="Times New Roman"/>
        </w:rPr>
      </w:pPr>
      <w:r>
        <w:rPr>
          <w:rFonts w:hint="eastAsia" w:ascii="Times New Roman" w:hAnsi="Times New Roman" w:eastAsia="宋体" w:cs="Times New Roman"/>
        </w:rPr>
        <w:t>调整向外变幅限位器SVFL开至距臂尖缓冲器20cm处，转动凸块(4T)直至其压下相应的触点。重复3次，均应满足以上要求。</w:t>
      </w:r>
    </w:p>
    <w:p>
      <w:pPr>
        <w:numPr>
          <w:ilvl w:val="0"/>
          <w:numId w:val="42"/>
        </w:numPr>
        <w:ind w:firstLineChars="0"/>
        <w:rPr>
          <w:rFonts w:ascii="Times New Roman" w:hAnsi="Times New Roman" w:eastAsia="宋体" w:cs="Times New Roman"/>
        </w:rPr>
      </w:pPr>
      <w:r>
        <w:rPr>
          <w:rFonts w:hint="eastAsia" w:ascii="Times New Roman" w:hAnsi="Times New Roman" w:eastAsia="宋体" w:cs="Times New Roman"/>
        </w:rPr>
        <w:t>调整向内变幅减速限位器SVBC和向内变幅限位器SVBL,如上所述调整，将小车开至臂根，转动凸块(2T)直至其压下相应的触点(2WK)，接着调整限位凸块(1T)，使其压下触点(1WK)。重复3次，均应满足以上要求。</w:t>
      </w:r>
    </w:p>
    <w:p>
      <w:pPr>
        <w:pStyle w:val="4"/>
        <w:bidi w:val="0"/>
        <w:rPr>
          <w:rFonts w:hint="eastAsia"/>
          <w:lang w:val="en-US" w:eastAsia="zh-CN"/>
        </w:rPr>
      </w:pPr>
      <w:bookmarkStart w:id="104" w:name="_Toc16552"/>
      <w:r>
        <w:rPr>
          <w:rFonts w:hint="eastAsia"/>
          <w:lang w:val="en-US" w:eastAsia="zh-CN"/>
        </w:rPr>
        <w:t>顶升加节</w:t>
      </w:r>
      <w:bookmarkEnd w:id="104"/>
    </w:p>
    <w:p>
      <w:pPr>
        <w:pStyle w:val="5"/>
        <w:bidi w:val="0"/>
        <w:rPr>
          <w:rFonts w:hint="eastAsia"/>
          <w:lang w:val="en-US" w:eastAsia="zh-CN"/>
        </w:rPr>
      </w:pPr>
      <w:r>
        <w:rPr>
          <w:rFonts w:hint="eastAsia"/>
          <w:lang w:val="en-US" w:eastAsia="zh-CN"/>
        </w:rPr>
        <w:t>顶升前的准备工作</w:t>
      </w:r>
    </w:p>
    <w:p>
      <w:pPr>
        <w:spacing w:after="0" w:afterLines="-2147483648" w:line="360" w:lineRule="auto"/>
        <w:ind w:firstLine="480" w:firstLineChars="20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（1）按液压泵站说明书要求加注液压油，将顶升横梁通过销轴与套架上的油缸连好；</w:t>
      </w:r>
    </w:p>
    <w:p>
      <w:pPr>
        <w:spacing w:after="0" w:afterLines="-2147483648" w:line="360" w:lineRule="auto"/>
        <w:ind w:firstLine="480" w:firstLineChars="20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（2）清理好各个标准节，在标准节连接销孔内涂上黄油，将待顶升加高用的标准节在顶升位置时的起重臂下排成一排，这样能使塔机在整个顶升加节过程中不用回转机构，能使顶升加节过程所用时间最短；</w:t>
      </w:r>
    </w:p>
    <w:p>
      <w:pPr>
        <w:spacing w:after="0" w:afterLines="-2147483648" w:line="360" w:lineRule="auto"/>
        <w:ind w:firstLine="480" w:firstLineChars="20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（3）放松电缆长度略大于总的顶升高度，并紧固好电缆；</w:t>
      </w:r>
    </w:p>
    <w:p>
      <w:pPr>
        <w:spacing w:after="0" w:afterLines="-2147483648" w:line="360" w:lineRule="auto"/>
        <w:ind w:firstLine="480" w:firstLineChars="20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（4）将起重臂旋转至套架前方，平衡臂处于套架的后方（ 顶升油缸必须位于平衡臂下方）；</w:t>
      </w:r>
    </w:p>
    <w:p>
      <w:pPr>
        <w:spacing w:after="0" w:afterLines="-2147483648" w:line="360" w:lineRule="auto"/>
        <w:ind w:firstLine="480" w:firstLineChars="20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（5）在爬升架上层平台上准备好 4 根塔身与下支座安装用临时销轴，在爬升架中层平台上准备好 8 根塔身标准节连接销轴。</w:t>
      </w:r>
    </w:p>
    <w:p>
      <w:pPr>
        <w:spacing w:after="0" w:afterLines="-2147483648" w:line="360" w:lineRule="auto"/>
        <w:ind w:firstLine="480" w:firstLineChars="20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（6）检查、调试并确认顶升机构工作正确、可靠， 保证套架能按塔机爬升规定的程序上升、下降、可靠停止；运行过程中应平稳，无爬行、振动现象；</w:t>
      </w:r>
    </w:p>
    <w:p>
      <w:pPr>
        <w:spacing w:after="0" w:afterLines="-2147483648" w:line="360" w:lineRule="auto"/>
        <w:ind w:firstLine="480" w:firstLineChars="20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（7）检查套架支承系统，确保各部分运动灵活，承重可靠；</w:t>
      </w:r>
    </w:p>
    <w:p>
      <w:pPr>
        <w:spacing w:after="0" w:afterLines="-2147483648" w:line="360" w:lineRule="auto"/>
        <w:ind w:firstLine="480" w:firstLineChars="20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（8）液压顶升机构应保证安全，溢流阀的调整压力不得大于系统额定工作压力的 110%。</w:t>
      </w:r>
    </w:p>
    <w:p>
      <w:pPr>
        <w:pStyle w:val="5"/>
        <w:bidi w:val="0"/>
        <w:rPr>
          <w:rFonts w:hint="eastAsia"/>
          <w:lang w:val="en-US" w:eastAsia="zh-CN"/>
        </w:rPr>
      </w:pPr>
      <w:r>
        <w:rPr>
          <w:rFonts w:hint="eastAsia"/>
          <w:lang w:val="en-US" w:eastAsia="zh-CN"/>
        </w:rPr>
        <w:t>顶升规则</w:t>
      </w:r>
    </w:p>
    <w:p>
      <w:pPr>
        <w:widowControl w:val="0"/>
        <w:numPr>
          <w:ilvl w:val="0"/>
          <w:numId w:val="43"/>
        </w:numPr>
        <w:snapToGrid w:val="0"/>
        <w:spacing w:after="0" w:afterLines="-2147483648" w:line="360" w:lineRule="auto"/>
        <w:ind w:left="900" w:hanging="420" w:firstLineChars="0"/>
        <w:jc w:val="both"/>
        <w:rPr>
          <w:rFonts w:ascii="宋体" w:hAnsi="宋体" w:eastAsia="宋体" w:cs="Times New Roman"/>
          <w:b w:val="0"/>
          <w:bCs w:val="0"/>
          <w:color w:val="auto"/>
          <w:kern w:val="2"/>
          <w:sz w:val="24"/>
          <w:szCs w:val="20"/>
          <w:lang w:val="zh-CN" w:eastAsia="zh-CN" w:bidi="ar-SA"/>
        </w:rPr>
      </w:pPr>
      <w:r>
        <w:rPr>
          <w:rFonts w:ascii="宋体" w:hAnsi="宋体" w:eastAsia="宋体" w:cs="Times New Roman"/>
          <w:b w:val="0"/>
          <w:bCs w:val="0"/>
          <w:color w:val="auto"/>
          <w:kern w:val="2"/>
          <w:sz w:val="24"/>
          <w:szCs w:val="20"/>
          <w:lang w:val="zh-CN" w:eastAsia="zh-CN" w:bidi="ar-SA"/>
        </w:rPr>
        <w:t>顶升前塔机旋转部分必须进行配平。</w:t>
      </w:r>
    </w:p>
    <w:p>
      <w:pPr>
        <w:widowControl w:val="0"/>
        <w:numPr>
          <w:ilvl w:val="0"/>
          <w:numId w:val="43"/>
        </w:numPr>
        <w:snapToGrid w:val="0"/>
        <w:spacing w:after="0" w:afterLines="-2147483648" w:line="360" w:lineRule="auto"/>
        <w:ind w:left="0" w:firstLine="480" w:firstLineChars="200"/>
        <w:jc w:val="both"/>
        <w:rPr>
          <w:rFonts w:ascii="宋体" w:hAnsi="宋体" w:eastAsia="宋体" w:cs="Times New Roman"/>
          <w:b w:val="0"/>
          <w:bCs w:val="0"/>
          <w:color w:val="auto"/>
          <w:kern w:val="2"/>
          <w:sz w:val="24"/>
          <w:szCs w:val="20"/>
          <w:lang w:val="zh-CN" w:eastAsia="zh-CN" w:bidi="ar-SA"/>
        </w:rPr>
      </w:pPr>
      <w:r>
        <w:rPr>
          <w:rFonts w:ascii="宋体" w:hAnsi="宋体" w:eastAsia="宋体" w:cs="Times New Roman"/>
          <w:b w:val="0"/>
          <w:bCs w:val="0"/>
          <w:color w:val="auto"/>
          <w:kern w:val="2"/>
          <w:sz w:val="24"/>
          <w:szCs w:val="20"/>
          <w:lang w:val="zh-CN" w:eastAsia="zh-CN" w:bidi="ar-SA"/>
        </w:rPr>
        <w:t>塔机最高处风速大于 12m/s 时，不得进行顶升作业。</w:t>
      </w:r>
    </w:p>
    <w:p>
      <w:pPr>
        <w:widowControl w:val="0"/>
        <w:numPr>
          <w:ilvl w:val="0"/>
          <w:numId w:val="43"/>
        </w:numPr>
        <w:snapToGrid w:val="0"/>
        <w:spacing w:after="0" w:afterLines="-2147483648" w:line="360" w:lineRule="auto"/>
        <w:ind w:left="0" w:firstLine="480" w:firstLineChars="200"/>
        <w:jc w:val="both"/>
        <w:rPr>
          <w:rFonts w:ascii="宋体" w:hAnsi="宋体" w:eastAsia="宋体" w:cs="Times New Roman"/>
          <w:b w:val="0"/>
          <w:bCs w:val="0"/>
          <w:color w:val="auto"/>
          <w:kern w:val="2"/>
          <w:sz w:val="24"/>
          <w:szCs w:val="20"/>
          <w:lang w:val="zh-CN" w:eastAsia="zh-CN" w:bidi="ar-SA"/>
        </w:rPr>
      </w:pPr>
      <w:r>
        <w:rPr>
          <w:rFonts w:ascii="宋体" w:hAnsi="宋体" w:eastAsia="宋体" w:cs="Times New Roman"/>
          <w:b w:val="0"/>
          <w:bCs w:val="0"/>
          <w:color w:val="auto"/>
          <w:kern w:val="2"/>
          <w:sz w:val="24"/>
          <w:szCs w:val="20"/>
          <w:lang w:val="zh-CN" w:eastAsia="zh-CN" w:bidi="ar-SA"/>
        </w:rPr>
        <w:t>严禁在顶升系统正在顶起或已顶起时进行吊重（上升或下降）。</w:t>
      </w:r>
    </w:p>
    <w:p>
      <w:pPr>
        <w:widowControl w:val="0"/>
        <w:numPr>
          <w:ilvl w:val="0"/>
          <w:numId w:val="43"/>
        </w:numPr>
        <w:snapToGrid w:val="0"/>
        <w:spacing w:after="0" w:afterLines="-2147483648" w:line="360" w:lineRule="auto"/>
        <w:ind w:left="0" w:firstLine="480" w:firstLineChars="200"/>
        <w:jc w:val="both"/>
        <w:rPr>
          <w:rFonts w:ascii="宋体" w:hAnsi="宋体" w:eastAsia="宋体" w:cs="Times New Roman"/>
          <w:b w:val="0"/>
          <w:bCs w:val="0"/>
          <w:color w:val="auto"/>
          <w:kern w:val="2"/>
          <w:sz w:val="24"/>
          <w:szCs w:val="20"/>
          <w:lang w:val="zh-CN" w:eastAsia="zh-CN" w:bidi="ar-SA"/>
        </w:rPr>
      </w:pPr>
      <w:r>
        <w:rPr>
          <w:rFonts w:ascii="宋体" w:hAnsi="宋体" w:eastAsia="宋体" w:cs="Times New Roman"/>
          <w:b w:val="0"/>
          <w:bCs w:val="0"/>
          <w:color w:val="auto"/>
          <w:kern w:val="2"/>
          <w:sz w:val="24"/>
          <w:szCs w:val="20"/>
          <w:lang w:val="zh-CN" w:eastAsia="zh-CN" w:bidi="ar-SA"/>
        </w:rPr>
        <w:t>严禁在顶升系统正在顶起或已顶起时进行小车移动。</w:t>
      </w:r>
    </w:p>
    <w:p>
      <w:pPr>
        <w:widowControl w:val="0"/>
        <w:numPr>
          <w:ilvl w:val="0"/>
          <w:numId w:val="43"/>
        </w:numPr>
        <w:snapToGrid w:val="0"/>
        <w:spacing w:after="0" w:afterLines="-2147483648" w:line="360" w:lineRule="auto"/>
        <w:ind w:left="0" w:firstLine="480" w:firstLineChars="200"/>
        <w:jc w:val="both"/>
        <w:rPr>
          <w:rFonts w:ascii="宋体" w:hAnsi="宋体" w:eastAsia="宋体" w:cs="Times New Roman"/>
          <w:b w:val="0"/>
          <w:bCs w:val="0"/>
          <w:color w:val="auto"/>
          <w:kern w:val="2"/>
          <w:sz w:val="24"/>
          <w:szCs w:val="20"/>
          <w:lang w:val="zh-CN" w:eastAsia="zh-CN" w:bidi="ar-SA"/>
        </w:rPr>
      </w:pPr>
      <w:r>
        <w:rPr>
          <w:rFonts w:ascii="宋体" w:hAnsi="宋体" w:eastAsia="宋体" w:cs="Times New Roman"/>
          <w:b w:val="0"/>
          <w:bCs w:val="0"/>
          <w:color w:val="auto"/>
          <w:kern w:val="2"/>
          <w:sz w:val="24"/>
          <w:szCs w:val="20"/>
          <w:lang w:val="zh-CN" w:eastAsia="zh-CN" w:bidi="ar-SA"/>
        </w:rPr>
        <w:t>顶升过程中必须保证起重臂与引入标准节方向一致，并利用回转机构制动器将起重臂制动住，载重小车必须停在顶升配平位置。</w:t>
      </w:r>
    </w:p>
    <w:p>
      <w:pPr>
        <w:widowControl w:val="0"/>
        <w:numPr>
          <w:ilvl w:val="0"/>
          <w:numId w:val="43"/>
        </w:numPr>
        <w:snapToGrid w:val="0"/>
        <w:spacing w:after="0" w:afterLines="-2147483648" w:line="360" w:lineRule="auto"/>
        <w:ind w:left="0" w:firstLine="480" w:firstLineChars="200"/>
        <w:jc w:val="both"/>
        <w:rPr>
          <w:rFonts w:ascii="宋体" w:hAnsi="宋体" w:eastAsia="宋体" w:cs="Times New Roman"/>
          <w:b w:val="0"/>
          <w:bCs w:val="0"/>
          <w:color w:val="auto"/>
          <w:kern w:val="2"/>
          <w:sz w:val="24"/>
          <w:szCs w:val="20"/>
          <w:lang w:val="zh-CN" w:eastAsia="zh-CN" w:bidi="ar-SA"/>
        </w:rPr>
      </w:pPr>
      <w:r>
        <w:rPr>
          <w:rFonts w:ascii="宋体" w:hAnsi="宋体" w:eastAsia="宋体" w:cs="Times New Roman"/>
          <w:b w:val="0"/>
          <w:bCs w:val="0"/>
          <w:color w:val="auto"/>
          <w:kern w:val="2"/>
          <w:sz w:val="24"/>
          <w:szCs w:val="20"/>
          <w:lang w:val="zh-CN" w:eastAsia="zh-CN" w:bidi="ar-SA"/>
        </w:rPr>
        <w:t>塔身与下支座安装用临时销轴其直径比标准销轴φ60 稍小，以便容易就位。该销轴仅 用于标准节引进过程中，每节标准节引进完进行下一节标准节引进前，必须用标准销轴取代。在标准销轴安装前，绝对禁止进行吊重操作。</w:t>
      </w:r>
    </w:p>
    <w:p>
      <w:pPr>
        <w:widowControl w:val="0"/>
        <w:numPr>
          <w:ilvl w:val="0"/>
          <w:numId w:val="43"/>
        </w:numPr>
        <w:snapToGrid w:val="0"/>
        <w:spacing w:after="0" w:afterLines="-2147483648" w:line="360" w:lineRule="auto"/>
        <w:ind w:left="0" w:firstLine="480" w:firstLineChars="200"/>
        <w:jc w:val="both"/>
        <w:rPr>
          <w:rFonts w:ascii="宋体" w:hAnsi="宋体" w:eastAsia="宋体" w:cs="Times New Roman"/>
          <w:b w:val="0"/>
          <w:bCs w:val="0"/>
          <w:color w:val="auto"/>
          <w:kern w:val="2"/>
          <w:sz w:val="24"/>
          <w:szCs w:val="20"/>
          <w:lang w:val="zh-CN" w:eastAsia="zh-CN" w:bidi="ar-SA"/>
        </w:rPr>
      </w:pPr>
      <w:r>
        <w:rPr>
          <w:rFonts w:ascii="宋体" w:hAnsi="宋体" w:eastAsia="宋体" w:cs="Times New Roman"/>
          <w:b w:val="0"/>
          <w:bCs w:val="0"/>
          <w:color w:val="auto"/>
          <w:kern w:val="2"/>
          <w:sz w:val="24"/>
          <w:szCs w:val="20"/>
          <w:lang w:val="zh-CN" w:eastAsia="zh-CN" w:bidi="ar-SA"/>
        </w:rPr>
        <w:t>若要连续加高几节标准节，则每加完一节后，塔机起吊下一节标准节前，塔身各主弦杆和下支座必须有 4 根φ60 销轴连接，唯有在这种情况下，允许用 4 根φ60 销轴。</w:t>
      </w:r>
    </w:p>
    <w:p>
      <w:pPr>
        <w:widowControl w:val="0"/>
        <w:numPr>
          <w:ilvl w:val="0"/>
          <w:numId w:val="43"/>
        </w:numPr>
        <w:snapToGrid w:val="0"/>
        <w:spacing w:after="0" w:afterLines="-2147483648" w:line="360" w:lineRule="auto"/>
        <w:ind w:left="0" w:firstLine="480" w:firstLineChars="200"/>
        <w:jc w:val="both"/>
        <w:rPr>
          <w:rFonts w:ascii="宋体" w:hAnsi="宋体" w:eastAsia="宋体" w:cs="Times New Roman"/>
          <w:b w:val="0"/>
          <w:bCs w:val="0"/>
          <w:color w:val="auto"/>
          <w:kern w:val="2"/>
          <w:sz w:val="24"/>
          <w:szCs w:val="20"/>
          <w:lang w:val="zh-CN" w:eastAsia="zh-CN" w:bidi="ar-SA"/>
        </w:rPr>
      </w:pPr>
      <w:r>
        <w:rPr>
          <w:rFonts w:ascii="宋体" w:hAnsi="宋体" w:eastAsia="宋体" w:cs="Times New Roman"/>
          <w:b w:val="0"/>
          <w:bCs w:val="0"/>
          <w:color w:val="auto"/>
          <w:kern w:val="2"/>
          <w:sz w:val="24"/>
          <w:szCs w:val="20"/>
          <w:lang w:val="zh-CN" w:eastAsia="zh-CN" w:bidi="ar-SA"/>
        </w:rPr>
        <w:t>所加标准节上的踏步，必须与已有标准节对正。</w:t>
      </w:r>
    </w:p>
    <w:p>
      <w:pPr>
        <w:widowControl w:val="0"/>
        <w:numPr>
          <w:ilvl w:val="0"/>
          <w:numId w:val="43"/>
        </w:numPr>
        <w:snapToGrid w:val="0"/>
        <w:spacing w:after="0" w:afterLines="-2147483648" w:line="360" w:lineRule="auto"/>
        <w:ind w:left="0" w:firstLine="480" w:firstLineChars="200"/>
        <w:jc w:val="both"/>
        <w:rPr>
          <w:rFonts w:ascii="宋体" w:hAnsi="宋体" w:eastAsia="宋体" w:cs="Times New Roman"/>
          <w:b w:val="0"/>
          <w:bCs w:val="0"/>
          <w:color w:val="auto"/>
          <w:kern w:val="2"/>
          <w:sz w:val="24"/>
          <w:szCs w:val="20"/>
          <w:lang w:val="zh-CN" w:eastAsia="zh-CN" w:bidi="ar-SA"/>
        </w:rPr>
      </w:pPr>
      <w:r>
        <w:rPr>
          <w:rFonts w:ascii="宋体" w:hAnsi="宋体" w:eastAsia="宋体" w:cs="Times New Roman"/>
          <w:b w:val="0"/>
          <w:bCs w:val="0"/>
          <w:color w:val="auto"/>
          <w:kern w:val="2"/>
          <w:sz w:val="24"/>
          <w:szCs w:val="20"/>
          <w:lang w:val="zh-CN" w:eastAsia="zh-CN" w:bidi="ar-SA"/>
        </w:rPr>
        <w:t>在下支座与塔身没有用 8 根φ60 销轴连接好之前，严禁回转、变幅和吊装作业。</w:t>
      </w:r>
    </w:p>
    <w:p>
      <w:pPr>
        <w:widowControl w:val="0"/>
        <w:numPr>
          <w:ilvl w:val="0"/>
          <w:numId w:val="43"/>
        </w:numPr>
        <w:snapToGrid w:val="0"/>
        <w:spacing w:after="0" w:afterLines="-2147483648" w:line="360" w:lineRule="auto"/>
        <w:ind w:left="0" w:firstLine="480" w:firstLineChars="200"/>
        <w:jc w:val="both"/>
        <w:rPr>
          <w:rFonts w:ascii="宋体" w:hAnsi="宋体" w:eastAsia="宋体" w:cs="Times New Roman"/>
          <w:b w:val="0"/>
          <w:bCs w:val="0"/>
          <w:color w:val="auto"/>
          <w:kern w:val="2"/>
          <w:sz w:val="24"/>
          <w:szCs w:val="20"/>
          <w:lang w:val="zh-CN" w:eastAsia="zh-CN" w:bidi="ar-SA"/>
        </w:rPr>
      </w:pPr>
      <w:r>
        <w:rPr>
          <w:rFonts w:ascii="宋体" w:hAnsi="宋体" w:eastAsia="宋体" w:cs="Times New Roman"/>
          <w:b w:val="0"/>
          <w:bCs w:val="0"/>
          <w:color w:val="auto"/>
          <w:kern w:val="2"/>
          <w:sz w:val="24"/>
          <w:szCs w:val="20"/>
          <w:lang w:val="zh-CN" w:eastAsia="zh-CN" w:bidi="ar-SA"/>
        </w:rPr>
        <w:t>在顶升过程中，若液压顶升系统出现异常， 应立即停止顶升，收回油缸，将下支座落在塔身顶部，并用 8 根φ60 销轴将下支座与塔身连接牢靠后， 再排除液压系统的故障。</w:t>
      </w:r>
    </w:p>
    <w:p>
      <w:pPr>
        <w:widowControl w:val="0"/>
        <w:numPr>
          <w:ilvl w:val="0"/>
          <w:numId w:val="43"/>
        </w:numPr>
        <w:snapToGrid w:val="0"/>
        <w:spacing w:after="0" w:afterLines="-2147483648" w:line="360" w:lineRule="auto"/>
        <w:ind w:left="0" w:firstLine="480" w:firstLineChars="200"/>
        <w:jc w:val="both"/>
        <w:rPr>
          <w:rFonts w:ascii="宋体" w:hAnsi="宋体" w:eastAsia="宋体" w:cs="Times New Roman"/>
          <w:b w:val="0"/>
          <w:bCs w:val="0"/>
          <w:color w:val="auto"/>
          <w:kern w:val="2"/>
          <w:sz w:val="24"/>
          <w:szCs w:val="20"/>
          <w:lang w:val="zh-CN" w:eastAsia="zh-CN" w:bidi="ar-SA"/>
        </w:rPr>
      </w:pPr>
      <w:r>
        <w:rPr>
          <w:rFonts w:ascii="宋体" w:hAnsi="宋体" w:eastAsia="宋体" w:cs="Times New Roman"/>
          <w:b w:val="0"/>
          <w:bCs w:val="0"/>
          <w:color w:val="auto"/>
          <w:kern w:val="2"/>
          <w:sz w:val="24"/>
          <w:szCs w:val="20"/>
          <w:lang w:val="zh-CN" w:eastAsia="zh-CN" w:bidi="ar-SA"/>
        </w:rPr>
        <w:t>顶升结束后，所有标准节之间均是用 8 根φ60 的标准销轴连接，最顶部标准节与下支座之间是用 8 根φ60 销轴连接。</w:t>
      </w:r>
    </w:p>
    <w:p>
      <w:pPr>
        <w:pStyle w:val="5"/>
        <w:bidi w:val="0"/>
        <w:rPr>
          <w:rFonts w:hint="eastAsia"/>
          <w:lang w:val="en-US" w:eastAsia="zh-CN"/>
        </w:rPr>
      </w:pPr>
      <w:r>
        <w:rPr>
          <w:rFonts w:hint="eastAsia"/>
          <w:lang w:val="en-US" w:eastAsia="zh-CN"/>
        </w:rPr>
        <w:t>顶升前的配平</w:t>
      </w:r>
    </w:p>
    <w:p>
      <w:pPr>
        <w:widowControl w:val="0"/>
        <w:numPr>
          <w:ilvl w:val="0"/>
          <w:numId w:val="44"/>
        </w:numPr>
        <w:snapToGrid w:val="0"/>
        <w:spacing w:after="0" w:afterLines="-2147483648" w:line="360" w:lineRule="auto"/>
        <w:ind w:left="0" w:firstLine="480" w:firstLineChars="200"/>
        <w:jc w:val="both"/>
        <w:rPr>
          <w:rFonts w:ascii="宋体" w:hAnsi="宋体" w:eastAsia="宋体" w:cs="Times New Roman"/>
          <w:b w:val="0"/>
          <w:bCs w:val="0"/>
          <w:color w:val="auto"/>
          <w:kern w:val="2"/>
          <w:sz w:val="24"/>
          <w:szCs w:val="20"/>
          <w:lang w:val="zh-CN" w:eastAsia="zh-CN" w:bidi="ar-SA"/>
        </w:rPr>
      </w:pPr>
      <w:r>
        <w:rPr>
          <w:rFonts w:ascii="宋体" w:hAnsi="宋体" w:eastAsia="宋体" w:cs="Times New Roman"/>
          <w:b w:val="0"/>
          <w:bCs w:val="0"/>
          <w:color w:val="auto"/>
          <w:kern w:val="2"/>
          <w:sz w:val="24"/>
          <w:szCs w:val="20"/>
          <w:lang w:val="zh-CN" w:eastAsia="zh-CN" w:bidi="ar-SA"/>
        </w:rPr>
        <w:t>塔机配平前，必须先吊一节标准节放在下支座的引进横梁上（标准节的平台、平台栏杆和爬梯要固定好）</w:t>
      </w:r>
      <w:r>
        <w:rPr>
          <w:rFonts w:hint="eastAsia" w:ascii="宋体" w:hAnsi="宋体" w:eastAsia="宋体" w:cs="Times New Roman"/>
          <w:b w:val="0"/>
          <w:bCs w:val="0"/>
          <w:color w:val="auto"/>
          <w:kern w:val="2"/>
          <w:sz w:val="24"/>
          <w:szCs w:val="20"/>
          <w:lang w:val="zh-CN" w:eastAsia="zh-CN" w:bidi="ar-SA"/>
        </w:rPr>
        <w:t>，标准节的吊装见图</w:t>
      </w:r>
      <w:r>
        <w:rPr>
          <w:rFonts w:hint="eastAsia" w:ascii="宋体" w:hAnsi="宋体" w:eastAsia="宋体" w:cs="Times New Roman"/>
          <w:b w:val="0"/>
          <w:bCs w:val="0"/>
          <w:color w:val="auto"/>
          <w:kern w:val="2"/>
          <w:sz w:val="24"/>
          <w:szCs w:val="20"/>
          <w:lang w:val="en-US" w:eastAsia="zh-CN" w:bidi="ar-SA"/>
        </w:rPr>
        <w:t>3.2.23，</w:t>
      </w:r>
      <w:r>
        <w:rPr>
          <w:rFonts w:ascii="宋体" w:hAnsi="宋体" w:eastAsia="宋体" w:cs="Times New Roman"/>
          <w:b w:val="0"/>
          <w:bCs w:val="0"/>
          <w:color w:val="auto"/>
          <w:kern w:val="2"/>
          <w:sz w:val="24"/>
          <w:szCs w:val="20"/>
          <w:lang w:val="zh-CN" w:eastAsia="zh-CN" w:bidi="ar-SA"/>
        </w:rPr>
        <w:t>钢丝绳挂在标准节的对角吊耳上，再将载重小车吊一节标准节运行到配平参考位置，然后拆除下支座 4 个支腿与标准节连接的 8 个销轴</w:t>
      </w:r>
      <w:r>
        <w:rPr>
          <w:rFonts w:hint="eastAsia" w:ascii="宋体" w:hAnsi="宋体" w:eastAsia="宋体" w:cs="Times New Roman"/>
          <w:b w:val="0"/>
          <w:bCs w:val="0"/>
          <w:color w:val="auto"/>
          <w:kern w:val="2"/>
          <w:sz w:val="24"/>
          <w:szCs w:val="20"/>
          <w:lang w:val="zh-CN" w:eastAsia="zh-CN" w:bidi="ar-SA"/>
        </w:rPr>
        <w:t>。</w:t>
      </w:r>
    </w:p>
    <w:p>
      <w:pPr>
        <w:widowControl w:val="0"/>
        <w:numPr>
          <w:ilvl w:val="0"/>
          <w:numId w:val="44"/>
        </w:numPr>
        <w:snapToGrid w:val="0"/>
        <w:spacing w:after="0" w:afterLines="-2147483648" w:line="360" w:lineRule="auto"/>
        <w:ind w:left="0" w:firstLine="480" w:firstLineChars="200"/>
        <w:jc w:val="both"/>
        <w:rPr>
          <w:rFonts w:ascii="宋体" w:hAnsi="宋体" w:eastAsia="宋体" w:cs="Times New Roman"/>
          <w:b w:val="0"/>
          <w:bCs w:val="0"/>
          <w:color w:val="auto"/>
          <w:kern w:val="2"/>
          <w:sz w:val="24"/>
          <w:szCs w:val="20"/>
          <w:lang w:val="zh-CN" w:eastAsia="zh-CN" w:bidi="ar-SA"/>
        </w:rPr>
      </w:pPr>
      <w:r>
        <w:rPr>
          <w:rFonts w:ascii="宋体" w:hAnsi="宋体" w:eastAsia="宋体" w:cs="Times New Roman"/>
          <w:b w:val="0"/>
          <w:bCs w:val="0"/>
          <w:color w:val="auto"/>
          <w:kern w:val="2"/>
          <w:sz w:val="24"/>
          <w:szCs w:val="20"/>
          <w:lang w:val="zh-CN" w:eastAsia="zh-CN" w:bidi="ar-SA"/>
        </w:rPr>
        <w:t>将液压顶升系统操纵杆推至“顶升”方向，使套架顶升至下支座支腿刚刚脱离塔身的主弦杆的位置</w:t>
      </w:r>
      <w:r>
        <w:rPr>
          <w:rFonts w:hint="eastAsia" w:ascii="宋体" w:hAnsi="宋体" w:eastAsia="宋体" w:cs="Times New Roman"/>
          <w:b w:val="0"/>
          <w:bCs w:val="0"/>
          <w:color w:val="auto"/>
          <w:kern w:val="2"/>
          <w:sz w:val="24"/>
          <w:szCs w:val="20"/>
          <w:lang w:val="zh-CN" w:eastAsia="zh-CN" w:bidi="ar-SA"/>
        </w:rPr>
        <w:t>。</w:t>
      </w:r>
    </w:p>
    <w:p>
      <w:pPr>
        <w:widowControl w:val="0"/>
        <w:numPr>
          <w:ilvl w:val="0"/>
          <w:numId w:val="44"/>
        </w:numPr>
        <w:snapToGrid w:val="0"/>
        <w:spacing w:after="0" w:afterLines="-2147483648" w:line="360" w:lineRule="auto"/>
        <w:ind w:left="0" w:firstLine="480" w:firstLineChars="200"/>
        <w:jc w:val="both"/>
        <w:rPr>
          <w:rFonts w:ascii="宋体" w:hAnsi="宋体" w:eastAsia="宋体" w:cs="Times New Roman"/>
          <w:b w:val="0"/>
          <w:bCs w:val="0"/>
          <w:color w:val="auto"/>
          <w:kern w:val="2"/>
          <w:sz w:val="24"/>
          <w:szCs w:val="20"/>
          <w:lang w:val="zh-CN" w:eastAsia="zh-CN" w:bidi="ar-SA"/>
        </w:rPr>
      </w:pPr>
      <w:r>
        <w:rPr>
          <w:rFonts w:ascii="宋体" w:hAnsi="宋体" w:eastAsia="宋体" w:cs="Times New Roman"/>
          <w:b w:val="0"/>
          <w:bCs w:val="0"/>
          <w:color w:val="auto"/>
          <w:kern w:val="2"/>
          <w:sz w:val="24"/>
          <w:szCs w:val="20"/>
          <w:lang w:val="zh-CN" w:eastAsia="zh-CN" w:bidi="ar-SA"/>
        </w:rPr>
        <w:t>通过检验下支座支腿与塔身主弦杆是否在一条垂直线上，并观察套架 8 个导轮与塔身主弦杆间隙是否基本相同来检查塔机是否平衡。略微调整载重小车的配平位置，直至平衡。记录实际配平位置，以后顶升或降节时使用。 必须使得塔机上部重心落在顶升油缸梁的位置上</w:t>
      </w:r>
      <w:r>
        <w:rPr>
          <w:rFonts w:hint="eastAsia" w:ascii="宋体" w:hAnsi="宋体" w:eastAsia="宋体" w:cs="Times New Roman"/>
          <w:b w:val="0"/>
          <w:bCs w:val="0"/>
          <w:color w:val="auto"/>
          <w:kern w:val="2"/>
          <w:sz w:val="24"/>
          <w:szCs w:val="20"/>
          <w:lang w:val="zh-CN" w:eastAsia="zh-CN" w:bidi="ar-SA"/>
        </w:rPr>
        <w:t>。</w:t>
      </w:r>
    </w:p>
    <w:p>
      <w:pPr>
        <w:widowControl w:val="0"/>
        <w:numPr>
          <w:ilvl w:val="0"/>
          <w:numId w:val="0"/>
        </w:numPr>
        <w:snapToGrid w:val="0"/>
        <w:spacing w:after="0" w:afterLines="-2147483648" w:line="360" w:lineRule="auto"/>
        <w:ind w:firstLine="480" w:firstLineChars="200"/>
        <w:jc w:val="both"/>
        <w:rPr>
          <w:rFonts w:hint="eastAsia" w:ascii="宋体" w:hAnsi="宋体" w:eastAsia="宋体" w:cs="Times New Roman"/>
          <w:b w:val="0"/>
          <w:bCs w:val="0"/>
          <w:color w:val="auto"/>
          <w:kern w:val="2"/>
          <w:sz w:val="24"/>
          <w:szCs w:val="20"/>
          <w:lang w:val="zh-CN" w:eastAsia="zh-CN" w:bidi="ar-SA"/>
        </w:rPr>
      </w:pPr>
    </w:p>
    <w:p>
      <w:pPr>
        <w:widowControl w:val="0"/>
        <w:numPr>
          <w:ilvl w:val="0"/>
          <w:numId w:val="0"/>
        </w:numPr>
        <w:snapToGrid w:val="0"/>
        <w:spacing w:after="0" w:afterLines="-2147483648" w:line="360" w:lineRule="auto"/>
        <w:ind w:firstLine="480" w:firstLineChars="200"/>
        <w:jc w:val="both"/>
        <w:rPr>
          <w:rFonts w:hint="eastAsia" w:ascii="宋体" w:hAnsi="宋体" w:eastAsia="宋体" w:cs="Times New Roman"/>
          <w:b w:val="0"/>
          <w:bCs w:val="0"/>
          <w:color w:val="auto"/>
          <w:kern w:val="2"/>
          <w:sz w:val="24"/>
          <w:szCs w:val="20"/>
          <w:lang w:val="zh-CN" w:eastAsia="zh-CN" w:bidi="ar-SA"/>
        </w:rPr>
      </w:pPr>
    </w:p>
    <w:p>
      <w:pPr>
        <w:spacing w:after="0" w:afterLines="-2147483648" w:line="360" w:lineRule="auto"/>
        <w:ind w:left="0" w:leftChars="0" w:firstLine="0" w:firstLineChars="0"/>
        <w:jc w:val="left"/>
        <w:rPr>
          <w:rFonts w:hint="eastAsia" w:ascii="宋体" w:hAnsi="宋体" w:eastAsia="宋体" w:cs="Times New Roman"/>
          <w:b w:val="0"/>
          <w:bCs w:val="0"/>
          <w:color w:val="auto"/>
          <w:szCs w:val="24"/>
          <w:highlight w:val="red"/>
        </w:rPr>
      </w:pPr>
      <w:r>
        <w:rPr>
          <w:rFonts w:ascii="仿宋" w:hAnsi="仿宋" w:eastAsia="仿宋" w:cs="Times New Roman"/>
          <w:b w:val="0"/>
          <w:bCs w:val="0"/>
          <w:szCs w:val="24"/>
        </w:rPr>
        <w:drawing>
          <wp:inline distT="0" distB="0" distL="114300" distR="114300">
            <wp:extent cx="6423660" cy="1584960"/>
            <wp:effectExtent l="0" t="0" r="7620" b="0"/>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61"/>
                    <a:stretch>
                      <a:fillRect/>
                    </a:stretch>
                  </pic:blipFill>
                  <pic:spPr>
                    <a:xfrm>
                      <a:off x="0" y="0"/>
                      <a:ext cx="6423660" cy="1584960"/>
                    </a:xfrm>
                    <a:prstGeom prst="rect">
                      <a:avLst/>
                    </a:prstGeom>
                    <a:noFill/>
                    <a:ln>
                      <a:noFill/>
                    </a:ln>
                  </pic:spPr>
                </pic:pic>
              </a:graphicData>
            </a:graphic>
          </wp:inline>
        </w:drawing>
      </w:r>
    </w:p>
    <w:p>
      <w:pPr>
        <w:spacing w:after="0" w:afterLines="-2147483648" w:line="360" w:lineRule="auto"/>
        <w:ind w:firstLine="200"/>
        <w:jc w:val="left"/>
        <w:rPr>
          <w:rFonts w:hint="eastAsia" w:ascii="宋体" w:hAnsi="宋体" w:eastAsia="宋体" w:cs="Times New Roman"/>
          <w:b w:val="0"/>
          <w:bCs w:val="0"/>
          <w:color w:val="auto"/>
          <w:szCs w:val="24"/>
          <w:highlight w:val="red"/>
        </w:rPr>
      </w:pPr>
      <w:r>
        <w:rPr>
          <w:rFonts w:ascii="仿宋" w:hAnsi="仿宋" w:eastAsia="仿宋" w:cs="Times New Roman"/>
          <w:b w:val="0"/>
          <w:bCs w:val="0"/>
          <w:sz w:val="24"/>
          <w:szCs w:val="24"/>
        </w:rPr>
        <mc:AlternateContent>
          <mc:Choice Requires="wps">
            <w:drawing>
              <wp:anchor distT="0" distB="0" distL="114300" distR="114300" simplePos="0" relativeHeight="251660288" behindDoc="0" locked="0" layoutInCell="1" allowOverlap="1">
                <wp:simplePos x="0" y="0"/>
                <wp:positionH relativeFrom="column">
                  <wp:posOffset>498475</wp:posOffset>
                </wp:positionH>
                <wp:positionV relativeFrom="paragraph">
                  <wp:posOffset>1834515</wp:posOffset>
                </wp:positionV>
                <wp:extent cx="4563745" cy="256540"/>
                <wp:effectExtent l="13970" t="13970" r="24765" b="19050"/>
                <wp:wrapNone/>
                <wp:docPr id="28" name="矩形 28"/>
                <wp:cNvGraphicFramePr/>
                <a:graphic xmlns:a="http://schemas.openxmlformats.org/drawingml/2006/main">
                  <a:graphicData uri="http://schemas.microsoft.com/office/word/2010/wordprocessingShape">
                    <wps:wsp>
                      <wps:cNvSpPr/>
                      <wps:spPr>
                        <a:xfrm>
                          <a:off x="1406525" y="3545205"/>
                          <a:ext cx="4563745" cy="256540"/>
                        </a:xfrm>
                        <a:prstGeom prst="rect">
                          <a:avLst/>
                        </a:prstGeom>
                        <a:noFill/>
                        <a:ln w="28575" cap="flat" cmpd="sng" algn="ctr">
                          <a:solidFill>
                            <a:srgbClr val="FF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pt;margin-top:144.45pt;height:20.2pt;width:359.35pt;z-index:251660288;v-text-anchor:middle;mso-width-relative:page;mso-height-relative:page;" filled="f" stroked="t" coordsize="21600,21600" o:gfxdata="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Qr1ZS2gAAAAoBAAAPAAAAAAAAAAEA&#10;IAAAACIAAABkcnMvZG93bnJldi54bWxQSwECFAAUAAAACACHTuJAI8FnOn8CAADnBAAADgAAAAAA&#10;AAABACAAAAApAQAAZHJzL2Uyb0RvYy54bWxQSwUGAAAAAAYABgBZAQAAGgYAAAAA&#10;">
                <v:fill on="f" focussize="0,0"/>
                <v:stroke weight="2.25pt" color="#FF0000 [3204]" miterlimit="8" joinstyle="miter"/>
                <v:imagedata o:title=""/>
                <o:lock v:ext="edit" aspectratio="f"/>
              </v:rect>
            </w:pict>
          </mc:Fallback>
        </mc:AlternateContent>
      </w:r>
      <w:r>
        <w:rPr>
          <w:rFonts w:ascii="仿宋" w:hAnsi="仿宋" w:eastAsia="仿宋" w:cs="Times New Roman"/>
          <w:szCs w:val="24"/>
        </w:rPr>
        <w:drawing>
          <wp:inline distT="0" distB="0" distL="114300" distR="114300">
            <wp:extent cx="5166995" cy="2583815"/>
            <wp:effectExtent l="0" t="0" r="14605" b="6985"/>
            <wp:docPr id="1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5"/>
                    <pic:cNvPicPr>
                      <a:picLocks noChangeAspect="1"/>
                    </pic:cNvPicPr>
                  </pic:nvPicPr>
                  <pic:blipFill>
                    <a:blip r:embed="rId62"/>
                    <a:stretch>
                      <a:fillRect/>
                    </a:stretch>
                  </pic:blipFill>
                  <pic:spPr>
                    <a:xfrm>
                      <a:off x="0" y="0"/>
                      <a:ext cx="5166995" cy="2583815"/>
                    </a:xfrm>
                    <a:prstGeom prst="rect">
                      <a:avLst/>
                    </a:prstGeom>
                    <a:noFill/>
                    <a:ln>
                      <a:noFill/>
                    </a:ln>
                  </pic:spPr>
                </pic:pic>
              </a:graphicData>
            </a:graphic>
          </wp:inline>
        </w:drawing>
      </w:r>
    </w:p>
    <w:p>
      <w:pPr>
        <w:spacing w:after="0" w:afterLines="-2147483648" w:line="360" w:lineRule="auto"/>
        <w:ind w:firstLine="200"/>
        <w:jc w:val="center"/>
        <w:rPr>
          <w:rFonts w:hint="eastAsia" w:ascii="宋体" w:hAnsi="宋体" w:eastAsia="宋体" w:cs="Times New Roman"/>
          <w:b w:val="0"/>
          <w:bCs w:val="0"/>
          <w:color w:val="auto"/>
          <w:szCs w:val="24"/>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26</w:t>
      </w:r>
      <w:r>
        <w:rPr>
          <w:rFonts w:hint="eastAsia" w:ascii="宋体" w:hAnsi="宋体" w:eastAsia="宋体" w:cs="宋体"/>
          <w:b w:val="0"/>
          <w:bCs w:val="0"/>
          <w:color w:val="000000"/>
          <w:szCs w:val="24"/>
          <w:lang w:val="en-US" w:eastAsia="zh-CN"/>
        </w:rPr>
        <w:t xml:space="preserve"> 塔机配平</w:t>
      </w:r>
      <w:r>
        <w:rPr>
          <w:rFonts w:hint="eastAsia" w:ascii="宋体" w:hAnsi="宋体" w:eastAsia="宋体" w:cs="宋体"/>
          <w:b w:val="0"/>
          <w:bCs w:val="0"/>
          <w:color w:val="000000"/>
          <w:szCs w:val="24"/>
        </w:rPr>
        <w:t>示意图</w:t>
      </w:r>
    </w:p>
    <w:p>
      <w:pPr>
        <w:spacing w:after="0" w:afterLines="-2147483648" w:line="360" w:lineRule="auto"/>
        <w:ind w:firstLine="200"/>
        <w:jc w:val="left"/>
        <w:rPr>
          <w:rFonts w:ascii="宋体" w:hAnsi="宋体" w:eastAsia="宋体" w:cs="Times New Roman"/>
          <w:b w:val="0"/>
          <w:bCs w:val="0"/>
          <w:color w:val="auto"/>
          <w:szCs w:val="24"/>
        </w:rPr>
      </w:pPr>
      <w:r>
        <w:rPr>
          <w:rFonts w:hint="eastAsia" w:ascii="宋体" w:hAnsi="宋体" w:eastAsia="宋体" w:cs="Times New Roman"/>
          <w:b w:val="0"/>
          <w:bCs w:val="0"/>
          <w:color w:val="auto"/>
          <w:szCs w:val="24"/>
        </w:rPr>
        <w:t>记录下载重小车的配平位置。但要注意该位置随起重臂长度不同而改变；</w:t>
      </w:r>
    </w:p>
    <w:p>
      <w:pPr>
        <w:spacing w:after="0" w:afterLines="-2147483648" w:line="360" w:lineRule="auto"/>
        <w:ind w:firstLine="200"/>
        <w:jc w:val="left"/>
        <w:rPr>
          <w:rFonts w:ascii="宋体" w:hAnsi="宋体" w:eastAsia="宋体" w:cs="宋体"/>
          <w:b w:val="0"/>
          <w:bCs w:val="0"/>
          <w:color w:val="auto"/>
          <w:szCs w:val="24"/>
        </w:rPr>
      </w:pPr>
      <w:r>
        <w:rPr>
          <w:rFonts w:hint="eastAsia" w:ascii="宋体" w:hAnsi="宋体" w:eastAsia="宋体" w:cs="宋体"/>
          <w:b w:val="0"/>
          <w:bCs w:val="0"/>
          <w:color w:val="auto"/>
          <w:szCs w:val="24"/>
        </w:rPr>
        <w:t>（4）操纵液压系统使套架下降，连接好下支座和塔身节间顶升用临时销轴。</w:t>
      </w:r>
    </w:p>
    <w:p>
      <w:pPr>
        <w:pStyle w:val="5"/>
        <w:bidi w:val="0"/>
        <w:rPr>
          <w:rFonts w:hint="eastAsia"/>
          <w:lang w:val="en-US" w:eastAsia="zh-CN"/>
        </w:rPr>
      </w:pPr>
      <w:r>
        <w:rPr>
          <w:rFonts w:hint="eastAsia"/>
          <w:lang w:val="en-US" w:eastAsia="zh-CN"/>
        </w:rPr>
        <w:t>顶升作业</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顶升作业为多人配合作业，专人负责操作泵站、其余人负责操作标准节及销轴。</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a) 按在引进梁上吊挂标准节的方法将一节标准节吊挂在引进梁上，并保证标准节上端面与引进小车下端面的距离在 100～250mm 之间。</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b) 再吊配平标准节，将载重小车开至顶升平衡位置，塔机处于配平状态。</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c) 使用回转机构上的回转制动器，将塔机上部机构处于制动状态；</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d) 卸下塔身顶部与下支座连接的顶升用临时销轴。</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e) 开动液压顶升系统，使油缸活塞杆伸出，将顶升横梁两端的止动靴挂在距顶升横梁最近的塔身节踏步上（要设专人负责观察顶升横梁两端止动靴都必须落入踏步圆弧槽内）；</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f) 打开套架上止动靴操纵杆，使套架止动靴与塔身分开，继续顶升，将套架及以上部分顶起 0.1~0.5m 时停止。</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g) 当液压油缸活塞接近下止点位置时，推动套架止动靴操纵杆使上止动靴挂入踏步上的圆弧槽内，使塔机套架以上部分临时固定在顶升踏步上。</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h) 将顶升横梁上的止动靴从塔身节踏步上脱开。</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i) 液压泵站操纵杆搬向“向下”位置，使顶升横梁收回。在收回的过程中，注意不要使顶升梁与塔身上螺栓或鱼尾板卡住，防止造成事故。</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j) 当顶升横梁止动靴开口与上一级顶升踏步对齐时，搬动顶升横梁止动靴使其挂入顶升踏步上。</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k) 打开顶升套架上止动靴操纵杆，使套架止动靴与塔身分开，液压泵站操纵杆搬向“向上”位置，继续顶升。</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l) 该过程要重复三次方能形成可将一节标准节放进顶升套架内的空间。</w:t>
      </w:r>
    </w:p>
    <w:p>
      <w:pPr>
        <w:pStyle w:val="5"/>
        <w:bidi w:val="0"/>
        <w:rPr>
          <w:rFonts w:hint="eastAsia"/>
          <w:lang w:val="en-US" w:eastAsia="zh-CN"/>
        </w:rPr>
      </w:pPr>
      <w:r>
        <w:rPr>
          <w:rFonts w:hint="eastAsia"/>
          <w:lang w:val="en-US" w:eastAsia="zh-CN"/>
        </w:rPr>
        <w:t>引进标准节</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a) 当顶升第三循环接近完成、顶升套架内空间可以容纳标准节时，将挂在引进梁上的标准节轻轻推向塔身、引入套架内；</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b) 液压泵站操纵杆搬向“向下”位置，引进的标准节下端与塔身原标准节上端鱼尾板对齐相联，打入 8 个标准节联接销轴，并用锁销固定。在联接标准节时注意使两标准节上爬梯对正，上下插接在一起。</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c) 拆下引进小车上 4 根固定标准节的螺栓，将螺栓装在引进小车吊环内。向外推出引进小车至标准节以外位置；</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d) 继续下降顶升套架使下支座 4 个支腿落在新安装好的标准节上端鱼尾板内。用顶升套架上附带的四个临时固定销轴将下支座与标准节联接起来；</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e) 重复上述顶升程序，直到塔机顶升作业完成为止。</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注意： 在 4 个临时销轴没有安装以前， 塔机不能做任何动作 （包括小车、 起升和回转）。否则有可能造成塔机倾翻的事故。</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关于顶升用临时销轴的说明：</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为方便顶升作业，配有 4 个临时销轴，此销轴直径比标准节销轴小 2mm 。此销轴只做顶升时联接下支座与塔身用， 塔机正式作业时不允许用此销轴替代标准节销轴。</w:t>
      </w:r>
    </w:p>
    <w:p>
      <w:pPr>
        <w:pStyle w:val="5"/>
        <w:bidi w:val="0"/>
        <w:rPr>
          <w:rFonts w:hint="eastAsia"/>
          <w:lang w:val="en-US" w:eastAsia="zh-CN"/>
        </w:rPr>
      </w:pPr>
      <w:r>
        <w:rPr>
          <w:rFonts w:hint="eastAsia"/>
          <w:lang w:val="en-US" w:eastAsia="zh-CN"/>
        </w:rPr>
        <w:t>顶升过程的注意事项</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a) 塔机最高处风速大于 12m/s 时，不得进行顶升作业；</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b) 塔机的爬升机构，其爬升作业时应确保套架上支承在塔身上的受力部位与塔身顶升支承部位应可靠定位和结合。并应及时查看顶升支承部位焊缝情况，若有异常情况应排除后才能继续进行爬升作业。</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c) 顶升过程中必须保证起重臂与引入标准节方向一致，并利用回转机构制动器将起重臂制动住，载重小车必须停靠在顶升配平位置；</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d) 所加标准节上的踏步，必须与已有塔身节对正；</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e) 在下支座与塔身没有用销轴连接好之前，严禁起重臂回转、载重小车变幅和吊装作业；</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f) 在顶升过程中，若液压顶升系统出现异常，应立即停止顶升，收回油缸，将下支座落在塔身顶部，并用 8 个销轴将下支座与塔身连接牢靠后，再排除液压系统的故障；</w:t>
      </w:r>
    </w:p>
    <w:p>
      <w:pPr>
        <w:pStyle w:val="5"/>
        <w:bidi w:val="0"/>
        <w:rPr>
          <w:rFonts w:hint="eastAsia"/>
          <w:lang w:val="en-US" w:eastAsia="zh-CN"/>
        </w:rPr>
      </w:pPr>
      <w:r>
        <w:rPr>
          <w:rFonts w:hint="eastAsia"/>
          <w:lang w:val="en-US" w:eastAsia="zh-CN"/>
        </w:rPr>
        <w:t>顶升作业完成后注意事项</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a) 最后一节标准节要带有休息平台；</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b) 引进小车不要放在塔身内；</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c) 必要时可以放下引进梁；</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d) 下支座与塔身必须用 8 个标准节销轴联接好并用锁销固定；</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e) 顶升梁必须轻挂在最后一级顶升踏步上，注意要使液压油缸卸荷；</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f) 拆掉液压泵站的电源线，整理好塔机电源随线；</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g) 整个塔机安装完毕后，将套架降到塔身最底部，固定牢固，以降低风载；</w:t>
      </w:r>
    </w:p>
    <w:p>
      <w:pPr>
        <w:pStyle w:val="5"/>
        <w:bidi w:val="0"/>
        <w:rPr>
          <w:lang w:val="en-US" w:eastAsia="zh-CN"/>
        </w:rPr>
      </w:pPr>
      <w:r>
        <w:rPr>
          <w:rFonts w:hint="eastAsia"/>
          <w:lang w:val="en-US" w:eastAsia="zh-CN"/>
        </w:rPr>
        <w:t>防脱销装置的使用方法</w:t>
      </w:r>
    </w:p>
    <w:p>
      <w:pPr>
        <w:ind w:firstLine="480"/>
        <w:rPr>
          <w:rFonts w:ascii="Times New Roman" w:hAnsi="Times New Roman" w:eastAsia="宋体" w:cs="Times New Roman"/>
        </w:rPr>
      </w:pPr>
      <w:r>
        <w:rPr>
          <w:rFonts w:hint="eastAsia" w:ascii="Times New Roman" w:hAnsi="Times New Roman" w:eastAsia="宋体" w:cs="Times New Roman"/>
        </w:rPr>
        <w:t>防脱装置(1)由两部分组成，一是顶升横梁爬爪上的安全插销(4)，二是顶升横梁爬爪上的防脱插销孔(3)，其使用方法如下：</w:t>
      </w:r>
    </w:p>
    <w:p>
      <w:pPr>
        <w:numPr>
          <w:ilvl w:val="0"/>
          <w:numId w:val="45"/>
        </w:numPr>
        <w:ind w:firstLineChars="0"/>
        <w:rPr>
          <w:rFonts w:ascii="Times New Roman" w:hAnsi="Times New Roman" w:eastAsia="宋体" w:cs="Times New Roman"/>
        </w:rPr>
      </w:pPr>
      <w:r>
        <w:rPr>
          <w:rFonts w:hint="eastAsia" w:ascii="Times New Roman" w:hAnsi="Times New Roman" w:eastAsia="宋体" w:cs="Times New Roman"/>
        </w:rPr>
        <w:t>塔机开始顶升加节或降塔减节时，顶升横梁的爬爪需卡在标准节的踏步(2)上，同时将顶升横梁的防脱安全插销(4)插入爬爪的防脱销孔(3)内。</w:t>
      </w:r>
    </w:p>
    <w:p>
      <w:pPr>
        <w:numPr>
          <w:ilvl w:val="0"/>
          <w:numId w:val="45"/>
        </w:numPr>
        <w:ind w:firstLineChars="0"/>
        <w:rPr>
          <w:rFonts w:ascii="Times New Roman" w:hAnsi="Times New Roman" w:eastAsia="宋体" w:cs="Times New Roman"/>
        </w:rPr>
      </w:pPr>
      <w:r>
        <w:rPr>
          <w:rFonts w:hint="eastAsia" w:ascii="Times New Roman" w:hAnsi="Times New Roman" w:eastAsia="宋体" w:cs="Times New Roman"/>
        </w:rPr>
        <w:t>在完成一个顶升步骤、顶升横梁要脱离标准节踏步时，须先将防脱安全插销(4)退出爬爪防脱销孔(3)，并固定在爬爪设置的插销孔(5)上。</w:t>
      </w:r>
    </w:p>
    <w:p>
      <w:pPr>
        <w:numPr>
          <w:ilvl w:val="0"/>
          <w:numId w:val="45"/>
        </w:numPr>
        <w:ind w:firstLineChars="0"/>
        <w:rPr>
          <w:rFonts w:ascii="Times New Roman" w:hAnsi="Times New Roman" w:eastAsia="宋体" w:cs="Times New Roman"/>
        </w:rPr>
      </w:pPr>
      <w:r>
        <w:rPr>
          <w:rFonts w:hint="eastAsia" w:ascii="Times New Roman" w:hAnsi="Times New Roman" w:eastAsia="宋体" w:cs="Times New Roman"/>
        </w:rPr>
        <w:t>如此循环，将标节按照塔身高度陆续引进并固定。</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1641475" cy="1799590"/>
            <wp:effectExtent l="0" t="0" r="4445" b="1397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3"/>
                    <a:stretch>
                      <a:fillRect/>
                    </a:stretch>
                  </pic:blipFill>
                  <pic:spPr>
                    <a:xfrm>
                      <a:off x="0" y="0"/>
                      <a:ext cx="1641693" cy="1800000"/>
                    </a:xfrm>
                    <a:prstGeom prst="rect">
                      <a:avLst/>
                    </a:prstGeom>
                  </pic:spPr>
                </pic:pic>
              </a:graphicData>
            </a:graphic>
          </wp:inline>
        </w:drawing>
      </w:r>
    </w:p>
    <w:p>
      <w:pPr>
        <w:keepNext w:val="0"/>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27</w:t>
      </w:r>
      <w:r>
        <w:rPr>
          <w:rFonts w:ascii="Times New Roman" w:hAnsi="Times New Roman" w:eastAsia="宋体" w:cs="Times New Roman"/>
          <w:b/>
          <w:kern w:val="2"/>
          <w:sz w:val="21"/>
          <w:szCs w:val="21"/>
          <w:lang w:val="en-US" w:eastAsia="zh-CN" w:bidi="ar-SA"/>
        </w:rPr>
        <w:t xml:space="preserve"> </w:t>
      </w:r>
      <w:r>
        <w:rPr>
          <w:rFonts w:hint="eastAsia" w:ascii="Times New Roman" w:hAnsi="Times New Roman" w:eastAsia="宋体" w:cs="Times New Roman"/>
          <w:b/>
          <w:kern w:val="2"/>
          <w:sz w:val="21"/>
          <w:szCs w:val="21"/>
          <w:lang w:val="en-US" w:eastAsia="zh-CN" w:bidi="ar-SA"/>
        </w:rPr>
        <w:t>防脱销装置</w:t>
      </w:r>
    </w:p>
    <w:p>
      <w:pPr>
        <w:ind w:firstLine="480"/>
        <w:rPr>
          <w:rFonts w:hint="eastAsia" w:ascii="Times New Roman" w:hAnsi="Times New Roman" w:eastAsia="宋体" w:cs="Times New Roman"/>
        </w:rPr>
      </w:pPr>
      <w:r>
        <w:rPr>
          <w:rFonts w:hint="eastAsia" w:ascii="Times New Roman" w:hAnsi="Times New Roman" w:eastAsia="宋体" w:cs="Times New Roman"/>
        </w:rPr>
        <w:t>防脱销轴未退出标准节防脱销孔，启动顶升机构强行使顶升横梁脱离标准节踏步会损坏防脱销轴。</w:t>
      </w:r>
    </w:p>
    <w:p>
      <w:pPr>
        <w:pStyle w:val="4"/>
        <w:bidi w:val="0"/>
        <w:rPr>
          <w:lang w:val="en-US" w:eastAsia="zh-CN"/>
        </w:rPr>
      </w:pPr>
      <w:r>
        <w:rPr>
          <w:rFonts w:hint="eastAsia"/>
          <w:lang w:val="en-US" w:eastAsia="zh-CN"/>
        </w:rPr>
        <w:t>安装附着</w:t>
      </w:r>
    </w:p>
    <w:p>
      <w:pPr>
        <w:pStyle w:val="5"/>
        <w:bidi w:val="0"/>
        <w:rPr>
          <w:lang w:val="en-US" w:eastAsia="zh-CN"/>
        </w:rPr>
      </w:pPr>
      <w:r>
        <w:rPr>
          <w:rFonts w:hint="eastAsia"/>
          <w:lang w:val="en-US" w:eastAsia="zh-CN"/>
        </w:rPr>
        <w:t>附着概述</w:t>
      </w:r>
    </w:p>
    <w:p>
      <w:pPr>
        <w:numPr>
          <w:ilvl w:val="0"/>
          <w:numId w:val="46"/>
        </w:numPr>
        <w:ind w:firstLineChars="0"/>
        <w:rPr>
          <w:rFonts w:ascii="Times New Roman" w:hAnsi="Times New Roman" w:eastAsia="宋体" w:cs="Times New Roman"/>
        </w:rPr>
      </w:pPr>
      <w:r>
        <w:rPr>
          <w:rFonts w:hint="eastAsia" w:ascii="Times New Roman" w:hAnsi="Times New Roman" w:eastAsia="宋体" w:cs="Times New Roman"/>
        </w:rPr>
        <w:t>附着概述</w:t>
      </w:r>
    </w:p>
    <w:p>
      <w:pPr>
        <w:ind w:firstLine="480"/>
        <w:rPr>
          <w:rFonts w:ascii="Times New Roman" w:hAnsi="Times New Roman" w:eastAsia="宋体" w:cs="Times New Roman"/>
        </w:rPr>
      </w:pPr>
      <w:r>
        <w:rPr>
          <w:rFonts w:hint="eastAsia" w:ascii="Times New Roman" w:hAnsi="Times New Roman" w:eastAsia="宋体" w:cs="Times New Roman"/>
        </w:rPr>
        <w:t>为提高塔机的稳定性和塔身的刚度，</w:t>
      </w:r>
      <w:r>
        <w:rPr>
          <w:rFonts w:hint="eastAsia" w:cs="Times New Roman"/>
          <w:lang w:val="en-US" w:eastAsia="zh-CN"/>
        </w:rPr>
        <w:t>其中有两台塔机</w:t>
      </w:r>
      <w:r>
        <w:rPr>
          <w:rFonts w:hint="eastAsia" w:ascii="Times New Roman" w:hAnsi="Times New Roman" w:eastAsia="宋体" w:cs="Times New Roman"/>
        </w:rPr>
        <w:t>在塔身的全高范围内设置了</w:t>
      </w:r>
      <w:r>
        <w:rPr>
          <w:rFonts w:hint="eastAsia" w:cs="Times New Roman"/>
          <w:lang w:val="en-US" w:eastAsia="zh-CN"/>
        </w:rPr>
        <w:t>1</w:t>
      </w:r>
      <w:r>
        <w:rPr>
          <w:rFonts w:hint="eastAsia" w:ascii="Times New Roman" w:hAnsi="Times New Roman" w:eastAsia="宋体" w:cs="Times New Roman"/>
        </w:rPr>
        <w:t>层附着装置。</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bookmarkStart w:id="105" w:name="_Ref132297096"/>
      <w:r>
        <w:rPr>
          <w:rFonts w:hint="eastAsia" w:ascii="Times New Roman" w:hAnsi="Times New Roman" w:eastAsia="宋体" w:cs="Times New Roman"/>
          <w:b/>
          <w:kern w:val="2"/>
          <w:sz w:val="21"/>
          <w:szCs w:val="21"/>
          <w:lang w:val="en-US" w:eastAsia="zh-CN" w:bidi="ar-SA"/>
        </w:rPr>
        <w:t>表</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3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4.5.1</w:t>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b/>
          <w:kern w:val="2"/>
          <w:sz w:val="21"/>
          <w:szCs w:val="21"/>
          <w:lang w:val="en-US" w:eastAsia="zh-CN" w:bidi="ar-SA"/>
        </w:rPr>
        <w:t>-</w:t>
      </w:r>
      <w:bookmarkEnd w:id="105"/>
      <w:r>
        <w:rPr>
          <w:rFonts w:hint="eastAsia" w:cs="Times New Roman"/>
          <w:b/>
          <w:kern w:val="2"/>
          <w:sz w:val="21"/>
          <w:szCs w:val="21"/>
          <w:lang w:val="en-US" w:eastAsia="zh-CN" w:bidi="ar-SA"/>
        </w:rPr>
        <w:t>5</w:t>
      </w:r>
      <w:r>
        <w:rPr>
          <w:rFonts w:ascii="Times New Roman" w:hAnsi="Times New Roman" w:eastAsia="宋体" w:cs="Times New Roman"/>
          <w:b/>
          <w:kern w:val="2"/>
          <w:sz w:val="21"/>
          <w:szCs w:val="21"/>
          <w:lang w:val="en-US" w:eastAsia="zh-CN" w:bidi="ar-SA"/>
        </w:rPr>
        <w:t xml:space="preserve"> </w:t>
      </w:r>
      <w:r>
        <w:rPr>
          <w:rFonts w:hint="eastAsia" w:cs="Times New Roman"/>
          <w:b/>
          <w:kern w:val="2"/>
          <w:sz w:val="21"/>
          <w:szCs w:val="21"/>
          <w:lang w:val="en-US" w:eastAsia="zh-CN" w:bidi="ar-SA"/>
        </w:rPr>
        <w:t>左8#墩</w:t>
      </w:r>
      <w:r>
        <w:rPr>
          <w:rFonts w:hint="eastAsia" w:ascii="Times New Roman" w:hAnsi="Times New Roman" w:eastAsia="宋体" w:cs="Times New Roman"/>
          <w:b/>
          <w:kern w:val="2"/>
          <w:sz w:val="21"/>
          <w:szCs w:val="21"/>
          <w:lang w:val="en-US" w:eastAsia="zh-CN" w:bidi="ar-SA"/>
        </w:rPr>
        <w:t>附着参数</w:t>
      </w:r>
    </w:p>
    <w:tbl>
      <w:tblPr>
        <w:tblStyle w:val="15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24"/>
        <w:gridCol w:w="1541"/>
        <w:gridCol w:w="2649"/>
        <w:gridCol w:w="673"/>
        <w:gridCol w:w="15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46"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独立自由高度</w:t>
            </w:r>
          </w:p>
        </w:tc>
        <w:tc>
          <w:tcPr>
            <w:tcW w:w="904"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60</w:t>
            </w:r>
            <w:r>
              <w:rPr>
                <w:rFonts w:hint="eastAsia" w:ascii="Times New Roman" w:hAnsi="Times New Roman" w:eastAsia="宋体" w:cs="Times New Roman"/>
                <w:kern w:val="2"/>
                <w:sz w:val="21"/>
                <w:szCs w:val="21"/>
                <w:lang w:val="en-US" w:eastAsia="zh-CN" w:bidi="ar-SA"/>
              </w:rPr>
              <w:t>m</w:t>
            </w:r>
          </w:p>
        </w:tc>
        <w:tc>
          <w:tcPr>
            <w:tcW w:w="1949" w:type="pct"/>
            <w:gridSpan w:val="2"/>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最终使用高度</w:t>
            </w:r>
          </w:p>
        </w:tc>
        <w:tc>
          <w:tcPr>
            <w:tcW w:w="900"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70.65</w:t>
            </w:r>
            <w:r>
              <w:rPr>
                <w:rFonts w:hint="eastAsia" w:ascii="Times New Roman" w:hAnsi="Times New Roman" w:eastAsia="宋体" w:cs="Times New Roman"/>
                <w:kern w:val="2"/>
                <w:sz w:val="21"/>
                <w:szCs w:val="21"/>
                <w:lang w:val="en-US" w:eastAsia="zh-CN" w:bidi="ar-SA"/>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50" w:type="pct"/>
            <w:gridSpan w:val="2"/>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塔吊最终附着道次</w:t>
            </w:r>
          </w:p>
        </w:tc>
        <w:tc>
          <w:tcPr>
            <w:tcW w:w="2849" w:type="pct"/>
            <w:gridSpan w:val="3"/>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w:t>
            </w:r>
            <w:r>
              <w:rPr>
                <w:rFonts w:hint="eastAsia" w:ascii="Times New Roman" w:hAnsi="Times New Roman" w:eastAsia="宋体" w:cs="Times New Roman"/>
                <w:kern w:val="2"/>
                <w:sz w:val="21"/>
                <w:szCs w:val="21"/>
                <w:lang w:val="en-US" w:eastAsia="zh-CN" w:bidi="ar-SA"/>
              </w:rPr>
              <w:t>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50" w:type="pct"/>
            <w:gridSpan w:val="2"/>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第1道附墙</w:t>
            </w:r>
          </w:p>
        </w:tc>
        <w:tc>
          <w:tcPr>
            <w:tcW w:w="1554"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高度（距塔机承台顶）</w:t>
            </w:r>
          </w:p>
        </w:tc>
        <w:tc>
          <w:tcPr>
            <w:tcW w:w="1294" w:type="pct"/>
            <w:gridSpan w:val="2"/>
            <w:shd w:val="clear" w:color="auto" w:fill="auto"/>
            <w:vAlign w:val="center"/>
          </w:tcPr>
          <w:p>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36.15</w:t>
            </w:r>
          </w:p>
        </w:tc>
      </w:tr>
    </w:tbl>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drawing>
          <wp:inline distT="0" distB="0" distL="114300" distR="114300">
            <wp:extent cx="5488305" cy="4151630"/>
            <wp:effectExtent l="0" t="0" r="13335" b="889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64"/>
                    <a:stretch>
                      <a:fillRect/>
                    </a:stretch>
                  </pic:blipFill>
                  <pic:spPr>
                    <a:xfrm>
                      <a:off x="0" y="0"/>
                      <a:ext cx="5488305" cy="4151630"/>
                    </a:xfrm>
                    <a:prstGeom prst="rect">
                      <a:avLst/>
                    </a:prstGeom>
                    <a:noFill/>
                    <a:ln>
                      <a:noFill/>
                    </a:ln>
                  </pic:spPr>
                </pic:pic>
              </a:graphicData>
            </a:graphic>
          </wp:inline>
        </w:drawing>
      </w:r>
    </w:p>
    <w:p>
      <w:pPr>
        <w:keepNext w:val="0"/>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28</w:t>
      </w:r>
      <w:r>
        <w:rPr>
          <w:rFonts w:ascii="Times New Roman" w:hAnsi="Times New Roman" w:eastAsia="宋体" w:cs="Times New Roman"/>
          <w:b/>
          <w:kern w:val="2"/>
          <w:sz w:val="21"/>
          <w:szCs w:val="21"/>
          <w:lang w:val="en-US" w:eastAsia="zh-CN" w:bidi="ar-SA"/>
        </w:rPr>
        <w:t xml:space="preserve"> </w:t>
      </w:r>
      <w:r>
        <w:rPr>
          <w:rFonts w:hint="eastAsia" w:cs="Times New Roman"/>
          <w:b/>
          <w:kern w:val="2"/>
          <w:sz w:val="21"/>
          <w:szCs w:val="21"/>
          <w:lang w:val="en-US" w:eastAsia="zh-CN" w:bidi="ar-SA"/>
        </w:rPr>
        <w:t>左8#墩</w:t>
      </w:r>
      <w:r>
        <w:rPr>
          <w:rFonts w:hint="eastAsia" w:ascii="Times New Roman" w:hAnsi="Times New Roman" w:eastAsia="宋体" w:cs="Times New Roman"/>
          <w:b/>
          <w:kern w:val="2"/>
          <w:sz w:val="21"/>
          <w:szCs w:val="21"/>
          <w:lang w:val="en-US" w:eastAsia="zh-CN" w:bidi="ar-SA"/>
        </w:rPr>
        <w:t>第1道附着安装位置平面示意图</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drawing>
          <wp:inline distT="0" distB="0" distL="114300" distR="114300">
            <wp:extent cx="4762500" cy="4640580"/>
            <wp:effectExtent l="0" t="0" r="7620" b="7620"/>
            <wp:docPr id="6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1"/>
                    <pic:cNvPicPr>
                      <a:picLocks noChangeAspect="1"/>
                    </pic:cNvPicPr>
                  </pic:nvPicPr>
                  <pic:blipFill>
                    <a:blip r:embed="rId65"/>
                    <a:stretch>
                      <a:fillRect/>
                    </a:stretch>
                  </pic:blipFill>
                  <pic:spPr>
                    <a:xfrm>
                      <a:off x="0" y="0"/>
                      <a:ext cx="4762500" cy="4640580"/>
                    </a:xfrm>
                    <a:prstGeom prst="rect">
                      <a:avLst/>
                    </a:prstGeom>
                    <a:noFill/>
                    <a:ln>
                      <a:noFill/>
                    </a:ln>
                  </pic:spPr>
                </pic:pic>
              </a:graphicData>
            </a:graphic>
          </wp:inline>
        </w:drawing>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p>
    <w:p>
      <w:pPr>
        <w:keepNext/>
        <w:widowControl w:val="0"/>
        <w:spacing w:line="360" w:lineRule="auto"/>
        <w:ind w:firstLine="0" w:firstLineChars="0"/>
        <w:jc w:val="center"/>
        <w:rPr>
          <w:rFonts w:hint="eastAsia" w:ascii="Times New Roman" w:hAnsi="Times New Roman" w:eastAsia="宋体" w:cs="Times New Roman"/>
          <w:b/>
          <w:kern w:val="2"/>
          <w:sz w:val="21"/>
          <w:szCs w:val="21"/>
          <w:lang w:val="en-US" w:eastAsia="zh-CN" w:bidi="ar-SA"/>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29</w:t>
      </w:r>
      <w:r>
        <w:rPr>
          <w:rFonts w:ascii="Times New Roman" w:hAnsi="Times New Roman" w:eastAsia="宋体" w:cs="Times New Roman"/>
          <w:b/>
          <w:kern w:val="2"/>
          <w:sz w:val="21"/>
          <w:szCs w:val="21"/>
          <w:lang w:val="en-US" w:eastAsia="zh-CN" w:bidi="ar-SA"/>
        </w:rPr>
        <w:t xml:space="preserve"> </w:t>
      </w:r>
      <w:r>
        <w:rPr>
          <w:rFonts w:hint="eastAsia" w:cs="Times New Roman"/>
          <w:b/>
          <w:kern w:val="2"/>
          <w:sz w:val="21"/>
          <w:szCs w:val="21"/>
          <w:lang w:val="en-US" w:eastAsia="zh-CN" w:bidi="ar-SA"/>
        </w:rPr>
        <w:t>左8#墩塔机</w:t>
      </w:r>
      <w:r>
        <w:rPr>
          <w:rFonts w:hint="eastAsia" w:ascii="Times New Roman" w:hAnsi="Times New Roman" w:eastAsia="宋体" w:cs="Times New Roman"/>
          <w:b/>
          <w:kern w:val="2"/>
          <w:sz w:val="21"/>
          <w:szCs w:val="21"/>
          <w:lang w:val="en-US" w:eastAsia="zh-CN" w:bidi="ar-SA"/>
        </w:rPr>
        <w:t>附着安装位置立面示意图</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表</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3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4.5.1</w:t>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b/>
          <w:kern w:val="2"/>
          <w:sz w:val="21"/>
          <w:szCs w:val="21"/>
          <w:lang w:val="en-US" w:eastAsia="zh-CN" w:bidi="ar-SA"/>
        </w:rPr>
        <w:t>-</w:t>
      </w:r>
      <w:r>
        <w:rPr>
          <w:rFonts w:hint="eastAsia" w:cs="Times New Roman"/>
          <w:b/>
          <w:kern w:val="2"/>
          <w:sz w:val="21"/>
          <w:szCs w:val="21"/>
          <w:lang w:val="en-US" w:eastAsia="zh-CN" w:bidi="ar-SA"/>
        </w:rPr>
        <w:t>6</w:t>
      </w:r>
      <w:r>
        <w:rPr>
          <w:rFonts w:ascii="Times New Roman" w:hAnsi="Times New Roman" w:eastAsia="宋体" w:cs="Times New Roman"/>
          <w:b/>
          <w:kern w:val="2"/>
          <w:sz w:val="21"/>
          <w:szCs w:val="21"/>
          <w:lang w:val="en-US" w:eastAsia="zh-CN" w:bidi="ar-SA"/>
        </w:rPr>
        <w:t xml:space="preserve"> </w:t>
      </w:r>
      <w:r>
        <w:rPr>
          <w:rFonts w:hint="eastAsia" w:cs="Times New Roman"/>
          <w:b/>
          <w:kern w:val="2"/>
          <w:sz w:val="21"/>
          <w:szCs w:val="21"/>
          <w:lang w:val="en-US" w:eastAsia="zh-CN" w:bidi="ar-SA"/>
        </w:rPr>
        <w:t>右10#墩</w:t>
      </w:r>
      <w:r>
        <w:rPr>
          <w:rFonts w:hint="eastAsia" w:ascii="Times New Roman" w:hAnsi="Times New Roman" w:eastAsia="宋体" w:cs="Times New Roman"/>
          <w:b/>
          <w:kern w:val="2"/>
          <w:sz w:val="21"/>
          <w:szCs w:val="21"/>
          <w:lang w:val="en-US" w:eastAsia="zh-CN" w:bidi="ar-SA"/>
        </w:rPr>
        <w:t>附着参数</w:t>
      </w:r>
    </w:p>
    <w:tbl>
      <w:tblPr>
        <w:tblStyle w:val="15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24"/>
        <w:gridCol w:w="1541"/>
        <w:gridCol w:w="2649"/>
        <w:gridCol w:w="673"/>
        <w:gridCol w:w="15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46"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独立自由高度</w:t>
            </w:r>
          </w:p>
        </w:tc>
        <w:tc>
          <w:tcPr>
            <w:tcW w:w="904"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60</w:t>
            </w:r>
            <w:r>
              <w:rPr>
                <w:rFonts w:hint="eastAsia" w:ascii="Times New Roman" w:hAnsi="Times New Roman" w:eastAsia="宋体" w:cs="Times New Roman"/>
                <w:kern w:val="2"/>
                <w:sz w:val="21"/>
                <w:szCs w:val="21"/>
                <w:lang w:val="en-US" w:eastAsia="zh-CN" w:bidi="ar-SA"/>
              </w:rPr>
              <w:t>m</w:t>
            </w:r>
          </w:p>
        </w:tc>
        <w:tc>
          <w:tcPr>
            <w:tcW w:w="1949" w:type="pct"/>
            <w:gridSpan w:val="2"/>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最终使用高度</w:t>
            </w:r>
          </w:p>
        </w:tc>
        <w:tc>
          <w:tcPr>
            <w:tcW w:w="900"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55.65</w:t>
            </w:r>
            <w:r>
              <w:rPr>
                <w:rFonts w:hint="eastAsia" w:ascii="Times New Roman" w:hAnsi="Times New Roman" w:eastAsia="宋体" w:cs="Times New Roman"/>
                <w:kern w:val="2"/>
                <w:sz w:val="21"/>
                <w:szCs w:val="21"/>
                <w:lang w:val="en-US" w:eastAsia="zh-CN" w:bidi="ar-SA"/>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50" w:type="pct"/>
            <w:gridSpan w:val="2"/>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塔吊最终附着道次</w:t>
            </w:r>
          </w:p>
        </w:tc>
        <w:tc>
          <w:tcPr>
            <w:tcW w:w="2849" w:type="pct"/>
            <w:gridSpan w:val="3"/>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w:t>
            </w:r>
            <w:r>
              <w:rPr>
                <w:rFonts w:hint="eastAsia" w:ascii="Times New Roman" w:hAnsi="Times New Roman" w:eastAsia="宋体" w:cs="Times New Roman"/>
                <w:kern w:val="2"/>
                <w:sz w:val="21"/>
                <w:szCs w:val="21"/>
                <w:lang w:val="en-US" w:eastAsia="zh-CN" w:bidi="ar-SA"/>
              </w:rPr>
              <w:t>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50" w:type="pct"/>
            <w:gridSpan w:val="2"/>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第1道附墙</w:t>
            </w:r>
          </w:p>
        </w:tc>
        <w:tc>
          <w:tcPr>
            <w:tcW w:w="1554"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高度（距塔机承台顶）</w:t>
            </w:r>
          </w:p>
        </w:tc>
        <w:tc>
          <w:tcPr>
            <w:tcW w:w="1294" w:type="pct"/>
            <w:gridSpan w:val="2"/>
            <w:shd w:val="clear" w:color="auto" w:fill="auto"/>
            <w:vAlign w:val="center"/>
          </w:tcPr>
          <w:p>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27.2</w:t>
            </w:r>
          </w:p>
        </w:tc>
      </w:tr>
    </w:tbl>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drawing>
          <wp:inline distT="0" distB="0" distL="114300" distR="114300">
            <wp:extent cx="4729480" cy="3551555"/>
            <wp:effectExtent l="0" t="0" r="10160" b="14605"/>
            <wp:docPr id="9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
                    <pic:cNvPicPr>
                      <a:picLocks noChangeAspect="1"/>
                    </pic:cNvPicPr>
                  </pic:nvPicPr>
                  <pic:blipFill>
                    <a:blip r:embed="rId66"/>
                    <a:stretch>
                      <a:fillRect/>
                    </a:stretch>
                  </pic:blipFill>
                  <pic:spPr>
                    <a:xfrm>
                      <a:off x="0" y="0"/>
                      <a:ext cx="4729480" cy="3551555"/>
                    </a:xfrm>
                    <a:prstGeom prst="rect">
                      <a:avLst/>
                    </a:prstGeom>
                    <a:noFill/>
                    <a:ln>
                      <a:noFill/>
                    </a:ln>
                  </pic:spPr>
                </pic:pic>
              </a:graphicData>
            </a:graphic>
          </wp:inline>
        </w:drawing>
      </w:r>
    </w:p>
    <w:p>
      <w:pPr>
        <w:keepNext w:val="0"/>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lang w:val="en-US" w:eastAsia="zh-CN"/>
        </w:rPr>
        <w:t>30</w:t>
      </w:r>
      <w:r>
        <w:rPr>
          <w:rFonts w:ascii="Times New Roman" w:hAnsi="Times New Roman" w:eastAsia="宋体" w:cs="Times New Roman"/>
          <w:b/>
          <w:kern w:val="2"/>
          <w:sz w:val="21"/>
          <w:szCs w:val="21"/>
          <w:lang w:val="en-US" w:eastAsia="zh-CN" w:bidi="ar-SA"/>
        </w:rPr>
        <w:t xml:space="preserve"> </w:t>
      </w:r>
      <w:r>
        <w:rPr>
          <w:rFonts w:hint="eastAsia" w:cs="Times New Roman"/>
          <w:b/>
          <w:kern w:val="2"/>
          <w:sz w:val="21"/>
          <w:szCs w:val="21"/>
          <w:lang w:val="en-US" w:eastAsia="zh-CN" w:bidi="ar-SA"/>
        </w:rPr>
        <w:t>右10#墩</w:t>
      </w:r>
      <w:r>
        <w:rPr>
          <w:rFonts w:hint="eastAsia" w:ascii="Times New Roman" w:hAnsi="Times New Roman" w:eastAsia="宋体" w:cs="Times New Roman"/>
          <w:b/>
          <w:kern w:val="2"/>
          <w:sz w:val="21"/>
          <w:szCs w:val="21"/>
          <w:lang w:val="en-US" w:eastAsia="zh-CN" w:bidi="ar-SA"/>
        </w:rPr>
        <w:t>第1道附着安装位置平面示意图</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drawing>
          <wp:inline distT="0" distB="0" distL="114300" distR="114300">
            <wp:extent cx="5361305" cy="3567430"/>
            <wp:effectExtent l="0" t="0" r="3175" b="13970"/>
            <wp:docPr id="9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8"/>
                    <pic:cNvPicPr>
                      <a:picLocks noChangeAspect="1"/>
                    </pic:cNvPicPr>
                  </pic:nvPicPr>
                  <pic:blipFill>
                    <a:blip r:embed="rId67"/>
                    <a:stretch>
                      <a:fillRect/>
                    </a:stretch>
                  </pic:blipFill>
                  <pic:spPr>
                    <a:xfrm>
                      <a:off x="0" y="0"/>
                      <a:ext cx="5361305" cy="3567430"/>
                    </a:xfrm>
                    <a:prstGeom prst="rect">
                      <a:avLst/>
                    </a:prstGeom>
                    <a:noFill/>
                    <a:ln>
                      <a:noFill/>
                    </a:ln>
                  </pic:spPr>
                </pic:pic>
              </a:graphicData>
            </a:graphic>
          </wp:inline>
        </w:drawing>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p>
    <w:p>
      <w:pPr>
        <w:keepNext w:val="0"/>
        <w:widowControl w:val="0"/>
        <w:spacing w:line="360" w:lineRule="auto"/>
        <w:ind w:firstLine="0" w:firstLineChars="0"/>
        <w:jc w:val="center"/>
        <w:rPr>
          <w:rFonts w:hint="eastAsia" w:ascii="Times New Roman" w:hAnsi="Times New Roman" w:eastAsia="宋体" w:cs="Times New Roman"/>
          <w:b/>
          <w:kern w:val="2"/>
          <w:sz w:val="21"/>
          <w:szCs w:val="21"/>
          <w:lang w:val="en-US" w:eastAsia="zh-CN" w:bidi="ar-SA"/>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lang w:val="en-US" w:eastAsia="zh-CN"/>
        </w:rPr>
        <w:t>31</w:t>
      </w:r>
      <w:r>
        <w:rPr>
          <w:rFonts w:ascii="Times New Roman" w:hAnsi="Times New Roman" w:eastAsia="宋体" w:cs="Times New Roman"/>
          <w:b/>
          <w:kern w:val="2"/>
          <w:sz w:val="21"/>
          <w:szCs w:val="21"/>
          <w:lang w:val="en-US" w:eastAsia="zh-CN" w:bidi="ar-SA"/>
        </w:rPr>
        <w:t xml:space="preserve"> </w:t>
      </w:r>
      <w:r>
        <w:rPr>
          <w:rFonts w:hint="eastAsia" w:cs="Times New Roman"/>
          <w:b/>
          <w:kern w:val="2"/>
          <w:sz w:val="21"/>
          <w:szCs w:val="21"/>
          <w:lang w:val="en-US" w:eastAsia="zh-CN" w:bidi="ar-SA"/>
        </w:rPr>
        <w:t>右10#墩塔机</w:t>
      </w:r>
      <w:r>
        <w:rPr>
          <w:rFonts w:hint="eastAsia" w:ascii="Times New Roman" w:hAnsi="Times New Roman" w:eastAsia="宋体" w:cs="Times New Roman"/>
          <w:b/>
          <w:kern w:val="2"/>
          <w:sz w:val="21"/>
          <w:szCs w:val="21"/>
          <w:lang w:val="en-US" w:eastAsia="zh-CN" w:bidi="ar-SA"/>
        </w:rPr>
        <w:t>附着安装位置立面示意图</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表</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3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4.5.1</w:t>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b/>
          <w:kern w:val="2"/>
          <w:sz w:val="21"/>
          <w:szCs w:val="21"/>
          <w:lang w:val="en-US" w:eastAsia="zh-CN" w:bidi="ar-SA"/>
        </w:rPr>
        <w:t>-</w:t>
      </w:r>
      <w:r>
        <w:rPr>
          <w:rFonts w:hint="eastAsia" w:cs="Times New Roman"/>
          <w:b/>
          <w:kern w:val="2"/>
          <w:sz w:val="21"/>
          <w:szCs w:val="21"/>
          <w:lang w:val="en-US" w:eastAsia="zh-CN" w:bidi="ar-SA"/>
        </w:rPr>
        <w:t>7</w:t>
      </w:r>
      <w:r>
        <w:rPr>
          <w:rFonts w:ascii="Times New Roman" w:hAnsi="Times New Roman" w:eastAsia="宋体" w:cs="Times New Roman"/>
          <w:b/>
          <w:kern w:val="2"/>
          <w:sz w:val="21"/>
          <w:szCs w:val="21"/>
          <w:lang w:val="en-US" w:eastAsia="zh-CN" w:bidi="ar-SA"/>
        </w:rPr>
        <w:t xml:space="preserve"> </w:t>
      </w:r>
      <w:r>
        <w:rPr>
          <w:rFonts w:hint="eastAsia" w:cs="Times New Roman"/>
          <w:b/>
          <w:kern w:val="2"/>
          <w:sz w:val="21"/>
          <w:szCs w:val="21"/>
          <w:lang w:val="en-US" w:eastAsia="zh-CN" w:bidi="ar-SA"/>
        </w:rPr>
        <w:t>左10#墩</w:t>
      </w:r>
      <w:r>
        <w:rPr>
          <w:rFonts w:hint="eastAsia" w:ascii="Times New Roman" w:hAnsi="Times New Roman" w:eastAsia="宋体" w:cs="Times New Roman"/>
          <w:b/>
          <w:kern w:val="2"/>
          <w:sz w:val="21"/>
          <w:szCs w:val="21"/>
          <w:lang w:val="en-US" w:eastAsia="zh-CN" w:bidi="ar-SA"/>
        </w:rPr>
        <w:t>附着参数</w:t>
      </w:r>
    </w:p>
    <w:tbl>
      <w:tblPr>
        <w:tblStyle w:val="15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24"/>
        <w:gridCol w:w="1541"/>
        <w:gridCol w:w="2649"/>
        <w:gridCol w:w="673"/>
        <w:gridCol w:w="15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46"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独立自由高度</w:t>
            </w:r>
          </w:p>
        </w:tc>
        <w:tc>
          <w:tcPr>
            <w:tcW w:w="904"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60</w:t>
            </w:r>
            <w:r>
              <w:rPr>
                <w:rFonts w:hint="eastAsia" w:ascii="Times New Roman" w:hAnsi="Times New Roman" w:eastAsia="宋体" w:cs="Times New Roman"/>
                <w:kern w:val="2"/>
                <w:sz w:val="21"/>
                <w:szCs w:val="21"/>
                <w:lang w:val="en-US" w:eastAsia="zh-CN" w:bidi="ar-SA"/>
              </w:rPr>
              <w:t>m</w:t>
            </w:r>
          </w:p>
        </w:tc>
        <w:tc>
          <w:tcPr>
            <w:tcW w:w="1949" w:type="pct"/>
            <w:gridSpan w:val="2"/>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最终使用高度</w:t>
            </w:r>
          </w:p>
        </w:tc>
        <w:tc>
          <w:tcPr>
            <w:tcW w:w="900"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58.65</w:t>
            </w:r>
            <w:r>
              <w:rPr>
                <w:rFonts w:hint="eastAsia" w:ascii="Times New Roman" w:hAnsi="Times New Roman" w:eastAsia="宋体" w:cs="Times New Roman"/>
                <w:kern w:val="2"/>
                <w:sz w:val="21"/>
                <w:szCs w:val="21"/>
                <w:lang w:val="en-US" w:eastAsia="zh-CN" w:bidi="ar-SA"/>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50" w:type="pct"/>
            <w:gridSpan w:val="2"/>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塔吊最终附着道次</w:t>
            </w:r>
          </w:p>
        </w:tc>
        <w:tc>
          <w:tcPr>
            <w:tcW w:w="2849" w:type="pct"/>
            <w:gridSpan w:val="3"/>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w:t>
            </w:r>
            <w:r>
              <w:rPr>
                <w:rFonts w:hint="eastAsia" w:ascii="Times New Roman" w:hAnsi="Times New Roman" w:eastAsia="宋体" w:cs="Times New Roman"/>
                <w:kern w:val="2"/>
                <w:sz w:val="21"/>
                <w:szCs w:val="21"/>
                <w:lang w:val="en-US" w:eastAsia="zh-CN" w:bidi="ar-SA"/>
              </w:rPr>
              <w:t>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50" w:type="pct"/>
            <w:gridSpan w:val="2"/>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第1道附墙</w:t>
            </w:r>
          </w:p>
        </w:tc>
        <w:tc>
          <w:tcPr>
            <w:tcW w:w="1554"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高度（距塔机承台顶）</w:t>
            </w:r>
          </w:p>
        </w:tc>
        <w:tc>
          <w:tcPr>
            <w:tcW w:w="1294" w:type="pct"/>
            <w:gridSpan w:val="2"/>
            <w:shd w:val="clear" w:color="auto" w:fill="auto"/>
            <w:vAlign w:val="center"/>
          </w:tcPr>
          <w:p>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30.2</w:t>
            </w:r>
          </w:p>
        </w:tc>
      </w:tr>
    </w:tbl>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drawing>
          <wp:inline distT="0" distB="0" distL="114300" distR="114300">
            <wp:extent cx="4137660" cy="4381500"/>
            <wp:effectExtent l="0" t="0" r="7620" b="7620"/>
            <wp:docPr id="10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1"/>
                    <pic:cNvPicPr>
                      <a:picLocks noChangeAspect="1"/>
                    </pic:cNvPicPr>
                  </pic:nvPicPr>
                  <pic:blipFill>
                    <a:blip r:embed="rId68"/>
                    <a:stretch>
                      <a:fillRect/>
                    </a:stretch>
                  </pic:blipFill>
                  <pic:spPr>
                    <a:xfrm>
                      <a:off x="0" y="0"/>
                      <a:ext cx="4137660" cy="4381500"/>
                    </a:xfrm>
                    <a:prstGeom prst="rect">
                      <a:avLst/>
                    </a:prstGeom>
                    <a:noFill/>
                    <a:ln>
                      <a:noFill/>
                    </a:ln>
                  </pic:spPr>
                </pic:pic>
              </a:graphicData>
            </a:graphic>
          </wp:inline>
        </w:drawing>
      </w:r>
    </w:p>
    <w:p>
      <w:pPr>
        <w:keepNext w:val="0"/>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3</w:t>
      </w:r>
      <w:r>
        <w:rPr>
          <w:rFonts w:hint="eastAsia"/>
          <w:lang w:val="en-US" w:eastAsia="zh-CN"/>
        </w:rPr>
        <w:t>2</w:t>
      </w:r>
      <w:r>
        <w:rPr>
          <w:rFonts w:ascii="Times New Roman" w:hAnsi="Times New Roman" w:eastAsia="宋体" w:cs="Times New Roman"/>
          <w:b/>
          <w:kern w:val="2"/>
          <w:sz w:val="21"/>
          <w:szCs w:val="21"/>
          <w:lang w:val="en-US" w:eastAsia="zh-CN" w:bidi="ar-SA"/>
        </w:rPr>
        <w:t xml:space="preserve"> </w:t>
      </w:r>
      <w:r>
        <w:rPr>
          <w:rFonts w:hint="eastAsia" w:cs="Times New Roman"/>
          <w:b/>
          <w:kern w:val="2"/>
          <w:sz w:val="21"/>
          <w:szCs w:val="21"/>
          <w:lang w:val="en-US" w:eastAsia="zh-CN" w:bidi="ar-SA"/>
        </w:rPr>
        <w:t>左10#墩</w:t>
      </w:r>
      <w:r>
        <w:rPr>
          <w:rFonts w:hint="eastAsia" w:ascii="Times New Roman" w:hAnsi="Times New Roman" w:eastAsia="宋体" w:cs="Times New Roman"/>
          <w:b/>
          <w:kern w:val="2"/>
          <w:sz w:val="21"/>
          <w:szCs w:val="21"/>
          <w:lang w:val="en-US" w:eastAsia="zh-CN" w:bidi="ar-SA"/>
        </w:rPr>
        <w:t>第1道附着安装位置平面示意图</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drawing>
          <wp:inline distT="0" distB="0" distL="114300" distR="114300">
            <wp:extent cx="4716780" cy="3947160"/>
            <wp:effectExtent l="0" t="0" r="7620" b="0"/>
            <wp:docPr id="9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0"/>
                    <pic:cNvPicPr>
                      <a:picLocks noChangeAspect="1"/>
                    </pic:cNvPicPr>
                  </pic:nvPicPr>
                  <pic:blipFill>
                    <a:blip r:embed="rId69"/>
                    <a:stretch>
                      <a:fillRect/>
                    </a:stretch>
                  </pic:blipFill>
                  <pic:spPr>
                    <a:xfrm>
                      <a:off x="0" y="0"/>
                      <a:ext cx="4716780" cy="3947160"/>
                    </a:xfrm>
                    <a:prstGeom prst="rect">
                      <a:avLst/>
                    </a:prstGeom>
                    <a:noFill/>
                    <a:ln>
                      <a:noFill/>
                    </a:ln>
                  </pic:spPr>
                </pic:pic>
              </a:graphicData>
            </a:graphic>
          </wp:inline>
        </w:drawing>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p>
    <w:p>
      <w:pPr>
        <w:keepNext w:val="0"/>
        <w:widowControl w:val="0"/>
        <w:spacing w:line="360" w:lineRule="auto"/>
        <w:ind w:firstLine="0" w:firstLineChars="0"/>
        <w:jc w:val="center"/>
        <w:rPr>
          <w:rFonts w:hint="eastAsia" w:ascii="Times New Roman" w:hAnsi="Times New Roman" w:eastAsia="宋体" w:cs="Times New Roman"/>
          <w:b/>
          <w:kern w:val="2"/>
          <w:sz w:val="21"/>
          <w:szCs w:val="21"/>
          <w:lang w:val="en-US" w:eastAsia="zh-CN" w:bidi="ar-SA"/>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3</w:t>
      </w:r>
      <w:r>
        <w:rPr>
          <w:rFonts w:hint="eastAsia"/>
          <w:lang w:val="en-US" w:eastAsia="zh-CN"/>
        </w:rPr>
        <w:t>2</w:t>
      </w:r>
      <w:r>
        <w:rPr>
          <w:rFonts w:ascii="Times New Roman" w:hAnsi="Times New Roman" w:eastAsia="宋体" w:cs="Times New Roman"/>
          <w:b/>
          <w:kern w:val="2"/>
          <w:sz w:val="21"/>
          <w:szCs w:val="21"/>
          <w:lang w:val="en-US" w:eastAsia="zh-CN" w:bidi="ar-SA"/>
        </w:rPr>
        <w:t xml:space="preserve"> </w:t>
      </w:r>
      <w:r>
        <w:rPr>
          <w:rFonts w:hint="eastAsia" w:cs="Times New Roman"/>
          <w:b/>
          <w:kern w:val="2"/>
          <w:sz w:val="21"/>
          <w:szCs w:val="21"/>
          <w:lang w:val="en-US" w:eastAsia="zh-CN" w:bidi="ar-SA"/>
        </w:rPr>
        <w:t>左10#墩塔机</w:t>
      </w:r>
      <w:r>
        <w:rPr>
          <w:rFonts w:hint="eastAsia" w:ascii="Times New Roman" w:hAnsi="Times New Roman" w:eastAsia="宋体" w:cs="Times New Roman"/>
          <w:b/>
          <w:kern w:val="2"/>
          <w:sz w:val="21"/>
          <w:szCs w:val="21"/>
          <w:lang w:val="en-US" w:eastAsia="zh-CN" w:bidi="ar-SA"/>
        </w:rPr>
        <w:t>附着安装位置立面示意图</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表</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3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4.5.1</w:t>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b/>
          <w:kern w:val="2"/>
          <w:sz w:val="21"/>
          <w:szCs w:val="21"/>
          <w:lang w:val="en-US" w:eastAsia="zh-CN" w:bidi="ar-SA"/>
        </w:rPr>
        <w:t>-</w:t>
      </w:r>
      <w:r>
        <w:rPr>
          <w:rFonts w:hint="eastAsia" w:cs="Times New Roman"/>
          <w:b/>
          <w:kern w:val="2"/>
          <w:sz w:val="21"/>
          <w:szCs w:val="21"/>
          <w:lang w:val="en-US" w:eastAsia="zh-CN" w:bidi="ar-SA"/>
        </w:rPr>
        <w:t>8</w:t>
      </w:r>
      <w:r>
        <w:rPr>
          <w:rFonts w:ascii="Times New Roman" w:hAnsi="Times New Roman" w:eastAsia="宋体" w:cs="Times New Roman"/>
          <w:b/>
          <w:kern w:val="2"/>
          <w:sz w:val="21"/>
          <w:szCs w:val="21"/>
          <w:lang w:val="en-US" w:eastAsia="zh-CN" w:bidi="ar-SA"/>
        </w:rPr>
        <w:t xml:space="preserve"> </w:t>
      </w:r>
      <w:r>
        <w:rPr>
          <w:rFonts w:hint="eastAsia" w:ascii="Times New Roman" w:hAnsi="Times New Roman" w:eastAsia="宋体" w:cs="Times New Roman"/>
          <w:b/>
          <w:kern w:val="2"/>
          <w:sz w:val="21"/>
          <w:szCs w:val="21"/>
          <w:lang w:val="en-US" w:eastAsia="zh-CN" w:bidi="ar-SA"/>
        </w:rPr>
        <w:t>右12#墩附着参数</w:t>
      </w:r>
    </w:p>
    <w:tbl>
      <w:tblPr>
        <w:tblStyle w:val="15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24"/>
        <w:gridCol w:w="1541"/>
        <w:gridCol w:w="2649"/>
        <w:gridCol w:w="673"/>
        <w:gridCol w:w="15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46"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独立自由高度</w:t>
            </w:r>
          </w:p>
        </w:tc>
        <w:tc>
          <w:tcPr>
            <w:tcW w:w="904"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60m</w:t>
            </w:r>
          </w:p>
        </w:tc>
        <w:tc>
          <w:tcPr>
            <w:tcW w:w="1949" w:type="pct"/>
            <w:gridSpan w:val="2"/>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最终使用高度</w:t>
            </w:r>
          </w:p>
        </w:tc>
        <w:tc>
          <w:tcPr>
            <w:tcW w:w="900"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67.65m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50" w:type="pct"/>
            <w:gridSpan w:val="2"/>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塔吊最终附着道次</w:t>
            </w:r>
          </w:p>
        </w:tc>
        <w:tc>
          <w:tcPr>
            <w:tcW w:w="2849" w:type="pct"/>
            <w:gridSpan w:val="3"/>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50" w:type="pct"/>
            <w:gridSpan w:val="2"/>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第1道附墙</w:t>
            </w:r>
          </w:p>
        </w:tc>
        <w:tc>
          <w:tcPr>
            <w:tcW w:w="1554"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高度（距塔机承台顶）</w:t>
            </w:r>
          </w:p>
        </w:tc>
        <w:tc>
          <w:tcPr>
            <w:tcW w:w="1294" w:type="pct"/>
            <w:gridSpan w:val="2"/>
            <w:shd w:val="clear" w:color="auto" w:fill="auto"/>
            <w:vAlign w:val="center"/>
          </w:tcPr>
          <w:p>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36.15</w:t>
            </w:r>
          </w:p>
        </w:tc>
      </w:tr>
    </w:tbl>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drawing>
          <wp:inline distT="0" distB="0" distL="114300" distR="114300">
            <wp:extent cx="5288280" cy="3268980"/>
            <wp:effectExtent l="0" t="0" r="0" b="7620"/>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pic:cNvPicPr>
                  </pic:nvPicPr>
                  <pic:blipFill>
                    <a:blip r:embed="rId70"/>
                    <a:stretch>
                      <a:fillRect/>
                    </a:stretch>
                  </pic:blipFill>
                  <pic:spPr>
                    <a:xfrm>
                      <a:off x="0" y="0"/>
                      <a:ext cx="5288280" cy="3268980"/>
                    </a:xfrm>
                    <a:prstGeom prst="rect">
                      <a:avLst/>
                    </a:prstGeom>
                    <a:noFill/>
                    <a:ln>
                      <a:noFill/>
                    </a:ln>
                  </pic:spPr>
                </pic:pic>
              </a:graphicData>
            </a:graphic>
          </wp:inline>
        </w:drawing>
      </w:r>
    </w:p>
    <w:p>
      <w:pPr>
        <w:keepNext w:val="0"/>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lang w:val="en-US" w:eastAsia="zh-CN"/>
        </w:rPr>
        <w:t>33</w:t>
      </w:r>
      <w:r>
        <w:rPr>
          <w:rFonts w:ascii="Times New Roman" w:hAnsi="Times New Roman" w:eastAsia="宋体" w:cs="Times New Roman"/>
          <w:b/>
          <w:kern w:val="2"/>
          <w:sz w:val="21"/>
          <w:szCs w:val="21"/>
          <w:lang w:val="en-US" w:eastAsia="zh-CN" w:bidi="ar-SA"/>
        </w:rPr>
        <w:t xml:space="preserve"> </w:t>
      </w:r>
      <w:r>
        <w:rPr>
          <w:rFonts w:hint="eastAsia" w:ascii="Times New Roman" w:hAnsi="Times New Roman" w:eastAsia="宋体" w:cs="Times New Roman"/>
          <w:b/>
          <w:kern w:val="2"/>
          <w:sz w:val="21"/>
          <w:szCs w:val="21"/>
          <w:lang w:val="en-US" w:eastAsia="zh-CN" w:bidi="ar-SA"/>
        </w:rPr>
        <w:t>右12#墩第1道附着安装位置平面示意图</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drawing>
          <wp:inline distT="0" distB="0" distL="114300" distR="114300">
            <wp:extent cx="4831080" cy="4564380"/>
            <wp:effectExtent l="0" t="0" r="0" b="7620"/>
            <wp:docPr id="7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5"/>
                    <pic:cNvPicPr>
                      <a:picLocks noChangeAspect="1"/>
                    </pic:cNvPicPr>
                  </pic:nvPicPr>
                  <pic:blipFill>
                    <a:blip r:embed="rId71"/>
                    <a:stretch>
                      <a:fillRect/>
                    </a:stretch>
                  </pic:blipFill>
                  <pic:spPr>
                    <a:xfrm>
                      <a:off x="0" y="0"/>
                      <a:ext cx="4831080" cy="4564380"/>
                    </a:xfrm>
                    <a:prstGeom prst="rect">
                      <a:avLst/>
                    </a:prstGeom>
                    <a:noFill/>
                    <a:ln>
                      <a:noFill/>
                    </a:ln>
                  </pic:spPr>
                </pic:pic>
              </a:graphicData>
            </a:graphic>
          </wp:inline>
        </w:drawing>
      </w:r>
    </w:p>
    <w:p>
      <w:pPr>
        <w:keepNext w:val="0"/>
        <w:widowControl w:val="0"/>
        <w:spacing w:line="360" w:lineRule="auto"/>
        <w:ind w:firstLine="0" w:firstLineChars="0"/>
        <w:jc w:val="center"/>
        <w:rPr>
          <w:rFonts w:hint="eastAsia" w:ascii="Times New Roman" w:hAnsi="Times New Roman" w:eastAsia="宋体" w:cs="Times New Roman"/>
          <w:b/>
          <w:kern w:val="2"/>
          <w:sz w:val="21"/>
          <w:szCs w:val="21"/>
          <w:lang w:val="en-US" w:eastAsia="zh-CN" w:bidi="ar-SA"/>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lang w:val="en-US" w:eastAsia="zh-CN"/>
        </w:rPr>
        <w:t>34</w:t>
      </w:r>
      <w:r>
        <w:rPr>
          <w:rFonts w:ascii="Times New Roman" w:hAnsi="Times New Roman" w:eastAsia="宋体" w:cs="Times New Roman"/>
          <w:b/>
          <w:kern w:val="2"/>
          <w:sz w:val="21"/>
          <w:szCs w:val="21"/>
          <w:lang w:val="en-US" w:eastAsia="zh-CN" w:bidi="ar-SA"/>
        </w:rPr>
        <w:t xml:space="preserve"> </w:t>
      </w:r>
      <w:r>
        <w:rPr>
          <w:rFonts w:hint="eastAsia" w:cs="Times New Roman"/>
          <w:b/>
          <w:kern w:val="2"/>
          <w:sz w:val="21"/>
          <w:szCs w:val="21"/>
          <w:lang w:val="en-US" w:eastAsia="zh-CN" w:bidi="ar-SA"/>
        </w:rPr>
        <w:t>右12#墩塔机</w:t>
      </w:r>
      <w:r>
        <w:rPr>
          <w:rFonts w:hint="eastAsia" w:ascii="Times New Roman" w:hAnsi="Times New Roman" w:eastAsia="宋体" w:cs="Times New Roman"/>
          <w:b/>
          <w:kern w:val="2"/>
          <w:sz w:val="21"/>
          <w:szCs w:val="21"/>
          <w:lang w:val="en-US" w:eastAsia="zh-CN" w:bidi="ar-SA"/>
        </w:rPr>
        <w:t>附着安装位置立面示意图</w:t>
      </w:r>
    </w:p>
    <w:p>
      <w:pPr>
        <w:numPr>
          <w:ilvl w:val="0"/>
          <w:numId w:val="46"/>
        </w:numPr>
        <w:ind w:firstLineChars="0"/>
        <w:rPr>
          <w:rFonts w:ascii="Times New Roman" w:hAnsi="Times New Roman" w:eastAsia="宋体" w:cs="Times New Roman"/>
        </w:rPr>
      </w:pPr>
      <w:r>
        <w:rPr>
          <w:rFonts w:hint="eastAsia" w:ascii="Times New Roman" w:hAnsi="Times New Roman" w:eastAsia="宋体" w:cs="Times New Roman"/>
        </w:rPr>
        <w:t>附着顶升流程</w:t>
      </w:r>
    </w:p>
    <w:p>
      <w:pPr>
        <w:ind w:firstLine="480"/>
        <w:rPr>
          <w:rFonts w:ascii="Times New Roman" w:hAnsi="Times New Roman" w:eastAsia="宋体" w:cs="Times New Roman"/>
        </w:rPr>
      </w:pPr>
      <w:r>
        <w:rPr>
          <w:rFonts w:hint="eastAsia" w:ascii="Times New Roman" w:hAnsi="Times New Roman" w:eastAsia="宋体" w:cs="Times New Roman"/>
        </w:rPr>
        <w:t>顶升加节至初始安装高度→随施工逐步加节至</w:t>
      </w:r>
      <w:r>
        <w:rPr>
          <w:rFonts w:hint="eastAsia" w:cs="Times New Roman"/>
          <w:lang w:val="en-US" w:eastAsia="zh-CN"/>
        </w:rPr>
        <w:t>独立高度</w:t>
      </w:r>
      <w:r>
        <w:rPr>
          <w:rFonts w:hint="eastAsia" w:ascii="Times New Roman" w:hAnsi="Times New Roman" w:eastAsia="宋体" w:cs="Times New Roman"/>
        </w:rPr>
        <w:t>→安装第一道附着→顶升加节至最终安装高度。</w:t>
      </w:r>
    </w:p>
    <w:p>
      <w:pPr>
        <w:pStyle w:val="5"/>
        <w:bidi w:val="0"/>
        <w:rPr>
          <w:lang w:val="en-US" w:eastAsia="zh-CN"/>
        </w:rPr>
      </w:pPr>
      <w:r>
        <w:rPr>
          <w:rFonts w:hint="eastAsia"/>
          <w:lang w:val="en-US" w:eastAsia="zh-CN"/>
        </w:rPr>
        <w:t>安装附着</w:t>
      </w:r>
    </w:p>
    <w:p>
      <w:pPr>
        <w:numPr>
          <w:ilvl w:val="0"/>
          <w:numId w:val="47"/>
        </w:numPr>
        <w:ind w:firstLineChars="0"/>
        <w:rPr>
          <w:rFonts w:ascii="Times New Roman" w:hAnsi="Times New Roman" w:eastAsia="宋体" w:cs="Times New Roman"/>
        </w:rPr>
      </w:pPr>
      <w:r>
        <w:rPr>
          <w:rFonts w:hint="eastAsia" w:ascii="Times New Roman" w:hAnsi="Times New Roman" w:eastAsia="宋体" w:cs="Times New Roman"/>
        </w:rPr>
        <w:t>附着安装平台设置</w:t>
      </w:r>
    </w:p>
    <w:p>
      <w:pPr>
        <w:ind w:firstLine="480"/>
        <w:rPr>
          <w:rFonts w:ascii="Times New Roman" w:hAnsi="Times New Roman" w:eastAsia="宋体" w:cs="Times New Roman"/>
        </w:rPr>
      </w:pPr>
      <w:r>
        <w:rPr>
          <w:rFonts w:hint="eastAsia" w:ascii="Times New Roman" w:hAnsi="Times New Roman" w:eastAsia="宋体" w:cs="Times New Roman"/>
        </w:rPr>
        <w:t>为方便附墙框及撑杆的安装及拆除工作，在每道附墙的下方设置附着安装平台，塔柱端附墙安装平台除覆盖附墙的位置外，一直延伸至对应塔柱上施工电梯的位置，与电梯过渡，形成安装人员的上下及水平通道。</w:t>
      </w:r>
    </w:p>
    <w:p>
      <w:pPr>
        <w:ind w:firstLine="480"/>
        <w:rPr>
          <w:rFonts w:ascii="Times New Roman" w:hAnsi="Times New Roman" w:eastAsia="宋体" w:cs="Times New Roman"/>
        </w:rPr>
      </w:pPr>
      <w:r>
        <w:rPr>
          <w:rFonts w:hint="eastAsia" w:ascii="Times New Roman" w:hAnsi="Times New Roman" w:eastAsia="宋体" w:cs="Times New Roman"/>
        </w:rPr>
        <w:t>塔柱端附墙安装平台采用装配化牛腿平台，平台由走道板、牛腿和预埋爬锥组成。牛腿采用2[16a型钢焊接制作，上端焊接20mm厚钢板，并设置成卡槽式，直接卡至预埋螺栓上，下端焊接20mm厚钢板直接顶紧在塔柱表面上，牛腿上铺设工14工字钢，工字钢顶部铺设6mm厚花纹钢板。塔柱端施工平台在地面上分段组拼成整体，安装时直接吊至指定位置，卡在预埋螺栓上，设置好保险卡板，拆除时取下保险卡板后，直接吊至地面上。施工作业平台外侧焊接不低于1.2m高的防护栏杆（A48.3×3.6mm），栏杆立杆间距2m，水平横杆（A48.3×3.6mm）的竖向间距按照60cm一道进行布置，外侧设置20cm高的挡脚板并满挂安全网。</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2429510" cy="2159635"/>
            <wp:effectExtent l="0" t="0" r="0" b="4445"/>
            <wp:docPr id="79891" name="图片 14"/>
            <wp:cNvGraphicFramePr/>
            <a:graphic xmlns:a="http://schemas.openxmlformats.org/drawingml/2006/main">
              <a:graphicData uri="http://schemas.openxmlformats.org/drawingml/2006/picture">
                <pic:pic xmlns:pic="http://schemas.openxmlformats.org/drawingml/2006/picture">
                  <pic:nvPicPr>
                    <pic:cNvPr id="79891" name="图片 14"/>
                    <pic:cNvPicPr/>
                  </pic:nvPicPr>
                  <pic:blipFill>
                    <a:blip r:embed="rId72"/>
                    <a:stretch>
                      <a:fillRect/>
                    </a:stretch>
                  </pic:blipFill>
                  <pic:spPr>
                    <a:xfrm>
                      <a:off x="0" y="0"/>
                      <a:ext cx="2429510" cy="2159635"/>
                    </a:xfrm>
                    <a:prstGeom prst="rect">
                      <a:avLst/>
                    </a:prstGeom>
                    <a:noFill/>
                    <a:ln>
                      <a:noFill/>
                    </a:ln>
                  </pic:spPr>
                </pic:pic>
              </a:graphicData>
            </a:graphic>
          </wp:inline>
        </w:drawing>
      </w:r>
      <w:r>
        <w:rPr>
          <w:rFonts w:ascii="Times New Roman" w:hAnsi="Times New Roman" w:eastAsia="宋体" w:cs="Times New Roman"/>
          <w:b/>
          <w:kern w:val="2"/>
          <w:sz w:val="21"/>
          <w:szCs w:val="21"/>
          <w:lang w:val="en-US" w:eastAsia="zh-CN" w:bidi="ar-SA"/>
        </w:rPr>
        <w:drawing>
          <wp:inline distT="0" distB="0" distL="0" distR="0">
            <wp:extent cx="2807970" cy="2099945"/>
            <wp:effectExtent l="0" t="0" r="11430" b="3175"/>
            <wp:docPr id="15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2"/>
                    <pic:cNvPicPr>
                      <a:picLocks noChangeAspect="1"/>
                    </pic:cNvPicPr>
                  </pic:nvPicPr>
                  <pic:blipFill>
                    <a:blip r:embed="rId73"/>
                    <a:stretch>
                      <a:fillRect/>
                    </a:stretch>
                  </pic:blipFill>
                  <pic:spPr>
                    <a:xfrm>
                      <a:off x="0" y="0"/>
                      <a:ext cx="2808000" cy="2100472"/>
                    </a:xfrm>
                    <a:prstGeom prst="rect">
                      <a:avLst/>
                    </a:prstGeom>
                    <a:noFill/>
                    <a:ln>
                      <a:noFill/>
                    </a:ln>
                  </pic:spPr>
                </pic:pic>
              </a:graphicData>
            </a:graphic>
          </wp:inline>
        </w:drawing>
      </w:r>
    </w:p>
    <w:p>
      <w:pPr>
        <w:keepNext w:val="0"/>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32</w:t>
      </w:r>
      <w:r>
        <w:rPr>
          <w:rFonts w:hint="eastAsia" w:ascii="Times New Roman" w:hAnsi="Times New Roman" w:eastAsia="宋体" w:cs="Times New Roman"/>
          <w:b/>
          <w:kern w:val="2"/>
          <w:sz w:val="21"/>
          <w:szCs w:val="21"/>
          <w:lang w:val="en-US" w:eastAsia="zh-CN" w:bidi="ar-SA"/>
        </w:rPr>
        <w:t>附着安装操作平台示意图</w:t>
      </w:r>
    </w:p>
    <w:p>
      <w:pPr>
        <w:ind w:firstLine="480"/>
        <w:rPr>
          <w:rFonts w:ascii="Times New Roman" w:hAnsi="Times New Roman" w:eastAsia="宋体" w:cs="Times New Roman"/>
        </w:rPr>
      </w:pPr>
      <w:r>
        <w:rPr>
          <w:rFonts w:hint="eastAsia" w:ascii="Times New Roman" w:hAnsi="Times New Roman" w:eastAsia="宋体" w:cs="Times New Roman"/>
        </w:rPr>
        <w:t>塔机端附墙施工平台采用厂家提供的专用作业平台，作业人员通过塔身内爬梯，爬升到附着安装位置对应的标准节处，将安全带在上方横杆上系挂牢固，站在下方合适高度的横杆上，将附着安装操作平台吊装至对应高度后，作业人员采用螺栓将附着安装操作平台固定在塔身上。</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4817745" cy="2519680"/>
            <wp:effectExtent l="0" t="0" r="13335" b="10160"/>
            <wp:docPr id="15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4" descr="IMG_256"/>
                    <pic:cNvPicPr>
                      <a:picLocks noChangeAspect="1"/>
                    </pic:cNvPicPr>
                  </pic:nvPicPr>
                  <pic:blipFill>
                    <a:blip r:embed="rId74"/>
                    <a:stretch>
                      <a:fillRect/>
                    </a:stretch>
                  </pic:blipFill>
                  <pic:spPr>
                    <a:xfrm>
                      <a:off x="0" y="0"/>
                      <a:ext cx="4818274" cy="2520000"/>
                    </a:xfrm>
                    <a:prstGeom prst="rect">
                      <a:avLst/>
                    </a:prstGeom>
                    <a:noFill/>
                    <a:ln w="9525">
                      <a:noFill/>
                    </a:ln>
                  </pic:spPr>
                </pic:pic>
              </a:graphicData>
            </a:graphic>
          </wp:inline>
        </w:drawing>
      </w:r>
    </w:p>
    <w:p>
      <w:pPr>
        <w:keepNext w:val="0"/>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33</w:t>
      </w:r>
      <w:r>
        <w:rPr>
          <w:rFonts w:hint="eastAsia" w:ascii="Times New Roman" w:hAnsi="Times New Roman" w:eastAsia="宋体" w:cs="Times New Roman"/>
          <w:b/>
          <w:kern w:val="2"/>
          <w:sz w:val="21"/>
          <w:szCs w:val="21"/>
          <w:lang w:val="en-US" w:eastAsia="zh-CN" w:bidi="ar-SA"/>
        </w:rPr>
        <w:t>塔机端附墙施工平台示意图</w:t>
      </w:r>
    </w:p>
    <w:p>
      <w:pPr>
        <w:numPr>
          <w:ilvl w:val="0"/>
          <w:numId w:val="47"/>
        </w:numPr>
        <w:ind w:firstLineChars="0"/>
        <w:rPr>
          <w:rFonts w:ascii="Times New Roman" w:hAnsi="Times New Roman" w:eastAsia="宋体" w:cs="Times New Roman"/>
        </w:rPr>
      </w:pPr>
      <w:r>
        <w:rPr>
          <w:rFonts w:hint="eastAsia" w:ascii="Times New Roman" w:hAnsi="Times New Roman" w:eastAsia="宋体" w:cs="Times New Roman"/>
        </w:rPr>
        <w:t>安装附着框</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4222115" cy="4319905"/>
            <wp:effectExtent l="0" t="0" r="14605" b="825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75"/>
                    <a:stretch>
                      <a:fillRect/>
                    </a:stretch>
                  </pic:blipFill>
                  <pic:spPr>
                    <a:xfrm>
                      <a:off x="0" y="0"/>
                      <a:ext cx="4222396" cy="4320000"/>
                    </a:xfrm>
                    <a:prstGeom prst="rect">
                      <a:avLst/>
                    </a:prstGeom>
                  </pic:spPr>
                </pic:pic>
              </a:graphicData>
            </a:graphic>
          </wp:inline>
        </w:drawing>
      </w:r>
    </w:p>
    <w:p>
      <w:pPr>
        <w:keepNext w:val="0"/>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34</w:t>
      </w:r>
      <w:r>
        <w:rPr>
          <w:rFonts w:ascii="Times New Roman" w:hAnsi="Times New Roman" w:eastAsia="宋体" w:cs="Times New Roman"/>
          <w:b/>
          <w:kern w:val="2"/>
          <w:sz w:val="21"/>
          <w:szCs w:val="21"/>
          <w:lang w:val="en-US" w:eastAsia="zh-CN" w:bidi="ar-SA"/>
        </w:rPr>
        <w:t xml:space="preserve"> </w:t>
      </w:r>
      <w:r>
        <w:rPr>
          <w:rFonts w:hint="eastAsia" w:ascii="Times New Roman" w:hAnsi="Times New Roman" w:eastAsia="宋体" w:cs="Times New Roman"/>
          <w:b/>
          <w:kern w:val="2"/>
          <w:sz w:val="21"/>
          <w:szCs w:val="21"/>
          <w:lang w:val="en-US" w:eastAsia="zh-CN" w:bidi="ar-SA"/>
        </w:rPr>
        <w:t>附着框结构（mm）</w:t>
      </w:r>
    </w:p>
    <w:p>
      <w:pPr>
        <w:ind w:firstLine="480"/>
        <w:rPr>
          <w:rFonts w:ascii="Times New Roman" w:hAnsi="Times New Roman" w:eastAsia="宋体" w:cs="Times New Roman"/>
        </w:rPr>
      </w:pPr>
      <w:r>
        <w:rPr>
          <w:rFonts w:hint="eastAsia" w:ascii="Times New Roman" w:hAnsi="Times New Roman" w:eastAsia="宋体" w:cs="Times New Roman"/>
        </w:rPr>
        <w:t>将附着框半梁套在塔身上，用高强螺栓将两半梁连接。作业人员通过塔身内爬梯，爬升到塔机附墙安装操作平台，将安全带系挂在上方塔身横杆上，采用塔吊将两套框梁吊到相应高度并用钢丝绳+卸扣挂在塔身上。提升至安装位置后通过顶紧装置将附着框与塔身的四根主弦杆顶紧。</w:t>
      </w:r>
    </w:p>
    <w:p>
      <w:pPr>
        <w:ind w:firstLine="480"/>
        <w:rPr>
          <w:rFonts w:ascii="Times New Roman" w:hAnsi="Times New Roman" w:eastAsia="宋体" w:cs="Times New Roman"/>
        </w:rPr>
      </w:pPr>
      <w:r>
        <w:rPr>
          <w:rFonts w:hint="eastAsia" w:ascii="Times New Roman" w:hAnsi="Times New Roman" w:eastAsia="宋体" w:cs="Times New Roman"/>
        </w:rPr>
        <w:t>框梁吊装时采用两点吊，吊点布置于两端距端头0.5m，吊索与框梁采用捆绑法连接。吊索采用24mm的6×19S+FC 1700Mpa钢丝绳，卸扣采用GB/T 25854-6-DW8型卸扣。</w:t>
      </w:r>
    </w:p>
    <w:p>
      <w:pPr>
        <w:numPr>
          <w:ilvl w:val="0"/>
          <w:numId w:val="47"/>
        </w:numPr>
        <w:ind w:firstLineChars="0"/>
        <w:rPr>
          <w:rFonts w:ascii="Times New Roman" w:hAnsi="Times New Roman" w:eastAsia="宋体" w:cs="Times New Roman"/>
        </w:rPr>
      </w:pPr>
      <w:r>
        <w:rPr>
          <w:rFonts w:hint="eastAsia" w:ascii="Times New Roman" w:hAnsi="Times New Roman" w:eastAsia="宋体" w:cs="Times New Roman"/>
        </w:rPr>
        <w:t>安装耳座</w:t>
      </w:r>
    </w:p>
    <w:p>
      <w:pPr>
        <w:ind w:firstLine="480"/>
        <w:rPr>
          <w:rFonts w:ascii="Times New Roman" w:hAnsi="Times New Roman" w:eastAsia="宋体" w:cs="Times New Roman"/>
        </w:rPr>
      </w:pPr>
      <w:r>
        <w:rPr>
          <w:rFonts w:hint="eastAsia" w:ascii="Times New Roman" w:hAnsi="Times New Roman" w:eastAsia="宋体" w:cs="Times New Roman"/>
        </w:rPr>
        <w:t>塔机侧作业人员通过塔身内爬梯，爬升到塔机附墙安装操作平台，将安全带系挂在上方塔身横杆上，塔柱侧作业人员通过电梯到达塔柱附墙安装操作平台，将安全带系挂在柱附墙安装操作平台防护栏杆上，采用塔吊将附墙耳座起吊至相应高度与附墙预埋件进行连。</w:t>
      </w:r>
    </w:p>
    <w:p>
      <w:pPr>
        <w:ind w:firstLine="480"/>
        <w:rPr>
          <w:rFonts w:ascii="Times New Roman" w:hAnsi="Times New Roman" w:eastAsia="宋体" w:cs="Times New Roman"/>
        </w:rPr>
      </w:pPr>
      <w:r>
        <w:rPr>
          <w:rFonts w:hint="eastAsia" w:ascii="Times New Roman" w:hAnsi="Times New Roman" w:eastAsia="宋体" w:cs="Times New Roman"/>
        </w:rPr>
        <w:t>如耳座与建筑物采用预埋方式连接，耳座与预埋板的焊接，建议采用E5016焊条施焊，焊高18mm；如耳座与建筑物采用螺栓连接，预埋螺栓的定位尺寸可根据图4耳座底板图进行布置，其中耳座预留</w:t>
      </w:r>
      <w:r>
        <w:rPr>
          <w:rFonts w:hint="eastAsia" w:cs="Times New Roman"/>
          <w:lang w:val="en-US" w:eastAsia="zh-CN"/>
        </w:rPr>
        <w:t>10</w:t>
      </w:r>
      <w:r>
        <w:rPr>
          <w:rFonts w:hint="eastAsia" w:ascii="Times New Roman" w:hAnsi="Times New Roman" w:eastAsia="宋体" w:cs="Times New Roman"/>
        </w:rPr>
        <w:t>个φ33螺栓孔，使用8.8级及以上M30螺栓，实际安装6个螺栓即可满足要求(需对称放置)。</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drawing>
          <wp:inline distT="0" distB="0" distL="114300" distR="114300">
            <wp:extent cx="3909060" cy="1950720"/>
            <wp:effectExtent l="0" t="0" r="7620" b="0"/>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pic:cNvPicPr>
                      <a:picLocks noChangeAspect="1"/>
                    </pic:cNvPicPr>
                  </pic:nvPicPr>
                  <pic:blipFill>
                    <a:blip r:embed="rId76"/>
                    <a:stretch>
                      <a:fillRect/>
                    </a:stretch>
                  </pic:blipFill>
                  <pic:spPr>
                    <a:xfrm>
                      <a:off x="0" y="0"/>
                      <a:ext cx="3909060" cy="1950720"/>
                    </a:xfrm>
                    <a:prstGeom prst="rect">
                      <a:avLst/>
                    </a:prstGeom>
                    <a:noFill/>
                    <a:ln>
                      <a:noFill/>
                    </a:ln>
                  </pic:spPr>
                </pic:pic>
              </a:graphicData>
            </a:graphic>
          </wp:inline>
        </w:drawing>
      </w:r>
    </w:p>
    <w:p>
      <w:pPr>
        <w:keepNext w:val="0"/>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STYLEREF </w:instrText>
      </w:r>
      <w:r>
        <w:rPr>
          <w:rFonts w:ascii="Times New Roman" w:hAnsi="Times New Roman" w:eastAsia="宋体" w:cs="Times New Roman"/>
          <w:b/>
          <w:kern w:val="2"/>
          <w:sz w:val="21"/>
          <w:szCs w:val="21"/>
          <w:lang w:val="en-US" w:eastAsia="zh-CN" w:bidi="ar-SA"/>
        </w:rPr>
        <w:instrText xml:space="preserve">3</w:instrText>
      </w:r>
      <w:r>
        <w:rPr>
          <w:rFonts w:hint="eastAsia" w:ascii="Times New Roman" w:hAnsi="Times New Roman" w:eastAsia="宋体" w:cs="Times New Roman"/>
          <w:b/>
          <w:kern w:val="2"/>
          <w:sz w:val="21"/>
          <w:szCs w:val="21"/>
          <w:lang w:val="en-US" w:eastAsia="zh-CN" w:bidi="ar-SA"/>
        </w:rPr>
        <w:instrText xml:space="preserve"> \s</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4.5.1</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SEQ 图 \* ARABIC \s </w:instrText>
      </w:r>
      <w:r>
        <w:rPr>
          <w:rFonts w:ascii="Times New Roman" w:hAnsi="Times New Roman" w:eastAsia="宋体" w:cs="Times New Roman"/>
          <w:b/>
          <w:kern w:val="2"/>
          <w:sz w:val="21"/>
          <w:szCs w:val="21"/>
          <w:lang w:val="en-US" w:eastAsia="zh-CN" w:bidi="ar-SA"/>
        </w:rPr>
        <w:instrText xml:space="preserve">3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107</w:t>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b/>
          <w:kern w:val="2"/>
          <w:sz w:val="21"/>
          <w:szCs w:val="21"/>
          <w:lang w:val="en-US" w:eastAsia="zh-CN" w:bidi="ar-SA"/>
        </w:rPr>
        <w:t xml:space="preserve"> </w:t>
      </w:r>
      <w:r>
        <w:rPr>
          <w:rFonts w:hint="eastAsia" w:ascii="Times New Roman" w:hAnsi="Times New Roman" w:eastAsia="宋体" w:cs="Times New Roman"/>
          <w:b/>
          <w:kern w:val="2"/>
          <w:sz w:val="21"/>
          <w:szCs w:val="21"/>
          <w:lang w:val="en-US" w:eastAsia="zh-CN" w:bidi="ar-SA"/>
        </w:rPr>
        <w:t>耳座结构（mm）</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drawing>
          <wp:inline distT="0" distB="0" distL="114300" distR="114300">
            <wp:extent cx="4150360" cy="2659380"/>
            <wp:effectExtent l="0" t="0" r="10160" b="7620"/>
            <wp:docPr id="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9"/>
                    <pic:cNvPicPr>
                      <a:picLocks noChangeAspect="1"/>
                    </pic:cNvPicPr>
                  </pic:nvPicPr>
                  <pic:blipFill>
                    <a:blip r:embed="rId77"/>
                    <a:stretch>
                      <a:fillRect/>
                    </a:stretch>
                  </pic:blipFill>
                  <pic:spPr>
                    <a:xfrm>
                      <a:off x="0" y="0"/>
                      <a:ext cx="4150360" cy="2659380"/>
                    </a:xfrm>
                    <a:prstGeom prst="rect">
                      <a:avLst/>
                    </a:prstGeom>
                    <a:noFill/>
                    <a:ln>
                      <a:noFill/>
                    </a:ln>
                  </pic:spPr>
                </pic:pic>
              </a:graphicData>
            </a:graphic>
          </wp:inline>
        </w:drawing>
      </w:r>
    </w:p>
    <w:p>
      <w:pPr>
        <w:keepNext w:val="0"/>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35</w:t>
      </w:r>
      <w:r>
        <w:rPr>
          <w:rFonts w:ascii="Times New Roman" w:hAnsi="Times New Roman" w:eastAsia="宋体" w:cs="Times New Roman"/>
          <w:b/>
          <w:kern w:val="2"/>
          <w:sz w:val="21"/>
          <w:szCs w:val="21"/>
          <w:lang w:val="en-US" w:eastAsia="zh-CN" w:bidi="ar-SA"/>
        </w:rPr>
        <w:t xml:space="preserve"> 耳座</w:t>
      </w:r>
      <w:r>
        <w:rPr>
          <w:rFonts w:hint="eastAsia" w:ascii="Times New Roman" w:hAnsi="Times New Roman" w:eastAsia="宋体" w:cs="Times New Roman"/>
          <w:b/>
          <w:kern w:val="2"/>
          <w:sz w:val="21"/>
          <w:szCs w:val="21"/>
          <w:lang w:val="en-US" w:eastAsia="zh-CN" w:bidi="ar-SA"/>
        </w:rPr>
        <w:t>螺栓布置示意图</w:t>
      </w:r>
    </w:p>
    <w:p>
      <w:pPr>
        <w:numPr>
          <w:ilvl w:val="0"/>
          <w:numId w:val="47"/>
        </w:numPr>
        <w:ind w:firstLineChars="0"/>
        <w:rPr>
          <w:rFonts w:ascii="Times New Roman" w:hAnsi="Times New Roman" w:eastAsia="宋体" w:cs="Times New Roman"/>
        </w:rPr>
      </w:pPr>
      <w:r>
        <w:rPr>
          <w:rFonts w:hint="eastAsia" w:ascii="Times New Roman" w:hAnsi="Times New Roman" w:eastAsia="宋体" w:cs="Times New Roman"/>
        </w:rPr>
        <w:t>安装附着撑杆</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5273675" cy="3578225"/>
            <wp:effectExtent l="0" t="0" r="14605" b="3175"/>
            <wp:docPr id="50" name="图片 50" descr="1678617179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678617179416"/>
                    <pic:cNvPicPr>
                      <a:picLocks noChangeAspect="1"/>
                    </pic:cNvPicPr>
                  </pic:nvPicPr>
                  <pic:blipFill>
                    <a:blip r:embed="rId78"/>
                    <a:srcRect r="813"/>
                    <a:stretch>
                      <a:fillRect/>
                    </a:stretch>
                  </pic:blipFill>
                  <pic:spPr>
                    <a:xfrm>
                      <a:off x="0" y="0"/>
                      <a:ext cx="5274000" cy="3578640"/>
                    </a:xfrm>
                    <a:prstGeom prst="rect">
                      <a:avLst/>
                    </a:prstGeom>
                    <a:ln>
                      <a:noFill/>
                    </a:ln>
                  </pic:spPr>
                </pic:pic>
              </a:graphicData>
            </a:graphic>
          </wp:inline>
        </w:drawing>
      </w:r>
    </w:p>
    <w:p>
      <w:pPr>
        <w:keepNext w:val="0"/>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36</w:t>
      </w:r>
      <w:r>
        <w:rPr>
          <w:rFonts w:ascii="Times New Roman" w:hAnsi="Times New Roman" w:eastAsia="宋体" w:cs="Times New Roman"/>
          <w:b/>
          <w:kern w:val="2"/>
          <w:sz w:val="21"/>
          <w:szCs w:val="21"/>
          <w:lang w:val="en-US" w:eastAsia="zh-CN" w:bidi="ar-SA"/>
        </w:rPr>
        <w:t xml:space="preserve"> </w:t>
      </w:r>
      <w:r>
        <w:rPr>
          <w:rFonts w:hint="eastAsia" w:ascii="Times New Roman" w:hAnsi="Times New Roman" w:eastAsia="宋体" w:cs="Times New Roman"/>
          <w:b/>
          <w:kern w:val="2"/>
          <w:sz w:val="21"/>
          <w:szCs w:val="21"/>
          <w:lang w:val="en-US" w:eastAsia="zh-CN" w:bidi="ar-SA"/>
        </w:rPr>
        <w:t>撑杆结构（mm）</w:t>
      </w:r>
    </w:p>
    <w:p>
      <w:pPr>
        <w:numPr>
          <w:ilvl w:val="0"/>
          <w:numId w:val="48"/>
        </w:numPr>
        <w:ind w:firstLineChars="0"/>
        <w:rPr>
          <w:rFonts w:ascii="Times New Roman" w:hAnsi="Times New Roman" w:eastAsia="宋体" w:cs="Times New Roman"/>
        </w:rPr>
      </w:pPr>
      <w:r>
        <w:rPr>
          <w:rFonts w:hint="eastAsia" w:ascii="Times New Roman" w:hAnsi="Times New Roman" w:eastAsia="宋体" w:cs="Times New Roman"/>
        </w:rPr>
        <w:t>采用塔吊将撑杆起吊至附墙安装高度，塔机侧和塔柱侧作业人员分别将撑杆两端与附墙框和塔柱预埋件耳座连接。撑杆吊装时采用两点吊，吊点布置于两端距端头0.5m，吊索与撑杆采用捆绑法连接。吊索采用24mm的6×19S+FC 1700Mpa钢丝绳，卸扣采用GB/T 25854-6-DW8型卸扣；</w:t>
      </w:r>
    </w:p>
    <w:p>
      <w:pPr>
        <w:numPr>
          <w:ilvl w:val="0"/>
          <w:numId w:val="48"/>
        </w:numPr>
        <w:ind w:firstLineChars="0"/>
        <w:rPr>
          <w:rFonts w:ascii="Times New Roman" w:hAnsi="Times New Roman" w:eastAsia="宋体" w:cs="Times New Roman"/>
        </w:rPr>
      </w:pPr>
      <w:r>
        <w:rPr>
          <w:rFonts w:hint="eastAsia" w:ascii="Times New Roman" w:hAnsi="Times New Roman" w:eastAsia="宋体" w:cs="Times New Roman"/>
        </w:rPr>
        <w:t>作业人员采用塔吊或手拉葫芦调整框梁水平高度直至满足要求。四根撑杆应尽量处于同一水平面上。但在安装附着框和斜撑杆时，若与塔身标准节的某些部位发生干涉，可适当调整附着框及斜撑杆的安装高度,保证撑杆的水平度不超过撑杆长度的1/100；</w:t>
      </w:r>
    </w:p>
    <w:p>
      <w:pPr>
        <w:numPr>
          <w:ilvl w:val="0"/>
          <w:numId w:val="48"/>
        </w:numPr>
        <w:ind w:firstLineChars="0"/>
        <w:rPr>
          <w:rFonts w:ascii="Times New Roman" w:hAnsi="Times New Roman" w:eastAsia="宋体" w:cs="Times New Roman"/>
        </w:rPr>
      </w:pPr>
      <w:r>
        <w:rPr>
          <w:rFonts w:hint="eastAsia" w:ascii="Times New Roman" w:hAnsi="Times New Roman" w:eastAsia="宋体" w:cs="Times New Roman"/>
        </w:rPr>
        <w:t>撑杆上允许搭设供人从建筑物通向塔机的跳板，但严格禁止堆放重物；</w:t>
      </w:r>
    </w:p>
    <w:p>
      <w:pPr>
        <w:numPr>
          <w:ilvl w:val="0"/>
          <w:numId w:val="48"/>
        </w:numPr>
        <w:ind w:firstLineChars="0"/>
        <w:rPr>
          <w:rFonts w:ascii="Times New Roman" w:hAnsi="Times New Roman" w:eastAsia="宋体" w:cs="Times New Roman"/>
        </w:rPr>
      </w:pPr>
      <w:r>
        <w:rPr>
          <w:rFonts w:hint="eastAsia" w:ascii="Times New Roman" w:hAnsi="Times New Roman" w:eastAsia="宋体" w:cs="Times New Roman"/>
        </w:rPr>
        <w:t>安装附着架时，应当用经纬仪检查塔身轴心线的垂直度，最上一道附着架以上塔身轴心线的侧向垂直度允差为4/1000，最上一道附着架以下塔身轴心线的垂直度允差为2/1000，允许用调节附着撑杆的长度来达到；</w:t>
      </w:r>
    </w:p>
    <w:p>
      <w:pPr>
        <w:numPr>
          <w:ilvl w:val="0"/>
          <w:numId w:val="48"/>
        </w:numPr>
        <w:ind w:firstLineChars="0"/>
        <w:rPr>
          <w:rFonts w:ascii="Times New Roman" w:hAnsi="Times New Roman" w:eastAsia="宋体" w:cs="Times New Roman"/>
        </w:rPr>
      </w:pPr>
      <w:r>
        <w:rPr>
          <w:rFonts w:hint="eastAsia" w:ascii="Times New Roman" w:hAnsi="Times New Roman" w:eastAsia="宋体" w:cs="Times New Roman"/>
        </w:rPr>
        <w:t>附着撑杆与附着框、耳座，以及附着框与塔身、顶紧装置的连接必须可靠。顶紧装置应可靠地将塔身主弦杆顶紧。各调节螺栓调整好后，应将螺母可靠地拧紧。开口销应按规定张开，运行后应经常检查是否发生松动，并及时进行调整。</w:t>
      </w:r>
    </w:p>
    <w:p>
      <w:pPr>
        <w:spacing w:after="120" w:afterLines="50" w:line="360" w:lineRule="auto"/>
        <w:ind w:firstLine="480"/>
        <w:jc w:val="left"/>
        <w:rPr>
          <w:rFonts w:hint="eastAsia" w:ascii="宋体" w:hAnsi="宋体" w:eastAsia="宋体" w:cs="宋体"/>
          <w:bCs/>
          <w:color w:val="000000"/>
          <w:szCs w:val="24"/>
        </w:rPr>
      </w:pPr>
      <w:r>
        <w:rPr>
          <w:rFonts w:hint="eastAsia" w:ascii="Times New Roman" w:hAnsi="Times New Roman" w:eastAsia="宋体" w:cs="Times New Roman"/>
        </w:rPr>
        <w:t>当伸缩撑杆上销轴孔与销轴间隙&gt;1mm时，伸缩撑杆禁止使用。</w:t>
      </w:r>
    </w:p>
    <w:p>
      <w:pPr>
        <w:pStyle w:val="4"/>
        <w:bidi w:val="0"/>
        <w:rPr>
          <w:rFonts w:hint="eastAsia"/>
          <w:lang w:val="en-US" w:eastAsia="zh-CN"/>
        </w:rPr>
      </w:pPr>
      <w:bookmarkStart w:id="106" w:name="_Toc24204"/>
      <w:r>
        <w:rPr>
          <w:rFonts w:hint="eastAsia"/>
          <w:lang w:val="en-US" w:eastAsia="zh-CN"/>
        </w:rPr>
        <w:t>拆卸工艺</w:t>
      </w:r>
      <w:bookmarkEnd w:id="106"/>
    </w:p>
    <w:p>
      <w:pPr>
        <w:pStyle w:val="5"/>
        <w:bidi w:val="0"/>
        <w:rPr>
          <w:lang w:val="en-US" w:eastAsia="zh-CN"/>
        </w:rPr>
      </w:pPr>
      <w:bookmarkStart w:id="107" w:name="_Toc1385394900"/>
      <w:bookmarkStart w:id="108" w:name="_Toc17383766"/>
      <w:r>
        <w:rPr>
          <w:rFonts w:hint="eastAsia"/>
          <w:lang w:val="en-US" w:eastAsia="zh-CN"/>
        </w:rPr>
        <w:t>技术准备</w:t>
      </w:r>
      <w:bookmarkEnd w:id="107"/>
      <w:bookmarkEnd w:id="108"/>
    </w:p>
    <w:p>
      <w:pPr>
        <w:numPr>
          <w:ilvl w:val="0"/>
          <w:numId w:val="0"/>
        </w:numPr>
        <w:spacing w:after="0" w:afterLines="-2147483648" w:line="360" w:lineRule="auto"/>
        <w:ind w:left="425" w:leftChars="0" w:firstLine="200"/>
        <w:jc w:val="left"/>
        <w:rPr>
          <w:rFonts w:hint="eastAsia" w:ascii="宋体" w:hAnsi="宋体" w:eastAsia="宋体" w:cs="宋体"/>
          <w:color w:val="auto"/>
          <w:kern w:val="0"/>
          <w:szCs w:val="24"/>
          <w:lang w:eastAsia="zh-CN"/>
        </w:rPr>
      </w:pPr>
      <w:bookmarkStart w:id="109" w:name="_Toc17383767"/>
      <w:r>
        <w:rPr>
          <w:rFonts w:hint="eastAsia" w:ascii="宋体" w:hAnsi="宋体" w:eastAsia="宋体" w:cs="宋体"/>
          <w:color w:val="auto"/>
          <w:kern w:val="0"/>
          <w:szCs w:val="24"/>
          <w:lang w:eastAsia="zh-CN"/>
        </w:rPr>
        <w:t>（</w:t>
      </w:r>
      <w:r>
        <w:rPr>
          <w:rFonts w:hint="eastAsia" w:ascii="宋体" w:hAnsi="宋体" w:eastAsia="宋体" w:cs="宋体"/>
          <w:color w:val="auto"/>
          <w:kern w:val="0"/>
          <w:szCs w:val="24"/>
          <w:lang w:val="en-US" w:eastAsia="zh-CN"/>
        </w:rPr>
        <w:t>1</w:t>
      </w:r>
      <w:r>
        <w:rPr>
          <w:rFonts w:hint="eastAsia" w:ascii="宋体" w:hAnsi="宋体" w:eastAsia="宋体" w:cs="宋体"/>
          <w:color w:val="auto"/>
          <w:kern w:val="0"/>
          <w:szCs w:val="24"/>
          <w:lang w:eastAsia="zh-CN"/>
        </w:rPr>
        <w:t>）</w:t>
      </w:r>
      <w:r>
        <w:rPr>
          <w:rFonts w:hint="eastAsia" w:ascii="宋体" w:hAnsi="宋体" w:eastAsia="宋体" w:cs="宋体"/>
          <w:color w:val="auto"/>
          <w:kern w:val="0"/>
          <w:szCs w:val="24"/>
          <w:lang w:eastAsia="zh-TW"/>
        </w:rPr>
        <w:t>全体人员必须严格遵守施工现场各项安全规章制度。</w:t>
      </w:r>
    </w:p>
    <w:p>
      <w:pPr>
        <w:numPr>
          <w:ilvl w:val="0"/>
          <w:numId w:val="0"/>
        </w:numPr>
        <w:spacing w:after="0" w:afterLines="-2147483648" w:line="360" w:lineRule="auto"/>
        <w:ind w:left="425" w:leftChars="0" w:firstLine="200"/>
        <w:jc w:val="left"/>
        <w:rPr>
          <w:rFonts w:hint="eastAsia" w:ascii="宋体" w:hAnsi="宋体" w:eastAsia="宋体" w:cs="宋体"/>
          <w:color w:val="auto"/>
          <w:szCs w:val="22"/>
        </w:rPr>
      </w:pPr>
      <w:r>
        <w:rPr>
          <w:rFonts w:hint="eastAsia" w:ascii="宋体" w:hAnsi="宋体" w:eastAsia="宋体" w:cs="宋体"/>
          <w:color w:val="auto"/>
          <w:kern w:val="0"/>
          <w:szCs w:val="24"/>
          <w:lang w:eastAsia="zh-CN"/>
        </w:rPr>
        <w:t>（</w:t>
      </w:r>
      <w:r>
        <w:rPr>
          <w:rFonts w:hint="eastAsia" w:ascii="宋体" w:hAnsi="宋体" w:eastAsia="宋体" w:cs="宋体"/>
          <w:color w:val="auto"/>
          <w:kern w:val="0"/>
          <w:szCs w:val="24"/>
          <w:lang w:val="en-US" w:eastAsia="zh-CN"/>
        </w:rPr>
        <w:t>2</w:t>
      </w:r>
      <w:r>
        <w:rPr>
          <w:rFonts w:hint="eastAsia" w:ascii="宋体" w:hAnsi="宋体" w:eastAsia="宋体" w:cs="宋体"/>
          <w:color w:val="auto"/>
          <w:kern w:val="0"/>
          <w:szCs w:val="24"/>
          <w:lang w:eastAsia="zh-CN"/>
        </w:rPr>
        <w:t>）拆卸</w:t>
      </w:r>
      <w:r>
        <w:rPr>
          <w:rFonts w:hint="eastAsia" w:ascii="宋体" w:hAnsi="宋体" w:eastAsia="宋体" w:cs="宋体"/>
          <w:color w:val="auto"/>
          <w:kern w:val="0"/>
          <w:szCs w:val="24"/>
          <w:lang w:eastAsia="zh-TW"/>
        </w:rPr>
        <w:t>作业之前，组织学习</w:t>
      </w:r>
      <w:r>
        <w:rPr>
          <w:rFonts w:hint="eastAsia" w:ascii="宋体" w:hAnsi="宋体" w:eastAsia="宋体" w:cs="宋体"/>
          <w:color w:val="auto"/>
          <w:kern w:val="0"/>
          <w:szCs w:val="24"/>
          <w:lang w:eastAsia="zh-CN"/>
        </w:rPr>
        <w:t>拆卸</w:t>
      </w:r>
      <w:r>
        <w:rPr>
          <w:rFonts w:hint="eastAsia" w:ascii="宋体" w:hAnsi="宋体" w:eastAsia="宋体" w:cs="宋体"/>
          <w:color w:val="auto"/>
          <w:kern w:val="0"/>
          <w:szCs w:val="24"/>
          <w:lang w:eastAsia="zh-TW"/>
        </w:rPr>
        <w:t>安全技术方案，对班组作业人员进行安全技术交底，对分项工作内容、技术要求、安全措施以及注意事项等进行单独</w:t>
      </w:r>
      <w:r>
        <w:rPr>
          <w:rFonts w:hint="eastAsia" w:ascii="宋体" w:hAnsi="宋体" w:eastAsia="宋体" w:cs="宋体"/>
          <w:color w:val="auto"/>
          <w:kern w:val="0"/>
          <w:szCs w:val="24"/>
        </w:rPr>
        <w:t>交底。</w:t>
      </w:r>
    </w:p>
    <w:p>
      <w:pPr>
        <w:spacing w:after="0" w:afterLines="-2147483648" w:line="360" w:lineRule="auto"/>
        <w:ind w:firstLine="480"/>
        <w:jc w:val="both"/>
        <w:rPr>
          <w:rFonts w:hint="eastAsia" w:ascii="宋体" w:hAnsi="宋体" w:eastAsia="宋体" w:cs="宋体"/>
          <w:color w:val="auto"/>
          <w:szCs w:val="22"/>
        </w:rPr>
      </w:pPr>
      <w:r>
        <w:rPr>
          <w:rFonts w:hint="eastAsia" w:ascii="宋体" w:hAnsi="宋体" w:eastAsia="宋体" w:cs="宋体"/>
          <w:color w:val="auto"/>
          <w:szCs w:val="22"/>
        </w:rPr>
        <w:t>（3）对起重机</w:t>
      </w:r>
      <w:r>
        <w:rPr>
          <w:rFonts w:hint="eastAsia" w:ascii="宋体" w:hAnsi="宋体" w:eastAsia="宋体" w:cs="宋体"/>
          <w:color w:val="auto"/>
          <w:szCs w:val="22"/>
          <w:lang w:eastAsia="zh-CN"/>
        </w:rPr>
        <w:t>拆卸</w:t>
      </w:r>
      <w:r>
        <w:rPr>
          <w:rFonts w:hint="eastAsia" w:ascii="宋体" w:hAnsi="宋体" w:eastAsia="宋体" w:cs="宋体"/>
          <w:color w:val="auto"/>
          <w:szCs w:val="22"/>
        </w:rPr>
        <w:t>过程中需使用的工用索具进行清单列表。</w:t>
      </w:r>
    </w:p>
    <w:p>
      <w:pPr>
        <w:spacing w:after="0" w:afterLines="-2147483648" w:line="360" w:lineRule="auto"/>
        <w:ind w:firstLine="480"/>
        <w:jc w:val="both"/>
        <w:rPr>
          <w:rFonts w:hint="eastAsia" w:ascii="宋体" w:hAnsi="宋体" w:eastAsia="宋体" w:cs="宋体"/>
          <w:color w:val="auto"/>
          <w:szCs w:val="22"/>
        </w:rPr>
      </w:pPr>
      <w:r>
        <w:rPr>
          <w:rFonts w:hint="eastAsia" w:ascii="宋体" w:hAnsi="宋体" w:eastAsia="宋体" w:cs="宋体"/>
          <w:color w:val="auto"/>
          <w:szCs w:val="22"/>
        </w:rPr>
        <w:t>（4）备齐设备</w:t>
      </w:r>
      <w:r>
        <w:rPr>
          <w:rFonts w:hint="eastAsia" w:ascii="宋体" w:hAnsi="宋体" w:eastAsia="宋体" w:cs="宋体"/>
          <w:color w:val="auto"/>
          <w:szCs w:val="22"/>
          <w:lang w:eastAsia="zh-CN"/>
        </w:rPr>
        <w:t>拆卸</w:t>
      </w:r>
      <w:r>
        <w:rPr>
          <w:rFonts w:hint="eastAsia" w:ascii="宋体" w:hAnsi="宋体" w:eastAsia="宋体" w:cs="宋体"/>
          <w:color w:val="auto"/>
          <w:szCs w:val="22"/>
        </w:rPr>
        <w:t>所需要的各种技术资料，以备查验。</w:t>
      </w:r>
    </w:p>
    <w:p>
      <w:pPr>
        <w:numPr>
          <w:ilvl w:val="0"/>
          <w:numId w:val="0"/>
        </w:numPr>
        <w:spacing w:after="0" w:afterLines="-2147483648" w:line="360" w:lineRule="auto"/>
        <w:ind w:left="425" w:leftChars="0" w:firstLine="200"/>
        <w:jc w:val="left"/>
        <w:rPr>
          <w:rFonts w:hint="eastAsia" w:ascii="宋体" w:hAnsi="宋体" w:eastAsia="宋体" w:cs="宋体"/>
          <w:color w:val="auto"/>
          <w:kern w:val="0"/>
          <w:szCs w:val="24"/>
          <w:lang w:eastAsia="zh-TW"/>
        </w:rPr>
      </w:pPr>
      <w:bookmarkStart w:id="110" w:name="_Toc1314383526"/>
      <w:r>
        <w:rPr>
          <w:rFonts w:hint="eastAsia" w:ascii="宋体" w:hAnsi="宋体" w:eastAsia="宋体" w:cs="宋体"/>
          <w:color w:val="auto"/>
          <w:kern w:val="0"/>
          <w:szCs w:val="24"/>
          <w:lang w:eastAsia="zh-CN"/>
        </w:rPr>
        <w:t>（</w:t>
      </w:r>
      <w:r>
        <w:rPr>
          <w:rFonts w:hint="eastAsia" w:ascii="宋体" w:hAnsi="宋体" w:eastAsia="宋体" w:cs="宋体"/>
          <w:color w:val="auto"/>
          <w:kern w:val="0"/>
          <w:szCs w:val="24"/>
          <w:lang w:val="en-US" w:eastAsia="zh-CN"/>
        </w:rPr>
        <w:t>5</w:t>
      </w:r>
      <w:r>
        <w:rPr>
          <w:rFonts w:hint="eastAsia" w:ascii="宋体" w:hAnsi="宋体" w:eastAsia="宋体" w:cs="宋体"/>
          <w:color w:val="auto"/>
          <w:kern w:val="0"/>
          <w:szCs w:val="24"/>
          <w:lang w:eastAsia="zh-CN"/>
        </w:rPr>
        <w:t>）</w:t>
      </w:r>
      <w:r>
        <w:rPr>
          <w:rFonts w:hint="eastAsia" w:ascii="宋体" w:hAnsi="宋体" w:eastAsia="宋体" w:cs="宋体"/>
          <w:color w:val="auto"/>
          <w:kern w:val="0"/>
          <w:szCs w:val="24"/>
          <w:lang w:eastAsia="zh-TW"/>
        </w:rPr>
        <w:t>进入作业现场必须戴安全帽，施工人员均穿戴好安全用具，高空作业时要系好安全带，穿防滑鞋，安全带要系牢于身体上部牢固构件上，雨季应采取防滑措施。</w:t>
      </w:r>
    </w:p>
    <w:p>
      <w:pPr>
        <w:numPr>
          <w:ilvl w:val="0"/>
          <w:numId w:val="0"/>
        </w:numPr>
        <w:spacing w:after="0" w:afterLines="-2147483648" w:line="360" w:lineRule="auto"/>
        <w:ind w:left="425" w:leftChars="0" w:firstLine="200"/>
        <w:jc w:val="left"/>
        <w:rPr>
          <w:rFonts w:hint="eastAsia" w:ascii="宋体" w:hAnsi="宋体" w:eastAsia="宋体" w:cs="宋体"/>
          <w:color w:val="auto"/>
          <w:kern w:val="0"/>
          <w:szCs w:val="24"/>
          <w:lang w:eastAsia="zh-TW"/>
        </w:rPr>
      </w:pPr>
      <w:r>
        <w:rPr>
          <w:rFonts w:hint="eastAsia" w:ascii="宋体" w:hAnsi="宋体" w:eastAsia="宋体" w:cs="宋体"/>
          <w:color w:val="auto"/>
          <w:kern w:val="0"/>
          <w:szCs w:val="24"/>
          <w:lang w:eastAsia="zh-CN"/>
        </w:rPr>
        <w:t>（</w:t>
      </w:r>
      <w:r>
        <w:rPr>
          <w:rFonts w:hint="eastAsia" w:ascii="宋体" w:hAnsi="宋体" w:eastAsia="宋体" w:cs="宋体"/>
          <w:color w:val="auto"/>
          <w:kern w:val="0"/>
          <w:szCs w:val="24"/>
          <w:lang w:val="en-US" w:eastAsia="zh-CN"/>
        </w:rPr>
        <w:t>6</w:t>
      </w:r>
      <w:r>
        <w:rPr>
          <w:rFonts w:hint="eastAsia" w:ascii="宋体" w:hAnsi="宋体" w:eastAsia="宋体" w:cs="宋体"/>
          <w:color w:val="auto"/>
          <w:kern w:val="0"/>
          <w:szCs w:val="24"/>
          <w:lang w:eastAsia="zh-CN"/>
        </w:rPr>
        <w:t>）</w:t>
      </w:r>
      <w:r>
        <w:rPr>
          <w:rFonts w:hint="eastAsia" w:ascii="宋体" w:hAnsi="宋体" w:eastAsia="宋体" w:cs="宋体"/>
          <w:color w:val="auto"/>
          <w:kern w:val="0"/>
          <w:szCs w:val="24"/>
          <w:lang w:eastAsia="zh-TW"/>
        </w:rPr>
        <w:t>作业人员必须遵守高空作业规则，严禁酒后上岗及高空抛物等一些不安全</w:t>
      </w:r>
      <w:r>
        <w:rPr>
          <w:rFonts w:hint="eastAsia" w:ascii="宋体" w:hAnsi="宋体" w:eastAsia="宋体" w:cs="宋体"/>
          <w:color w:val="auto"/>
          <w:kern w:val="0"/>
          <w:szCs w:val="24"/>
        </w:rPr>
        <w:t>行</w:t>
      </w:r>
      <w:r>
        <w:rPr>
          <w:rFonts w:hint="eastAsia" w:ascii="宋体" w:hAnsi="宋体" w:eastAsia="宋体" w:cs="宋体"/>
          <w:color w:val="auto"/>
          <w:kern w:val="0"/>
          <w:szCs w:val="24"/>
          <w:lang w:eastAsia="zh-TW"/>
        </w:rPr>
        <w:t>为，各类安全用具及配件均用工具袋携带，并用绳子吊上，放置于安全的地方，安装时遇六级以上风力和大雨天气禁止作业。</w:t>
      </w:r>
    </w:p>
    <w:p>
      <w:pPr>
        <w:numPr>
          <w:ilvl w:val="0"/>
          <w:numId w:val="0"/>
        </w:numPr>
        <w:spacing w:after="0" w:afterLines="-2147483648" w:line="360" w:lineRule="auto"/>
        <w:ind w:left="425" w:leftChars="0" w:firstLine="200"/>
        <w:jc w:val="left"/>
        <w:rPr>
          <w:rFonts w:hint="eastAsia" w:ascii="宋体" w:hAnsi="宋体" w:eastAsia="宋体" w:cs="宋体"/>
          <w:color w:val="auto"/>
          <w:kern w:val="0"/>
          <w:szCs w:val="24"/>
          <w:lang w:eastAsia="zh-TW"/>
        </w:rPr>
      </w:pPr>
      <w:r>
        <w:rPr>
          <w:rFonts w:hint="eastAsia" w:ascii="宋体" w:hAnsi="宋体" w:eastAsia="宋体" w:cs="宋体"/>
          <w:color w:val="auto"/>
          <w:kern w:val="0"/>
          <w:szCs w:val="24"/>
          <w:lang w:eastAsia="zh-CN"/>
        </w:rPr>
        <w:t>（</w:t>
      </w:r>
      <w:r>
        <w:rPr>
          <w:rFonts w:hint="eastAsia" w:ascii="宋体" w:hAnsi="宋体" w:eastAsia="宋体" w:cs="宋体"/>
          <w:color w:val="auto"/>
          <w:kern w:val="0"/>
          <w:szCs w:val="24"/>
          <w:lang w:val="en-US" w:eastAsia="zh-CN"/>
        </w:rPr>
        <w:t>7</w:t>
      </w:r>
      <w:r>
        <w:rPr>
          <w:rFonts w:hint="eastAsia" w:ascii="宋体" w:hAnsi="宋体" w:eastAsia="宋体" w:cs="宋体"/>
          <w:color w:val="auto"/>
          <w:kern w:val="0"/>
          <w:szCs w:val="24"/>
          <w:lang w:eastAsia="zh-CN"/>
        </w:rPr>
        <w:t>）</w:t>
      </w:r>
      <w:r>
        <w:rPr>
          <w:rFonts w:hint="eastAsia" w:ascii="宋体" w:hAnsi="宋体" w:eastAsia="宋体" w:cs="宋体"/>
          <w:color w:val="auto"/>
          <w:kern w:val="0"/>
          <w:szCs w:val="24"/>
          <w:lang w:eastAsia="zh-TW"/>
        </w:rPr>
        <w:t>对长大物件吊点位置选择应准确，保证被吊物件平衡，起吊前应先用稳固绳把两端栓牢，防止重物旋转、摆动和碰撞。施工人员应听从专人指挥，吊运构件应缓慢，构件</w:t>
      </w:r>
      <w:r>
        <w:rPr>
          <w:rFonts w:hint="eastAsia" w:ascii="宋体" w:hAnsi="宋体" w:eastAsia="宋体" w:cs="宋体"/>
          <w:color w:val="auto"/>
          <w:kern w:val="0"/>
          <w:szCs w:val="24"/>
          <w:lang w:eastAsia="zh-CN"/>
        </w:rPr>
        <w:t>拆</w:t>
      </w:r>
      <w:r>
        <w:rPr>
          <w:rFonts w:hint="eastAsia" w:ascii="宋体" w:hAnsi="宋体" w:eastAsia="宋体" w:cs="宋体"/>
          <w:color w:val="auto"/>
          <w:kern w:val="0"/>
          <w:szCs w:val="24"/>
          <w:lang w:eastAsia="zh-TW"/>
        </w:rPr>
        <w:t>吊过程应用缆风绳牵引，防止空中转动。</w:t>
      </w:r>
    </w:p>
    <w:p>
      <w:pPr>
        <w:pStyle w:val="5"/>
        <w:bidi w:val="0"/>
        <w:rPr>
          <w:lang w:val="en-US" w:eastAsia="zh-CN"/>
        </w:rPr>
      </w:pPr>
      <w:r>
        <w:rPr>
          <w:rFonts w:hint="eastAsia"/>
          <w:lang w:val="en-US" w:eastAsia="zh-CN"/>
        </w:rPr>
        <w:t>现场准备</w:t>
      </w:r>
      <w:bookmarkEnd w:id="109"/>
      <w:bookmarkEnd w:id="110"/>
    </w:p>
    <w:p>
      <w:pPr>
        <w:spacing w:after="0" w:afterLines="-2147483648" w:line="360" w:lineRule="auto"/>
        <w:ind w:firstLine="480"/>
        <w:jc w:val="both"/>
        <w:rPr>
          <w:rFonts w:ascii="Times New Roman" w:hAnsi="Times New Roman" w:eastAsia="宋体" w:cs="Times New Roman"/>
          <w:color w:val="auto"/>
          <w:szCs w:val="22"/>
        </w:rPr>
      </w:pPr>
      <w:r>
        <w:rPr>
          <w:rFonts w:hint="eastAsia" w:ascii="Times New Roman" w:hAnsi="Times New Roman" w:eastAsia="宋体" w:cs="Times New Roman"/>
          <w:color w:val="auto"/>
          <w:szCs w:val="22"/>
        </w:rPr>
        <w:t>（1）</w:t>
      </w:r>
      <w:r>
        <w:rPr>
          <w:rFonts w:ascii="Times New Roman" w:hAnsi="Times New Roman" w:eastAsia="宋体" w:cs="Times New Roman"/>
          <w:color w:val="auto"/>
          <w:szCs w:val="22"/>
        </w:rPr>
        <w:t>根据施工现场情况，确定</w:t>
      </w:r>
      <w:r>
        <w:rPr>
          <w:rFonts w:hint="eastAsia" w:ascii="Times New Roman" w:hAnsi="Times New Roman" w:eastAsia="宋体" w:cs="Times New Roman"/>
          <w:color w:val="auto"/>
          <w:szCs w:val="22"/>
          <w:lang w:val="en-US" w:eastAsia="zh-CN"/>
        </w:rPr>
        <w:t>塔机拆卸时各部件的堆放</w:t>
      </w:r>
      <w:r>
        <w:rPr>
          <w:rFonts w:ascii="Times New Roman" w:hAnsi="Times New Roman" w:eastAsia="宋体" w:cs="Times New Roman"/>
          <w:color w:val="auto"/>
          <w:szCs w:val="22"/>
        </w:rPr>
        <w:t>位置</w:t>
      </w:r>
      <w:r>
        <w:rPr>
          <w:rFonts w:hint="eastAsia" w:ascii="Times New Roman" w:hAnsi="Times New Roman" w:eastAsia="宋体" w:cs="Times New Roman"/>
          <w:color w:val="auto"/>
          <w:szCs w:val="22"/>
        </w:rPr>
        <w:t>和</w:t>
      </w:r>
      <w:r>
        <w:rPr>
          <w:rFonts w:ascii="Times New Roman" w:hAnsi="Times New Roman" w:eastAsia="宋体" w:cs="Times New Roman"/>
          <w:color w:val="auto"/>
          <w:szCs w:val="22"/>
        </w:rPr>
        <w:t>施工工具存放地点。</w:t>
      </w:r>
    </w:p>
    <w:p>
      <w:pPr>
        <w:spacing w:after="0" w:afterLines="-2147483648" w:line="360" w:lineRule="auto"/>
        <w:ind w:firstLine="480"/>
        <w:jc w:val="both"/>
        <w:rPr>
          <w:rFonts w:hint="eastAsia" w:ascii="Times New Roman" w:hAnsi="Times New Roman" w:eastAsia="宋体" w:cs="Times New Roman"/>
          <w:color w:val="auto"/>
          <w:szCs w:val="22"/>
          <w:lang w:eastAsia="zh-CN"/>
        </w:rPr>
      </w:pPr>
      <w:r>
        <w:rPr>
          <w:rFonts w:hint="eastAsia" w:ascii="Times New Roman" w:hAnsi="Times New Roman" w:eastAsia="宋体" w:cs="Times New Roman"/>
          <w:color w:val="auto"/>
          <w:szCs w:val="22"/>
        </w:rPr>
        <w:t>（2）</w:t>
      </w:r>
      <w:r>
        <w:rPr>
          <w:rFonts w:hint="eastAsia" w:ascii="Times New Roman" w:hAnsi="Times New Roman" w:eastAsia="宋体" w:cs="Times New Roman"/>
          <w:color w:val="auto"/>
          <w:szCs w:val="22"/>
          <w:lang w:eastAsia="zh-CN"/>
        </w:rPr>
        <w:t>拆卸</w:t>
      </w:r>
      <w:r>
        <w:rPr>
          <w:rFonts w:hint="eastAsia" w:ascii="Times New Roman" w:hAnsi="Times New Roman" w:eastAsia="宋体" w:cs="Times New Roman"/>
          <w:color w:val="auto"/>
          <w:szCs w:val="22"/>
        </w:rPr>
        <w:t>场地选择：场地选择要求平整开阔，地基牢实，四周无影响施工的障碍物</w:t>
      </w:r>
      <w:r>
        <w:rPr>
          <w:rFonts w:hint="eastAsia" w:ascii="Times New Roman" w:hAnsi="Times New Roman" w:eastAsia="宋体" w:cs="Times New Roman"/>
          <w:color w:val="auto"/>
          <w:szCs w:val="22"/>
          <w:lang w:eastAsia="zh-CN"/>
        </w:rPr>
        <w:t>。</w:t>
      </w:r>
    </w:p>
    <w:p>
      <w:pPr>
        <w:spacing w:after="0" w:afterLines="-2147483648" w:line="360" w:lineRule="auto"/>
        <w:ind w:firstLine="480"/>
        <w:jc w:val="both"/>
        <w:rPr>
          <w:rFonts w:ascii="Times New Roman" w:hAnsi="Times New Roman" w:eastAsia="宋体" w:cs="Times New Roman"/>
          <w:color w:val="auto"/>
          <w:szCs w:val="22"/>
        </w:rPr>
      </w:pPr>
      <w:r>
        <w:rPr>
          <w:rFonts w:hint="eastAsia" w:ascii="Times New Roman" w:hAnsi="Times New Roman" w:eastAsia="宋体" w:cs="Times New Roman"/>
          <w:color w:val="auto"/>
          <w:szCs w:val="22"/>
        </w:rPr>
        <w:t>（3）</w:t>
      </w:r>
      <w:r>
        <w:rPr>
          <w:rFonts w:ascii="Times New Roman" w:hAnsi="Times New Roman" w:eastAsia="宋体" w:cs="Times New Roman"/>
          <w:color w:val="auto"/>
          <w:szCs w:val="22"/>
        </w:rPr>
        <w:t>根据</w:t>
      </w:r>
      <w:r>
        <w:rPr>
          <w:rFonts w:hint="eastAsia" w:ascii="Times New Roman" w:hAnsi="Times New Roman" w:eastAsia="宋体" w:cs="Times New Roman"/>
          <w:color w:val="auto"/>
          <w:szCs w:val="22"/>
          <w:lang w:val="en-US" w:eastAsia="zh-CN"/>
        </w:rPr>
        <w:t>塔</w:t>
      </w:r>
      <w:r>
        <w:rPr>
          <w:rFonts w:ascii="Times New Roman" w:hAnsi="Times New Roman" w:eastAsia="宋体" w:cs="Times New Roman"/>
          <w:color w:val="auto"/>
          <w:szCs w:val="22"/>
        </w:rPr>
        <w:t>机</w:t>
      </w:r>
      <w:r>
        <w:rPr>
          <w:rFonts w:hint="eastAsia" w:ascii="Times New Roman" w:hAnsi="Times New Roman" w:eastAsia="宋体" w:cs="Times New Roman"/>
          <w:color w:val="auto"/>
          <w:szCs w:val="22"/>
          <w:lang w:eastAsia="zh-CN"/>
        </w:rPr>
        <w:t>拆卸</w:t>
      </w:r>
      <w:r>
        <w:rPr>
          <w:rFonts w:ascii="Times New Roman" w:hAnsi="Times New Roman" w:eastAsia="宋体" w:cs="Times New Roman"/>
          <w:color w:val="auto"/>
          <w:szCs w:val="22"/>
        </w:rPr>
        <w:t>计划安排，</w:t>
      </w:r>
      <w:r>
        <w:rPr>
          <w:rFonts w:hint="eastAsia" w:ascii="Times New Roman" w:hAnsi="Times New Roman" w:eastAsia="宋体" w:cs="Times New Roman"/>
          <w:color w:val="auto"/>
          <w:szCs w:val="22"/>
          <w:lang w:eastAsia="zh-CN"/>
        </w:rPr>
        <w:t>拆卸</w:t>
      </w:r>
      <w:r>
        <w:rPr>
          <w:rFonts w:hint="eastAsia" w:ascii="Times New Roman" w:hAnsi="Times New Roman" w:eastAsia="宋体" w:cs="Times New Roman"/>
          <w:color w:val="auto"/>
          <w:szCs w:val="22"/>
        </w:rPr>
        <w:t>作业人员提前进入施工现场，勘察作业环境、道路、电源及照明设施。</w:t>
      </w:r>
    </w:p>
    <w:p>
      <w:pPr>
        <w:spacing w:after="0" w:afterLines="-2147483648" w:line="360" w:lineRule="auto"/>
        <w:ind w:firstLine="480"/>
        <w:jc w:val="both"/>
        <w:rPr>
          <w:rFonts w:ascii="Times New Roman" w:hAnsi="Times New Roman" w:eastAsia="宋体" w:cs="Times New Roman"/>
          <w:color w:val="auto"/>
          <w:kern w:val="0"/>
          <w:szCs w:val="22"/>
        </w:rPr>
      </w:pPr>
      <w:r>
        <w:rPr>
          <w:rFonts w:hint="eastAsia" w:ascii="Times New Roman" w:hAnsi="Times New Roman" w:eastAsia="宋体" w:cs="Times New Roman"/>
          <w:color w:val="auto"/>
          <w:szCs w:val="22"/>
        </w:rPr>
        <w:t>（4）对</w:t>
      </w:r>
      <w:r>
        <w:rPr>
          <w:rFonts w:hint="eastAsia" w:ascii="Times New Roman" w:hAnsi="Times New Roman" w:eastAsia="宋体" w:cs="Times New Roman"/>
          <w:color w:val="auto"/>
          <w:szCs w:val="22"/>
          <w:lang w:eastAsia="zh-CN"/>
        </w:rPr>
        <w:t>拆卸</w:t>
      </w:r>
      <w:r>
        <w:rPr>
          <w:rFonts w:hint="eastAsia" w:ascii="Times New Roman" w:hAnsi="Times New Roman" w:eastAsia="宋体" w:cs="Times New Roman"/>
          <w:color w:val="auto"/>
          <w:szCs w:val="22"/>
        </w:rPr>
        <w:t>现场进行清理，将现场的建筑材料、泥土、废料废物等杂物清扫干净。同时拉起安全警戒线，闲杂人员在安装</w:t>
      </w:r>
      <w:r>
        <w:rPr>
          <w:rFonts w:hint="eastAsia" w:ascii="Times New Roman" w:hAnsi="Times New Roman" w:eastAsia="宋体" w:cs="Times New Roman"/>
          <w:color w:val="auto"/>
          <w:kern w:val="0"/>
          <w:szCs w:val="22"/>
        </w:rPr>
        <w:t>范围一律不准通行，同时设置安全专职人员负责值班警戒。</w:t>
      </w:r>
    </w:p>
    <w:p>
      <w:pPr>
        <w:spacing w:after="0" w:afterLines="-2147483648" w:line="360" w:lineRule="auto"/>
        <w:ind w:firstLine="480"/>
        <w:jc w:val="both"/>
        <w:rPr>
          <w:rFonts w:ascii="Times New Roman" w:hAnsi="Times New Roman" w:eastAsia="宋体" w:cs="Times New Roman"/>
          <w:color w:val="auto"/>
          <w:szCs w:val="22"/>
        </w:rPr>
      </w:pPr>
      <w:r>
        <w:rPr>
          <w:rFonts w:hint="eastAsia" w:ascii="Times New Roman" w:hAnsi="Times New Roman" w:eastAsia="宋体" w:cs="Times New Roman"/>
          <w:color w:val="auto"/>
          <w:szCs w:val="22"/>
        </w:rPr>
        <w:t>（</w:t>
      </w:r>
      <w:r>
        <w:rPr>
          <w:rFonts w:hint="eastAsia" w:ascii="Times New Roman" w:hAnsi="Times New Roman" w:eastAsia="宋体" w:cs="Times New Roman"/>
          <w:color w:val="auto"/>
          <w:szCs w:val="22"/>
          <w:lang w:val="en-US" w:eastAsia="zh-CN"/>
        </w:rPr>
        <w:t>5</w:t>
      </w:r>
      <w:r>
        <w:rPr>
          <w:rFonts w:hint="eastAsia" w:ascii="Times New Roman" w:hAnsi="Times New Roman" w:eastAsia="宋体" w:cs="Times New Roman"/>
          <w:color w:val="auto"/>
          <w:szCs w:val="22"/>
        </w:rPr>
        <w:t>）</w:t>
      </w:r>
      <w:r>
        <w:rPr>
          <w:rFonts w:ascii="Times New Roman" w:hAnsi="Times New Roman" w:eastAsia="宋体" w:cs="Times New Roman"/>
          <w:color w:val="auto"/>
          <w:szCs w:val="22"/>
        </w:rPr>
        <w:t>备好施工机具、工具和安全防护用品</w:t>
      </w:r>
      <w:r>
        <w:rPr>
          <w:rFonts w:hint="eastAsia" w:ascii="Times New Roman" w:hAnsi="Times New Roman" w:eastAsia="宋体" w:cs="Times New Roman"/>
          <w:color w:val="auto"/>
          <w:szCs w:val="22"/>
        </w:rPr>
        <w:t>。做到吊</w:t>
      </w:r>
      <w:r>
        <w:rPr>
          <w:rFonts w:hint="eastAsia" w:ascii="Times New Roman" w:hAnsi="Times New Roman" w:eastAsia="宋体" w:cs="Times New Roman"/>
          <w:color w:val="auto"/>
          <w:szCs w:val="22"/>
          <w:lang w:eastAsia="zh-CN"/>
        </w:rPr>
        <w:t>拆</w:t>
      </w:r>
      <w:r>
        <w:rPr>
          <w:rFonts w:hint="eastAsia" w:ascii="Times New Roman" w:hAnsi="Times New Roman" w:eastAsia="宋体" w:cs="Times New Roman"/>
          <w:color w:val="auto"/>
          <w:szCs w:val="22"/>
        </w:rPr>
        <w:t>前后检查、每班前检查，严格执行相关标准，对存在安全隐患的工索具应禁止使用，达到报废条件的，应立即报废并销毁，禁止再次使用。</w:t>
      </w:r>
    </w:p>
    <w:p>
      <w:pPr>
        <w:spacing w:after="0" w:afterLines="-2147483648" w:line="360" w:lineRule="auto"/>
        <w:ind w:firstLine="480"/>
        <w:jc w:val="both"/>
        <w:rPr>
          <w:rFonts w:hint="eastAsia" w:ascii="Times New Roman" w:hAnsi="Times New Roman" w:eastAsia="宋体" w:cs="Times New Roman"/>
          <w:color w:val="auto"/>
          <w:szCs w:val="22"/>
        </w:rPr>
      </w:pPr>
      <w:r>
        <w:rPr>
          <w:rFonts w:hint="eastAsia" w:ascii="Times New Roman" w:hAnsi="Times New Roman" w:eastAsia="宋体" w:cs="Times New Roman"/>
          <w:color w:val="auto"/>
          <w:szCs w:val="22"/>
          <w:lang w:eastAsia="zh-CN"/>
        </w:rPr>
        <w:t>（</w:t>
      </w:r>
      <w:r>
        <w:rPr>
          <w:rFonts w:hint="eastAsia" w:ascii="Times New Roman" w:hAnsi="Times New Roman" w:eastAsia="宋体" w:cs="Times New Roman"/>
          <w:color w:val="auto"/>
          <w:szCs w:val="22"/>
          <w:lang w:val="en-US" w:eastAsia="zh-CN"/>
        </w:rPr>
        <w:t>6</w:t>
      </w:r>
      <w:r>
        <w:rPr>
          <w:rFonts w:hint="eastAsia" w:ascii="Times New Roman" w:hAnsi="Times New Roman" w:eastAsia="宋体" w:cs="Times New Roman"/>
          <w:color w:val="auto"/>
          <w:szCs w:val="22"/>
          <w:lang w:eastAsia="zh-CN"/>
        </w:rPr>
        <w:t>）拆卸前</w:t>
      </w:r>
      <w:r>
        <w:rPr>
          <w:rFonts w:hint="eastAsia" w:ascii="Times New Roman" w:hAnsi="Times New Roman" w:eastAsia="宋体" w:cs="Times New Roman"/>
          <w:color w:val="auto"/>
          <w:szCs w:val="22"/>
        </w:rPr>
        <w:t>，需对</w:t>
      </w:r>
      <w:r>
        <w:rPr>
          <w:rFonts w:hint="eastAsia" w:ascii="Times New Roman" w:hAnsi="Times New Roman" w:eastAsia="宋体" w:cs="Times New Roman"/>
          <w:color w:val="auto"/>
          <w:szCs w:val="22"/>
          <w:lang w:eastAsia="zh-CN"/>
        </w:rPr>
        <w:t>整机</w:t>
      </w:r>
      <w:r>
        <w:rPr>
          <w:rFonts w:hint="eastAsia" w:ascii="Times New Roman" w:hAnsi="Times New Roman" w:eastAsia="宋体" w:cs="Times New Roman"/>
          <w:color w:val="auto"/>
          <w:szCs w:val="22"/>
        </w:rPr>
        <w:t>进行</w:t>
      </w:r>
      <w:r>
        <w:rPr>
          <w:rFonts w:hint="eastAsia" w:ascii="Times New Roman" w:hAnsi="Times New Roman" w:eastAsia="宋体" w:cs="Times New Roman"/>
          <w:color w:val="auto"/>
          <w:szCs w:val="22"/>
          <w:lang w:eastAsia="zh-CN"/>
        </w:rPr>
        <w:t>安全查</w:t>
      </w:r>
      <w:r>
        <w:rPr>
          <w:rFonts w:hint="eastAsia" w:ascii="Times New Roman" w:hAnsi="Times New Roman" w:eastAsia="宋体" w:cs="Times New Roman"/>
          <w:color w:val="auto"/>
          <w:szCs w:val="22"/>
        </w:rPr>
        <w:t>，</w:t>
      </w:r>
      <w:r>
        <w:rPr>
          <w:rFonts w:hint="eastAsia" w:ascii="Times New Roman" w:hAnsi="Times New Roman" w:eastAsia="宋体" w:cs="Times New Roman"/>
          <w:color w:val="auto"/>
          <w:szCs w:val="22"/>
          <w:lang w:eastAsia="zh-CN"/>
        </w:rPr>
        <w:t>在满足拆卸的条件下进行作业</w:t>
      </w:r>
      <w:r>
        <w:rPr>
          <w:rFonts w:hint="eastAsia" w:ascii="Times New Roman" w:hAnsi="Times New Roman" w:eastAsia="宋体" w:cs="Times New Roman"/>
          <w:color w:val="auto"/>
          <w:szCs w:val="22"/>
        </w:rPr>
        <w:t>。</w:t>
      </w:r>
    </w:p>
    <w:p>
      <w:pPr>
        <w:pStyle w:val="5"/>
        <w:bidi w:val="0"/>
        <w:rPr>
          <w:rFonts w:hint="eastAsia"/>
          <w:lang w:val="en-US" w:eastAsia="zh-CN"/>
        </w:rPr>
      </w:pPr>
      <w:bookmarkStart w:id="111" w:name="_Toc10754"/>
      <w:r>
        <w:rPr>
          <w:rFonts w:hint="eastAsia"/>
          <w:lang w:val="en-US" w:eastAsia="zh-CN"/>
        </w:rPr>
        <w:t>拆卸塔机的起重设备</w:t>
      </w:r>
      <w:bookmarkEnd w:id="111"/>
    </w:p>
    <w:p>
      <w:pPr>
        <w:keepNext w:val="0"/>
        <w:keepLines w:val="0"/>
        <w:pageBreakBefore w:val="0"/>
        <w:widowControl w:val="0"/>
        <w:kinsoku/>
        <w:wordWrap/>
        <w:overflowPunct/>
        <w:topLinePunct w:val="0"/>
        <w:autoSpaceDE w:val="0"/>
        <w:autoSpaceDN w:val="0"/>
        <w:bidi w:val="0"/>
        <w:adjustRightInd w:val="0"/>
        <w:snapToGrid/>
        <w:spacing w:after="50" w:afterLines="50" w:line="360" w:lineRule="auto"/>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塔机的拆卸采用25t汽车吊。汽车吊就位于</w:t>
      </w:r>
      <w:r>
        <w:rPr>
          <w:rFonts w:hint="eastAsia" w:ascii="宋体" w:hAnsi="宋体" w:cs="宋体"/>
          <w:color w:val="auto"/>
          <w:kern w:val="0"/>
          <w:sz w:val="24"/>
          <w:szCs w:val="24"/>
          <w:lang w:val="en-US" w:eastAsia="zh-CN" w:bidi="ar"/>
        </w:rPr>
        <w:t>地面</w:t>
      </w:r>
      <w:r>
        <w:rPr>
          <w:rFonts w:hint="eastAsia" w:ascii="宋体" w:hAnsi="宋体" w:eastAsia="宋体" w:cs="宋体"/>
          <w:color w:val="auto"/>
          <w:kern w:val="0"/>
          <w:sz w:val="24"/>
          <w:szCs w:val="24"/>
          <w:lang w:val="en-US" w:eastAsia="zh-CN" w:bidi="ar"/>
        </w:rPr>
        <w:t>上，可满足塔吊XGT6515-10S塔机的安装。（暂定，可根据现场实际情况选择合适的起重设备）。</w:t>
      </w:r>
    </w:p>
    <w:p>
      <w:pPr>
        <w:widowControl w:val="0"/>
        <w:spacing w:after="50" w:afterLines="50" w:line="240" w:lineRule="auto"/>
        <w:ind w:firstLine="0" w:firstLineChars="0"/>
        <w:jc w:val="left"/>
        <w:rPr>
          <w:rFonts w:ascii="Calibri" w:hAnsi="Calibri" w:eastAsia="仿宋" w:cs="仿宋"/>
          <w:kern w:val="3"/>
          <w:sz w:val="28"/>
          <w:szCs w:val="24"/>
          <w:lang w:val="en-US" w:eastAsia="zh-CN" w:bidi="ar-SA"/>
        </w:rPr>
      </w:pPr>
      <w:r>
        <w:drawing>
          <wp:inline distT="0" distB="0" distL="114300" distR="114300">
            <wp:extent cx="4901565" cy="3840480"/>
            <wp:effectExtent l="0" t="0" r="5715" b="0"/>
            <wp:docPr id="6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4"/>
                    <pic:cNvPicPr>
                      <a:picLocks noChangeAspect="1"/>
                    </pic:cNvPicPr>
                  </pic:nvPicPr>
                  <pic:blipFill>
                    <a:blip r:embed="rId34"/>
                    <a:stretch>
                      <a:fillRect/>
                    </a:stretch>
                  </pic:blipFill>
                  <pic:spPr>
                    <a:xfrm>
                      <a:off x="0" y="0"/>
                      <a:ext cx="4901565" cy="38404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spacing w:after="50" w:afterLines="50" w:line="360" w:lineRule="auto"/>
        <w:ind w:firstLine="480" w:firstLineChars="200"/>
        <w:jc w:val="center"/>
        <w:textAlignment w:val="auto"/>
        <w:rPr>
          <w:rFonts w:hint="eastAsia" w:ascii="宋体" w:hAnsi="宋体" w:eastAsia="宋体" w:cs="宋体"/>
          <w:szCs w:val="24"/>
          <w:lang w:val="en-US" w:eastAsia="zh-CN"/>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37</w:t>
      </w:r>
      <w:r>
        <w:rPr>
          <w:rFonts w:hint="eastAsia" w:ascii="宋体" w:hAnsi="宋体" w:eastAsia="宋体" w:cs="宋体"/>
          <w:szCs w:val="24"/>
          <w:lang w:val="en-US" w:eastAsia="zh-CN"/>
        </w:rPr>
        <w:t xml:space="preserve"> </w:t>
      </w:r>
      <w:r>
        <w:rPr>
          <w:rFonts w:hint="eastAsia" w:ascii="宋体" w:hAnsi="宋体" w:cs="宋体"/>
          <w:szCs w:val="24"/>
          <w:lang w:val="en-US" w:eastAsia="zh-CN"/>
        </w:rPr>
        <w:t>左8#</w:t>
      </w:r>
      <w:r>
        <w:rPr>
          <w:rFonts w:hint="eastAsia" w:ascii="宋体" w:hAnsi="宋体" w:eastAsia="宋体" w:cs="宋体"/>
          <w:szCs w:val="24"/>
          <w:lang w:val="en-US" w:eastAsia="zh-CN"/>
        </w:rPr>
        <w:t>塔机拆卸汽车吊就位平面示意图</w:t>
      </w:r>
    </w:p>
    <w:p>
      <w:pPr>
        <w:pStyle w:val="5"/>
        <w:bidi w:val="0"/>
        <w:rPr>
          <w:rFonts w:hint="eastAsia"/>
          <w:lang w:val="en-US" w:eastAsia="zh-CN"/>
        </w:rPr>
      </w:pPr>
      <w:bookmarkStart w:id="112" w:name="_Toc1802698076"/>
      <w:bookmarkStart w:id="113" w:name="_Toc17383774"/>
      <w:bookmarkStart w:id="114" w:name="_Toc21790"/>
      <w:r>
        <w:rPr>
          <w:rFonts w:hint="eastAsia"/>
          <w:lang w:val="en-US" w:eastAsia="zh-CN"/>
        </w:rPr>
        <w:t>塔式起重机拆卸</w:t>
      </w:r>
      <w:bookmarkEnd w:id="112"/>
      <w:bookmarkEnd w:id="113"/>
      <w:r>
        <w:rPr>
          <w:rFonts w:hint="eastAsia"/>
          <w:lang w:val="en-US" w:eastAsia="zh-CN"/>
        </w:rPr>
        <w:t>工艺流程</w:t>
      </w:r>
      <w:bookmarkEnd w:id="114"/>
      <w:r>
        <w:rPr>
          <w:rFonts w:hint="eastAsia"/>
          <w:lang w:val="en-US" w:eastAsia="zh-CN"/>
        </w:rPr>
        <w:t xml:space="preserve"> </w:t>
      </w:r>
    </w:p>
    <w:p>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塔机的拆卸方法与安装方法基本相同，只是工作程序与安装时相反，即先装的后拆，后装的先拆，但是，在拆卸过程中不能马虎大意，否则会发生安全事故。</w:t>
      </w:r>
    </w:p>
    <w:p>
      <w:pPr>
        <w:pStyle w:val="5"/>
        <w:bidi w:val="0"/>
        <w:rPr>
          <w:rFonts w:hint="eastAsia"/>
          <w:lang w:val="en-US" w:eastAsia="zh-CN"/>
        </w:rPr>
      </w:pPr>
      <w:bookmarkStart w:id="115" w:name="_Toc1247271456"/>
      <w:bookmarkStart w:id="116" w:name="_Toc7090"/>
      <w:r>
        <w:rPr>
          <w:rFonts w:hint="eastAsia"/>
          <w:lang w:val="en-US" w:eastAsia="zh-CN"/>
        </w:rPr>
        <w:t>施工流程及方法</w:t>
      </w:r>
      <w:bookmarkEnd w:id="115"/>
      <w:bookmarkEnd w:id="116"/>
    </w:p>
    <w:p>
      <w:pPr>
        <w:keepNext w:val="0"/>
        <w:keepLines w:val="0"/>
        <w:widowControl/>
        <w:suppressLineNumbers w:val="0"/>
        <w:spacing w:after="0" w:afterLines="-2147483648" w:line="360" w:lineRule="auto"/>
        <w:ind w:firstLine="200"/>
        <w:jc w:val="left"/>
        <w:rPr>
          <w:rFonts w:hint="eastAsia" w:ascii="宋体" w:hAnsi="宋体" w:eastAsia="宋体" w:cs="宋体"/>
          <w:color w:val="auto"/>
          <w:sz w:val="24"/>
          <w:szCs w:val="24"/>
        </w:rPr>
      </w:pPr>
      <w:r>
        <w:rPr>
          <w:rFonts w:hint="eastAsia" w:ascii="宋体" w:hAnsi="宋体" w:eastAsia="宋体" w:cs="宋体"/>
          <w:bCs/>
          <w:color w:val="auto"/>
          <w:sz w:val="24"/>
          <w:szCs w:val="24"/>
          <w:lang w:eastAsia="zh-CN"/>
        </w:rPr>
        <w:t>　</w:t>
      </w:r>
      <w:r>
        <w:rPr>
          <w:rFonts w:hint="eastAsia" w:ascii="宋体" w:hAnsi="宋体" w:eastAsia="宋体" w:cs="宋体"/>
          <w:color w:val="auto"/>
          <w:kern w:val="0"/>
          <w:sz w:val="24"/>
          <w:szCs w:val="24"/>
          <w:lang w:val="en-US" w:eastAsia="zh-CN" w:bidi="ar"/>
        </w:rPr>
        <w:t xml:space="preserve">将塔机旋转至拆卸区域，保证该区域无影响拆卸作业的任何障碍。按下述顺序，进行塔机拆卸。其步骤与立塔组装的步骤相反。拆塔具体程序如下： </w:t>
      </w:r>
    </w:p>
    <w:p>
      <w:pPr>
        <w:keepNext w:val="0"/>
        <w:keepLines w:val="0"/>
        <w:widowControl/>
        <w:suppressLineNumbers w:val="0"/>
        <w:spacing w:after="0" w:afterLines="-2147483648" w:line="360" w:lineRule="auto"/>
        <w:ind w:firstLine="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1）降塔身标准节（如有附着装置，相应地也拆卸）； </w:t>
      </w:r>
    </w:p>
    <w:p>
      <w:pPr>
        <w:keepNext w:val="0"/>
        <w:keepLines w:val="0"/>
        <w:widowControl/>
        <w:suppressLineNumbers w:val="0"/>
        <w:spacing w:after="0" w:afterLines="-2147483648" w:line="360" w:lineRule="auto"/>
        <w:ind w:firstLine="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2）拆下平衡臂配重（留</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块</w:t>
      </w:r>
      <w:r>
        <w:rPr>
          <w:rFonts w:hint="eastAsia" w:ascii="宋体" w:hAnsi="宋体" w:eastAsia="宋体" w:cs="宋体"/>
          <w:sz w:val="24"/>
          <w:szCs w:val="24"/>
          <w:highlight w:val="none"/>
          <w:lang w:val="en-US" w:eastAsia="zh-CN"/>
        </w:rPr>
        <w:t>3200kg</w:t>
      </w:r>
      <w:r>
        <w:rPr>
          <w:rFonts w:hint="eastAsia" w:ascii="宋体" w:hAnsi="宋体" w:eastAsia="宋体" w:cs="宋体"/>
          <w:color w:val="auto"/>
          <w:kern w:val="0"/>
          <w:sz w:val="24"/>
          <w:szCs w:val="24"/>
          <w:lang w:val="en-US" w:eastAsia="zh-CN" w:bidi="ar"/>
        </w:rPr>
        <w:t xml:space="preserve">的配重）； </w:t>
      </w:r>
    </w:p>
    <w:p>
      <w:pPr>
        <w:keepNext w:val="0"/>
        <w:keepLines w:val="0"/>
        <w:widowControl/>
        <w:suppressLineNumbers w:val="0"/>
        <w:spacing w:after="0" w:afterLines="-2147483648" w:line="360" w:lineRule="auto"/>
        <w:ind w:firstLine="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3）起重臂总成的拆卸； </w:t>
      </w:r>
    </w:p>
    <w:p>
      <w:pPr>
        <w:keepNext w:val="0"/>
        <w:keepLines w:val="0"/>
        <w:widowControl/>
        <w:suppressLineNumbers w:val="0"/>
        <w:spacing w:after="0" w:afterLines="-2147483648" w:line="360" w:lineRule="auto"/>
        <w:ind w:firstLine="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4）拆卸留下的留</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块</w:t>
      </w:r>
      <w:r>
        <w:rPr>
          <w:rFonts w:hint="eastAsia" w:ascii="宋体" w:hAnsi="宋体" w:eastAsia="宋体" w:cs="宋体"/>
          <w:sz w:val="24"/>
          <w:szCs w:val="24"/>
          <w:highlight w:val="none"/>
          <w:lang w:val="en-US" w:eastAsia="zh-CN"/>
        </w:rPr>
        <w:t>3200kg</w:t>
      </w:r>
      <w:r>
        <w:rPr>
          <w:rFonts w:hint="eastAsia" w:ascii="宋体" w:hAnsi="宋体" w:eastAsia="宋体" w:cs="宋体"/>
          <w:color w:val="auto"/>
          <w:kern w:val="0"/>
          <w:sz w:val="24"/>
          <w:szCs w:val="24"/>
          <w:lang w:val="en-US" w:eastAsia="zh-CN" w:bidi="ar"/>
        </w:rPr>
        <w:t xml:space="preserve"> 的配重； </w:t>
      </w:r>
    </w:p>
    <w:p>
      <w:pPr>
        <w:keepNext w:val="0"/>
        <w:keepLines w:val="0"/>
        <w:widowControl/>
        <w:suppressLineNumbers w:val="0"/>
        <w:spacing w:after="0" w:afterLines="-2147483648" w:line="360" w:lineRule="auto"/>
        <w:ind w:firstLine="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 xml:space="preserve">5）平衡臂拆卸； </w:t>
      </w:r>
    </w:p>
    <w:p>
      <w:pPr>
        <w:keepNext w:val="0"/>
        <w:keepLines w:val="0"/>
        <w:widowControl/>
        <w:suppressLineNumbers w:val="0"/>
        <w:spacing w:after="0" w:afterLines="-2147483648" w:line="360" w:lineRule="auto"/>
        <w:ind w:firstLine="200"/>
        <w:jc w:val="left"/>
        <w:rPr>
          <w:rFonts w:hint="eastAsia" w:ascii="宋体" w:hAnsi="宋体" w:eastAsia="宋体" w:cs="宋体"/>
          <w:sz w:val="24"/>
          <w:szCs w:val="24"/>
          <w:lang w:val="en-US" w:eastAsia="zh-CN"/>
        </w:rPr>
      </w:pPr>
      <w:r>
        <w:rPr>
          <w:rFonts w:hint="eastAsia" w:ascii="宋体" w:hAnsi="宋体" w:eastAsia="宋体" w:cs="宋体"/>
          <w:color w:val="auto"/>
          <w:kern w:val="0"/>
          <w:sz w:val="24"/>
          <w:szCs w:val="24"/>
          <w:lang w:val="en-US" w:eastAsia="zh-CN" w:bidi="ar"/>
        </w:rPr>
        <w:t>6）拆卸回转总成；（含上支座、回转支承和下支座）</w:t>
      </w:r>
    </w:p>
    <w:p>
      <w:pPr>
        <w:keepNext w:val="0"/>
        <w:keepLines w:val="0"/>
        <w:widowControl/>
        <w:suppressLineNumbers w:val="0"/>
        <w:spacing w:after="0" w:afterLines="-2147483648" w:line="360" w:lineRule="auto"/>
        <w:ind w:firstLine="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7）拆卸过渡节； </w:t>
      </w:r>
    </w:p>
    <w:p>
      <w:pPr>
        <w:keepNext w:val="0"/>
        <w:keepLines w:val="0"/>
        <w:widowControl/>
        <w:suppressLineNumbers w:val="0"/>
        <w:spacing w:after="0" w:afterLines="-2147483648" w:line="360" w:lineRule="auto"/>
        <w:ind w:firstLine="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8）拆卸爬升架； </w:t>
      </w:r>
    </w:p>
    <w:p>
      <w:pPr>
        <w:keepNext w:val="0"/>
        <w:keepLines w:val="0"/>
        <w:pageBreakBefore w:val="0"/>
        <w:widowControl/>
        <w:suppressLineNumbers w:val="0"/>
        <w:kinsoku/>
        <w:overflowPunct/>
        <w:bidi w:val="0"/>
        <w:spacing w:after="0" w:afterLines="-2147483648" w:line="360" w:lineRule="auto"/>
        <w:ind w:firstLine="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9）拆卸剩余塔身节（标准节、加强节及基础节）。</w:t>
      </w:r>
    </w:p>
    <w:p>
      <w:pPr>
        <w:widowControl w:val="0"/>
        <w:spacing w:after="50" w:afterLines="50" w:line="240" w:lineRule="auto"/>
        <w:ind w:firstLine="0" w:firstLineChars="0"/>
        <w:jc w:val="both"/>
        <w:rPr>
          <w:rFonts w:hint="eastAsia" w:ascii="宋体" w:hAnsi="宋体" w:eastAsia="宋体" w:cs="宋体"/>
          <w:b/>
          <w:color w:val="auto"/>
          <w:kern w:val="2"/>
          <w:sz w:val="24"/>
          <w:szCs w:val="24"/>
          <w:lang w:val="en-US" w:eastAsia="zh-CN" w:bidi="ar-SA"/>
        </w:rPr>
      </w:pPr>
      <w:r>
        <w:rPr>
          <w:rFonts w:hint="eastAsia" w:ascii="宋体" w:hAnsi="宋体" w:eastAsia="宋体" w:cs="宋体"/>
          <w:b/>
          <w:color w:val="auto"/>
          <w:kern w:val="2"/>
          <w:sz w:val="24"/>
          <w:szCs w:val="24"/>
          <w:lang w:val="en-US" w:eastAsia="zh-CN" w:bidi="ar-SA"/>
        </w:rPr>
        <w:drawing>
          <wp:inline distT="0" distB="0" distL="0" distR="0">
            <wp:extent cx="5610225" cy="2606040"/>
            <wp:effectExtent l="0" t="0" r="13335" b="0"/>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5610225" cy="2606040"/>
                    </a:xfrm>
                    <a:prstGeom prst="rect">
                      <a:avLst/>
                    </a:prstGeom>
                    <a:noFill/>
                    <a:ln>
                      <a:noFill/>
                    </a:ln>
                  </pic:spPr>
                </pic:pic>
              </a:graphicData>
            </a:graphic>
          </wp:inline>
        </w:drawing>
      </w:r>
    </w:p>
    <w:p>
      <w:pPr>
        <w:bidi w:val="0"/>
        <w:snapToGrid w:val="0"/>
        <w:spacing w:before="113" w:after="50" w:afterLines="50" w:line="300" w:lineRule="auto"/>
        <w:ind w:firstLine="420"/>
        <w:jc w:val="center"/>
        <w:rPr>
          <w:rFonts w:hint="eastAsia" w:ascii="宋体" w:hAnsi="宋体" w:eastAsia="宋体" w:cs="宋体"/>
          <w:b/>
          <w:color w:val="auto"/>
          <w:kern w:val="2"/>
          <w:sz w:val="24"/>
          <w:szCs w:val="24"/>
          <w:lang w:val="en-US" w:eastAsia="zh-CN" w:bidi="ar-SA"/>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38</w:t>
      </w:r>
      <w:r>
        <w:rPr>
          <w:rFonts w:hint="eastAsia" w:ascii="宋体" w:hAnsi="宋体" w:eastAsia="宋体" w:cs="宋体"/>
          <w:b/>
          <w:color w:val="auto"/>
          <w:kern w:val="2"/>
          <w:sz w:val="24"/>
          <w:szCs w:val="24"/>
          <w:lang w:val="en-US" w:eastAsia="zh-CN" w:bidi="ar-SA"/>
        </w:rPr>
        <w:t xml:space="preserve"> XGT6515-10S</w:t>
      </w:r>
      <w:r>
        <w:rPr>
          <w:rFonts w:hint="eastAsia" w:ascii="宋体" w:hAnsi="宋体" w:eastAsia="宋体" w:cs="宋体"/>
          <w:b/>
          <w:color w:val="auto"/>
          <w:kern w:val="2"/>
          <w:sz w:val="24"/>
          <w:szCs w:val="24"/>
          <w:highlight w:val="none"/>
          <w:lang w:val="en-US" w:eastAsia="zh-CN" w:bidi="ar-SA"/>
        </w:rPr>
        <w:t>型</w:t>
      </w:r>
      <w:r>
        <w:rPr>
          <w:rFonts w:hint="eastAsia" w:ascii="宋体" w:hAnsi="宋体" w:eastAsia="宋体" w:cs="宋体"/>
          <w:b/>
          <w:color w:val="auto"/>
          <w:kern w:val="2"/>
          <w:sz w:val="24"/>
          <w:szCs w:val="24"/>
          <w:lang w:val="en-US" w:eastAsia="zh-CN" w:bidi="ar-SA"/>
        </w:rPr>
        <w:t>塔机拆塔示意图</w:t>
      </w:r>
    </w:p>
    <w:p>
      <w:pPr>
        <w:pStyle w:val="5"/>
        <w:bidi w:val="0"/>
        <w:rPr>
          <w:rFonts w:hint="eastAsia"/>
          <w:lang w:val="en-US" w:eastAsia="zh-CN"/>
        </w:rPr>
      </w:pPr>
      <w:bookmarkStart w:id="117" w:name="_Toc17383782"/>
      <w:bookmarkStart w:id="118" w:name="_Toc1012592669"/>
      <w:r>
        <w:rPr>
          <w:rFonts w:hint="eastAsia"/>
          <w:lang w:val="en-US" w:eastAsia="zh-CN"/>
        </w:rPr>
        <w:t>塔身拆除</w:t>
      </w:r>
    </w:p>
    <w:p>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（1）将起重臂回转到引进方向（套架中有开口的一侧），使回转制动器处于制动状态，载重小车停在配平位置（与立塔顶升加节时载重小车的配平位置一致）；</w:t>
      </w:r>
    </w:p>
    <w:p>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将套架的四个角用销轴锁定，拆掉最上面塔身标准节与下支座的连接销轴，稍稍向上顶升，将单轨小车吊链安装固定在标准节吊装位置处，并保证安全可靠；然后拆掉最上面的塔身标准节与下一节标准节的连接销轴；</w:t>
      </w:r>
    </w:p>
    <w:p>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（3）伸长顶升油缸，将顶升横梁顶在从上往下数第三个踏步的圆弧槽内，将上部结构顶起；</w:t>
      </w:r>
    </w:p>
    <w:p>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（4）移动单轨小车， 将最上一节标准节沿引进梁移出；</w:t>
      </w:r>
    </w:p>
    <w:p>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（5）扳开挂靴，回缩油缸， 继续下降至挂靴支承在套架横梁上并支承住上部结构后，再回缩油缸， 至下一标准节与顶升套架相接触时为止；</w:t>
      </w:r>
    </w:p>
    <w:p>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（6）顶升套架与塔身标准节之间用销轴连接好后，用小车吊钩将标准节吊至桥面。</w:t>
      </w:r>
    </w:p>
    <w:p>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（7）重复上述动作，将塔身标准节依次拆下。</w:t>
      </w:r>
    </w:p>
    <w:p>
      <w:pPr>
        <w:spacing w:after="0" w:afterLines="-2147483648" w:line="360" w:lineRule="auto"/>
        <w:ind w:firstLine="480" w:firstLineChars="200"/>
        <w:jc w:val="both"/>
        <w:rPr>
          <w:rFonts w:hint="eastAsia" w:ascii="宋体" w:hAnsi="宋体" w:eastAsia="宋体" w:cs="宋体"/>
          <w:b/>
          <w:color w:val="auto"/>
          <w:sz w:val="24"/>
          <w:szCs w:val="24"/>
          <w:lang w:val="en-US" w:eastAsia="zh-CN"/>
        </w:rPr>
      </w:pPr>
      <w:r>
        <w:rPr>
          <w:rFonts w:hint="eastAsia" w:ascii="宋体" w:hAnsi="宋体" w:eastAsia="宋体" w:cs="宋体"/>
          <w:color w:val="auto"/>
          <w:sz w:val="24"/>
          <w:szCs w:val="24"/>
          <w:lang w:val="en-US" w:eastAsia="zh-CN"/>
        </w:rPr>
        <w:t>（8）塔身拆卸至安装高度后，若要继续拆塔，必须借助起重设备先拆卸平衡臂上的平衡重。</w:t>
      </w:r>
    </w:p>
    <w:p>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注意：套架的下落过程中，需用人工翻转挂靴，同时派专人看管顶升横梁和导轮，观察套架下降时有无被障碍物卡住的现象。以便套架能顺利下降。</w:t>
      </w:r>
    </w:p>
    <w:p>
      <w:pPr>
        <w:keepNext/>
        <w:keepLines/>
        <w:widowControl w:val="0"/>
        <w:numPr>
          <w:ilvl w:val="3"/>
          <w:numId w:val="1"/>
        </w:numPr>
        <w:spacing w:line="360" w:lineRule="auto"/>
        <w:ind w:firstLine="200" w:firstLineChars="0"/>
        <w:jc w:val="left"/>
        <w:outlineLvl w:val="3"/>
        <w:rPr>
          <w:rFonts w:ascii="Times New Roman" w:hAnsi="Times New Roman" w:eastAsiaTheme="majorEastAsia" w:cstheme="majorBidi"/>
          <w:b/>
          <w:bCs w:val="0"/>
          <w:kern w:val="2"/>
          <w:sz w:val="24"/>
          <w:szCs w:val="28"/>
          <w:lang w:val="en-US" w:eastAsia="zh-CN" w:bidi="ar-SA"/>
        </w:rPr>
      </w:pPr>
      <w:r>
        <w:rPr>
          <w:rFonts w:hint="eastAsia" w:ascii="Times New Roman" w:hAnsi="Times New Roman" w:eastAsiaTheme="majorEastAsia" w:cstheme="majorBidi"/>
          <w:b/>
          <w:bCs w:val="0"/>
          <w:kern w:val="2"/>
          <w:sz w:val="24"/>
          <w:szCs w:val="28"/>
          <w:lang w:val="en-US" w:eastAsia="zh-CN" w:bidi="ar-SA"/>
        </w:rPr>
        <w:t>拆除附着</w:t>
      </w:r>
    </w:p>
    <w:p>
      <w:pPr>
        <w:ind w:firstLine="480"/>
        <w:rPr>
          <w:rFonts w:ascii="Times New Roman" w:hAnsi="Times New Roman" w:eastAsia="宋体" w:cs="Times New Roman"/>
        </w:rPr>
      </w:pPr>
      <w:r>
        <w:rPr>
          <w:rFonts w:hint="eastAsia" w:ascii="Times New Roman" w:hAnsi="Times New Roman" w:eastAsia="宋体" w:cs="Times New Roman"/>
        </w:rPr>
        <w:t>塔吊降节到设计要求的高度后方可进行附墙的拆除，附墙的拆除危险性比较大，人员必须站位于操作平台进行并穿戴好安全防护用品。</w:t>
      </w:r>
    </w:p>
    <w:p>
      <w:pPr>
        <w:ind w:firstLine="480"/>
        <w:rPr>
          <w:rFonts w:ascii="Times New Roman" w:hAnsi="Times New Roman" w:eastAsia="宋体" w:cs="Times New Roman"/>
        </w:rPr>
      </w:pPr>
      <w:r>
        <w:rPr>
          <w:rFonts w:hint="eastAsia" w:ascii="Times New Roman" w:hAnsi="Times New Roman" w:eastAsia="宋体" w:cs="Times New Roman"/>
        </w:rPr>
        <w:t>附墙撑杆的拆卸顺序从前到后，即先拆卸靠起重臂侧一根附墙撑杆，然后拆除中间的附墙撑杆，最后拆除靠平衡臂一边的附墙撑杆。</w:t>
      </w:r>
    </w:p>
    <w:p>
      <w:pPr>
        <w:ind w:firstLine="480"/>
        <w:rPr>
          <w:rFonts w:ascii="Times New Roman" w:hAnsi="Times New Roman" w:eastAsia="宋体" w:cs="Times New Roman"/>
        </w:rPr>
      </w:pPr>
      <w:r>
        <w:rPr>
          <w:rFonts w:hint="eastAsia" w:ascii="Times New Roman" w:hAnsi="Times New Roman" w:eastAsia="宋体" w:cs="Times New Roman"/>
        </w:rPr>
        <w:t>拆卸附墙撑杆前，先调整撑杆的调节丝杆使之放松，消除内力。（注意：调整中不得作任何起升、回转等运作）。</w:t>
      </w:r>
    </w:p>
    <w:p>
      <w:pPr>
        <w:ind w:firstLine="480"/>
        <w:rPr>
          <w:rFonts w:ascii="Times New Roman" w:hAnsi="Times New Roman" w:eastAsia="宋体" w:cs="Times New Roman"/>
        </w:rPr>
      </w:pPr>
      <w:r>
        <w:rPr>
          <w:rFonts w:hint="eastAsia" w:ascii="Times New Roman" w:hAnsi="Times New Roman" w:eastAsia="宋体" w:cs="Times New Roman"/>
        </w:rPr>
        <w:t>附墙拆卸吊装时，采用两点吊，吊索的规格为：24mm</w:t>
      </w:r>
      <w:r>
        <w:rPr>
          <w:rFonts w:ascii="Times New Roman" w:hAnsi="Times New Roman" w:eastAsia="宋体" w:cs="Times New Roman"/>
        </w:rPr>
        <w:t xml:space="preserve"> </w:t>
      </w:r>
      <w:r>
        <w:rPr>
          <w:rFonts w:hint="eastAsia" w:ascii="Times New Roman" w:hAnsi="Times New Roman" w:eastAsia="宋体" w:cs="Times New Roman"/>
        </w:rPr>
        <w:t>6×19S+FC 1700Mpa，卸扣规格GB/T 25854-6-DW8。</w:t>
      </w:r>
    </w:p>
    <w:p>
      <w:pPr>
        <w:widowControl w:val="0"/>
        <w:numPr>
          <w:ilvl w:val="0"/>
          <w:numId w:val="49"/>
        </w:numPr>
        <w:spacing w:line="360" w:lineRule="auto"/>
        <w:ind w:left="0" w:firstLine="48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附墙杆件拆除采用钢丝绳捆绑吊装，人员站位于塔柱操作平台上与塔身节横杆上将钢丝绳捆绑在被拆卸附墙撑杆的两端。在附墙撑杆两头各系一麻绳，先拆除塔柱一侧的连接销轴，把撑杆慢慢推离塔柱耳座，再拆除附墙框一侧连接销轴，此时拆卸人员抓住麻绳，另一个拆卸人员把撑杆推离附墙框耳板，塔吊吊钩一档点起，拆卸人员稍微带力用麻绳把撑杆拉离塔柱一定距离，待撑杆平稳后，操作塔吊起钩平稳地将撑杆下落至地面；</w:t>
      </w:r>
    </w:p>
    <w:p>
      <w:pPr>
        <w:widowControl w:val="0"/>
        <w:numPr>
          <w:ilvl w:val="0"/>
          <w:numId w:val="49"/>
        </w:numPr>
        <w:spacing w:line="360" w:lineRule="auto"/>
        <w:ind w:left="0" w:firstLine="48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同样方法拆除另外的附墙撑杆。</w:t>
      </w:r>
    </w:p>
    <w:p>
      <w:pPr>
        <w:widowControl w:val="0"/>
        <w:numPr>
          <w:ilvl w:val="0"/>
          <w:numId w:val="49"/>
        </w:numPr>
        <w:spacing w:line="360" w:lineRule="auto"/>
        <w:ind w:left="0" w:firstLine="48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用钢丝绳+卸扣将每侧附墙框与塔身节固定牢固；</w:t>
      </w:r>
    </w:p>
    <w:p>
      <w:pPr>
        <w:widowControl w:val="0"/>
        <w:numPr>
          <w:ilvl w:val="0"/>
          <w:numId w:val="49"/>
        </w:numPr>
        <w:spacing w:line="360" w:lineRule="auto"/>
        <w:ind w:left="0" w:firstLine="48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用塔吊吊起附墙附墙框架后梁，卸下后梁轴销，解除后梁与塔身节连接，然后将其徐徐降下地面；</w:t>
      </w:r>
    </w:p>
    <w:p>
      <w:pPr>
        <w:widowControl w:val="0"/>
        <w:numPr>
          <w:ilvl w:val="0"/>
          <w:numId w:val="49"/>
        </w:numPr>
        <w:spacing w:line="360" w:lineRule="auto"/>
        <w:ind w:left="0" w:firstLine="48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将附墙框架的侧梁和前梁用同样的方法缓缓吊起，将其徐徐下降至地面。</w:t>
      </w:r>
    </w:p>
    <w:p>
      <w:pPr>
        <w:widowControl w:val="0"/>
        <w:numPr>
          <w:ilvl w:val="0"/>
          <w:numId w:val="49"/>
        </w:numPr>
        <w:spacing w:line="360" w:lineRule="auto"/>
        <w:ind w:left="0" w:firstLine="480" w:firstLineChars="0"/>
        <w:jc w:val="both"/>
        <w:rPr>
          <w:rFonts w:hint="eastAsia" w:ascii="宋体" w:hAnsi="宋体" w:eastAsia="宋体" w:cs="宋体"/>
          <w:color w:val="auto"/>
          <w:sz w:val="24"/>
          <w:szCs w:val="24"/>
          <w:lang w:val="en-US" w:eastAsia="zh-CN"/>
        </w:rPr>
      </w:pPr>
      <w:r>
        <w:rPr>
          <w:rFonts w:hint="eastAsia" w:ascii="Times New Roman" w:hAnsi="Times New Roman" w:eastAsia="宋体" w:cs="Times New Roman"/>
          <w:kern w:val="2"/>
          <w:sz w:val="24"/>
          <w:szCs w:val="21"/>
          <w:lang w:val="en-US" w:eastAsia="zh-CN" w:bidi="ar-SA"/>
        </w:rPr>
        <w:t>附墙撑杆与附墙框拆除时，人员站位于塔柱操作平台上与塔身节横杆上进行操作，严禁站位于待拆除杆件上进行操作。</w:t>
      </w:r>
    </w:p>
    <w:p>
      <w:pPr>
        <w:pStyle w:val="5"/>
        <w:bidi w:val="0"/>
        <w:rPr>
          <w:rFonts w:hint="eastAsia"/>
          <w:lang w:val="en-US" w:eastAsia="zh-CN"/>
        </w:rPr>
      </w:pPr>
      <w:r>
        <w:rPr>
          <w:rFonts w:hint="eastAsia"/>
          <w:lang w:val="en-US" w:eastAsia="zh-CN"/>
        </w:rPr>
        <w:t>平衡臂配重拆除</w:t>
      </w:r>
    </w:p>
    <w:p>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将载重小车固定在起重臂根部，借助汽车吊拆卸配重。</w:t>
      </w:r>
    </w:p>
    <w:p>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按装配重的相反顺序，将各块配重依次卸下。仅</w:t>
      </w:r>
      <w:r>
        <w:rPr>
          <w:rFonts w:hint="eastAsia" w:ascii="宋体" w:hAnsi="宋体" w:eastAsia="宋体" w:cs="宋体"/>
          <w:color w:val="auto"/>
          <w:kern w:val="0"/>
          <w:sz w:val="24"/>
          <w:szCs w:val="24"/>
          <w:lang w:val="en-US" w:eastAsia="zh-CN" w:bidi="ar"/>
        </w:rPr>
        <w:t>留</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块</w:t>
      </w:r>
      <w:r>
        <w:rPr>
          <w:rFonts w:hint="eastAsia" w:ascii="宋体" w:hAnsi="宋体" w:eastAsia="宋体" w:cs="宋体"/>
          <w:sz w:val="24"/>
          <w:szCs w:val="24"/>
          <w:highlight w:val="none"/>
          <w:lang w:val="en-US" w:eastAsia="zh-CN"/>
        </w:rPr>
        <w:t>3250kg</w:t>
      </w:r>
      <w:r>
        <w:rPr>
          <w:rFonts w:hint="eastAsia" w:ascii="宋体" w:hAnsi="宋体" w:eastAsia="宋体" w:cs="宋体"/>
          <w:color w:val="auto"/>
          <w:kern w:val="0"/>
          <w:sz w:val="24"/>
          <w:szCs w:val="24"/>
          <w:lang w:val="en-US" w:eastAsia="zh-CN" w:bidi="ar"/>
        </w:rPr>
        <w:t>的配重</w:t>
      </w:r>
      <w:r>
        <w:rPr>
          <w:rFonts w:hint="eastAsia" w:ascii="宋体" w:hAnsi="宋体" w:eastAsia="宋体" w:cs="宋体"/>
          <w:color w:val="auto"/>
          <w:sz w:val="24"/>
          <w:szCs w:val="24"/>
          <w:lang w:val="en-US" w:eastAsia="zh-CN"/>
        </w:rPr>
        <w:t>。</w:t>
      </w:r>
    </w:p>
    <w:p>
      <w:pPr>
        <w:pStyle w:val="5"/>
        <w:bidi w:val="0"/>
        <w:rPr>
          <w:rFonts w:hint="eastAsia"/>
          <w:lang w:val="en-US" w:eastAsia="zh-CN"/>
        </w:rPr>
      </w:pPr>
      <w:bookmarkStart w:id="119" w:name="_Toc528139688"/>
      <w:r>
        <w:rPr>
          <w:rFonts w:hint="eastAsia"/>
          <w:lang w:val="en-US" w:eastAsia="zh-CN"/>
        </w:rPr>
        <w:t>起重臂的拆卸</w:t>
      </w:r>
      <w:bookmarkEnd w:id="119"/>
    </w:p>
    <w:p>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放下吊钩至地面，拆除起重钢丝绳与起重臂前端上的防扭装置连接，开动起升机构，回收全部钢丝绳；</w:t>
      </w:r>
    </w:p>
    <w:p>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根据安装时的吊点位置挂绳；</w:t>
      </w:r>
    </w:p>
    <w:p>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轻轻提起起重臂,慢慢启动起升机构，拆掉起重臂与臂根的连接销；</w:t>
      </w:r>
    </w:p>
    <w:p>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ascii="仿宋" w:hAnsi="仿宋" w:eastAsia="仿宋" w:cs="Times New Roman"/>
          <w:szCs w:val="24"/>
        </w:rPr>
        <w:drawing>
          <wp:anchor distT="0" distB="0" distL="114300" distR="114300" simplePos="0" relativeHeight="251664384" behindDoc="0" locked="0" layoutInCell="1" allowOverlap="1">
            <wp:simplePos x="0" y="0"/>
            <wp:positionH relativeFrom="column">
              <wp:posOffset>2886710</wp:posOffset>
            </wp:positionH>
            <wp:positionV relativeFrom="paragraph">
              <wp:posOffset>122555</wp:posOffset>
            </wp:positionV>
            <wp:extent cx="3219450" cy="2691765"/>
            <wp:effectExtent l="0" t="0" r="11430" b="5715"/>
            <wp:wrapNone/>
            <wp:docPr id="1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6"/>
                    <pic:cNvPicPr>
                      <a:picLocks noChangeAspect="1"/>
                    </pic:cNvPicPr>
                  </pic:nvPicPr>
                  <pic:blipFill>
                    <a:blip r:embed="rId46"/>
                    <a:stretch>
                      <a:fillRect/>
                    </a:stretch>
                  </pic:blipFill>
                  <pic:spPr>
                    <a:xfrm>
                      <a:off x="0" y="0"/>
                      <a:ext cx="3219450" cy="2691765"/>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放下起重臂,并搁在垫有枕木的支座上。</w:t>
      </w:r>
    </w:p>
    <w:p>
      <w:pPr>
        <w:widowControl w:val="0"/>
        <w:spacing w:after="50" w:afterLines="50" w:line="240" w:lineRule="auto"/>
        <w:ind w:firstLine="0" w:firstLineChars="0"/>
        <w:jc w:val="center"/>
        <w:rPr>
          <w:rFonts w:hint="eastAsia" w:ascii="宋体" w:hAnsi="宋体" w:eastAsia="宋体" w:cs="宋体"/>
          <w:kern w:val="2"/>
          <w:sz w:val="24"/>
          <w:szCs w:val="24"/>
          <w:lang w:val="en-US" w:eastAsia="zh-CN" w:bidi="ar-SA"/>
        </w:rPr>
      </w:pPr>
      <w:r>
        <w:rPr>
          <w:rFonts w:ascii="仿宋" w:hAnsi="仿宋" w:eastAsia="仿宋" w:cs="Times New Roman"/>
          <w:szCs w:val="24"/>
        </w:rPr>
        <w:drawing>
          <wp:anchor distT="0" distB="0" distL="114300" distR="114300" simplePos="0" relativeHeight="251663360" behindDoc="0" locked="0" layoutInCell="1" allowOverlap="1">
            <wp:simplePos x="0" y="0"/>
            <wp:positionH relativeFrom="column">
              <wp:posOffset>44450</wp:posOffset>
            </wp:positionH>
            <wp:positionV relativeFrom="paragraph">
              <wp:posOffset>635</wp:posOffset>
            </wp:positionV>
            <wp:extent cx="3048635" cy="2747645"/>
            <wp:effectExtent l="0" t="0" r="14605" b="10795"/>
            <wp:wrapNone/>
            <wp:docPr id="16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7"/>
                    <pic:cNvPicPr>
                      <a:picLocks noChangeAspect="1"/>
                    </pic:cNvPicPr>
                  </pic:nvPicPr>
                  <pic:blipFill>
                    <a:blip r:embed="rId45"/>
                    <a:stretch>
                      <a:fillRect/>
                    </a:stretch>
                  </pic:blipFill>
                  <pic:spPr>
                    <a:xfrm>
                      <a:off x="4241800" y="3854450"/>
                      <a:ext cx="3048635" cy="2747645"/>
                    </a:xfrm>
                    <a:prstGeom prst="rect">
                      <a:avLst/>
                    </a:prstGeom>
                    <a:noFill/>
                    <a:ln>
                      <a:noFill/>
                    </a:ln>
                  </pic:spPr>
                </pic:pic>
              </a:graphicData>
            </a:graphic>
          </wp:anchor>
        </w:drawing>
      </w:r>
    </w:p>
    <w:p>
      <w:pPr>
        <w:widowControl w:val="0"/>
        <w:spacing w:after="120" w:afterLines="50" w:line="360" w:lineRule="auto"/>
        <w:ind w:firstLine="241" w:firstLineChars="100"/>
        <w:jc w:val="center"/>
        <w:rPr>
          <w:rFonts w:hint="eastAsia" w:ascii="宋体" w:hAnsi="宋体" w:eastAsia="宋体" w:cs="宋体"/>
          <w:b/>
          <w:bCs/>
          <w:kern w:val="2"/>
          <w:sz w:val="24"/>
          <w:szCs w:val="24"/>
          <w:lang w:val="en-US" w:eastAsia="zh-CN" w:bidi="ar-SA"/>
        </w:rPr>
      </w:pPr>
    </w:p>
    <w:p>
      <w:pPr>
        <w:widowControl w:val="0"/>
        <w:spacing w:after="120" w:afterLines="50" w:line="360" w:lineRule="auto"/>
        <w:ind w:firstLine="241" w:firstLineChars="100"/>
        <w:jc w:val="center"/>
        <w:rPr>
          <w:rFonts w:hint="eastAsia" w:ascii="宋体" w:hAnsi="宋体" w:eastAsia="宋体" w:cs="宋体"/>
          <w:b/>
          <w:bCs/>
          <w:kern w:val="2"/>
          <w:sz w:val="24"/>
          <w:szCs w:val="24"/>
          <w:lang w:val="en-US" w:eastAsia="zh-CN" w:bidi="ar-SA"/>
        </w:rPr>
      </w:pPr>
    </w:p>
    <w:p>
      <w:pPr>
        <w:widowControl w:val="0"/>
        <w:spacing w:after="120" w:afterLines="50" w:line="360" w:lineRule="auto"/>
        <w:ind w:firstLine="241" w:firstLineChars="100"/>
        <w:jc w:val="center"/>
        <w:rPr>
          <w:rFonts w:hint="eastAsia" w:ascii="宋体" w:hAnsi="宋体" w:eastAsia="宋体" w:cs="宋体"/>
          <w:b/>
          <w:bCs/>
          <w:kern w:val="2"/>
          <w:sz w:val="24"/>
          <w:szCs w:val="24"/>
          <w:lang w:val="en-US" w:eastAsia="zh-CN" w:bidi="ar-SA"/>
        </w:rPr>
      </w:pPr>
    </w:p>
    <w:p>
      <w:pPr>
        <w:widowControl w:val="0"/>
        <w:spacing w:after="120" w:afterLines="50" w:line="360" w:lineRule="auto"/>
        <w:ind w:firstLine="241" w:firstLineChars="100"/>
        <w:jc w:val="center"/>
        <w:rPr>
          <w:rFonts w:hint="eastAsia" w:ascii="宋体" w:hAnsi="宋体" w:eastAsia="宋体" w:cs="宋体"/>
          <w:b/>
          <w:bCs/>
          <w:kern w:val="2"/>
          <w:sz w:val="24"/>
          <w:szCs w:val="24"/>
          <w:lang w:val="en-US" w:eastAsia="zh-CN" w:bidi="ar-SA"/>
        </w:rPr>
      </w:pPr>
    </w:p>
    <w:p>
      <w:pPr>
        <w:widowControl w:val="0"/>
        <w:spacing w:after="120" w:afterLines="50" w:line="360" w:lineRule="auto"/>
        <w:ind w:firstLine="241" w:firstLineChars="100"/>
        <w:jc w:val="center"/>
        <w:rPr>
          <w:rFonts w:hint="eastAsia" w:ascii="宋体" w:hAnsi="宋体" w:eastAsia="宋体" w:cs="宋体"/>
          <w:b/>
          <w:bCs/>
          <w:kern w:val="2"/>
          <w:sz w:val="24"/>
          <w:szCs w:val="24"/>
          <w:lang w:val="en-US" w:eastAsia="zh-CN" w:bidi="ar-SA"/>
        </w:rPr>
      </w:pPr>
    </w:p>
    <w:p>
      <w:pPr>
        <w:widowControl w:val="0"/>
        <w:spacing w:after="120" w:afterLines="50" w:line="360" w:lineRule="auto"/>
        <w:ind w:firstLine="241" w:firstLineChars="100"/>
        <w:jc w:val="center"/>
        <w:rPr>
          <w:rFonts w:hint="eastAsia" w:ascii="宋体" w:hAnsi="宋体" w:eastAsia="宋体" w:cs="宋体"/>
          <w:b/>
          <w:bCs/>
          <w:kern w:val="2"/>
          <w:sz w:val="24"/>
          <w:szCs w:val="24"/>
          <w:lang w:val="en-US" w:eastAsia="zh-CN" w:bidi="ar-SA"/>
        </w:rPr>
      </w:pPr>
    </w:p>
    <w:p>
      <w:pPr>
        <w:widowControl w:val="0"/>
        <w:spacing w:after="120" w:afterLines="50" w:line="360" w:lineRule="auto"/>
        <w:ind w:firstLine="240" w:firstLineChars="100"/>
        <w:jc w:val="center"/>
        <w:rPr>
          <w:rFonts w:hint="eastAsia" w:ascii="宋体" w:hAnsi="宋体" w:eastAsia="宋体" w:cs="宋体"/>
          <w:b/>
          <w:bCs/>
          <w:kern w:val="2"/>
          <w:sz w:val="24"/>
          <w:szCs w:val="24"/>
          <w:lang w:val="en-US" w:eastAsia="zh-CN" w:bidi="ar-SA"/>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39</w:t>
      </w:r>
      <w:r>
        <w:rPr>
          <w:rFonts w:hint="eastAsia" w:ascii="宋体" w:hAnsi="宋体" w:eastAsia="宋体" w:cs="宋体"/>
          <w:b/>
          <w:bCs/>
          <w:kern w:val="2"/>
          <w:sz w:val="24"/>
          <w:szCs w:val="24"/>
          <w:lang w:val="en-US" w:eastAsia="zh-CN" w:bidi="ar-SA"/>
        </w:rPr>
        <w:t xml:space="preserve"> 拆除起重臂臂节立面示意图</w:t>
      </w:r>
    </w:p>
    <w:p>
      <w:pPr>
        <w:pStyle w:val="5"/>
        <w:bidi w:val="0"/>
        <w:rPr>
          <w:rFonts w:hint="eastAsia"/>
          <w:lang w:val="en-US" w:eastAsia="zh-CN"/>
        </w:rPr>
      </w:pPr>
      <w:bookmarkStart w:id="120" w:name="_Toc528139689"/>
      <w:r>
        <w:rPr>
          <w:rFonts w:hint="eastAsia"/>
          <w:lang w:val="en-US" w:eastAsia="zh-CN"/>
        </w:rPr>
        <w:t>平衡臂的拆卸</w:t>
      </w:r>
      <w:bookmarkEnd w:id="120"/>
    </w:p>
    <w:p>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将剩余的一块配重吊下，然后通过平衡臂上的四个安装吊耳吊起平衡臂，使平衡臂拉杆处于放松状态，拆下拉杆连接销轴。然后拆掉平衡臂与上支座的连接销，将平衡臂平稳放至地面上。</w:t>
      </w:r>
    </w:p>
    <w:p>
      <w:pPr>
        <w:widowControl w:val="0"/>
        <w:spacing w:after="50" w:afterLines="50" w:line="240" w:lineRule="auto"/>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b/>
          <w:bCs/>
          <w:color w:val="000000"/>
          <w:kern w:val="2"/>
          <w:sz w:val="24"/>
          <w:szCs w:val="24"/>
          <w:lang w:val="en-US" w:eastAsia="zh-CN" w:bidi="ar-SA"/>
        </w:rPr>
        <w:drawing>
          <wp:inline distT="0" distB="0" distL="114300" distR="114300">
            <wp:extent cx="4646295" cy="2319020"/>
            <wp:effectExtent l="0" t="0" r="1905" b="12700"/>
            <wp:docPr id="29" name="图片 29"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006"/>
                    <pic:cNvPicPr>
                      <a:picLocks noChangeAspect="1"/>
                    </pic:cNvPicPr>
                  </pic:nvPicPr>
                  <pic:blipFill>
                    <a:blip r:embed="rId80"/>
                    <a:stretch>
                      <a:fillRect/>
                    </a:stretch>
                  </pic:blipFill>
                  <pic:spPr>
                    <a:xfrm>
                      <a:off x="0" y="0"/>
                      <a:ext cx="4646295" cy="2319020"/>
                    </a:xfrm>
                    <a:prstGeom prst="rect">
                      <a:avLst/>
                    </a:prstGeom>
                  </pic:spPr>
                </pic:pic>
              </a:graphicData>
            </a:graphic>
          </wp:inline>
        </w:drawing>
      </w:r>
    </w:p>
    <w:p>
      <w:pPr>
        <w:spacing w:after="0" w:afterLines="-2147483648" w:line="360" w:lineRule="auto"/>
        <w:ind w:firstLine="422"/>
        <w:jc w:val="center"/>
        <w:rPr>
          <w:rFonts w:hint="eastAsia" w:ascii="宋体" w:hAnsi="宋体" w:eastAsia="宋体" w:cs="宋体"/>
          <w:color w:val="auto"/>
          <w:sz w:val="24"/>
          <w:szCs w:val="24"/>
          <w:lang w:val="en-US" w:eastAsia="zh-CN"/>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lang w:val="en-US" w:eastAsia="zh-CN"/>
        </w:rPr>
        <w:t>40</w:t>
      </w:r>
      <w:r>
        <w:rPr>
          <w:rFonts w:hint="eastAsia" w:ascii="宋体" w:hAnsi="宋体" w:eastAsia="宋体" w:cs="宋体"/>
          <w:b/>
          <w:bCs/>
          <w:kern w:val="2"/>
          <w:sz w:val="24"/>
          <w:szCs w:val="24"/>
          <w:lang w:val="en-US" w:eastAsia="zh-CN" w:bidi="ar-SA"/>
        </w:rPr>
        <w:t xml:space="preserve"> </w:t>
      </w:r>
      <w:r>
        <w:rPr>
          <w:rFonts w:hint="eastAsia" w:ascii="宋体" w:hAnsi="宋体" w:eastAsia="宋体" w:cs="宋体"/>
          <w:b/>
          <w:bCs/>
          <w:color w:val="000000"/>
          <w:sz w:val="24"/>
          <w:szCs w:val="24"/>
          <w:lang w:eastAsia="zh-CN"/>
        </w:rPr>
        <w:t>XGT6515-10S</w:t>
      </w:r>
      <w:r>
        <w:rPr>
          <w:rFonts w:hint="eastAsia" w:ascii="宋体" w:hAnsi="宋体" w:eastAsia="宋体" w:cs="宋体"/>
          <w:b/>
          <w:bCs/>
          <w:color w:val="000000"/>
          <w:sz w:val="24"/>
          <w:szCs w:val="24"/>
        </w:rPr>
        <w:t>型塔机</w:t>
      </w:r>
      <w:r>
        <w:rPr>
          <w:rFonts w:hint="eastAsia" w:ascii="宋体" w:hAnsi="宋体" w:eastAsia="宋体" w:cs="宋体"/>
          <w:b/>
          <w:bCs/>
          <w:color w:val="000000"/>
          <w:sz w:val="24"/>
          <w:szCs w:val="24"/>
          <w:lang w:eastAsia="zh-CN"/>
        </w:rPr>
        <w:t>拆除</w:t>
      </w:r>
      <w:r>
        <w:rPr>
          <w:rFonts w:hint="eastAsia" w:ascii="宋体" w:hAnsi="宋体" w:eastAsia="宋体" w:cs="宋体"/>
          <w:b/>
          <w:bCs/>
          <w:color w:val="000000"/>
          <w:sz w:val="24"/>
          <w:szCs w:val="24"/>
          <w:lang w:val="en-US" w:eastAsia="zh-CN"/>
        </w:rPr>
        <w:t>起重臂根节与</w:t>
      </w:r>
      <w:r>
        <w:rPr>
          <w:rFonts w:hint="eastAsia" w:ascii="宋体" w:hAnsi="宋体" w:eastAsia="宋体" w:cs="宋体"/>
          <w:b/>
          <w:bCs/>
          <w:color w:val="000000"/>
          <w:sz w:val="24"/>
          <w:szCs w:val="24"/>
        </w:rPr>
        <w:t>平衡臂示意图</w:t>
      </w:r>
    </w:p>
    <w:p>
      <w:pPr>
        <w:pStyle w:val="5"/>
        <w:bidi w:val="0"/>
        <w:rPr>
          <w:rFonts w:hint="eastAsia"/>
          <w:lang w:val="en-US" w:eastAsia="zh-CN"/>
        </w:rPr>
      </w:pPr>
      <w:bookmarkStart w:id="121" w:name="_Toc528139691"/>
      <w:r>
        <w:rPr>
          <w:rFonts w:hint="eastAsia"/>
          <w:lang w:val="en-US" w:eastAsia="zh-CN"/>
        </w:rPr>
        <w:t>拆卸回转总成</w:t>
      </w:r>
    </w:p>
    <w:p>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拆掉下支座与塔身的连接销轴，伸长顶升油缸，将顶升横梁轴销落入踏步的圆弧槽内，拆掉下支座与套架的连接销轴，回缩顶升油缸，将套架的爬爪支承在塔身上，再用吊索将回转总成吊起卸下。</w:t>
      </w:r>
    </w:p>
    <w:p>
      <w:pPr>
        <w:widowControl w:val="0"/>
        <w:numPr>
          <w:ilvl w:val="2"/>
          <w:numId w:val="0"/>
        </w:numPr>
        <w:kinsoku/>
        <w:overflowPunct/>
        <w:autoSpaceDE/>
        <w:autoSpaceDN/>
        <w:adjustRightInd/>
        <w:snapToGrid/>
        <w:spacing w:before="50" w:beforeLines="50" w:after="50" w:afterLines="50" w:line="360" w:lineRule="auto"/>
        <w:ind w:firstLine="200" w:firstLineChars="0"/>
        <w:jc w:val="center"/>
        <w:outlineLvl w:val="9"/>
        <w:rPr>
          <w:rFonts w:hint="eastAsia" w:ascii="宋体" w:hAnsi="宋体" w:eastAsia="宋体" w:cs="宋体"/>
          <w:b/>
          <w:bCs/>
          <w:color w:val="1F3864"/>
          <w:kern w:val="2"/>
          <w:sz w:val="24"/>
          <w:szCs w:val="24"/>
          <w:lang w:val="en-US" w:eastAsia="zh-CN" w:bidi="ar-SA"/>
        </w:rPr>
      </w:pPr>
      <w:r>
        <w:rPr>
          <w:rFonts w:hint="eastAsia" w:ascii="宋体" w:hAnsi="宋体" w:eastAsia="宋体" w:cs="宋体"/>
          <w:b/>
          <w:bCs/>
          <w:color w:val="000000"/>
          <w:kern w:val="2"/>
          <w:sz w:val="24"/>
          <w:szCs w:val="24"/>
          <w:lang w:val="en-US" w:eastAsia="zh-CN" w:bidi="ar-SA"/>
        </w:rPr>
        <w:drawing>
          <wp:inline distT="0" distB="0" distL="114300" distR="114300">
            <wp:extent cx="1607820" cy="2166620"/>
            <wp:effectExtent l="0" t="0" r="7620" b="12700"/>
            <wp:docPr id="31" name="图片 31"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005"/>
                    <pic:cNvPicPr>
                      <a:picLocks noChangeAspect="1"/>
                    </pic:cNvPicPr>
                  </pic:nvPicPr>
                  <pic:blipFill>
                    <a:blip r:embed="rId81"/>
                    <a:stretch>
                      <a:fillRect/>
                    </a:stretch>
                  </pic:blipFill>
                  <pic:spPr>
                    <a:xfrm>
                      <a:off x="0" y="0"/>
                      <a:ext cx="1607820" cy="2166620"/>
                    </a:xfrm>
                    <a:prstGeom prst="rect">
                      <a:avLst/>
                    </a:prstGeom>
                  </pic:spPr>
                </pic:pic>
              </a:graphicData>
            </a:graphic>
          </wp:inline>
        </w:drawing>
      </w:r>
    </w:p>
    <w:p>
      <w:pPr>
        <w:spacing w:after="0" w:afterLines="-2147483648" w:line="360" w:lineRule="auto"/>
        <w:ind w:firstLine="422"/>
        <w:jc w:val="center"/>
        <w:rPr>
          <w:rFonts w:hint="eastAsia" w:ascii="宋体" w:hAnsi="宋体" w:eastAsia="宋体" w:cs="宋体"/>
          <w:sz w:val="24"/>
          <w:szCs w:val="24"/>
          <w:lang w:val="en-US" w:eastAsia="zh-CN"/>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41</w:t>
      </w:r>
      <w:r>
        <w:rPr>
          <w:rFonts w:hint="eastAsia" w:ascii="宋体" w:hAnsi="宋体" w:eastAsia="宋体" w:cs="宋体"/>
          <w:b/>
          <w:bCs/>
          <w:kern w:val="2"/>
          <w:sz w:val="24"/>
          <w:szCs w:val="24"/>
          <w:lang w:val="en-US" w:eastAsia="zh-CN" w:bidi="ar-SA"/>
        </w:rPr>
        <w:t xml:space="preserve"> 回转总成拆除立面示意图</w:t>
      </w:r>
    </w:p>
    <w:p>
      <w:pPr>
        <w:spacing w:after="0" w:afterLines="-2147483648" w:line="360" w:lineRule="auto"/>
        <w:ind w:firstLine="422"/>
        <w:jc w:val="center"/>
        <w:rPr>
          <w:rFonts w:hint="eastAsia" w:ascii="宋体" w:hAnsi="宋体" w:eastAsia="宋体" w:cs="宋体"/>
          <w:sz w:val="24"/>
          <w:szCs w:val="24"/>
        </w:rPr>
      </w:pPr>
    </w:p>
    <w:p>
      <w:pPr>
        <w:pStyle w:val="5"/>
        <w:bidi w:val="0"/>
        <w:rPr>
          <w:rFonts w:hint="eastAsia"/>
          <w:lang w:val="en-US" w:eastAsia="zh-CN"/>
        </w:rPr>
      </w:pPr>
      <w:r>
        <w:rPr>
          <w:rFonts w:hint="eastAsia"/>
          <w:lang w:val="en-US" w:eastAsia="zh-CN"/>
        </w:rPr>
        <w:t>拆卸</w:t>
      </w:r>
      <w:bookmarkEnd w:id="121"/>
      <w:r>
        <w:rPr>
          <w:rFonts w:hint="eastAsia"/>
          <w:lang w:val="en-US" w:eastAsia="zh-CN"/>
        </w:rPr>
        <w:t xml:space="preserve">特殊节  </w:t>
      </w:r>
    </w:p>
    <w:p>
      <w:pPr>
        <w:spacing w:after="0" w:afterLines="-2147483648" w:line="360" w:lineRule="auto"/>
        <w:ind w:firstLine="480" w:firstLineChars="200"/>
        <w:jc w:val="both"/>
        <w:rPr>
          <w:rFonts w:hint="eastAsia" w:ascii="宋体" w:hAnsi="宋体" w:eastAsia="宋体" w:cs="宋体"/>
          <w:b/>
          <w:bCs/>
          <w:color w:val="auto"/>
          <w:kern w:val="44"/>
          <w:sz w:val="24"/>
          <w:szCs w:val="24"/>
          <w:lang w:val="en-US" w:eastAsia="zh-CN" w:bidi="ar-SA"/>
        </w:rPr>
      </w:pPr>
      <w:r>
        <w:rPr>
          <w:rFonts w:hint="eastAsia" w:ascii="宋体" w:hAnsi="宋体" w:eastAsia="宋体" w:cs="宋体"/>
          <w:color w:val="auto"/>
          <w:sz w:val="24"/>
          <w:szCs w:val="24"/>
          <w:lang w:val="en-US" w:eastAsia="zh-CN"/>
        </w:rPr>
        <w:t>拆掉上支座与塔顶的连接销轴，再用吊索将塔顶吊起卸下。</w:t>
      </w:r>
    </w:p>
    <w:p>
      <w:pPr>
        <w:spacing w:after="0" w:afterLines="-2147483648" w:line="360" w:lineRule="auto"/>
        <w:ind w:firstLine="480" w:firstLineChars="200"/>
        <w:jc w:val="center"/>
        <w:rPr>
          <w:rFonts w:hint="eastAsia" w:ascii="宋体" w:hAnsi="宋体" w:eastAsia="宋体" w:cs="宋体"/>
          <w:color w:val="auto"/>
          <w:sz w:val="24"/>
          <w:szCs w:val="24"/>
          <w:lang w:val="en-US" w:eastAsia="zh-CN"/>
        </w:rPr>
      </w:pPr>
      <w:bookmarkStart w:id="122" w:name="_Toc528139692"/>
      <w:r>
        <w:rPr>
          <w:rFonts w:hint="eastAsia" w:ascii="宋体" w:hAnsi="宋体" w:eastAsia="宋体" w:cs="宋体"/>
          <w:sz w:val="24"/>
          <w:szCs w:val="24"/>
        </w:rPr>
        <w:drawing>
          <wp:inline distT="0" distB="0" distL="114300" distR="114300">
            <wp:extent cx="1581150" cy="2406015"/>
            <wp:effectExtent l="0" t="0" r="3810" b="1905"/>
            <wp:docPr id="32" name="图片 32"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003"/>
                    <pic:cNvPicPr>
                      <a:picLocks noChangeAspect="1"/>
                    </pic:cNvPicPr>
                  </pic:nvPicPr>
                  <pic:blipFill>
                    <a:blip r:embed="rId82"/>
                    <a:stretch>
                      <a:fillRect/>
                    </a:stretch>
                  </pic:blipFill>
                  <pic:spPr>
                    <a:xfrm>
                      <a:off x="0" y="0"/>
                      <a:ext cx="1581150" cy="2406015"/>
                    </a:xfrm>
                    <a:prstGeom prst="rect">
                      <a:avLst/>
                    </a:prstGeom>
                  </pic:spPr>
                </pic:pic>
              </a:graphicData>
            </a:graphic>
          </wp:inline>
        </w:drawing>
      </w:r>
    </w:p>
    <w:p>
      <w:pPr>
        <w:widowControl w:val="0"/>
        <w:spacing w:after="50" w:afterLines="50" w:line="240" w:lineRule="auto"/>
        <w:ind w:firstLine="0" w:firstLineChars="0"/>
        <w:jc w:val="both"/>
        <w:rPr>
          <w:rFonts w:hint="eastAsia" w:ascii="宋体" w:hAnsi="宋体" w:eastAsia="宋体" w:cs="宋体"/>
          <w:kern w:val="2"/>
          <w:sz w:val="24"/>
          <w:szCs w:val="24"/>
          <w:lang w:val="en-US" w:eastAsia="zh-CN" w:bidi="ar-SA"/>
        </w:rPr>
      </w:pPr>
    </w:p>
    <w:p>
      <w:pPr>
        <w:spacing w:after="0" w:afterLines="-2147483648" w:line="360" w:lineRule="auto"/>
        <w:ind w:firstLine="422"/>
        <w:jc w:val="center"/>
        <w:rPr>
          <w:rFonts w:hint="eastAsia" w:ascii="宋体" w:hAnsi="宋体" w:eastAsia="宋体" w:cs="宋体"/>
          <w:sz w:val="24"/>
          <w:szCs w:val="24"/>
          <w:lang w:val="en-US" w:eastAsia="zh-CN"/>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 xml:space="preserve">42 </w:t>
      </w:r>
      <w:r>
        <w:rPr>
          <w:rFonts w:hint="eastAsia" w:ascii="宋体" w:hAnsi="宋体" w:eastAsia="宋体" w:cs="宋体"/>
          <w:b/>
          <w:color w:val="000000"/>
          <w:sz w:val="24"/>
          <w:szCs w:val="24"/>
          <w:lang w:eastAsia="zh-CN"/>
        </w:rPr>
        <w:t>拆除</w:t>
      </w:r>
      <w:r>
        <w:rPr>
          <w:rFonts w:hint="eastAsia" w:ascii="宋体" w:hAnsi="宋体" w:eastAsia="宋体" w:cs="宋体"/>
          <w:b/>
          <w:sz w:val="24"/>
          <w:szCs w:val="24"/>
        </w:rPr>
        <w:t>特殊节</w:t>
      </w:r>
      <w:r>
        <w:rPr>
          <w:rFonts w:hint="eastAsia" w:ascii="宋体" w:hAnsi="宋体" w:eastAsia="宋体" w:cs="宋体"/>
          <w:b/>
          <w:color w:val="000000"/>
          <w:sz w:val="24"/>
          <w:szCs w:val="24"/>
        </w:rPr>
        <w:t>立面图</w:t>
      </w:r>
    </w:p>
    <w:p>
      <w:pPr>
        <w:pStyle w:val="5"/>
        <w:bidi w:val="0"/>
        <w:rPr>
          <w:rFonts w:hint="eastAsia"/>
          <w:lang w:val="en-US" w:eastAsia="zh-CN"/>
        </w:rPr>
      </w:pPr>
      <w:r>
        <w:rPr>
          <w:rFonts w:hint="eastAsia"/>
          <w:lang w:val="en-US" w:eastAsia="zh-CN"/>
        </w:rPr>
        <w:t>拆走套架及塔身标准节</w:t>
      </w:r>
      <w:bookmarkEnd w:id="122"/>
    </w:p>
    <w:p>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吊起套架，缓缓地沿标准节主弦杆吊出，放至地面。</w:t>
      </w:r>
    </w:p>
    <w:p>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依次吊下各节标准节。</w:t>
      </w:r>
    </w:p>
    <w:p>
      <w:pPr>
        <w:widowControl w:val="0"/>
        <w:spacing w:after="50" w:afterLines="50" w:line="240" w:lineRule="auto"/>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drawing>
          <wp:inline distT="0" distB="0" distL="0" distR="0">
            <wp:extent cx="2309495" cy="3013710"/>
            <wp:effectExtent l="0" t="0" r="6985" b="381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83"/>
                    <a:stretch>
                      <a:fillRect/>
                    </a:stretch>
                  </pic:blipFill>
                  <pic:spPr>
                    <a:xfrm>
                      <a:off x="0" y="0"/>
                      <a:ext cx="2328887" cy="3038405"/>
                    </a:xfrm>
                    <a:prstGeom prst="rect">
                      <a:avLst/>
                    </a:prstGeom>
                  </pic:spPr>
                </pic:pic>
              </a:graphicData>
            </a:graphic>
          </wp:inline>
        </w:drawing>
      </w:r>
    </w:p>
    <w:p>
      <w:pPr>
        <w:spacing w:after="0" w:afterLines="-2147483648" w:line="360" w:lineRule="auto"/>
        <w:ind w:firstLine="422"/>
        <w:jc w:val="center"/>
        <w:rPr>
          <w:rFonts w:hint="eastAsia" w:ascii="宋体" w:hAnsi="宋体" w:eastAsia="宋体" w:cs="宋体"/>
          <w:sz w:val="24"/>
          <w:szCs w:val="24"/>
          <w:lang w:val="en-US" w:eastAsia="zh-CN"/>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43</w:t>
      </w:r>
      <w:r>
        <w:rPr>
          <w:rFonts w:hint="eastAsia" w:ascii="宋体" w:hAnsi="宋体" w:eastAsia="宋体" w:cs="宋体"/>
          <w:b/>
          <w:color w:val="000000"/>
          <w:sz w:val="24"/>
          <w:szCs w:val="24"/>
          <w:lang w:val="en-US" w:eastAsia="zh-CN"/>
        </w:rPr>
        <w:t xml:space="preserve"> </w:t>
      </w:r>
      <w:r>
        <w:rPr>
          <w:rFonts w:hint="eastAsia" w:ascii="宋体" w:hAnsi="宋体" w:eastAsia="宋体" w:cs="宋体"/>
          <w:b/>
          <w:bCs/>
          <w:kern w:val="2"/>
          <w:sz w:val="24"/>
          <w:szCs w:val="24"/>
          <w:lang w:val="en-US" w:eastAsia="zh-CN" w:bidi="ar-SA"/>
        </w:rPr>
        <w:t>爬升节拆除示意图</w:t>
      </w:r>
    </w:p>
    <w:p>
      <w:pPr>
        <w:pStyle w:val="5"/>
        <w:bidi w:val="0"/>
        <w:rPr>
          <w:rFonts w:hint="eastAsia"/>
          <w:lang w:val="en-US" w:eastAsia="zh-CN"/>
        </w:rPr>
      </w:pPr>
      <w:bookmarkStart w:id="123" w:name="_Toc17576"/>
      <w:r>
        <w:rPr>
          <w:rFonts w:hint="eastAsia"/>
          <w:lang w:val="en-US" w:eastAsia="zh-CN"/>
        </w:rPr>
        <w:t>塔机拆除注意事项</w:t>
      </w:r>
      <w:bookmarkEnd w:id="123"/>
    </w:p>
    <w:p>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（1）拆卸作业前，总负责人应组织全体拆卸人员学习安全技术措施，进行技术交底落实每项工作。</w:t>
      </w:r>
    </w:p>
    <w:p>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（2）拆卸作业人员职责分工明确，坚守岗位，必须全神贯注地投入工作，并观察塔机上部下降动态，做到遇情况立即停机检查，故障未排除不得继续拆卸。</w:t>
      </w:r>
    </w:p>
    <w:p>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（3）高空作业人员必须系好安全带，着防滑鞋，戴安全帽。</w:t>
      </w:r>
    </w:p>
    <w:p>
      <w:pPr>
        <w:keepNext w:val="0"/>
        <w:keepLines w:val="0"/>
        <w:widowControl/>
        <w:suppressLineNumbers w:val="0"/>
        <w:spacing w:after="0" w:afterLines="-2147483648" w:line="360" w:lineRule="auto"/>
        <w:ind w:firstLine="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sz w:val="24"/>
          <w:szCs w:val="24"/>
          <w:lang w:val="en-US" w:eastAsia="zh-CN"/>
        </w:rPr>
        <w:t>（4）</w:t>
      </w:r>
      <w:r>
        <w:rPr>
          <w:rFonts w:hint="eastAsia" w:ascii="宋体" w:hAnsi="宋体" w:eastAsia="宋体" w:cs="宋体"/>
          <w:color w:val="auto"/>
          <w:kern w:val="0"/>
          <w:sz w:val="24"/>
          <w:szCs w:val="24"/>
          <w:lang w:val="en-US" w:eastAsia="zh-CN" w:bidi="ar"/>
        </w:rPr>
        <w:t>塔机拆塔之前，顶升机构由于长期停止使用，应对顶升机构进行保养和试运转，在试运转过程中，应有目的地对限位器，回转机构的制动器等进行可靠性检查；</w:t>
      </w:r>
    </w:p>
    <w:p>
      <w:pPr>
        <w:keepNext w:val="0"/>
        <w:keepLines w:val="0"/>
        <w:widowControl/>
        <w:suppressLineNumbers w:val="0"/>
        <w:spacing w:after="0" w:afterLines="-2147483648" w:line="360" w:lineRule="auto"/>
        <w:ind w:firstLine="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a. 检查液压系统各部件是否完好、有无漏、渗油现象。顶升油缸运动是否顺畅、到位。 </w:t>
      </w:r>
    </w:p>
    <w:p>
      <w:pPr>
        <w:keepNext w:val="0"/>
        <w:keepLines w:val="0"/>
        <w:widowControl/>
        <w:suppressLineNumbers w:val="0"/>
        <w:spacing w:after="0" w:afterLines="-2147483648" w:line="360" w:lineRule="auto"/>
        <w:ind w:firstLine="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b. 检查顶升油箱油位计显示油量在油缸完全收回时是否在 1/3 到 2/3 刻度之间，如果油量减少应及时补油。 </w:t>
      </w:r>
    </w:p>
    <w:p>
      <w:pPr>
        <w:keepNext w:val="0"/>
        <w:keepLines w:val="0"/>
        <w:widowControl/>
        <w:suppressLineNumbers w:val="0"/>
        <w:spacing w:after="0" w:afterLines="-2147483648" w:line="360" w:lineRule="auto"/>
        <w:ind w:firstLine="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c. 操作顶升控制手柄进行试顶升动作，当液压系统压力到达溢流阀设定的压力后保持10 秒，如果压力一直保持不变，则顶升系统可进行顶升加节操作。</w:t>
      </w:r>
    </w:p>
    <w:p>
      <w:pPr>
        <w:spacing w:after="0" w:afterLines="-2147483648"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（5）顶升机构工作时，所有操作人员应集中精力观察各相对运动件的相对位置是否正常（如滚轮与主弦杆之间，套架与塔身之间），是否有阻碍套架运动（特别是下降运动时）的物件。</w:t>
      </w:r>
    </w:p>
    <w:p>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（6）塔机在拆前的试运转过程中，应有目的地对各安全装置、各制动器等进行认真检查，确保灵敏可靠。</w:t>
      </w:r>
    </w:p>
    <w:p>
      <w:pPr>
        <w:keepNext w:val="0"/>
        <w:keepLines w:val="0"/>
        <w:widowControl/>
        <w:suppressLineNumbers w:val="0"/>
        <w:spacing w:after="0" w:afterLines="-2147483648" w:line="360" w:lineRule="auto"/>
        <w:ind w:firstLine="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（7）降塔过程中，塔机应处于平衡状态。 </w:t>
      </w:r>
    </w:p>
    <w:p>
      <w:pPr>
        <w:spacing w:after="0" w:afterLines="-2147483648" w:line="360" w:lineRule="auto"/>
        <w:ind w:firstLine="480" w:firstLineChars="200"/>
        <w:jc w:val="both"/>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（8）拆卸进行前，应将起重臂回转至爬升架引进标准节一侧。</w:t>
      </w:r>
    </w:p>
    <w:p>
      <w:pPr>
        <w:keepNext w:val="0"/>
        <w:keepLines w:val="0"/>
        <w:widowControl/>
        <w:suppressLineNumbers w:val="0"/>
        <w:spacing w:after="0" w:afterLines="-2147483648" w:line="360" w:lineRule="auto"/>
        <w:ind w:firstLine="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 xml:space="preserve">（9）对于拆卸的部件，如起重臂、平衡臂等必须遵守规章，以防止当拆卸某一部件时，其余部分有失去平衡的危险。 </w:t>
      </w:r>
    </w:p>
    <w:p>
      <w:pPr>
        <w:spacing w:after="0" w:afterLines="-2147483648"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（10）对主要受力的结构件应检查金属疲劳、焊缝裂纹、结构变形等情况，检查塔机各零部件是否有损坏或碰伤等。</w:t>
      </w:r>
    </w:p>
    <w:p>
      <w:pPr>
        <w:keepNext w:val="0"/>
        <w:keepLines w:val="0"/>
        <w:widowControl/>
        <w:suppressLineNumbers w:val="0"/>
        <w:spacing w:after="0" w:afterLines="-2147483648" w:line="360" w:lineRule="auto"/>
        <w:ind w:firstLine="200"/>
        <w:jc w:val="left"/>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lang w:val="en-US" w:eastAsia="zh-CN" w:bidi="ar"/>
        </w:rPr>
        <w:t xml:space="preserve">（11）在拆塔过程中，吊运钢丝绳的选择要合理，物件捆绑必须牢固。 </w:t>
      </w:r>
    </w:p>
    <w:p>
      <w:pPr>
        <w:spacing w:after="0" w:afterLines="-2147483648"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（12）在塔机标准节已拆出，但下支座与塔身还没有用销轴连接好之前，严禁使用回转机构、牵引机构和起升机构。</w:t>
      </w:r>
    </w:p>
    <w:p>
      <w:pPr>
        <w:spacing w:after="0" w:afterLines="-2147483648"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（13）</w:t>
      </w:r>
      <w:r>
        <w:rPr>
          <w:rFonts w:hint="eastAsia" w:ascii="宋体" w:hAnsi="宋体" w:eastAsia="宋体" w:cs="宋体"/>
          <w:color w:val="auto"/>
          <w:sz w:val="24"/>
          <w:szCs w:val="24"/>
        </w:rPr>
        <w:t xml:space="preserve"> 拆卸时最高处风速应低于 1</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m/s。</w:t>
      </w:r>
    </w:p>
    <w:p>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（14）塔身拆卸未降到规定高度，不得先拆附墙装置。</w:t>
      </w:r>
    </w:p>
    <w:bookmarkEnd w:id="117"/>
    <w:bookmarkEnd w:id="118"/>
    <w:p>
      <w:pPr>
        <w:pStyle w:val="5"/>
      </w:pPr>
      <w:r>
        <w:rPr>
          <w:rFonts w:hint="eastAsia"/>
        </w:rPr>
        <w:t>解体装车退场</w:t>
      </w:r>
    </w:p>
    <w:p>
      <w:pPr>
        <w:ind w:firstLine="480"/>
      </w:pPr>
      <w:r>
        <w:fldChar w:fldCharType="begin"/>
      </w:r>
      <w:r>
        <w:instrText xml:space="preserve"> REF 设备类型 \h  \* MERGEFORMAT </w:instrText>
      </w:r>
      <w:r>
        <w:fldChar w:fldCharType="separate"/>
      </w:r>
      <w:r>
        <w:rPr>
          <w:rFonts w:hint="eastAsia"/>
        </w:rPr>
        <w:t>塔式起重机</w:t>
      </w:r>
      <w:r>
        <w:fldChar w:fldCharType="end"/>
      </w:r>
      <w:r>
        <w:rPr>
          <w:rFonts w:hint="eastAsia"/>
        </w:rPr>
        <w:t>拆除解体后由工程技术人员和专业维修人员进行检查，对主要受力的结构件应检查金属疲劳，焊缝裂纹，结构变形等情况，检查塔机各零部件是否有损坏或碰伤等，检查完毕后，对缺陷、隐患进行修复后，再进行防锈、刷漆处理。选用13.5m长平板车进行运输。运输其它部件根据数量、尺寸和重量合理选择运输车辆。应有专人负责装、运、卸设备部件，摆放部件应合理，所有部件的运输车辆，运输时须用12mm钢丝绳和紧绳器固定好。</w:t>
      </w:r>
    </w:p>
    <w:p>
      <w:pPr>
        <w:numPr>
          <w:ilvl w:val="0"/>
          <w:numId w:val="50"/>
        </w:numPr>
      </w:pPr>
      <w:r>
        <w:rPr>
          <w:rFonts w:hint="eastAsia"/>
        </w:rPr>
        <w:t>把起重臂和平衡臂拆下后，在地面使用</w:t>
      </w:r>
      <w:r>
        <w:fldChar w:fldCharType="begin"/>
      </w:r>
      <w:r>
        <w:instrText xml:space="preserve"> </w:instrText>
      </w:r>
      <w:r>
        <w:rPr>
          <w:rFonts w:hint="eastAsia"/>
        </w:rPr>
        <w:instrText xml:space="preserve">REF 起重设备1型号 \h</w:instrText>
      </w:r>
      <w:r>
        <w:instrText xml:space="preserve"> </w:instrText>
      </w:r>
      <w:r>
        <w:fldChar w:fldCharType="separate"/>
      </w:r>
      <w:r>
        <w:t>100</w:t>
      </w:r>
      <w:r>
        <w:rPr>
          <w:rFonts w:hint="eastAsia"/>
        </w:rPr>
        <w:t>t</w:t>
      </w:r>
      <w:r>
        <w:fldChar w:fldCharType="end"/>
      </w:r>
      <w:r>
        <w:fldChar w:fldCharType="begin"/>
      </w:r>
      <w:r>
        <w:instrText xml:space="preserve"> REF 起重设备1类型 \h </w:instrText>
      </w:r>
      <w:r>
        <w:fldChar w:fldCharType="separate"/>
      </w:r>
      <w:r>
        <w:rPr>
          <w:rFonts w:hint="eastAsia"/>
        </w:rPr>
        <w:t>汽车式起重机</w:t>
      </w:r>
      <w:r>
        <w:fldChar w:fldCharType="end"/>
      </w:r>
      <w:r>
        <w:rPr>
          <w:rFonts w:hint="eastAsia"/>
        </w:rPr>
        <w:t>配合对其进行解体装车；</w:t>
      </w:r>
    </w:p>
    <w:p>
      <w:pPr>
        <w:numPr>
          <w:ilvl w:val="0"/>
          <w:numId w:val="50"/>
        </w:numPr>
      </w:pPr>
      <w:r>
        <w:rPr>
          <w:rFonts w:hint="eastAsia"/>
        </w:rPr>
        <w:t>在拆除中注意拆下的螺栓按规格进行存放，防止损坏和丢失；</w:t>
      </w:r>
    </w:p>
    <w:p>
      <w:pPr>
        <w:numPr>
          <w:ilvl w:val="0"/>
          <w:numId w:val="50"/>
        </w:numPr>
      </w:pPr>
      <w:r>
        <w:rPr>
          <w:rFonts w:hint="eastAsia"/>
        </w:rPr>
        <w:t>各种电器元件、电缆全部装箱储运，防止损坏和丢失。电气柜和控制室内的电气连接不得随意拆除和更改，装车运输时装稳刹牢防止溜滑；</w:t>
      </w:r>
    </w:p>
    <w:p>
      <w:pPr>
        <w:numPr>
          <w:ilvl w:val="0"/>
          <w:numId w:val="50"/>
        </w:numPr>
      </w:pPr>
      <w:r>
        <w:rPr>
          <w:rFonts w:hint="eastAsia"/>
        </w:rPr>
        <w:t>各部件装车运输时应合理配车，做到大不压小、精密易损件重点保护。</w:t>
      </w:r>
    </w:p>
    <w:p>
      <w:pPr>
        <w:pStyle w:val="3"/>
      </w:pPr>
      <w:bookmarkStart w:id="124" w:name="_Toc30888"/>
      <w:r>
        <w:rPr>
          <w:rFonts w:hint="eastAsia"/>
        </w:rPr>
        <w:t>检查要求</w:t>
      </w:r>
      <w:bookmarkEnd w:id="124"/>
    </w:p>
    <w:p>
      <w:pPr>
        <w:pStyle w:val="4"/>
      </w:pPr>
      <w:r>
        <w:rPr>
          <w:rFonts w:hint="eastAsia"/>
        </w:rPr>
        <w:t>验收标准</w:t>
      </w:r>
    </w:p>
    <w:p>
      <w:pPr>
        <w:ind w:firstLine="480"/>
      </w:pPr>
      <w:r>
        <w:rPr>
          <w:rFonts w:hint="eastAsia"/>
        </w:rPr>
        <w:t>设备安装验收标准依据详见</w:t>
      </w:r>
      <w:r>
        <w:fldChar w:fldCharType="begin"/>
      </w:r>
      <w:r>
        <w:instrText xml:space="preserve"> </w:instrText>
      </w:r>
      <w:r>
        <w:rPr>
          <w:rFonts w:hint="eastAsia"/>
        </w:rPr>
        <w:instrText xml:space="preserve">REF _Ref124236063 \h</w:instrText>
      </w:r>
      <w:r>
        <w:instrText xml:space="preserve"> </w:instrText>
      </w:r>
      <w:r>
        <w:fldChar w:fldCharType="separate"/>
      </w:r>
      <w:r>
        <w:rPr>
          <w:rFonts w:hint="eastAsia"/>
        </w:rPr>
        <w:t>表</w:t>
      </w:r>
      <w:r>
        <w:t>4.6.1-1</w:t>
      </w:r>
      <w:r>
        <w:fldChar w:fldCharType="end"/>
      </w:r>
      <w:r>
        <w:rPr>
          <w:rFonts w:hint="eastAsia"/>
        </w:rPr>
        <w:t>所示。</w:t>
      </w:r>
    </w:p>
    <w:p>
      <w:pPr>
        <w:pStyle w:val="16"/>
      </w:pPr>
      <w:bookmarkStart w:id="125" w:name="_Ref124236063"/>
      <w:r>
        <w:rPr>
          <w:rFonts w:hint="eastAsia"/>
        </w:rPr>
        <w:t>表</w:t>
      </w:r>
      <w:r>
        <w:fldChar w:fldCharType="begin"/>
      </w:r>
      <w:r>
        <w:instrText xml:space="preserve"> STYLEREF 3 \s </w:instrText>
      </w:r>
      <w:r>
        <w:fldChar w:fldCharType="separate"/>
      </w:r>
      <w:r>
        <w:t>4.6.1</w:t>
      </w:r>
      <w:r>
        <w:fldChar w:fldCharType="end"/>
      </w:r>
      <w:r>
        <w:t>-</w:t>
      </w:r>
      <w:r>
        <w:fldChar w:fldCharType="begin"/>
      </w:r>
      <w:r>
        <w:instrText xml:space="preserve"> SEQ </w:instrText>
      </w:r>
      <w:r>
        <w:rPr>
          <w:rFonts w:hint="eastAsia"/>
        </w:rPr>
        <w:instrText xml:space="preserve">表</w:instrText>
      </w:r>
      <w:r>
        <w:instrText xml:space="preserve"> \* ARABIC \s 3 </w:instrText>
      </w:r>
      <w:r>
        <w:fldChar w:fldCharType="separate"/>
      </w:r>
      <w:r>
        <w:t>1</w:t>
      </w:r>
      <w:r>
        <w:fldChar w:fldCharType="end"/>
      </w:r>
      <w:bookmarkEnd w:id="125"/>
      <w:r>
        <w:t xml:space="preserve"> </w:t>
      </w:r>
      <w:r>
        <w:rPr>
          <w:rFonts w:hint="eastAsia"/>
        </w:rPr>
        <w:t>验收标准</w:t>
      </w:r>
    </w:p>
    <w:tbl>
      <w:tblPr>
        <w:tblStyle w:val="19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1897"/>
        <w:gridCol w:w="5241"/>
        <w:gridCol w:w="6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406" w:type="pct"/>
            <w:vAlign w:val="center"/>
          </w:tcPr>
          <w:p>
            <w:pPr>
              <w:pStyle w:val="17"/>
              <w:rPr>
                <w:b/>
              </w:rPr>
            </w:pPr>
            <w:r>
              <w:rPr>
                <w:rFonts w:hint="eastAsia"/>
                <w:b/>
              </w:rPr>
              <w:t>序号</w:t>
            </w:r>
          </w:p>
        </w:tc>
        <w:tc>
          <w:tcPr>
            <w:tcW w:w="1113" w:type="pct"/>
            <w:vAlign w:val="center"/>
          </w:tcPr>
          <w:p>
            <w:pPr>
              <w:pStyle w:val="17"/>
              <w:rPr>
                <w:b/>
              </w:rPr>
            </w:pPr>
            <w:r>
              <w:rPr>
                <w:rFonts w:hint="eastAsia"/>
                <w:b/>
              </w:rPr>
              <w:t>标准号</w:t>
            </w:r>
          </w:p>
        </w:tc>
        <w:tc>
          <w:tcPr>
            <w:tcW w:w="3075" w:type="pct"/>
            <w:vAlign w:val="center"/>
          </w:tcPr>
          <w:p>
            <w:pPr>
              <w:pStyle w:val="17"/>
              <w:rPr>
                <w:b/>
              </w:rPr>
            </w:pPr>
            <w:r>
              <w:rPr>
                <w:rFonts w:hint="eastAsia"/>
                <w:b/>
              </w:rPr>
              <w:t>标准（文件）名称</w:t>
            </w:r>
          </w:p>
        </w:tc>
        <w:tc>
          <w:tcPr>
            <w:tcW w:w="406" w:type="pct"/>
            <w:vAlign w:val="center"/>
          </w:tcPr>
          <w:p>
            <w:pPr>
              <w:pStyle w:val="17"/>
              <w:rPr>
                <w:b/>
              </w:rPr>
            </w:pPr>
            <w:r>
              <w:rPr>
                <w:rFonts w:hint="eastAsia"/>
                <w:b/>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pPr>
              <w:pStyle w:val="17"/>
              <w:numPr>
                <w:ilvl w:val="0"/>
                <w:numId w:val="51"/>
              </w:numPr>
            </w:pPr>
          </w:p>
        </w:tc>
        <w:tc>
          <w:tcPr>
            <w:tcW w:w="1113" w:type="pct"/>
            <w:vAlign w:val="center"/>
          </w:tcPr>
          <w:p>
            <w:pPr>
              <w:pStyle w:val="17"/>
            </w:pPr>
            <w:r>
              <w:rPr>
                <w:rFonts w:hint="eastAsia"/>
              </w:rPr>
              <w:t>GB</w:t>
            </w:r>
            <w:r>
              <w:t xml:space="preserve"> </w:t>
            </w:r>
            <w:r>
              <w:rPr>
                <w:rFonts w:hint="eastAsia"/>
              </w:rPr>
              <w:t>50278-2010</w:t>
            </w:r>
          </w:p>
        </w:tc>
        <w:tc>
          <w:tcPr>
            <w:tcW w:w="3075" w:type="pct"/>
            <w:vAlign w:val="center"/>
          </w:tcPr>
          <w:p>
            <w:pPr>
              <w:pStyle w:val="17"/>
            </w:pPr>
            <w:r>
              <w:rPr>
                <w:rFonts w:hint="eastAsia"/>
              </w:rPr>
              <w:t>起重设备安装工程施工及验收规范</w:t>
            </w:r>
          </w:p>
        </w:tc>
        <w:tc>
          <w:tcPr>
            <w:tcW w:w="406" w:type="pct"/>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pPr>
              <w:pStyle w:val="17"/>
              <w:numPr>
                <w:ilvl w:val="0"/>
                <w:numId w:val="51"/>
              </w:numPr>
            </w:pPr>
          </w:p>
        </w:tc>
        <w:tc>
          <w:tcPr>
            <w:tcW w:w="1113" w:type="pct"/>
            <w:vAlign w:val="center"/>
          </w:tcPr>
          <w:p>
            <w:pPr>
              <w:pStyle w:val="17"/>
            </w:pPr>
            <w:r>
              <w:rPr>
                <w:rFonts w:hint="eastAsia"/>
              </w:rPr>
              <w:t>GB 50231-2009</w:t>
            </w:r>
          </w:p>
        </w:tc>
        <w:tc>
          <w:tcPr>
            <w:tcW w:w="3075" w:type="pct"/>
            <w:vAlign w:val="center"/>
          </w:tcPr>
          <w:p>
            <w:pPr>
              <w:pStyle w:val="17"/>
            </w:pPr>
            <w:r>
              <w:rPr>
                <w:rFonts w:hint="eastAsia"/>
              </w:rPr>
              <w:t>机械设备安装工程施工及验收通用规范</w:t>
            </w:r>
          </w:p>
        </w:tc>
        <w:tc>
          <w:tcPr>
            <w:tcW w:w="406" w:type="pct"/>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pPr>
              <w:pStyle w:val="17"/>
              <w:numPr>
                <w:ilvl w:val="0"/>
                <w:numId w:val="51"/>
              </w:numPr>
            </w:pPr>
          </w:p>
        </w:tc>
        <w:tc>
          <w:tcPr>
            <w:tcW w:w="1113" w:type="pct"/>
            <w:vAlign w:val="center"/>
          </w:tcPr>
          <w:p>
            <w:pPr>
              <w:pStyle w:val="17"/>
            </w:pPr>
            <w:r>
              <w:rPr>
                <w:rFonts w:hint="eastAsia"/>
              </w:rPr>
              <w:t>GB 50256-2014</w:t>
            </w:r>
          </w:p>
        </w:tc>
        <w:tc>
          <w:tcPr>
            <w:tcW w:w="3075" w:type="pct"/>
            <w:vAlign w:val="center"/>
          </w:tcPr>
          <w:p>
            <w:pPr>
              <w:pStyle w:val="17"/>
            </w:pPr>
            <w:r>
              <w:rPr>
                <w:rFonts w:hint="eastAsia"/>
              </w:rPr>
              <w:t>电气装置安装工程起重机电气装置施工及验收规范</w:t>
            </w:r>
          </w:p>
        </w:tc>
        <w:tc>
          <w:tcPr>
            <w:tcW w:w="406" w:type="pct"/>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pPr>
              <w:pStyle w:val="17"/>
              <w:numPr>
                <w:ilvl w:val="0"/>
                <w:numId w:val="51"/>
              </w:numPr>
            </w:pPr>
          </w:p>
        </w:tc>
        <w:tc>
          <w:tcPr>
            <w:tcW w:w="1113" w:type="pct"/>
            <w:vAlign w:val="center"/>
          </w:tcPr>
          <w:p>
            <w:pPr>
              <w:pStyle w:val="17"/>
            </w:pPr>
            <w:r>
              <w:t>GB/T 5031-2008</w:t>
            </w:r>
          </w:p>
        </w:tc>
        <w:tc>
          <w:tcPr>
            <w:tcW w:w="3075" w:type="pct"/>
            <w:vAlign w:val="center"/>
          </w:tcPr>
          <w:p>
            <w:pPr>
              <w:pStyle w:val="17"/>
            </w:pPr>
            <w:r>
              <w:t>塔式起重机</w:t>
            </w:r>
          </w:p>
        </w:tc>
        <w:tc>
          <w:tcPr>
            <w:tcW w:w="406" w:type="pct"/>
            <w:vAlign w:val="center"/>
          </w:tcPr>
          <w:p>
            <w:pPr>
              <w:pStyle w:val="17"/>
            </w:pPr>
          </w:p>
        </w:tc>
      </w:tr>
    </w:tbl>
    <w:p>
      <w:pPr>
        <w:pStyle w:val="4"/>
      </w:pPr>
      <w:r>
        <w:rPr>
          <w:rFonts w:hint="eastAsia"/>
        </w:rPr>
        <w:t>验收程序</w:t>
      </w:r>
    </w:p>
    <w:p>
      <w:pPr>
        <w:numPr>
          <w:ilvl w:val="0"/>
          <w:numId w:val="52"/>
        </w:numPr>
      </w:pPr>
      <w:r>
        <w:rPr>
          <w:rFonts w:hint="eastAsia"/>
        </w:rPr>
        <w:t>设备安装自检验收</w:t>
      </w:r>
    </w:p>
    <w:p>
      <w:pPr>
        <w:ind w:firstLine="480"/>
      </w:pPr>
      <w:r>
        <w:rPr>
          <w:rFonts w:hint="eastAsia"/>
        </w:rPr>
        <w:t>设备安装完成后，及时组织本单位施工负责人、质检人员、技术人员、安全人员、安装人员对设备进行安装验收。</w:t>
      </w:r>
    </w:p>
    <w:p>
      <w:pPr>
        <w:numPr>
          <w:ilvl w:val="0"/>
          <w:numId w:val="52"/>
        </w:numPr>
      </w:pPr>
      <w:r>
        <w:rPr>
          <w:rFonts w:hint="eastAsia"/>
        </w:rPr>
        <w:t>委托第三方检验机构检验</w:t>
      </w:r>
    </w:p>
    <w:p>
      <w:pPr>
        <w:ind w:firstLine="480"/>
      </w:pPr>
      <w:r>
        <w:rPr>
          <w:rFonts w:hint="eastAsia"/>
        </w:rPr>
        <w:t>检测单位检测完成之后，出具的检测报告是应是整机合格，但可能存在部分项目不合格的情况，设备供应方与安装单位应对不合格项目进行整改，并出具整改报告。</w:t>
      </w:r>
    </w:p>
    <w:p>
      <w:pPr>
        <w:numPr>
          <w:ilvl w:val="0"/>
          <w:numId w:val="52"/>
        </w:numPr>
      </w:pPr>
      <w:r>
        <w:rPr>
          <w:rFonts w:hint="eastAsia"/>
        </w:rPr>
        <w:t>安装资料送审</w:t>
      </w:r>
    </w:p>
    <w:p>
      <w:pPr>
        <w:ind w:firstLine="480"/>
      </w:pPr>
      <w:r>
        <w:rPr>
          <w:rFonts w:hint="eastAsia"/>
        </w:rPr>
        <w:t>将设备安装相关资料原件报送项目部审核，参与项目部组织的联合验收。</w:t>
      </w:r>
    </w:p>
    <w:p>
      <w:pPr>
        <w:numPr>
          <w:ilvl w:val="0"/>
          <w:numId w:val="52"/>
        </w:numPr>
      </w:pPr>
      <w:r>
        <w:rPr>
          <w:rFonts w:hint="eastAsia"/>
        </w:rPr>
        <w:t>参与设备安装联合验收</w:t>
      </w:r>
    </w:p>
    <w:p>
      <w:pPr>
        <w:ind w:firstLine="480"/>
      </w:pPr>
      <w:r>
        <w:rPr>
          <w:rFonts w:hint="eastAsia"/>
        </w:rPr>
        <w:t>参与项目部组织的设备安装联合验收。</w:t>
      </w:r>
    </w:p>
    <w:p>
      <w:pPr>
        <w:numPr>
          <w:ilvl w:val="0"/>
          <w:numId w:val="52"/>
        </w:numPr>
      </w:pPr>
      <w:r>
        <w:rPr>
          <w:rFonts w:hint="eastAsia"/>
        </w:rPr>
        <w:t>设备取证</w:t>
      </w:r>
    </w:p>
    <w:p>
      <w:pPr>
        <w:ind w:firstLine="480"/>
      </w:pPr>
      <w:r>
        <w:rPr>
          <w:rFonts w:hint="eastAsia"/>
        </w:rPr>
        <w:t>设备安装联合验收通过后，根据合同约定进行设备取证。</w:t>
      </w:r>
    </w:p>
    <w:p>
      <w:pPr>
        <w:pStyle w:val="4"/>
      </w:pPr>
      <w:r>
        <w:rPr>
          <w:rFonts w:hint="eastAsia"/>
        </w:rPr>
        <w:t>验收人员</w:t>
      </w:r>
    </w:p>
    <w:p>
      <w:pPr>
        <w:ind w:firstLine="480"/>
      </w:pPr>
      <w:r>
        <w:rPr>
          <w:rFonts w:hint="eastAsia"/>
        </w:rPr>
        <w:t>参与设备安装自检验收主要人员包括：本单位施工负责人、质检人员、技术人员、安全人员、安装人员等。</w:t>
      </w:r>
    </w:p>
    <w:p>
      <w:pPr>
        <w:ind w:firstLine="480"/>
      </w:pPr>
      <w:r>
        <w:rPr>
          <w:rFonts w:hint="eastAsia"/>
        </w:rPr>
        <w:t>参与设备安装联合验收主要人员包括：本单位施工负责人。</w:t>
      </w:r>
    </w:p>
    <w:p>
      <w:pPr>
        <w:pStyle w:val="4"/>
      </w:pPr>
      <w:r>
        <w:rPr>
          <w:rFonts w:hint="eastAsia"/>
        </w:rPr>
        <w:t>验收内容</w:t>
      </w:r>
    </w:p>
    <w:p>
      <w:pPr>
        <w:ind w:firstLine="480"/>
      </w:pPr>
      <w:r>
        <w:rPr>
          <w:rFonts w:hint="eastAsia"/>
        </w:rPr>
        <w:t>设备安装验收内容见方案附件四：安装自检表。</w:t>
      </w:r>
      <w:r>
        <w:br w:type="page"/>
      </w:r>
    </w:p>
    <w:p>
      <w:pPr>
        <w:pStyle w:val="2"/>
      </w:pPr>
      <w:bookmarkStart w:id="126" w:name="_Toc7060"/>
      <w:bookmarkStart w:id="127" w:name="_Toc20508"/>
      <w:bookmarkStart w:id="128" w:name="_Toc24330"/>
      <w:bookmarkStart w:id="129" w:name="_Toc40778442"/>
      <w:r>
        <w:rPr>
          <w:rFonts w:hint="eastAsia"/>
        </w:rPr>
        <w:t>质量管理</w:t>
      </w:r>
      <w:r>
        <w:t>措施</w:t>
      </w:r>
      <w:bookmarkEnd w:id="126"/>
      <w:bookmarkEnd w:id="127"/>
    </w:p>
    <w:p>
      <w:pPr>
        <w:pStyle w:val="3"/>
      </w:pPr>
      <w:bookmarkStart w:id="130" w:name="_Toc10656"/>
      <w:bookmarkStart w:id="131" w:name="_Toc20504"/>
      <w:r>
        <w:rPr>
          <w:rFonts w:hint="eastAsia"/>
        </w:rPr>
        <w:t>质量管理组织机构</w:t>
      </w:r>
      <w:bookmarkEnd w:id="130"/>
      <w:bookmarkEnd w:id="131"/>
    </w:p>
    <w:p>
      <w:pPr>
        <w:ind w:firstLine="480"/>
      </w:pPr>
      <w:r>
        <w:rPr>
          <w:rFonts w:hint="eastAsia"/>
        </w:rPr>
        <w:t>根据本施工工程成立质量管理组织机构，其人员组成、工作职责详见</w:t>
      </w:r>
      <w:r>
        <w:fldChar w:fldCharType="begin"/>
      </w:r>
      <w:r>
        <w:instrText xml:space="preserve"> </w:instrText>
      </w:r>
      <w:r>
        <w:rPr>
          <w:rFonts w:hint="eastAsia"/>
        </w:rPr>
        <w:instrText xml:space="preserve">REF _Ref124510114 \h</w:instrText>
      </w:r>
      <w:r>
        <w:instrText xml:space="preserve"> </w:instrText>
      </w:r>
      <w:r>
        <w:fldChar w:fldCharType="separate"/>
      </w:r>
      <w:r>
        <w:rPr>
          <w:rFonts w:hint="eastAsia"/>
        </w:rPr>
        <w:t>表</w:t>
      </w:r>
      <w:r>
        <w:t>5.1</w:t>
      </w:r>
      <w:r>
        <w:rPr>
          <w:rFonts w:hint="eastAsia"/>
        </w:rPr>
        <w:t>-</w:t>
      </w:r>
      <w:r>
        <w:t>1</w:t>
      </w:r>
      <w:r>
        <w:fldChar w:fldCharType="end"/>
      </w:r>
      <w:r>
        <w:rPr>
          <w:rFonts w:hint="eastAsia"/>
        </w:rPr>
        <w:t>所示。</w:t>
      </w:r>
    </w:p>
    <w:p>
      <w:pPr>
        <w:pStyle w:val="16"/>
      </w:pPr>
      <w:bookmarkStart w:id="132" w:name="_Ref124510114"/>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5.1</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bookmarkEnd w:id="132"/>
      <w:r>
        <w:rPr>
          <w:rFonts w:hint="eastAsia"/>
        </w:rPr>
        <w:t xml:space="preserve"> 质量管理组织机构</w:t>
      </w:r>
    </w:p>
    <w:tbl>
      <w:tblPr>
        <w:tblStyle w:val="11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312"/>
        <w:gridCol w:w="1023"/>
        <w:gridCol w:w="4672"/>
        <w:gridCol w:w="8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blHeader/>
        </w:trPr>
        <w:tc>
          <w:tcPr>
            <w:tcW w:w="419" w:type="pct"/>
            <w:vAlign w:val="center"/>
          </w:tcPr>
          <w:p>
            <w:pPr>
              <w:pStyle w:val="17"/>
              <w:rPr>
                <w:b/>
              </w:rPr>
            </w:pPr>
            <w:r>
              <w:rPr>
                <w:rFonts w:hint="eastAsia"/>
                <w:b/>
              </w:rPr>
              <w:t>序号</w:t>
            </w:r>
          </w:p>
        </w:tc>
        <w:tc>
          <w:tcPr>
            <w:tcW w:w="770" w:type="pct"/>
            <w:vAlign w:val="center"/>
          </w:tcPr>
          <w:p>
            <w:pPr>
              <w:pStyle w:val="17"/>
              <w:rPr>
                <w:b/>
              </w:rPr>
            </w:pPr>
            <w:r>
              <w:rPr>
                <w:rFonts w:hint="eastAsia"/>
                <w:b/>
              </w:rPr>
              <w:t>岗位</w:t>
            </w:r>
          </w:p>
        </w:tc>
        <w:tc>
          <w:tcPr>
            <w:tcW w:w="600" w:type="pct"/>
            <w:vAlign w:val="center"/>
          </w:tcPr>
          <w:p>
            <w:pPr>
              <w:pStyle w:val="17"/>
              <w:rPr>
                <w:b/>
              </w:rPr>
            </w:pPr>
            <w:r>
              <w:rPr>
                <w:rFonts w:hint="eastAsia"/>
                <w:b/>
              </w:rPr>
              <w:t>姓名</w:t>
            </w:r>
          </w:p>
        </w:tc>
        <w:tc>
          <w:tcPr>
            <w:tcW w:w="2741" w:type="pct"/>
            <w:vAlign w:val="center"/>
          </w:tcPr>
          <w:p>
            <w:pPr>
              <w:pStyle w:val="17"/>
              <w:rPr>
                <w:b/>
              </w:rPr>
            </w:pPr>
            <w:r>
              <w:rPr>
                <w:rFonts w:hint="eastAsia"/>
                <w:b/>
              </w:rPr>
              <w:t>工作职责</w:t>
            </w:r>
          </w:p>
        </w:tc>
        <w:tc>
          <w:tcPr>
            <w:tcW w:w="470" w:type="pct"/>
            <w:vAlign w:val="center"/>
          </w:tcPr>
          <w:p>
            <w:pPr>
              <w:pStyle w:val="17"/>
              <w:rPr>
                <w:b/>
              </w:rPr>
            </w:pPr>
            <w:r>
              <w:rPr>
                <w:rFonts w:hint="eastAsia"/>
                <w:b/>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pPr>
              <w:pStyle w:val="17"/>
              <w:numPr>
                <w:ilvl w:val="0"/>
                <w:numId w:val="53"/>
              </w:numPr>
            </w:pPr>
          </w:p>
        </w:tc>
        <w:tc>
          <w:tcPr>
            <w:tcW w:w="770" w:type="pct"/>
            <w:shd w:val="clear" w:color="auto" w:fill="auto"/>
            <w:vAlign w:val="center"/>
          </w:tcPr>
          <w:p>
            <w:pPr>
              <w:pStyle w:val="17"/>
            </w:pPr>
            <w:r>
              <w:rPr>
                <w:rFonts w:hint="eastAsia"/>
              </w:rPr>
              <w:t>现场负责人</w:t>
            </w:r>
          </w:p>
        </w:tc>
        <w:tc>
          <w:tcPr>
            <w:tcW w:w="600" w:type="pct"/>
            <w:shd w:val="clear" w:color="auto" w:fill="auto"/>
            <w:vAlign w:val="center"/>
          </w:tcPr>
          <w:p>
            <w:pPr>
              <w:pStyle w:val="17"/>
            </w:pPr>
            <w:r>
              <w:rPr>
                <w:rFonts w:hint="eastAsia"/>
              </w:rPr>
              <w:t>孔令德</w:t>
            </w:r>
          </w:p>
        </w:tc>
        <w:tc>
          <w:tcPr>
            <w:tcW w:w="2741" w:type="pct"/>
            <w:shd w:val="clear" w:color="auto" w:fill="auto"/>
            <w:vAlign w:val="center"/>
          </w:tcPr>
          <w:p>
            <w:pPr>
              <w:pStyle w:val="17"/>
              <w:jc w:val="left"/>
            </w:pPr>
            <w:r>
              <w:rPr>
                <w:rFonts w:hint="eastAsia"/>
              </w:rPr>
              <w:t>负责设备安装组织、实施及安全</w:t>
            </w:r>
          </w:p>
        </w:tc>
        <w:tc>
          <w:tcPr>
            <w:tcW w:w="470" w:type="pct"/>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pPr>
              <w:pStyle w:val="17"/>
              <w:numPr>
                <w:ilvl w:val="0"/>
                <w:numId w:val="53"/>
              </w:numPr>
            </w:pPr>
          </w:p>
        </w:tc>
        <w:tc>
          <w:tcPr>
            <w:tcW w:w="770" w:type="pct"/>
            <w:shd w:val="clear" w:color="auto" w:fill="auto"/>
            <w:vAlign w:val="center"/>
          </w:tcPr>
          <w:p>
            <w:pPr>
              <w:pStyle w:val="17"/>
            </w:pPr>
            <w:r>
              <w:rPr>
                <w:rFonts w:hint="eastAsia"/>
              </w:rPr>
              <w:t>设备安拆工</w:t>
            </w:r>
          </w:p>
        </w:tc>
        <w:tc>
          <w:tcPr>
            <w:tcW w:w="600" w:type="pct"/>
            <w:shd w:val="clear" w:color="auto" w:fill="auto"/>
            <w:vAlign w:val="center"/>
          </w:tcPr>
          <w:p>
            <w:pPr>
              <w:pStyle w:val="17"/>
            </w:pPr>
            <w:r>
              <w:rPr>
                <w:rFonts w:hint="eastAsia"/>
              </w:rPr>
              <w:t>向杰</w:t>
            </w:r>
          </w:p>
        </w:tc>
        <w:tc>
          <w:tcPr>
            <w:tcW w:w="2741" w:type="pct"/>
            <w:shd w:val="clear" w:color="auto" w:fill="auto"/>
            <w:vAlign w:val="center"/>
          </w:tcPr>
          <w:p>
            <w:pPr>
              <w:pStyle w:val="17"/>
              <w:jc w:val="left"/>
            </w:pPr>
            <w:r>
              <w:rPr>
                <w:rFonts w:hint="eastAsia"/>
              </w:rPr>
              <w:t>负责设备安装技术工作以及安全工作</w:t>
            </w:r>
          </w:p>
        </w:tc>
        <w:tc>
          <w:tcPr>
            <w:tcW w:w="470" w:type="pct"/>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pPr>
              <w:pStyle w:val="17"/>
              <w:numPr>
                <w:ilvl w:val="0"/>
                <w:numId w:val="53"/>
              </w:numPr>
            </w:pPr>
          </w:p>
        </w:tc>
        <w:tc>
          <w:tcPr>
            <w:tcW w:w="770" w:type="pct"/>
            <w:shd w:val="clear" w:color="auto" w:fill="auto"/>
            <w:vAlign w:val="center"/>
          </w:tcPr>
          <w:p>
            <w:pPr>
              <w:pStyle w:val="17"/>
            </w:pPr>
            <w:r>
              <w:rPr>
                <w:rFonts w:hint="eastAsia"/>
              </w:rPr>
              <w:t>设备安拆工</w:t>
            </w:r>
          </w:p>
        </w:tc>
        <w:tc>
          <w:tcPr>
            <w:tcW w:w="600" w:type="pct"/>
            <w:shd w:val="clear" w:color="auto" w:fill="auto"/>
            <w:vAlign w:val="center"/>
          </w:tcPr>
          <w:p>
            <w:pPr>
              <w:pStyle w:val="17"/>
            </w:pPr>
            <w:r>
              <w:rPr>
                <w:rFonts w:hint="eastAsia"/>
              </w:rPr>
              <w:t>徐小平</w:t>
            </w:r>
          </w:p>
        </w:tc>
        <w:tc>
          <w:tcPr>
            <w:tcW w:w="2741" w:type="pct"/>
            <w:shd w:val="clear" w:color="auto" w:fill="auto"/>
            <w:vAlign w:val="center"/>
          </w:tcPr>
          <w:p>
            <w:pPr>
              <w:pStyle w:val="17"/>
              <w:jc w:val="left"/>
            </w:pPr>
            <w:r>
              <w:rPr>
                <w:rFonts w:hint="eastAsia"/>
              </w:rPr>
              <w:t>负责现场的安全组织、检查、监督、纠正</w:t>
            </w:r>
          </w:p>
        </w:tc>
        <w:tc>
          <w:tcPr>
            <w:tcW w:w="470" w:type="pct"/>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pPr>
              <w:pStyle w:val="17"/>
              <w:numPr>
                <w:ilvl w:val="0"/>
                <w:numId w:val="53"/>
              </w:numPr>
            </w:pPr>
          </w:p>
        </w:tc>
        <w:tc>
          <w:tcPr>
            <w:tcW w:w="770" w:type="pct"/>
            <w:shd w:val="clear" w:color="auto" w:fill="auto"/>
            <w:vAlign w:val="center"/>
          </w:tcPr>
          <w:p>
            <w:pPr>
              <w:pStyle w:val="17"/>
            </w:pPr>
            <w:r>
              <w:rPr>
                <w:rFonts w:hint="eastAsia"/>
              </w:rPr>
              <w:t>设备安拆工</w:t>
            </w:r>
          </w:p>
        </w:tc>
        <w:tc>
          <w:tcPr>
            <w:tcW w:w="600" w:type="pct"/>
            <w:shd w:val="clear" w:color="auto" w:fill="auto"/>
            <w:vAlign w:val="center"/>
          </w:tcPr>
          <w:p>
            <w:pPr>
              <w:pStyle w:val="17"/>
            </w:pPr>
            <w:r>
              <w:rPr>
                <w:rFonts w:hint="eastAsia"/>
              </w:rPr>
              <w:t>熊登</w:t>
            </w:r>
          </w:p>
        </w:tc>
        <w:tc>
          <w:tcPr>
            <w:tcW w:w="2741" w:type="pct"/>
            <w:shd w:val="clear" w:color="auto" w:fill="auto"/>
            <w:vAlign w:val="center"/>
          </w:tcPr>
          <w:p>
            <w:pPr>
              <w:pStyle w:val="17"/>
              <w:jc w:val="left"/>
            </w:pPr>
            <w:r>
              <w:rPr>
                <w:rFonts w:hint="eastAsia"/>
              </w:rPr>
              <w:t>负责设备安装的人员设备组织、协调</w:t>
            </w:r>
          </w:p>
          <w:p>
            <w:pPr>
              <w:pStyle w:val="17"/>
              <w:jc w:val="left"/>
            </w:pPr>
            <w:r>
              <w:rPr>
                <w:rFonts w:hint="eastAsia"/>
              </w:rPr>
              <w:t>检查吊具、索具安全性，保证吊点正确，物件平稳，指挥信号清晰、明确。</w:t>
            </w:r>
          </w:p>
        </w:tc>
        <w:tc>
          <w:tcPr>
            <w:tcW w:w="470" w:type="pct"/>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pPr>
              <w:pStyle w:val="17"/>
              <w:numPr>
                <w:ilvl w:val="0"/>
                <w:numId w:val="53"/>
              </w:numPr>
            </w:pPr>
          </w:p>
        </w:tc>
        <w:tc>
          <w:tcPr>
            <w:tcW w:w="770" w:type="pct"/>
            <w:shd w:val="clear" w:color="auto" w:fill="auto"/>
            <w:vAlign w:val="center"/>
          </w:tcPr>
          <w:p>
            <w:pPr>
              <w:pStyle w:val="17"/>
            </w:pPr>
            <w:r>
              <w:rPr>
                <w:rFonts w:hint="eastAsia"/>
              </w:rPr>
              <w:t>电工</w:t>
            </w:r>
          </w:p>
        </w:tc>
        <w:tc>
          <w:tcPr>
            <w:tcW w:w="600" w:type="pct"/>
            <w:shd w:val="clear" w:color="auto" w:fill="auto"/>
            <w:vAlign w:val="center"/>
          </w:tcPr>
          <w:p>
            <w:pPr>
              <w:pStyle w:val="17"/>
            </w:pPr>
            <w:r>
              <w:rPr>
                <w:rFonts w:hint="eastAsia"/>
              </w:rPr>
              <w:t>白前涛</w:t>
            </w:r>
          </w:p>
        </w:tc>
        <w:tc>
          <w:tcPr>
            <w:tcW w:w="2741" w:type="pct"/>
            <w:shd w:val="clear" w:color="auto" w:fill="auto"/>
            <w:vAlign w:val="center"/>
          </w:tcPr>
          <w:p>
            <w:pPr>
              <w:pStyle w:val="17"/>
              <w:jc w:val="left"/>
            </w:pPr>
            <w:r>
              <w:rPr>
                <w:rFonts w:hint="eastAsia"/>
              </w:rPr>
              <w:t>负责现场设备的电气安装、恢复、调试</w:t>
            </w:r>
          </w:p>
        </w:tc>
        <w:tc>
          <w:tcPr>
            <w:tcW w:w="470" w:type="pct"/>
            <w:shd w:val="clear" w:color="auto" w:fill="auto"/>
            <w:vAlign w:val="center"/>
          </w:tcPr>
          <w:p>
            <w:pPr>
              <w:pStyle w:val="17"/>
            </w:pPr>
          </w:p>
        </w:tc>
      </w:tr>
    </w:tbl>
    <w:p>
      <w:pPr>
        <w:pStyle w:val="3"/>
      </w:pPr>
      <w:bookmarkStart w:id="133" w:name="_Toc26828"/>
      <w:r>
        <w:rPr>
          <w:rFonts w:hint="eastAsia"/>
        </w:rPr>
        <w:t>质量保证措施</w:t>
      </w:r>
      <w:bookmarkEnd w:id="133"/>
    </w:p>
    <w:p>
      <w:pPr>
        <w:pStyle w:val="4"/>
      </w:pPr>
      <w:r>
        <w:rPr>
          <w:rFonts w:hint="eastAsia"/>
        </w:rPr>
        <w:t>设备部件质量控制措施</w:t>
      </w:r>
    </w:p>
    <w:p>
      <w:pPr>
        <w:numPr>
          <w:ilvl w:val="0"/>
          <w:numId w:val="54"/>
        </w:numPr>
        <w:ind w:firstLineChars="0"/>
      </w:pPr>
      <w:r>
        <w:rPr>
          <w:rFonts w:hint="eastAsia"/>
        </w:rPr>
        <w:t>原材料严格执行国家现行制作验收规范和施工图设计要求及设备说明书提出的有关要求，安装单位拟定相应质量计划并规范操作。</w:t>
      </w:r>
    </w:p>
    <w:p>
      <w:pPr>
        <w:numPr>
          <w:ilvl w:val="0"/>
          <w:numId w:val="54"/>
        </w:numPr>
        <w:ind w:firstLineChars="0"/>
      </w:pPr>
      <w:r>
        <w:rPr>
          <w:rFonts w:hint="eastAsia"/>
        </w:rPr>
        <w:t>原材料进场各施工队进行专检、工序检、复检确认，行使质量否决权。施工队兼职质量员进行现场施工质量监督控制，并负责本队自检、互检工作。</w:t>
      </w:r>
    </w:p>
    <w:p>
      <w:pPr>
        <w:numPr>
          <w:ilvl w:val="0"/>
          <w:numId w:val="54"/>
        </w:numPr>
        <w:ind w:firstLineChars="0"/>
      </w:pPr>
      <w:r>
        <w:rPr>
          <w:rFonts w:hint="eastAsia"/>
        </w:rPr>
        <w:t>实行施工全过程的质量控制。在工程开工前，确定关键工序停工检验点，一般工序实行工序交叉检，上道工序不合格，不得转入下道工序。</w:t>
      </w:r>
    </w:p>
    <w:p>
      <w:pPr>
        <w:numPr>
          <w:ilvl w:val="0"/>
          <w:numId w:val="54"/>
        </w:numPr>
        <w:ind w:firstLineChars="0"/>
      </w:pPr>
      <w:r>
        <w:rPr>
          <w:rFonts w:hint="eastAsia"/>
        </w:rPr>
        <w:t>施工队详细填写安装质量验收检查表，以保证质量施工原始记录的及时、完整和准确。</w:t>
      </w:r>
    </w:p>
    <w:p>
      <w:pPr>
        <w:pStyle w:val="4"/>
      </w:pPr>
      <w:r>
        <w:rPr>
          <w:rFonts w:hint="eastAsia"/>
        </w:rPr>
        <w:t>过程质量控制措施</w:t>
      </w:r>
    </w:p>
    <w:p>
      <w:pPr>
        <w:numPr>
          <w:ilvl w:val="1"/>
          <w:numId w:val="55"/>
        </w:numPr>
        <w:ind w:firstLineChars="0"/>
      </w:pPr>
      <w:r>
        <w:rPr>
          <w:rFonts w:hint="eastAsia"/>
        </w:rPr>
        <w:t>安装单位按使用单位提供图纸及实测数据，编制施工方案或技术措施，施工前向施工人员作详细的技术交底。</w:t>
      </w:r>
    </w:p>
    <w:p>
      <w:pPr>
        <w:numPr>
          <w:ilvl w:val="1"/>
          <w:numId w:val="55"/>
        </w:numPr>
        <w:ind w:firstLineChars="0"/>
      </w:pPr>
      <w:r>
        <w:rPr>
          <w:rFonts w:hint="eastAsia"/>
        </w:rPr>
        <w:t>施工使用的水准仪、经纬仪与盒尺等检验器具，必须严格按国家有关要求定期校验和核查，未经检验或过期、失准的计量器具严禁使用。</w:t>
      </w:r>
    </w:p>
    <w:p>
      <w:pPr>
        <w:numPr>
          <w:ilvl w:val="1"/>
          <w:numId w:val="55"/>
        </w:numPr>
        <w:ind w:firstLineChars="0"/>
      </w:pPr>
      <w:r>
        <w:rPr>
          <w:rFonts w:hint="eastAsia"/>
        </w:rPr>
        <w:t>各种设备的交接、验收、保管、存放应按有关要求进行。拆卸应视实际情况采取相关措施，保证设备安全。存放保管应按设备材料就按要求进行，认真核对名称、型号、规格、数量。</w:t>
      </w:r>
    </w:p>
    <w:p>
      <w:pPr>
        <w:pStyle w:val="4"/>
      </w:pPr>
      <w:r>
        <w:rPr>
          <w:rFonts w:hint="eastAsia"/>
        </w:rPr>
        <w:t>质量通病及防治措施</w:t>
      </w:r>
    </w:p>
    <w:p>
      <w:pPr>
        <w:ind w:firstLine="480"/>
      </w:pPr>
      <w:r>
        <w:fldChar w:fldCharType="begin"/>
      </w:r>
      <w:r>
        <w:instrText xml:space="preserve"> </w:instrText>
      </w:r>
      <w:r>
        <w:rPr>
          <w:rFonts w:hint="eastAsia"/>
        </w:rPr>
        <w:instrText xml:space="preserve">REF 设备型号1 \h</w:instrText>
      </w:r>
      <w:r>
        <w:instrText xml:space="preserve"> </w:instrText>
      </w:r>
      <w:r>
        <w:fldChar w:fldCharType="separate"/>
      </w:r>
      <w:r>
        <w:rPr>
          <w:rFonts w:hint="eastAsia"/>
          <w:lang w:eastAsia="zh-CN"/>
        </w:rPr>
        <w:t>XGT6515-10S</w:t>
      </w:r>
      <w:r>
        <w:fldChar w:fldCharType="end"/>
      </w:r>
      <w:r>
        <w:fldChar w:fldCharType="begin"/>
      </w:r>
      <w:r>
        <w:instrText xml:space="preserve"> REF 设备类型 \h  \* MERGEFORMAT </w:instrText>
      </w:r>
      <w:r>
        <w:fldChar w:fldCharType="separate"/>
      </w:r>
      <w:r>
        <w:rPr>
          <w:rFonts w:hint="eastAsia"/>
        </w:rPr>
        <w:t>塔式起重机</w:t>
      </w:r>
      <w:r>
        <w:fldChar w:fldCharType="end"/>
      </w:r>
      <w:r>
        <w:rPr>
          <w:rFonts w:hint="eastAsia"/>
        </w:rPr>
        <w:t>安装质量通病及防治措施详见</w:t>
      </w:r>
      <w:r>
        <w:fldChar w:fldCharType="begin"/>
      </w:r>
      <w:r>
        <w:instrText xml:space="preserve"> </w:instrText>
      </w:r>
      <w:r>
        <w:rPr>
          <w:rFonts w:hint="eastAsia"/>
        </w:rPr>
        <w:instrText xml:space="preserve">REF _Ref128146945 \h</w:instrText>
      </w:r>
      <w:r>
        <w:instrText xml:space="preserve"> </w:instrText>
      </w:r>
      <w:r>
        <w:fldChar w:fldCharType="separate"/>
      </w:r>
      <w:r>
        <w:rPr>
          <w:rFonts w:hint="eastAsia"/>
        </w:rPr>
        <w:t>表</w:t>
      </w:r>
      <w:r>
        <w:t>5.2.3-1</w:t>
      </w:r>
      <w:r>
        <w:fldChar w:fldCharType="end"/>
      </w:r>
      <w:r>
        <w:rPr>
          <w:rFonts w:hint="eastAsia"/>
        </w:rPr>
        <w:t>所示。</w:t>
      </w:r>
    </w:p>
    <w:p>
      <w:pPr>
        <w:pStyle w:val="16"/>
      </w:pPr>
      <w:bookmarkStart w:id="134" w:name="_Ref128146945"/>
      <w:r>
        <w:rPr>
          <w:rFonts w:hint="eastAsia"/>
        </w:rPr>
        <w:t>表</w:t>
      </w:r>
      <w:r>
        <w:fldChar w:fldCharType="begin"/>
      </w:r>
      <w:r>
        <w:instrText xml:space="preserve"> STYLEREF 3 \s </w:instrText>
      </w:r>
      <w:r>
        <w:fldChar w:fldCharType="separate"/>
      </w:r>
      <w:r>
        <w:t>5.2.3</w:t>
      </w:r>
      <w:r>
        <w:fldChar w:fldCharType="end"/>
      </w:r>
      <w:r>
        <w:t>-</w:t>
      </w:r>
      <w:r>
        <w:fldChar w:fldCharType="begin"/>
      </w:r>
      <w:r>
        <w:instrText xml:space="preserve"> SEQ </w:instrText>
      </w:r>
      <w:r>
        <w:rPr>
          <w:rFonts w:hint="eastAsia"/>
        </w:rPr>
        <w:instrText xml:space="preserve">表</w:instrText>
      </w:r>
      <w:r>
        <w:instrText xml:space="preserve"> \* ARABIC \s 3 </w:instrText>
      </w:r>
      <w:r>
        <w:fldChar w:fldCharType="separate"/>
      </w:r>
      <w:r>
        <w:t>1</w:t>
      </w:r>
      <w:r>
        <w:fldChar w:fldCharType="end"/>
      </w:r>
      <w:bookmarkEnd w:id="134"/>
      <w:r>
        <w:rPr>
          <w:rFonts w:hint="eastAsia"/>
        </w:rPr>
        <w:t xml:space="preserve"> 质量通病及防治措施</w:t>
      </w:r>
    </w:p>
    <w:tbl>
      <w:tblPr>
        <w:tblStyle w:val="40"/>
        <w:tblW w:w="5000" w:type="pct"/>
        <w:jc w:val="center"/>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autofit"/>
        <w:tblCellMar>
          <w:top w:w="0" w:type="dxa"/>
          <w:left w:w="108" w:type="dxa"/>
          <w:bottom w:w="0" w:type="dxa"/>
          <w:right w:w="108" w:type="dxa"/>
        </w:tblCellMar>
      </w:tblPr>
      <w:tblGrid>
        <w:gridCol w:w="714"/>
        <w:gridCol w:w="1606"/>
        <w:gridCol w:w="6202"/>
      </w:tblGrid>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19" w:type="pct"/>
            <w:tcBorders>
              <w:top w:val="single" w:color="000000" w:sz="12" w:space="0"/>
              <w:left w:val="single" w:color="000000" w:sz="12" w:space="0"/>
              <w:bottom w:val="single" w:color="000000" w:sz="4" w:space="0"/>
              <w:right w:val="single" w:color="000000" w:sz="4" w:space="0"/>
            </w:tcBorders>
            <w:shd w:val="clear" w:color="auto" w:fill="FFFFFF"/>
            <w:vAlign w:val="center"/>
          </w:tcPr>
          <w:p>
            <w:pPr>
              <w:spacing w:line="240" w:lineRule="auto"/>
              <w:ind w:firstLine="0" w:firstLineChars="0"/>
              <w:jc w:val="center"/>
              <w:rPr>
                <w:b/>
                <w:bCs/>
                <w:sz w:val="21"/>
              </w:rPr>
            </w:pPr>
            <w:r>
              <w:rPr>
                <w:b/>
                <w:bCs/>
                <w:sz w:val="21"/>
              </w:rPr>
              <w:t>项次</w:t>
            </w:r>
          </w:p>
        </w:tc>
        <w:tc>
          <w:tcPr>
            <w:tcW w:w="942" w:type="pct"/>
            <w:tcBorders>
              <w:top w:val="single" w:color="000000" w:sz="12"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b/>
                <w:bCs/>
                <w:sz w:val="21"/>
              </w:rPr>
            </w:pPr>
            <w:r>
              <w:rPr>
                <w:b/>
                <w:bCs/>
                <w:sz w:val="21"/>
              </w:rPr>
              <w:t>质量通病</w:t>
            </w:r>
          </w:p>
        </w:tc>
        <w:tc>
          <w:tcPr>
            <w:tcW w:w="3639" w:type="pct"/>
            <w:tcBorders>
              <w:top w:val="single" w:color="000000" w:sz="12" w:space="0"/>
              <w:left w:val="single" w:color="000000" w:sz="4" w:space="0"/>
              <w:bottom w:val="single" w:color="000000" w:sz="4" w:space="0"/>
              <w:right w:val="single" w:color="000000" w:sz="12" w:space="0"/>
            </w:tcBorders>
            <w:shd w:val="clear" w:color="auto" w:fill="FFFFFF"/>
            <w:vAlign w:val="center"/>
          </w:tcPr>
          <w:p>
            <w:pPr>
              <w:spacing w:line="240" w:lineRule="auto"/>
              <w:ind w:firstLine="0" w:firstLineChars="0"/>
              <w:jc w:val="center"/>
              <w:rPr>
                <w:b/>
                <w:bCs/>
                <w:sz w:val="21"/>
              </w:rPr>
            </w:pPr>
            <w:r>
              <w:rPr>
                <w:b/>
                <w:bCs/>
                <w:sz w:val="21"/>
              </w:rPr>
              <w:t>预防措施</w:t>
            </w: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19" w:type="pct"/>
            <w:tcBorders>
              <w:top w:val="single" w:color="000000" w:sz="4" w:space="0"/>
              <w:left w:val="single" w:color="000000" w:sz="12" w:space="0"/>
              <w:bottom w:val="single" w:color="000000" w:sz="4" w:space="0"/>
              <w:right w:val="single" w:color="000000" w:sz="4" w:space="0"/>
            </w:tcBorders>
            <w:shd w:val="clear" w:color="auto" w:fill="FFFFFF"/>
            <w:vAlign w:val="center"/>
          </w:tcPr>
          <w:p>
            <w:pPr>
              <w:pStyle w:val="78"/>
              <w:numPr>
                <w:ilvl w:val="0"/>
                <w:numId w:val="56"/>
              </w:numPr>
              <w:spacing w:line="240" w:lineRule="auto"/>
              <w:ind w:firstLineChars="0"/>
              <w:jc w:val="center"/>
              <w:rPr>
                <w:sz w:val="21"/>
              </w:rPr>
            </w:pPr>
          </w:p>
        </w:tc>
        <w:tc>
          <w:tcPr>
            <w:tcW w:w="9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sz w:val="21"/>
              </w:rPr>
            </w:pPr>
            <w:r>
              <w:rPr>
                <w:sz w:val="21"/>
              </w:rPr>
              <w:t>安装</w:t>
            </w:r>
            <w:r>
              <w:rPr>
                <w:rFonts w:hint="eastAsia"/>
                <w:sz w:val="21"/>
              </w:rPr>
              <w:t>、拆除</w:t>
            </w:r>
            <w:r>
              <w:rPr>
                <w:sz w:val="21"/>
              </w:rPr>
              <w:t>作业前未对设备进行全面检查</w:t>
            </w:r>
          </w:p>
        </w:tc>
        <w:tc>
          <w:tcPr>
            <w:tcW w:w="3639" w:type="pct"/>
            <w:tcBorders>
              <w:top w:val="single" w:color="000000" w:sz="4" w:space="0"/>
              <w:left w:val="single" w:color="000000" w:sz="4" w:space="0"/>
              <w:bottom w:val="single" w:color="000000" w:sz="4" w:space="0"/>
              <w:right w:val="single" w:color="000000" w:sz="12" w:space="0"/>
            </w:tcBorders>
            <w:shd w:val="clear" w:color="auto" w:fill="FFFFFF"/>
            <w:vAlign w:val="center"/>
          </w:tcPr>
          <w:p>
            <w:pPr>
              <w:spacing w:line="240" w:lineRule="auto"/>
              <w:ind w:firstLine="0" w:firstLineChars="0"/>
              <w:jc w:val="left"/>
              <w:rPr>
                <w:sz w:val="21"/>
              </w:rPr>
            </w:pPr>
            <w:r>
              <w:rPr>
                <w:sz w:val="21"/>
              </w:rPr>
              <w:t>在对</w:t>
            </w:r>
            <w:r>
              <w:rPr>
                <w:rFonts w:hint="eastAsia"/>
                <w:sz w:val="21"/>
              </w:rPr>
              <w:t>设备</w:t>
            </w:r>
            <w:r>
              <w:rPr>
                <w:sz w:val="21"/>
              </w:rPr>
              <w:t>进行</w:t>
            </w:r>
            <w:r>
              <w:rPr>
                <w:rFonts w:hint="eastAsia"/>
                <w:sz w:val="21"/>
              </w:rPr>
              <w:t>施工</w:t>
            </w:r>
            <w:r>
              <w:rPr>
                <w:sz w:val="21"/>
              </w:rPr>
              <w:t>作</w:t>
            </w:r>
            <w:r>
              <w:rPr>
                <w:rFonts w:hint="eastAsia"/>
                <w:sz w:val="21"/>
              </w:rPr>
              <w:t>业</w:t>
            </w:r>
            <w:r>
              <w:rPr>
                <w:sz w:val="21"/>
              </w:rPr>
              <w:t>前，</w:t>
            </w:r>
            <w:r>
              <w:rPr>
                <w:rFonts w:hint="eastAsia"/>
                <w:sz w:val="21"/>
              </w:rPr>
              <w:t>施工</w:t>
            </w:r>
            <w:r>
              <w:rPr>
                <w:sz w:val="21"/>
              </w:rPr>
              <w:t>人员，尤其是</w:t>
            </w:r>
            <w:r>
              <w:rPr>
                <w:rFonts w:hint="eastAsia"/>
                <w:sz w:val="21"/>
              </w:rPr>
              <w:t>施工</w:t>
            </w:r>
            <w:r>
              <w:rPr>
                <w:sz w:val="21"/>
              </w:rPr>
              <w:t>队的负责人应对</w:t>
            </w:r>
            <w:r>
              <w:rPr>
                <w:rFonts w:hint="eastAsia"/>
                <w:sz w:val="21"/>
              </w:rPr>
              <w:t>设备</w:t>
            </w:r>
            <w:r>
              <w:rPr>
                <w:sz w:val="21"/>
              </w:rPr>
              <w:t>进行全面的检查，确保钢结构无裂纹及不可恢复的塑性变形，焊缝无开裂现象，各安全装置齐全、有效，如发现问题应及时地采取措施，以免在</w:t>
            </w:r>
            <w:r>
              <w:rPr>
                <w:rFonts w:hint="eastAsia"/>
                <w:sz w:val="21"/>
              </w:rPr>
              <w:t>设备施工</w:t>
            </w:r>
            <w:r>
              <w:rPr>
                <w:sz w:val="21"/>
              </w:rPr>
              <w:t>作</w:t>
            </w:r>
            <w:r>
              <w:rPr>
                <w:rFonts w:hint="eastAsia"/>
                <w:sz w:val="21"/>
              </w:rPr>
              <w:t>业</w:t>
            </w:r>
            <w:r>
              <w:rPr>
                <w:sz w:val="21"/>
              </w:rPr>
              <w:t>过程中发生事故。</w:t>
            </w: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19" w:type="pct"/>
            <w:tcBorders>
              <w:top w:val="single" w:color="000000" w:sz="4" w:space="0"/>
              <w:left w:val="single" w:color="000000" w:sz="12" w:space="0"/>
              <w:bottom w:val="single" w:color="000000" w:sz="4" w:space="0"/>
              <w:right w:val="single" w:color="000000" w:sz="4" w:space="0"/>
            </w:tcBorders>
            <w:shd w:val="clear" w:color="auto" w:fill="FFFFFF"/>
            <w:vAlign w:val="center"/>
          </w:tcPr>
          <w:p>
            <w:pPr>
              <w:pStyle w:val="78"/>
              <w:numPr>
                <w:ilvl w:val="0"/>
                <w:numId w:val="56"/>
              </w:numPr>
              <w:spacing w:line="240" w:lineRule="auto"/>
              <w:ind w:firstLineChars="0"/>
              <w:jc w:val="center"/>
              <w:rPr>
                <w:sz w:val="21"/>
              </w:rPr>
            </w:pPr>
          </w:p>
        </w:tc>
        <w:tc>
          <w:tcPr>
            <w:tcW w:w="9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sz w:val="21"/>
              </w:rPr>
            </w:pPr>
            <w:r>
              <w:rPr>
                <w:rFonts w:hint="eastAsia"/>
                <w:sz w:val="21"/>
              </w:rPr>
              <w:t>拆除、</w:t>
            </w:r>
            <w:r>
              <w:rPr>
                <w:sz w:val="21"/>
              </w:rPr>
              <w:t>安装过程进行监督</w:t>
            </w:r>
          </w:p>
        </w:tc>
        <w:tc>
          <w:tcPr>
            <w:tcW w:w="3639" w:type="pct"/>
            <w:tcBorders>
              <w:top w:val="single" w:color="000000" w:sz="4" w:space="0"/>
              <w:left w:val="single" w:color="000000" w:sz="4" w:space="0"/>
              <w:bottom w:val="single" w:color="000000" w:sz="4" w:space="0"/>
              <w:right w:val="single" w:color="000000" w:sz="12" w:space="0"/>
            </w:tcBorders>
            <w:shd w:val="clear" w:color="auto" w:fill="FFFFFF"/>
            <w:vAlign w:val="center"/>
          </w:tcPr>
          <w:p>
            <w:pPr>
              <w:spacing w:line="240" w:lineRule="auto"/>
              <w:ind w:firstLine="0" w:firstLineChars="0"/>
              <w:jc w:val="left"/>
              <w:rPr>
                <w:sz w:val="21"/>
              </w:rPr>
            </w:pPr>
            <w:r>
              <w:rPr>
                <w:sz w:val="21"/>
              </w:rPr>
              <w:t>在对整机进行</w:t>
            </w:r>
            <w:r>
              <w:rPr>
                <w:rFonts w:hint="eastAsia"/>
                <w:sz w:val="21"/>
              </w:rPr>
              <w:t>施工</w:t>
            </w:r>
            <w:r>
              <w:rPr>
                <w:sz w:val="21"/>
              </w:rPr>
              <w:t>过程中，现场管理人员及</w:t>
            </w:r>
            <w:r>
              <w:rPr>
                <w:rFonts w:hint="eastAsia"/>
                <w:sz w:val="21"/>
              </w:rPr>
              <w:t>施工</w:t>
            </w:r>
            <w:r>
              <w:rPr>
                <w:sz w:val="21"/>
              </w:rPr>
              <w:t>队伍负责人应对</w:t>
            </w:r>
            <w:r>
              <w:rPr>
                <w:rFonts w:hint="eastAsia"/>
                <w:sz w:val="21"/>
              </w:rPr>
              <w:t>施工</w:t>
            </w:r>
            <w:r>
              <w:rPr>
                <w:sz w:val="21"/>
              </w:rPr>
              <w:t>过程进行</w:t>
            </w:r>
            <w:r>
              <w:rPr>
                <w:rFonts w:hint="eastAsia"/>
                <w:sz w:val="21"/>
              </w:rPr>
              <w:t>监督</w:t>
            </w:r>
            <w:r>
              <w:rPr>
                <w:sz w:val="21"/>
              </w:rPr>
              <w:t>检查，上道工序未验收通过，下道工序不得进行，确保</w:t>
            </w:r>
            <w:r>
              <w:rPr>
                <w:rFonts w:hint="eastAsia"/>
                <w:sz w:val="21"/>
              </w:rPr>
              <w:t>设备</w:t>
            </w:r>
            <w:r>
              <w:rPr>
                <w:sz w:val="21"/>
              </w:rPr>
              <w:t>的安装的精度及偏移，保证整体钢结构无变形裂纹，焊接质量满足规范要求，发现问题及时制止采取措施，避免在</w:t>
            </w:r>
            <w:r>
              <w:rPr>
                <w:rFonts w:hint="eastAsia"/>
                <w:sz w:val="21"/>
              </w:rPr>
              <w:t>设备</w:t>
            </w:r>
            <w:r>
              <w:rPr>
                <w:sz w:val="21"/>
              </w:rPr>
              <w:t>安装出现质量事故及安全事故。</w:t>
            </w: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19" w:type="pct"/>
            <w:tcBorders>
              <w:top w:val="single" w:color="000000" w:sz="4" w:space="0"/>
              <w:left w:val="single" w:color="000000" w:sz="12" w:space="0"/>
              <w:bottom w:val="single" w:color="000000" w:sz="12" w:space="0"/>
              <w:right w:val="single" w:color="000000" w:sz="4" w:space="0"/>
            </w:tcBorders>
            <w:shd w:val="clear" w:color="auto" w:fill="FFFFFF"/>
            <w:vAlign w:val="center"/>
          </w:tcPr>
          <w:p>
            <w:pPr>
              <w:pStyle w:val="78"/>
              <w:numPr>
                <w:ilvl w:val="0"/>
                <w:numId w:val="56"/>
              </w:numPr>
              <w:spacing w:line="240" w:lineRule="auto"/>
              <w:ind w:firstLineChars="0"/>
              <w:jc w:val="center"/>
              <w:rPr>
                <w:sz w:val="21"/>
              </w:rPr>
            </w:pPr>
          </w:p>
        </w:tc>
        <w:tc>
          <w:tcPr>
            <w:tcW w:w="942" w:type="pct"/>
            <w:tcBorders>
              <w:top w:val="single" w:color="000000" w:sz="4" w:space="0"/>
              <w:left w:val="single" w:color="000000" w:sz="4" w:space="0"/>
              <w:bottom w:val="single" w:color="000000" w:sz="12" w:space="0"/>
              <w:right w:val="single" w:color="000000" w:sz="4" w:space="0"/>
            </w:tcBorders>
            <w:shd w:val="clear" w:color="auto" w:fill="FFFFFF"/>
            <w:vAlign w:val="center"/>
          </w:tcPr>
          <w:p>
            <w:pPr>
              <w:spacing w:line="240" w:lineRule="auto"/>
              <w:ind w:firstLine="0" w:firstLineChars="0"/>
              <w:jc w:val="center"/>
              <w:rPr>
                <w:sz w:val="21"/>
              </w:rPr>
            </w:pPr>
            <w:r>
              <w:rPr>
                <w:sz w:val="21"/>
              </w:rPr>
              <w:t>安装结束验收</w:t>
            </w:r>
          </w:p>
        </w:tc>
        <w:tc>
          <w:tcPr>
            <w:tcW w:w="3639" w:type="pct"/>
            <w:tcBorders>
              <w:top w:val="single" w:color="000000" w:sz="4" w:space="0"/>
              <w:left w:val="single" w:color="000000" w:sz="4" w:space="0"/>
              <w:bottom w:val="single" w:color="000000" w:sz="12" w:space="0"/>
              <w:right w:val="single" w:color="000000" w:sz="12" w:space="0"/>
            </w:tcBorders>
            <w:shd w:val="clear" w:color="auto" w:fill="FFFFFF"/>
            <w:vAlign w:val="center"/>
          </w:tcPr>
          <w:p>
            <w:pPr>
              <w:spacing w:line="240" w:lineRule="auto"/>
              <w:ind w:firstLine="0" w:firstLineChars="0"/>
              <w:jc w:val="left"/>
              <w:rPr>
                <w:sz w:val="21"/>
              </w:rPr>
            </w:pPr>
            <w:r>
              <w:rPr>
                <w:sz w:val="21"/>
              </w:rPr>
              <w:t>整机安装结束后，组织联合验收，对</w:t>
            </w:r>
            <w:r>
              <w:rPr>
                <w:rFonts w:hint="eastAsia"/>
                <w:sz w:val="21"/>
              </w:rPr>
              <w:t>设备</w:t>
            </w:r>
            <w:r>
              <w:rPr>
                <w:sz w:val="21"/>
              </w:rPr>
              <w:t>的结构尺寸、焊接质量、安装精度等容易出现问题的地方进行相关数据验收，并按照相关要求进行荷载试验，确保</w:t>
            </w:r>
            <w:r>
              <w:rPr>
                <w:rFonts w:hint="eastAsia"/>
                <w:sz w:val="21"/>
              </w:rPr>
              <w:t>设备</w:t>
            </w:r>
            <w:r>
              <w:rPr>
                <w:sz w:val="21"/>
              </w:rPr>
              <w:t>验收合格后能投入使用。</w:t>
            </w:r>
          </w:p>
        </w:tc>
      </w:tr>
    </w:tbl>
    <w:p>
      <w:pPr>
        <w:widowControl/>
        <w:spacing w:line="240" w:lineRule="auto"/>
        <w:ind w:firstLine="0" w:firstLineChars="0"/>
        <w:jc w:val="left"/>
      </w:pPr>
      <w:r>
        <w:br w:type="page"/>
      </w:r>
    </w:p>
    <w:bookmarkEnd w:id="128"/>
    <w:bookmarkEnd w:id="129"/>
    <w:p>
      <w:pPr>
        <w:pStyle w:val="2"/>
      </w:pPr>
      <w:bookmarkStart w:id="135" w:name="_Toc18267"/>
      <w:bookmarkStart w:id="136" w:name="_Toc4513"/>
      <w:r>
        <w:rPr>
          <w:rFonts w:hint="eastAsia"/>
        </w:rPr>
        <w:t>施工</w:t>
      </w:r>
      <w:bookmarkEnd w:id="135"/>
      <w:r>
        <w:rPr>
          <w:rFonts w:hint="eastAsia"/>
        </w:rPr>
        <w:t>风险源辨识及安全保障措施</w:t>
      </w:r>
      <w:bookmarkEnd w:id="136"/>
    </w:p>
    <w:p>
      <w:pPr>
        <w:pStyle w:val="3"/>
      </w:pPr>
      <w:bookmarkStart w:id="137" w:name="_Toc18306"/>
      <w:bookmarkStart w:id="138" w:name="_Toc29268"/>
      <w:r>
        <w:rPr>
          <w:rFonts w:hint="eastAsia"/>
        </w:rPr>
        <w:t>风险源辨识及分析</w:t>
      </w:r>
      <w:bookmarkEnd w:id="137"/>
    </w:p>
    <w:p>
      <w:pPr>
        <w:pStyle w:val="4"/>
      </w:pPr>
      <w:r>
        <w:rPr>
          <w:rFonts w:hint="eastAsia"/>
        </w:rPr>
        <w:t>风险源辨识与评价</w:t>
      </w:r>
    </w:p>
    <w:p>
      <w:pPr>
        <w:ind w:firstLine="480"/>
      </w:pPr>
      <w:r>
        <w:rPr>
          <w:rFonts w:hint="eastAsia"/>
        </w:rPr>
        <w:t>风险因素分析、识别表见</w:t>
      </w:r>
      <w:r>
        <w:fldChar w:fldCharType="begin"/>
      </w:r>
      <w:r>
        <w:instrText xml:space="preserve"> </w:instrText>
      </w:r>
      <w:r>
        <w:rPr>
          <w:rFonts w:hint="eastAsia"/>
        </w:rPr>
        <w:instrText xml:space="preserve">REF _Ref130390235 \h</w:instrText>
      </w:r>
      <w:r>
        <w:instrText xml:space="preserve"> </w:instrText>
      </w:r>
      <w:r>
        <w:fldChar w:fldCharType="separate"/>
      </w:r>
      <w:r>
        <w:rPr>
          <w:rFonts w:hint="eastAsia"/>
        </w:rPr>
        <w:t>表</w:t>
      </w:r>
      <w:r>
        <w:t>6.1.1</w:t>
      </w:r>
      <w:r>
        <w:rPr>
          <w:rFonts w:hint="eastAsia"/>
        </w:rPr>
        <w:t>-</w:t>
      </w:r>
      <w:r>
        <w:t>1</w:t>
      </w:r>
      <w:r>
        <w:fldChar w:fldCharType="end"/>
      </w:r>
      <w:r>
        <w:rPr>
          <w:rFonts w:hint="eastAsia"/>
        </w:rPr>
        <w:t>所示。</w:t>
      </w:r>
    </w:p>
    <w:p>
      <w:pPr>
        <w:pStyle w:val="16"/>
      </w:pPr>
      <w:bookmarkStart w:id="139" w:name="_Ref130390235"/>
      <w:r>
        <w:rPr>
          <w:rFonts w:hint="eastAsia"/>
        </w:rPr>
        <w:t>表</w:t>
      </w:r>
      <w:r>
        <w:fldChar w:fldCharType="begin"/>
      </w:r>
      <w:r>
        <w:instrText xml:space="preserve"> </w:instrText>
      </w:r>
      <w:r>
        <w:rPr>
          <w:rFonts w:hint="eastAsia"/>
        </w:rPr>
        <w:instrText xml:space="preserve">STYLEREF</w:instrText>
      </w:r>
      <w:r>
        <w:instrText xml:space="preserve"> 3</w:instrText>
      </w:r>
      <w:r>
        <w:rPr>
          <w:rFonts w:hint="eastAsia"/>
        </w:rPr>
        <w:instrText xml:space="preserve"> \s</w:instrText>
      </w:r>
      <w:r>
        <w:instrText xml:space="preserve"> </w:instrText>
      </w:r>
      <w:r>
        <w:fldChar w:fldCharType="separate"/>
      </w:r>
      <w:r>
        <w:t>6.1.1</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3 </w:instrText>
      </w:r>
      <w:r>
        <w:fldChar w:fldCharType="separate"/>
      </w:r>
      <w:r>
        <w:t>1</w:t>
      </w:r>
      <w:r>
        <w:fldChar w:fldCharType="end"/>
      </w:r>
      <w:bookmarkEnd w:id="139"/>
      <w:r>
        <w:t xml:space="preserve"> </w:t>
      </w:r>
      <w:r>
        <w:rPr>
          <w:rFonts w:hint="eastAsia"/>
        </w:rPr>
        <w:t>风险因素分析、识别表</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41"/>
        <w:gridCol w:w="859"/>
        <w:gridCol w:w="6129"/>
        <w:gridCol w:w="10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jc w:val="center"/>
        </w:trPr>
        <w:tc>
          <w:tcPr>
            <w:tcW w:w="259" w:type="pct"/>
            <w:tcBorders>
              <w:tl2br w:val="nil"/>
              <w:tr2bl w:val="nil"/>
            </w:tcBorders>
            <w:vAlign w:val="center"/>
          </w:tcPr>
          <w:p>
            <w:pPr>
              <w:pStyle w:val="17"/>
              <w:tabs>
                <w:tab w:val="left" w:pos="0"/>
              </w:tabs>
              <w:jc w:val="both"/>
              <w:rPr>
                <w:b/>
              </w:rPr>
            </w:pPr>
            <w:r>
              <w:rPr>
                <w:rFonts w:hint="eastAsia"/>
                <w:b/>
              </w:rPr>
              <w:t>序号</w:t>
            </w:r>
          </w:p>
        </w:tc>
        <w:tc>
          <w:tcPr>
            <w:tcW w:w="504" w:type="pct"/>
            <w:tcBorders>
              <w:tl2br w:val="nil"/>
              <w:tr2bl w:val="nil"/>
            </w:tcBorders>
            <w:vAlign w:val="center"/>
          </w:tcPr>
          <w:p>
            <w:pPr>
              <w:pStyle w:val="17"/>
              <w:rPr>
                <w:b/>
              </w:rPr>
            </w:pPr>
            <w:r>
              <w:rPr>
                <w:rFonts w:hint="eastAsia"/>
                <w:b/>
              </w:rPr>
              <w:t>环节</w:t>
            </w:r>
          </w:p>
        </w:tc>
        <w:tc>
          <w:tcPr>
            <w:tcW w:w="3596" w:type="pct"/>
            <w:tcBorders>
              <w:tl2br w:val="nil"/>
              <w:tr2bl w:val="nil"/>
            </w:tcBorders>
            <w:vAlign w:val="center"/>
          </w:tcPr>
          <w:p>
            <w:pPr>
              <w:pStyle w:val="17"/>
              <w:rPr>
                <w:b/>
              </w:rPr>
            </w:pPr>
            <w:r>
              <w:rPr>
                <w:rFonts w:hint="eastAsia"/>
                <w:b/>
                <w:bCs/>
              </w:rPr>
              <w:t>危害因素</w:t>
            </w:r>
          </w:p>
        </w:tc>
        <w:tc>
          <w:tcPr>
            <w:tcW w:w="641" w:type="pct"/>
            <w:tcBorders>
              <w:tl2br w:val="nil"/>
              <w:tr2bl w:val="nil"/>
            </w:tcBorders>
            <w:vAlign w:val="center"/>
          </w:tcPr>
          <w:p>
            <w:pPr>
              <w:pStyle w:val="17"/>
              <w:rPr>
                <w:b/>
              </w:rPr>
            </w:pPr>
            <w:r>
              <w:rPr>
                <w:rFonts w:hint="eastAsia"/>
                <w:b/>
                <w:bCs/>
              </w:rPr>
              <w:t>潜在事故类型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restart"/>
            <w:tcBorders>
              <w:tl2br w:val="nil"/>
              <w:tr2bl w:val="nil"/>
            </w:tcBorders>
            <w:vAlign w:val="center"/>
          </w:tcPr>
          <w:p>
            <w:pPr>
              <w:pStyle w:val="17"/>
            </w:pPr>
            <w:r>
              <w:rPr>
                <w:rFonts w:hint="eastAsia"/>
              </w:rPr>
              <w:t>安装前准备</w:t>
            </w:r>
          </w:p>
        </w:tc>
        <w:tc>
          <w:tcPr>
            <w:tcW w:w="3596" w:type="pct"/>
            <w:tcBorders>
              <w:tl2br w:val="nil"/>
              <w:tr2bl w:val="nil"/>
            </w:tcBorders>
            <w:vAlign w:val="center"/>
          </w:tcPr>
          <w:p>
            <w:pPr>
              <w:pStyle w:val="17"/>
            </w:pPr>
            <w:r>
              <w:rPr>
                <w:rFonts w:hint="eastAsia"/>
              </w:rPr>
              <w:t>设备安装前没有进行全面的检查，并确认合格。</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安装前没有对基础进行验收。基础周围没有排水设施、积水未及时清理。影响施工的地下地面管线未改迁。</w:t>
            </w:r>
          </w:p>
        </w:tc>
        <w:tc>
          <w:tcPr>
            <w:tcW w:w="641" w:type="pct"/>
            <w:tcBorders>
              <w:tl2br w:val="nil"/>
              <w:tr2bl w:val="nil"/>
            </w:tcBorders>
            <w:vAlign w:val="center"/>
          </w:tcPr>
          <w:p>
            <w:pPr>
              <w:pStyle w:val="17"/>
            </w:pPr>
            <w:r>
              <w:rPr>
                <w:rFonts w:hint="eastAsia"/>
              </w:rPr>
              <w:t>坍塌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没有对建筑承载结构进行验算。</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安装作业未按照专项方案要求实施。安装前未对安装作业人员进行安全技术交底。</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雨雪、浓雾天气没有停止安装作业。</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当需要在夜间进行安拆作业时，没有保证提供足够的照明。</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起重吊装设备的进场验收</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与建筑物、高压线安全距离不足。</w:t>
            </w:r>
          </w:p>
        </w:tc>
        <w:tc>
          <w:tcPr>
            <w:tcW w:w="641" w:type="pct"/>
            <w:tcBorders>
              <w:tl2br w:val="nil"/>
              <w:tr2bl w:val="nil"/>
            </w:tcBorders>
            <w:vAlign w:val="center"/>
          </w:tcPr>
          <w:p>
            <w:pPr>
              <w:pStyle w:val="17"/>
            </w:pPr>
            <w:r>
              <w:rPr>
                <w:rFonts w:hint="eastAsia"/>
              </w:rPr>
              <w:t>触电、起重伤害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作业场地未封闭、警戒区域未设置。</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当遇特殊情况安装作业不能连续进行时，没有将已安装的部位固定牢靠并达到安全状态。</w:t>
            </w:r>
          </w:p>
        </w:tc>
        <w:tc>
          <w:tcPr>
            <w:tcW w:w="641" w:type="pct"/>
            <w:tcBorders>
              <w:tl2br w:val="nil"/>
              <w:tr2bl w:val="nil"/>
            </w:tcBorders>
            <w:vAlign w:val="center"/>
          </w:tcPr>
          <w:p>
            <w:pPr>
              <w:pStyle w:val="17"/>
            </w:pPr>
            <w:r>
              <w:rPr>
                <w:rFonts w:hint="eastAsia"/>
              </w:rPr>
              <w:t>物体打击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安全装置不齐全，未进行防雷接地没有按程序进行调试合格。</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tcBorders>
              <w:tl2br w:val="nil"/>
              <w:tr2bl w:val="nil"/>
            </w:tcBorders>
            <w:vAlign w:val="center"/>
          </w:tcPr>
          <w:p>
            <w:pPr>
              <w:pStyle w:val="17"/>
            </w:pPr>
            <w:r>
              <w:rPr>
                <w:rFonts w:hint="eastAsia"/>
              </w:rPr>
              <w:t>风速要求</w:t>
            </w:r>
          </w:p>
        </w:tc>
        <w:tc>
          <w:tcPr>
            <w:tcW w:w="3596" w:type="pct"/>
            <w:tcBorders>
              <w:tl2br w:val="nil"/>
              <w:tr2bl w:val="nil"/>
            </w:tcBorders>
            <w:vAlign w:val="center"/>
          </w:tcPr>
          <w:p>
            <w:pPr>
              <w:pStyle w:val="17"/>
            </w:pPr>
            <w:r>
              <w:rPr>
                <w:rFonts w:hint="eastAsia"/>
              </w:rPr>
              <w:t>安装时塔机最高处的风速不符合使用说明书的要求，或者大于12m/s。顶升作业时风速超过四级风。</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tcBorders>
              <w:tl2br w:val="nil"/>
              <w:tr2bl w:val="nil"/>
            </w:tcBorders>
            <w:vAlign w:val="center"/>
          </w:tcPr>
          <w:p>
            <w:pPr>
              <w:pStyle w:val="17"/>
            </w:pPr>
            <w:r>
              <w:rPr>
                <w:rFonts w:hint="eastAsia"/>
              </w:rPr>
              <w:t>连接要求</w:t>
            </w:r>
          </w:p>
        </w:tc>
        <w:tc>
          <w:tcPr>
            <w:tcW w:w="3596" w:type="pct"/>
            <w:tcBorders>
              <w:tl2br w:val="nil"/>
              <w:tr2bl w:val="nil"/>
            </w:tcBorders>
            <w:vAlign w:val="center"/>
          </w:tcPr>
          <w:p>
            <w:pPr>
              <w:pStyle w:val="17"/>
            </w:pPr>
            <w:r>
              <w:rPr>
                <w:rFonts w:hint="eastAsia"/>
              </w:rPr>
              <w:t>开口销未两边张开，夹角未达到90°以上，螺栓与螺母未连接牢固</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restart"/>
            <w:tcBorders>
              <w:tl2br w:val="nil"/>
              <w:tr2bl w:val="nil"/>
            </w:tcBorders>
            <w:vAlign w:val="center"/>
          </w:tcPr>
          <w:p>
            <w:pPr>
              <w:pStyle w:val="17"/>
            </w:pPr>
            <w:r>
              <w:rPr>
                <w:rFonts w:hint="eastAsia"/>
              </w:rPr>
              <w:t>安装塔身基础节</w:t>
            </w:r>
          </w:p>
        </w:tc>
        <w:tc>
          <w:tcPr>
            <w:tcW w:w="3596" w:type="pct"/>
            <w:tcBorders>
              <w:tl2br w:val="nil"/>
              <w:tr2bl w:val="nil"/>
            </w:tcBorders>
            <w:vAlign w:val="center"/>
          </w:tcPr>
          <w:p>
            <w:pPr>
              <w:pStyle w:val="17"/>
            </w:pPr>
            <w:r>
              <w:rPr>
                <w:rFonts w:hint="eastAsia"/>
              </w:rPr>
              <w:t>塔身基础节吊至预埋塔架上方，未对好方向。塔身基础节连接底板与地脚螺栓未正确就位</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基础节四块连接底板未在同一水平面上，误差大于1/1000</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塔身基础节未使用双螺母与地脚螺栓相连</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restart"/>
            <w:tcBorders>
              <w:tl2br w:val="nil"/>
              <w:tr2bl w:val="nil"/>
            </w:tcBorders>
            <w:vAlign w:val="center"/>
          </w:tcPr>
          <w:p>
            <w:pPr>
              <w:pStyle w:val="17"/>
            </w:pPr>
            <w:r>
              <w:rPr>
                <w:rFonts w:hint="eastAsia"/>
              </w:rPr>
              <w:t>安装塔身</w:t>
            </w:r>
          </w:p>
        </w:tc>
        <w:tc>
          <w:tcPr>
            <w:tcW w:w="3596" w:type="pct"/>
            <w:tcBorders>
              <w:tl2br w:val="nil"/>
              <w:tr2bl w:val="nil"/>
            </w:tcBorders>
            <w:vAlign w:val="center"/>
          </w:tcPr>
          <w:p>
            <w:pPr>
              <w:pStyle w:val="17"/>
            </w:pPr>
            <w:r>
              <w:rPr>
                <w:rFonts w:hint="eastAsia"/>
              </w:rPr>
              <w:t>安装下塔身加强节未使用特制的高强度螺栓、未拧紧双螺母</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套架上未安装操作平台</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下支座下端主弦杆与标准节主弦杆未使用高强度螺栓将其相连，未紧固好双螺母</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标准节的爬梯、背圈、爬梯平台未同步安装</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未安装塔顶平台、栏杆、滑轮、过度拉板</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restart"/>
            <w:tcBorders>
              <w:tl2br w:val="nil"/>
              <w:tr2bl w:val="nil"/>
            </w:tcBorders>
            <w:vAlign w:val="center"/>
          </w:tcPr>
          <w:p>
            <w:pPr>
              <w:pStyle w:val="17"/>
            </w:pPr>
            <w:r>
              <w:rPr>
                <w:rFonts w:hint="eastAsia"/>
              </w:rPr>
              <w:t>安装起重臂、平衡臂</w:t>
            </w:r>
          </w:p>
        </w:tc>
        <w:tc>
          <w:tcPr>
            <w:tcW w:w="3596" w:type="pct"/>
            <w:tcBorders>
              <w:tl2br w:val="nil"/>
              <w:tr2bl w:val="nil"/>
            </w:tcBorders>
            <w:vAlign w:val="center"/>
          </w:tcPr>
          <w:p>
            <w:pPr>
              <w:pStyle w:val="17"/>
            </w:pPr>
            <w:r>
              <w:rPr>
                <w:rFonts w:hint="eastAsia"/>
              </w:rPr>
              <w:t>平衡臂未安装平台、栏杆</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平衡重未安装在后部规定位置，未使用专用钢销将平衡重支持在平衡臂上</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未在变幅小车上安装检修平台</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未用特制销轴将起重臂与回转塔身耳板铰接好、并未穿好开口销</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配重重量与大臂长度不匹配</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未使用链条葫芦或未利用起升钢丝绳提升起重臂拉杆</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restart"/>
            <w:tcBorders>
              <w:tl2br w:val="nil"/>
              <w:tr2bl w:val="nil"/>
            </w:tcBorders>
            <w:vAlign w:val="center"/>
          </w:tcPr>
          <w:p>
            <w:pPr>
              <w:pStyle w:val="17"/>
            </w:pPr>
            <w:r>
              <w:rPr>
                <w:rFonts w:hint="eastAsia"/>
              </w:rPr>
              <w:t>顶升加节</w:t>
            </w:r>
          </w:p>
        </w:tc>
        <w:tc>
          <w:tcPr>
            <w:tcW w:w="3596" w:type="pct"/>
            <w:tcBorders>
              <w:tl2br w:val="nil"/>
              <w:tr2bl w:val="nil"/>
            </w:tcBorders>
            <w:vAlign w:val="center"/>
          </w:tcPr>
          <w:p>
            <w:pPr>
              <w:pStyle w:val="17"/>
            </w:pPr>
            <w:r>
              <w:rPr>
                <w:rFonts w:hint="eastAsia"/>
              </w:rPr>
              <w:t>顶升加节前未检查顶升系统、结构部件是否完好</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顶升前，塔机下支座与顶升套架未可靠连接</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顶升前，未保持顶升横梁搁置正确</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顶升前，未将塔机配平。顶升过程中未确保塔机的平衡</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顶升加节的顺序，未符合使用说明书的规定</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顶升过程中，进行起升、回转、变幅等动作</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顶升结束后，未将标准节与回转下支座可靠连接</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塔机加节后需附着的，未按照先安装附着装置、后顶升加节的顺序进行，附着装置的位置和支撑点的强度未符合要求。</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restart"/>
            <w:tcBorders>
              <w:tl2br w:val="nil"/>
              <w:tr2bl w:val="nil"/>
            </w:tcBorders>
            <w:vAlign w:val="center"/>
          </w:tcPr>
          <w:p>
            <w:pPr>
              <w:pStyle w:val="17"/>
            </w:pPr>
            <w:r>
              <w:rPr>
                <w:rFonts w:hint="eastAsia"/>
              </w:rPr>
              <w:t>附着装置</w:t>
            </w:r>
          </w:p>
        </w:tc>
        <w:tc>
          <w:tcPr>
            <w:tcW w:w="3596" w:type="pct"/>
            <w:tcBorders>
              <w:tl2br w:val="nil"/>
              <w:tr2bl w:val="nil"/>
            </w:tcBorders>
            <w:vAlign w:val="center"/>
          </w:tcPr>
          <w:p>
            <w:pPr>
              <w:pStyle w:val="17"/>
            </w:pPr>
            <w:r>
              <w:rPr>
                <w:rFonts w:hint="eastAsia"/>
              </w:rPr>
              <w:t>附着装置的设置和自由端高度不符合使用说明书的规定</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当附着水平距离、附着间距等不满足使用说明书的要求时，没有进行设计计算、绘制制作图、编写相关说明。</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连接件及防松脱件用其它代用品代用。</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连接件及防松脱件没有用扭力扳手或专用工具紧固连接螺栓。</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附着装置设计时，没有对支承处的建筑主体结构进行验算。</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restart"/>
            <w:tcBorders>
              <w:tl2br w:val="nil"/>
              <w:tr2bl w:val="nil"/>
            </w:tcBorders>
            <w:vAlign w:val="center"/>
          </w:tcPr>
          <w:p>
            <w:pPr>
              <w:pStyle w:val="17"/>
            </w:pPr>
            <w:r>
              <w:rPr>
                <w:rFonts w:hint="eastAsia"/>
              </w:rPr>
              <w:t>安装后检验</w:t>
            </w:r>
          </w:p>
        </w:tc>
        <w:tc>
          <w:tcPr>
            <w:tcW w:w="3596" w:type="pct"/>
            <w:tcBorders>
              <w:tl2br w:val="nil"/>
              <w:tr2bl w:val="nil"/>
            </w:tcBorders>
            <w:vAlign w:val="center"/>
          </w:tcPr>
          <w:p>
            <w:pPr>
              <w:pStyle w:val="17"/>
            </w:pPr>
            <w:r>
              <w:rPr>
                <w:rFonts w:hint="eastAsia"/>
              </w:rPr>
              <w:t>安装完成未组织人员验收与试吊</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安装单位自检合格后，没有上报有关部门检测合格。</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restart"/>
            <w:tcBorders>
              <w:tl2br w:val="nil"/>
              <w:tr2bl w:val="nil"/>
            </w:tcBorders>
            <w:vAlign w:val="center"/>
          </w:tcPr>
          <w:p>
            <w:pPr>
              <w:pStyle w:val="17"/>
            </w:pPr>
            <w:r>
              <w:rPr>
                <w:rFonts w:hint="eastAsia"/>
              </w:rPr>
              <w:t>拆除</w:t>
            </w:r>
          </w:p>
        </w:tc>
        <w:tc>
          <w:tcPr>
            <w:tcW w:w="3596" w:type="pct"/>
            <w:tcBorders>
              <w:tl2br w:val="nil"/>
              <w:tr2bl w:val="nil"/>
            </w:tcBorders>
            <w:vAlign w:val="center"/>
          </w:tcPr>
          <w:p>
            <w:pPr>
              <w:pStyle w:val="17"/>
            </w:pPr>
            <w:r>
              <w:rPr>
                <w:rFonts w:hint="eastAsia"/>
              </w:rPr>
              <w:t>附着式塔机没有明确附着装置的拆卸顺序和方法。</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当遇特殊情况拆卸作业不能继续时，没有采取措施保证塔机处于安全状态。</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塔式起重机每次降节前，没有检查顶升系统和附着装置的连接等。</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拆卸时没有按照先降节，后拆除附着装置的顺序施工。</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当用于拆卸作业的辅助设备设置在建筑物上时，没有对辅助起重设备的安全性及建筑物的承载能力等进行验算</w:t>
            </w:r>
          </w:p>
        </w:tc>
        <w:tc>
          <w:tcPr>
            <w:tcW w:w="641" w:type="pct"/>
            <w:tcBorders>
              <w:tl2br w:val="nil"/>
              <w:tr2bl w:val="nil"/>
            </w:tcBorders>
            <w:vAlign w:val="center"/>
          </w:tcPr>
          <w:p>
            <w:pPr>
              <w:pStyle w:val="17"/>
            </w:pPr>
            <w:r>
              <w:rPr>
                <w:rFonts w:hint="eastAsia"/>
              </w:rPr>
              <w:t>物体打击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拆除作业未按照专项方案要求实施。拆除前未对安装作业人员进行安全技术交底。</w:t>
            </w:r>
          </w:p>
        </w:tc>
        <w:tc>
          <w:tcPr>
            <w:tcW w:w="641" w:type="pct"/>
            <w:tcBorders>
              <w:tl2br w:val="nil"/>
              <w:tr2bl w:val="nil"/>
            </w:tcBorders>
            <w:vAlign w:val="center"/>
          </w:tcPr>
          <w:p>
            <w:pPr>
              <w:pStyle w:val="17"/>
            </w:pPr>
            <w:r>
              <w:rPr>
                <w:rFonts w:hint="eastAsia"/>
              </w:rPr>
              <w:t>机械伤害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拆除辅助设备就位后，没有对其机械和安全性能进行检验。</w:t>
            </w:r>
          </w:p>
        </w:tc>
        <w:tc>
          <w:tcPr>
            <w:tcW w:w="641" w:type="pct"/>
            <w:tcBorders>
              <w:tl2br w:val="nil"/>
              <w:tr2bl w:val="nil"/>
            </w:tcBorders>
            <w:vAlign w:val="center"/>
          </w:tcPr>
          <w:p>
            <w:pPr>
              <w:pStyle w:val="17"/>
            </w:pPr>
            <w:r>
              <w:rPr>
                <w:rFonts w:hint="eastAsia"/>
              </w:rPr>
              <w:t>机械伤害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雨雪、浓雾天气没有停止拆除作业。</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当遇特殊情况拆除作业不能连续进行时，没有将已安装的部位固定牢靠并达到安全状态。</w:t>
            </w:r>
          </w:p>
        </w:tc>
        <w:tc>
          <w:tcPr>
            <w:tcW w:w="641" w:type="pct"/>
            <w:tcBorders>
              <w:tl2br w:val="nil"/>
              <w:tr2bl w:val="nil"/>
            </w:tcBorders>
            <w:vAlign w:val="center"/>
          </w:tcPr>
          <w:p>
            <w:pPr>
              <w:pStyle w:val="17"/>
            </w:pPr>
            <w:r>
              <w:rPr>
                <w:rFonts w:hint="eastAsia"/>
              </w:rPr>
              <w:t>物体打击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tcBorders>
              <w:tl2br w:val="nil"/>
              <w:tr2bl w:val="nil"/>
            </w:tcBorders>
            <w:vAlign w:val="center"/>
          </w:tcPr>
          <w:p>
            <w:pPr>
              <w:pStyle w:val="17"/>
            </w:pPr>
            <w:r>
              <w:rPr>
                <w:rFonts w:hint="eastAsia"/>
              </w:rPr>
              <w:t>设备部件及构配件</w:t>
            </w:r>
          </w:p>
        </w:tc>
        <w:tc>
          <w:tcPr>
            <w:tcW w:w="3596" w:type="pct"/>
            <w:tcBorders>
              <w:tl2br w:val="nil"/>
              <w:tr2bl w:val="nil"/>
            </w:tcBorders>
            <w:vAlign w:val="center"/>
          </w:tcPr>
          <w:p>
            <w:pPr>
              <w:pStyle w:val="17"/>
            </w:pPr>
            <w:r>
              <w:rPr>
                <w:rFonts w:hint="eastAsia"/>
              </w:rPr>
              <w:t>施工所用设备部件及构配件使用前，未进行质量检查验收及安全评估，材料混用</w:t>
            </w:r>
          </w:p>
        </w:tc>
        <w:tc>
          <w:tcPr>
            <w:tcW w:w="641" w:type="pct"/>
            <w:tcBorders>
              <w:tl2br w:val="nil"/>
              <w:tr2bl w:val="nil"/>
            </w:tcBorders>
            <w:vAlign w:val="center"/>
          </w:tcPr>
          <w:p>
            <w:pPr>
              <w:pStyle w:val="17"/>
            </w:pPr>
            <w:r>
              <w:rPr>
                <w:rFonts w:hint="eastAsia"/>
              </w:rPr>
              <w:t>坍塌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restart"/>
            <w:tcBorders>
              <w:tl2br w:val="nil"/>
              <w:tr2bl w:val="nil"/>
            </w:tcBorders>
            <w:vAlign w:val="center"/>
          </w:tcPr>
          <w:p>
            <w:pPr>
              <w:pStyle w:val="17"/>
            </w:pPr>
            <w:r>
              <w:rPr>
                <w:rFonts w:hint="eastAsia"/>
              </w:rPr>
              <w:t>吊索具</w:t>
            </w:r>
          </w:p>
        </w:tc>
        <w:tc>
          <w:tcPr>
            <w:tcW w:w="3596" w:type="pct"/>
            <w:tcBorders>
              <w:tl2br w:val="nil"/>
              <w:tr2bl w:val="nil"/>
            </w:tcBorders>
            <w:vAlign w:val="center"/>
          </w:tcPr>
          <w:p>
            <w:pPr>
              <w:pStyle w:val="17"/>
            </w:pPr>
            <w:r>
              <w:rPr>
                <w:rFonts w:hint="eastAsia"/>
              </w:rPr>
              <w:t>吊具与索具系结物品，及其连接在起重机械上的方法不可靠</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未按照规定设置防脱钩装置，或者防脱钩装置失效。</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吊具悬挂不牢固可靠。</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吊耳、耳轴或耳轴套，磨损减少原尺寸5％。</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restart"/>
            <w:tcBorders>
              <w:tl2br w:val="nil"/>
              <w:tr2bl w:val="nil"/>
            </w:tcBorders>
            <w:vAlign w:val="center"/>
          </w:tcPr>
          <w:p>
            <w:pPr>
              <w:pStyle w:val="17"/>
            </w:pPr>
            <w:r>
              <w:rPr>
                <w:rFonts w:hint="eastAsia"/>
              </w:rPr>
              <w:t>操作错误，忽视安全，忽视警告</w:t>
            </w:r>
          </w:p>
        </w:tc>
        <w:tc>
          <w:tcPr>
            <w:tcW w:w="3596" w:type="pct"/>
            <w:tcBorders>
              <w:tl2br w:val="nil"/>
              <w:tr2bl w:val="nil"/>
            </w:tcBorders>
            <w:vAlign w:val="center"/>
          </w:tcPr>
          <w:p>
            <w:pPr>
              <w:pStyle w:val="17"/>
            </w:pPr>
            <w:r>
              <w:rPr>
                <w:rFonts w:hint="eastAsia"/>
              </w:rPr>
              <w:t>未经许可开动、关停、移动机器</w:t>
            </w:r>
          </w:p>
        </w:tc>
        <w:tc>
          <w:tcPr>
            <w:tcW w:w="641" w:type="pct"/>
            <w:tcBorders>
              <w:tl2br w:val="nil"/>
              <w:tr2bl w:val="nil"/>
            </w:tcBorders>
            <w:vAlign w:val="center"/>
          </w:tcPr>
          <w:p>
            <w:pPr>
              <w:pStyle w:val="17"/>
            </w:pPr>
            <w:r>
              <w:rPr>
                <w:rFonts w:hint="eastAsia"/>
              </w:rPr>
              <w:t>机械伤害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开动、关停机器时未给信号</w:t>
            </w:r>
          </w:p>
        </w:tc>
        <w:tc>
          <w:tcPr>
            <w:tcW w:w="641" w:type="pct"/>
            <w:tcBorders>
              <w:tl2br w:val="nil"/>
              <w:tr2bl w:val="nil"/>
            </w:tcBorders>
            <w:vAlign w:val="center"/>
          </w:tcPr>
          <w:p>
            <w:pPr>
              <w:pStyle w:val="17"/>
            </w:pPr>
            <w:r>
              <w:rPr>
                <w:rFonts w:hint="eastAsia"/>
              </w:rPr>
              <w:t>机械伤害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操作错误（指按钮、阀门、搬手、把柄等的操作）</w:t>
            </w:r>
          </w:p>
        </w:tc>
        <w:tc>
          <w:tcPr>
            <w:tcW w:w="641" w:type="pct"/>
            <w:tcBorders>
              <w:tl2br w:val="nil"/>
              <w:tr2bl w:val="nil"/>
            </w:tcBorders>
            <w:vAlign w:val="center"/>
          </w:tcPr>
          <w:p>
            <w:pPr>
              <w:pStyle w:val="17"/>
            </w:pPr>
            <w:r>
              <w:rPr>
                <w:rFonts w:hint="eastAsia"/>
              </w:rPr>
              <w:t>机械伤害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restart"/>
            <w:tcBorders>
              <w:tl2br w:val="nil"/>
              <w:tr2bl w:val="nil"/>
            </w:tcBorders>
            <w:vAlign w:val="center"/>
          </w:tcPr>
          <w:p>
            <w:pPr>
              <w:pStyle w:val="17"/>
            </w:pPr>
            <w:r>
              <w:rPr>
                <w:rFonts w:hint="eastAsia"/>
              </w:rPr>
              <w:t>作业现场环境</w:t>
            </w:r>
          </w:p>
        </w:tc>
        <w:tc>
          <w:tcPr>
            <w:tcW w:w="3596" w:type="pct"/>
            <w:tcBorders>
              <w:tl2br w:val="nil"/>
              <w:tr2bl w:val="nil"/>
            </w:tcBorders>
            <w:vAlign w:val="center"/>
          </w:tcPr>
          <w:p>
            <w:pPr>
              <w:pStyle w:val="17"/>
            </w:pPr>
            <w:r>
              <w:rPr>
                <w:rFonts w:hint="eastAsia"/>
              </w:rPr>
              <w:t>起重机械运动部分与建筑物、设施、输电线的安全距离不够。</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作业前，未检查起重吊装所使用的起重机滑轮、吊索、卡环和地锚等。</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吊装业作区四周未设置明显标志或警戒区；夜间施工没有足够的照明。</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起重设备通行道路不平整、坚实</w:t>
            </w:r>
          </w:p>
        </w:tc>
        <w:tc>
          <w:tcPr>
            <w:tcW w:w="641" w:type="pct"/>
            <w:tcBorders>
              <w:tl2br w:val="nil"/>
              <w:tr2bl w:val="nil"/>
            </w:tcBorders>
            <w:vAlign w:val="center"/>
          </w:tcPr>
          <w:p>
            <w:pPr>
              <w:pStyle w:val="17"/>
            </w:pPr>
            <w:r>
              <w:rPr>
                <w:rFonts w:hint="eastAsia"/>
              </w:rPr>
              <w:t>机械伤害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restart"/>
            <w:tcBorders>
              <w:tl2br w:val="nil"/>
              <w:tr2bl w:val="nil"/>
            </w:tcBorders>
            <w:vAlign w:val="center"/>
          </w:tcPr>
          <w:p>
            <w:pPr>
              <w:pStyle w:val="17"/>
            </w:pPr>
            <w:r>
              <w:rPr>
                <w:rFonts w:hint="eastAsia"/>
              </w:rPr>
              <w:t>起重</w:t>
            </w:r>
          </w:p>
          <w:p>
            <w:pPr>
              <w:pStyle w:val="17"/>
            </w:pPr>
            <w:r>
              <w:rPr>
                <w:rFonts w:hint="eastAsia"/>
              </w:rPr>
              <w:t>作业</w:t>
            </w:r>
          </w:p>
        </w:tc>
        <w:tc>
          <w:tcPr>
            <w:tcW w:w="3596" w:type="pct"/>
            <w:tcBorders>
              <w:tl2br w:val="nil"/>
              <w:tr2bl w:val="nil"/>
            </w:tcBorders>
            <w:vAlign w:val="center"/>
          </w:tcPr>
          <w:p>
            <w:pPr>
              <w:pStyle w:val="17"/>
            </w:pPr>
            <w:r>
              <w:rPr>
                <w:rFonts w:hint="eastAsia"/>
              </w:rPr>
              <w:t>吊装长大物件时，没有于物件两端绑扎溜绳，并且由操作人员控制物件的平衡和稳定</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构件吊装和翻身扶直时的吊点不符合设计规定，构件起吊不平稳。</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吊装大、重构件和采用新的吊装工艺时，未进行试吊。</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大雨、雾、大雪及六级以上大风等恶劣天气进行吊装作业。</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采用了斜拉、斜吊，或者起吊埋于地下或粘结在地面上的构件。</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超载吊装和起吊重量不明的重大构件和设备</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在吊起的构件上行走或站立，或者用起重机载运人员、在构件上堆放或悬挂零星物件。</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restart"/>
            <w:tcBorders>
              <w:tl2br w:val="nil"/>
              <w:tr2bl w:val="nil"/>
            </w:tcBorders>
            <w:vAlign w:val="center"/>
          </w:tcPr>
          <w:p>
            <w:pPr>
              <w:pStyle w:val="17"/>
            </w:pPr>
            <w:r>
              <w:rPr>
                <w:rFonts w:hint="eastAsia"/>
              </w:rPr>
              <w:t>作业前安全条件确认</w:t>
            </w:r>
          </w:p>
        </w:tc>
        <w:tc>
          <w:tcPr>
            <w:tcW w:w="3596" w:type="pct"/>
            <w:tcBorders>
              <w:tl2br w:val="nil"/>
              <w:tr2bl w:val="nil"/>
            </w:tcBorders>
            <w:vAlign w:val="center"/>
          </w:tcPr>
          <w:p>
            <w:pPr>
              <w:pStyle w:val="17"/>
            </w:pPr>
            <w:r>
              <w:rPr>
                <w:rFonts w:hint="eastAsia"/>
              </w:rPr>
              <w:t>高处作业前，没有对安全防护设施进行检查、验收</w:t>
            </w:r>
          </w:p>
        </w:tc>
        <w:tc>
          <w:tcPr>
            <w:tcW w:w="641" w:type="pct"/>
            <w:tcBorders>
              <w:tl2br w:val="nil"/>
              <w:tr2bl w:val="nil"/>
            </w:tcBorders>
            <w:vAlign w:val="center"/>
          </w:tcPr>
          <w:p>
            <w:pPr>
              <w:pStyle w:val="17"/>
            </w:pPr>
            <w:r>
              <w:rPr>
                <w:rFonts w:hint="eastAsia"/>
              </w:rPr>
              <w:t>高处坠落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高处作业施工没有对作业人员进行安全教育和交底</w:t>
            </w:r>
          </w:p>
        </w:tc>
        <w:tc>
          <w:tcPr>
            <w:tcW w:w="641" w:type="pct"/>
            <w:tcBorders>
              <w:tl2br w:val="nil"/>
              <w:tr2bl w:val="nil"/>
            </w:tcBorders>
            <w:vAlign w:val="center"/>
          </w:tcPr>
          <w:p>
            <w:pPr>
              <w:pStyle w:val="17"/>
            </w:pPr>
            <w:r>
              <w:rPr>
                <w:rFonts w:hint="eastAsia"/>
              </w:rPr>
              <w:t>高处坠落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restart"/>
            <w:tcBorders>
              <w:tl2br w:val="nil"/>
              <w:tr2bl w:val="nil"/>
            </w:tcBorders>
            <w:vAlign w:val="center"/>
          </w:tcPr>
          <w:p>
            <w:pPr>
              <w:pStyle w:val="17"/>
            </w:pPr>
            <w:r>
              <w:rPr>
                <w:rFonts w:hint="eastAsia"/>
              </w:rPr>
              <w:t>攀登作业</w:t>
            </w:r>
          </w:p>
        </w:tc>
        <w:tc>
          <w:tcPr>
            <w:tcW w:w="3596" w:type="pct"/>
            <w:tcBorders>
              <w:tl2br w:val="nil"/>
              <w:tr2bl w:val="nil"/>
            </w:tcBorders>
            <w:vAlign w:val="center"/>
          </w:tcPr>
          <w:p>
            <w:pPr>
              <w:pStyle w:val="17"/>
            </w:pPr>
            <w:r>
              <w:rPr>
                <w:rFonts w:hint="eastAsia"/>
              </w:rPr>
              <w:t>人员登高无施工通道、梯子及其它攀登设施和用具</w:t>
            </w:r>
          </w:p>
        </w:tc>
        <w:tc>
          <w:tcPr>
            <w:tcW w:w="641" w:type="pct"/>
            <w:tcBorders>
              <w:tl2br w:val="nil"/>
              <w:tr2bl w:val="nil"/>
            </w:tcBorders>
            <w:vAlign w:val="center"/>
          </w:tcPr>
          <w:p>
            <w:pPr>
              <w:pStyle w:val="17"/>
            </w:pPr>
            <w:r>
              <w:rPr>
                <w:rFonts w:hint="eastAsia"/>
              </w:rPr>
              <w:t>高处坠落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高处作业人员正确佩戴安全带，未高挂低用</w:t>
            </w:r>
          </w:p>
        </w:tc>
        <w:tc>
          <w:tcPr>
            <w:tcW w:w="641" w:type="pct"/>
            <w:tcBorders>
              <w:tl2br w:val="nil"/>
              <w:tr2bl w:val="nil"/>
            </w:tcBorders>
            <w:vAlign w:val="center"/>
          </w:tcPr>
          <w:p>
            <w:pPr>
              <w:pStyle w:val="17"/>
            </w:pPr>
            <w:r>
              <w:rPr>
                <w:rFonts w:hint="eastAsia"/>
              </w:rPr>
              <w:t>高处坠落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工具（扳手、手锤等）未系安全绳或未放专用工具背包</w:t>
            </w:r>
          </w:p>
        </w:tc>
        <w:tc>
          <w:tcPr>
            <w:tcW w:w="641" w:type="pct"/>
            <w:tcBorders>
              <w:tl2br w:val="nil"/>
              <w:tr2bl w:val="nil"/>
            </w:tcBorders>
            <w:vAlign w:val="center"/>
          </w:tcPr>
          <w:p>
            <w:pPr>
              <w:pStyle w:val="17"/>
            </w:pPr>
            <w:r>
              <w:rPr>
                <w:rFonts w:hint="eastAsia"/>
              </w:rPr>
              <w:t>物体打击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攀登作业所用设施和用具的结构构造不牢固可靠</w:t>
            </w:r>
          </w:p>
        </w:tc>
        <w:tc>
          <w:tcPr>
            <w:tcW w:w="641" w:type="pct"/>
            <w:tcBorders>
              <w:tl2br w:val="nil"/>
              <w:tr2bl w:val="nil"/>
            </w:tcBorders>
            <w:vAlign w:val="center"/>
          </w:tcPr>
          <w:p>
            <w:pPr>
              <w:pStyle w:val="17"/>
            </w:pPr>
            <w:r>
              <w:rPr>
                <w:rFonts w:hint="eastAsia"/>
              </w:rPr>
              <w:t>高处坠落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tcBorders>
              <w:tl2br w:val="nil"/>
              <w:tr2bl w:val="nil"/>
            </w:tcBorders>
            <w:vAlign w:val="center"/>
          </w:tcPr>
          <w:p>
            <w:pPr>
              <w:pStyle w:val="17"/>
            </w:pPr>
            <w:r>
              <w:rPr>
                <w:rFonts w:hint="eastAsia"/>
              </w:rPr>
              <w:t>保护接零</w:t>
            </w:r>
          </w:p>
        </w:tc>
        <w:tc>
          <w:tcPr>
            <w:tcW w:w="3596" w:type="pct"/>
            <w:tcBorders>
              <w:tl2br w:val="nil"/>
              <w:tr2bl w:val="nil"/>
            </w:tcBorders>
            <w:vAlign w:val="center"/>
          </w:tcPr>
          <w:p>
            <w:pPr>
              <w:pStyle w:val="17"/>
            </w:pPr>
            <w:r>
              <w:rPr>
                <w:rFonts w:hint="eastAsia"/>
              </w:rPr>
              <w:t>防雷接地装置损坏或不合规，或者未进行接地电阻值的检测</w:t>
            </w:r>
          </w:p>
        </w:tc>
        <w:tc>
          <w:tcPr>
            <w:tcW w:w="641" w:type="pct"/>
            <w:tcBorders>
              <w:tl2br w:val="nil"/>
              <w:tr2bl w:val="nil"/>
            </w:tcBorders>
            <w:vAlign w:val="center"/>
          </w:tcPr>
          <w:p>
            <w:pPr>
              <w:pStyle w:val="17"/>
            </w:pPr>
            <w:r>
              <w:rPr>
                <w:rFonts w:hint="eastAsia"/>
              </w:rPr>
              <w:t>触电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tcBorders>
              <w:tl2br w:val="nil"/>
              <w:tr2bl w:val="nil"/>
            </w:tcBorders>
            <w:vAlign w:val="center"/>
          </w:tcPr>
          <w:p>
            <w:pPr>
              <w:pStyle w:val="17"/>
            </w:pPr>
            <w:r>
              <w:rPr>
                <w:rFonts w:hint="eastAsia"/>
              </w:rPr>
              <w:t>其他</w:t>
            </w:r>
          </w:p>
        </w:tc>
        <w:tc>
          <w:tcPr>
            <w:tcW w:w="3596" w:type="pct"/>
            <w:tcBorders>
              <w:tl2br w:val="nil"/>
              <w:tr2bl w:val="nil"/>
            </w:tcBorders>
            <w:vAlign w:val="center"/>
          </w:tcPr>
          <w:p>
            <w:pPr>
              <w:pStyle w:val="17"/>
            </w:pPr>
            <w:r>
              <w:rPr>
                <w:rFonts w:hint="eastAsia"/>
              </w:rPr>
              <w:t>塔身的电缆线未固定牢固，塔式起重机开关箱未单独设置或离塔身大于3米</w:t>
            </w:r>
          </w:p>
        </w:tc>
        <w:tc>
          <w:tcPr>
            <w:tcW w:w="641" w:type="pct"/>
            <w:tcBorders>
              <w:tl2br w:val="nil"/>
              <w:tr2bl w:val="nil"/>
            </w:tcBorders>
            <w:vAlign w:val="center"/>
          </w:tcPr>
          <w:p>
            <w:pPr>
              <w:pStyle w:val="17"/>
            </w:pPr>
            <w:r>
              <w:rPr>
                <w:rFonts w:hint="eastAsia"/>
              </w:rPr>
              <w:t>触电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tcBorders>
              <w:tl2br w:val="nil"/>
              <w:tr2bl w:val="nil"/>
            </w:tcBorders>
            <w:vAlign w:val="center"/>
          </w:tcPr>
          <w:p>
            <w:pPr>
              <w:pStyle w:val="17"/>
            </w:pPr>
            <w:r>
              <w:rPr>
                <w:rFonts w:hint="eastAsia"/>
              </w:rPr>
              <w:t>绝缘保护</w:t>
            </w:r>
          </w:p>
        </w:tc>
        <w:tc>
          <w:tcPr>
            <w:tcW w:w="3596" w:type="pct"/>
            <w:tcBorders>
              <w:tl2br w:val="nil"/>
              <w:tr2bl w:val="nil"/>
            </w:tcBorders>
            <w:vAlign w:val="center"/>
          </w:tcPr>
          <w:p>
            <w:pPr>
              <w:pStyle w:val="17"/>
            </w:pPr>
            <w:r>
              <w:rPr>
                <w:rFonts w:hint="eastAsia"/>
              </w:rPr>
              <w:t>外露线路未进行绝缘保护</w:t>
            </w:r>
          </w:p>
        </w:tc>
        <w:tc>
          <w:tcPr>
            <w:tcW w:w="641" w:type="pct"/>
            <w:tcBorders>
              <w:tl2br w:val="nil"/>
              <w:tr2bl w:val="nil"/>
            </w:tcBorders>
            <w:vAlign w:val="center"/>
          </w:tcPr>
          <w:p>
            <w:pPr>
              <w:pStyle w:val="17"/>
            </w:pPr>
            <w:r>
              <w:rPr>
                <w:rFonts w:hint="eastAsia"/>
              </w:rPr>
              <w:t>触电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restart"/>
            <w:tcBorders>
              <w:tl2br w:val="nil"/>
              <w:tr2bl w:val="nil"/>
            </w:tcBorders>
            <w:vAlign w:val="center"/>
          </w:tcPr>
          <w:p>
            <w:pPr>
              <w:pStyle w:val="17"/>
            </w:pPr>
            <w:r>
              <w:rPr>
                <w:rFonts w:hint="eastAsia"/>
              </w:rPr>
              <w:t>焊接切割</w:t>
            </w:r>
          </w:p>
        </w:tc>
        <w:tc>
          <w:tcPr>
            <w:tcW w:w="3596" w:type="pct"/>
            <w:tcBorders>
              <w:tl2br w:val="nil"/>
              <w:tr2bl w:val="nil"/>
            </w:tcBorders>
            <w:vAlign w:val="center"/>
          </w:tcPr>
          <w:p>
            <w:pPr>
              <w:pStyle w:val="17"/>
            </w:pPr>
            <w:r>
              <w:rPr>
                <w:rFonts w:hint="eastAsia"/>
              </w:rPr>
              <w:t>焊接和切割未采用不可燃或耐火屏板(或屏罩)加以隔离保护</w:t>
            </w:r>
          </w:p>
        </w:tc>
        <w:tc>
          <w:tcPr>
            <w:tcW w:w="641" w:type="pct"/>
            <w:tcBorders>
              <w:tl2br w:val="nil"/>
              <w:tr2bl w:val="nil"/>
            </w:tcBorders>
            <w:vAlign w:val="center"/>
          </w:tcPr>
          <w:p>
            <w:pPr>
              <w:pStyle w:val="17"/>
            </w:pPr>
            <w:r>
              <w:rPr>
                <w:rFonts w:hint="eastAsia"/>
              </w:rPr>
              <w:t>火灾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电焊机未配置防触电保护器，外壳未接零或接地保护</w:t>
            </w:r>
          </w:p>
        </w:tc>
        <w:tc>
          <w:tcPr>
            <w:tcW w:w="641" w:type="pct"/>
            <w:tcBorders>
              <w:tl2br w:val="nil"/>
              <w:tr2bl w:val="nil"/>
            </w:tcBorders>
            <w:vAlign w:val="center"/>
          </w:tcPr>
          <w:p>
            <w:pPr>
              <w:pStyle w:val="17"/>
            </w:pPr>
            <w:r>
              <w:rPr>
                <w:rFonts w:hint="eastAsia"/>
              </w:rPr>
              <w:t>触电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焊接作业场地周围未清除易燃易爆物品或未进行覆盖、隔离</w:t>
            </w:r>
          </w:p>
        </w:tc>
        <w:tc>
          <w:tcPr>
            <w:tcW w:w="641" w:type="pct"/>
            <w:tcBorders>
              <w:tl2br w:val="nil"/>
              <w:tr2bl w:val="nil"/>
            </w:tcBorders>
            <w:vAlign w:val="center"/>
          </w:tcPr>
          <w:p>
            <w:pPr>
              <w:pStyle w:val="17"/>
            </w:pPr>
            <w:r>
              <w:rPr>
                <w:rFonts w:hint="eastAsia"/>
              </w:rPr>
              <w:t>触电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电焊机未按照“一机一闸”的原则设置开关箱</w:t>
            </w:r>
          </w:p>
        </w:tc>
        <w:tc>
          <w:tcPr>
            <w:tcW w:w="641" w:type="pct"/>
            <w:tcBorders>
              <w:tl2br w:val="nil"/>
              <w:tr2bl w:val="nil"/>
            </w:tcBorders>
            <w:vAlign w:val="center"/>
          </w:tcPr>
          <w:p>
            <w:pPr>
              <w:pStyle w:val="17"/>
            </w:pPr>
            <w:r>
              <w:rPr>
                <w:rFonts w:hint="eastAsia"/>
              </w:rPr>
              <w:t>触电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氧气瓶、气瓶阀、接头、减压阀、软管及设备没有与油、脂及其它可燃物或爆炸物相隔离</w:t>
            </w:r>
          </w:p>
        </w:tc>
        <w:tc>
          <w:tcPr>
            <w:tcW w:w="641" w:type="pct"/>
            <w:tcBorders>
              <w:tl2br w:val="nil"/>
              <w:tr2bl w:val="nil"/>
            </w:tcBorders>
            <w:vAlign w:val="center"/>
          </w:tcPr>
          <w:p>
            <w:pPr>
              <w:pStyle w:val="17"/>
            </w:pPr>
            <w:r>
              <w:rPr>
                <w:rFonts w:hint="eastAsia"/>
              </w:rPr>
              <w:t>火灾等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气瓶未直立安放牢固（乙炔瓶禁止卧放或倾倒）。</w:t>
            </w:r>
          </w:p>
        </w:tc>
        <w:tc>
          <w:tcPr>
            <w:tcW w:w="641" w:type="pct"/>
            <w:tcBorders>
              <w:tl2br w:val="nil"/>
              <w:tr2bl w:val="nil"/>
            </w:tcBorders>
            <w:vAlign w:val="center"/>
          </w:tcPr>
          <w:p>
            <w:pPr>
              <w:pStyle w:val="17"/>
            </w:pPr>
            <w:r>
              <w:rPr>
                <w:rFonts w:hint="eastAsia"/>
              </w:rPr>
              <w:t>容器爆炸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氧气瓶、乙炔瓶未分开存放</w:t>
            </w:r>
          </w:p>
        </w:tc>
        <w:tc>
          <w:tcPr>
            <w:tcW w:w="641" w:type="pct"/>
            <w:tcBorders>
              <w:tl2br w:val="nil"/>
              <w:tr2bl w:val="nil"/>
            </w:tcBorders>
            <w:vAlign w:val="center"/>
          </w:tcPr>
          <w:p>
            <w:pPr>
              <w:pStyle w:val="17"/>
            </w:pPr>
            <w:r>
              <w:rPr>
                <w:rFonts w:hint="eastAsia"/>
              </w:rPr>
              <w:t>火灾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氧气瓶、乙炔瓶存放处无禁火标志，未配备消防器材。</w:t>
            </w:r>
          </w:p>
        </w:tc>
        <w:tc>
          <w:tcPr>
            <w:tcW w:w="641" w:type="pct"/>
            <w:tcBorders>
              <w:tl2br w:val="nil"/>
              <w:tr2bl w:val="nil"/>
            </w:tcBorders>
            <w:vAlign w:val="center"/>
          </w:tcPr>
          <w:p>
            <w:pPr>
              <w:pStyle w:val="17"/>
            </w:pPr>
            <w:r>
              <w:rPr>
                <w:rFonts w:hint="eastAsia"/>
              </w:rPr>
              <w:t>火灾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tcBorders>
              <w:tl2br w:val="nil"/>
              <w:tr2bl w:val="nil"/>
            </w:tcBorders>
            <w:vAlign w:val="center"/>
          </w:tcPr>
          <w:p>
            <w:pPr>
              <w:pStyle w:val="17"/>
            </w:pPr>
            <w:r>
              <w:rPr>
                <w:rFonts w:hint="eastAsia"/>
              </w:rPr>
              <w:t>电焊</w:t>
            </w:r>
          </w:p>
        </w:tc>
        <w:tc>
          <w:tcPr>
            <w:tcW w:w="3596" w:type="pct"/>
            <w:tcBorders>
              <w:tl2br w:val="nil"/>
              <w:tr2bl w:val="nil"/>
            </w:tcBorders>
            <w:vAlign w:val="center"/>
          </w:tcPr>
          <w:p>
            <w:pPr>
              <w:pStyle w:val="17"/>
            </w:pPr>
            <w:r>
              <w:rPr>
                <w:rFonts w:hint="eastAsia"/>
              </w:rPr>
              <w:t>未佩戴面罩或护目镜</w:t>
            </w:r>
          </w:p>
        </w:tc>
        <w:tc>
          <w:tcPr>
            <w:tcW w:w="641" w:type="pct"/>
            <w:tcBorders>
              <w:tl2br w:val="nil"/>
              <w:tr2bl w:val="nil"/>
            </w:tcBorders>
            <w:vAlign w:val="center"/>
          </w:tcPr>
          <w:p>
            <w:pPr>
              <w:pStyle w:val="17"/>
            </w:pPr>
            <w:r>
              <w:rPr>
                <w:rFonts w:hint="eastAsia"/>
              </w:rPr>
              <w:t>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tcBorders>
              <w:tl2br w:val="nil"/>
              <w:tr2bl w:val="nil"/>
            </w:tcBorders>
            <w:vAlign w:val="center"/>
          </w:tcPr>
          <w:p>
            <w:pPr>
              <w:pStyle w:val="17"/>
            </w:pPr>
            <w:r>
              <w:rPr>
                <w:rFonts w:hint="eastAsia"/>
              </w:rPr>
              <w:t>劳保</w:t>
            </w:r>
          </w:p>
        </w:tc>
        <w:tc>
          <w:tcPr>
            <w:tcW w:w="3596" w:type="pct"/>
            <w:tcBorders>
              <w:tl2br w:val="nil"/>
              <w:tr2bl w:val="nil"/>
            </w:tcBorders>
            <w:vAlign w:val="center"/>
          </w:tcPr>
          <w:p>
            <w:pPr>
              <w:pStyle w:val="17"/>
            </w:pPr>
            <w:r>
              <w:rPr>
                <w:rFonts w:hint="eastAsia"/>
              </w:rPr>
              <w:t>攀登作业未穿防滑鞋</w:t>
            </w:r>
          </w:p>
        </w:tc>
        <w:tc>
          <w:tcPr>
            <w:tcW w:w="641" w:type="pct"/>
            <w:tcBorders>
              <w:tl2br w:val="nil"/>
              <w:tr2bl w:val="nil"/>
            </w:tcBorders>
            <w:vAlign w:val="center"/>
          </w:tcPr>
          <w:p>
            <w:pPr>
              <w:pStyle w:val="17"/>
            </w:pPr>
            <w:r>
              <w:rPr>
                <w:rFonts w:hint="eastAsia"/>
              </w:rPr>
              <w:t>其他</w:t>
            </w:r>
          </w:p>
        </w:tc>
      </w:tr>
    </w:tbl>
    <w:p>
      <w:pPr>
        <w:pStyle w:val="4"/>
      </w:pPr>
      <w:r>
        <w:rPr>
          <w:rFonts w:hint="eastAsia"/>
        </w:rPr>
        <w:t>风险分析结论</w:t>
      </w:r>
    </w:p>
    <w:p>
      <w:pPr>
        <w:ind w:firstLine="480"/>
      </w:pPr>
      <w:r>
        <w:rPr>
          <w:rFonts w:hint="eastAsia"/>
        </w:rPr>
        <w:t>根据风险因素分析、识别表，显著危险的有</w:t>
      </w:r>
      <w:r>
        <w:t>89</w:t>
      </w:r>
      <w:r>
        <w:rPr>
          <w:rFonts w:hint="eastAsia"/>
        </w:rPr>
        <w:t>项：包括高处坠落、起重伤害、物体打击、触电、机械伤害、火灾、坍塌和容器爆炸，需要制定针对性安全措施，具体措施详见6</w:t>
      </w:r>
      <w:r>
        <w:t>.3</w:t>
      </w:r>
      <w:r>
        <w:rPr>
          <w:rFonts w:hint="eastAsia"/>
        </w:rPr>
        <w:t>节。</w:t>
      </w:r>
    </w:p>
    <w:bookmarkEnd w:id="138"/>
    <w:p>
      <w:pPr>
        <w:pStyle w:val="3"/>
      </w:pPr>
      <w:bookmarkStart w:id="140" w:name="_Toc14644"/>
      <w:bookmarkStart w:id="141" w:name="_Toc1775"/>
      <w:bookmarkStart w:id="142" w:name="_Toc903"/>
      <w:r>
        <w:rPr>
          <w:rFonts w:hint="eastAsia"/>
        </w:rPr>
        <w:t>组织保障措施</w:t>
      </w:r>
      <w:bookmarkEnd w:id="140"/>
    </w:p>
    <w:p>
      <w:pPr>
        <w:pStyle w:val="4"/>
      </w:pPr>
      <w:r>
        <w:rPr>
          <w:rFonts w:hint="eastAsia"/>
        </w:rPr>
        <w:t>安全管理组织结构</w:t>
      </w:r>
    </w:p>
    <w:p>
      <w:pPr>
        <w:ind w:firstLine="480"/>
      </w:pPr>
      <w:r>
        <w:rPr>
          <w:rFonts w:hint="eastAsia"/>
        </w:rPr>
        <w:t>根据本施工工程成立安全管理组织机构，其人员组成、工作职责详见</w:t>
      </w:r>
      <w:r>
        <w:fldChar w:fldCharType="begin"/>
      </w:r>
      <w:r>
        <w:instrText xml:space="preserve"> </w:instrText>
      </w:r>
      <w:r>
        <w:rPr>
          <w:rFonts w:hint="eastAsia"/>
        </w:rPr>
        <w:instrText xml:space="preserve">REF _Ref124509381 \h</w:instrText>
      </w:r>
      <w:r>
        <w:instrText xml:space="preserve"> </w:instrText>
      </w:r>
      <w:r>
        <w:fldChar w:fldCharType="separate"/>
      </w:r>
      <w:r>
        <w:rPr>
          <w:rFonts w:hint="eastAsia"/>
        </w:rPr>
        <w:t>表</w:t>
      </w:r>
      <w:r>
        <w:t>6.2</w:t>
      </w:r>
      <w:r>
        <w:rPr>
          <w:rFonts w:hint="eastAsia"/>
        </w:rPr>
        <w:t>-</w:t>
      </w:r>
      <w:r>
        <w:t>1</w:t>
      </w:r>
      <w:r>
        <w:fldChar w:fldCharType="end"/>
      </w:r>
      <w:r>
        <w:rPr>
          <w:rFonts w:hint="eastAsia"/>
        </w:rPr>
        <w:t>所示。</w:t>
      </w:r>
    </w:p>
    <w:p>
      <w:pPr>
        <w:pStyle w:val="16"/>
      </w:pPr>
      <w:bookmarkStart w:id="143" w:name="_Ref124509381"/>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6.2</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bookmarkEnd w:id="143"/>
      <w:r>
        <w:rPr>
          <w:rFonts w:hint="eastAsia"/>
        </w:rPr>
        <w:t xml:space="preserve"> 质量管理组织机构</w:t>
      </w:r>
    </w:p>
    <w:tbl>
      <w:tblPr>
        <w:tblStyle w:val="11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312"/>
        <w:gridCol w:w="876"/>
        <w:gridCol w:w="4818"/>
        <w:gridCol w:w="8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blHeader/>
        </w:trPr>
        <w:tc>
          <w:tcPr>
            <w:tcW w:w="419" w:type="pct"/>
            <w:shd w:val="clear" w:color="auto" w:fill="auto"/>
            <w:vAlign w:val="center"/>
          </w:tcPr>
          <w:p>
            <w:pPr>
              <w:pStyle w:val="17"/>
              <w:rPr>
                <w:b/>
              </w:rPr>
            </w:pPr>
            <w:r>
              <w:rPr>
                <w:rFonts w:hint="eastAsia"/>
                <w:b/>
              </w:rPr>
              <w:t>序号</w:t>
            </w:r>
          </w:p>
        </w:tc>
        <w:tc>
          <w:tcPr>
            <w:tcW w:w="770" w:type="pct"/>
            <w:shd w:val="clear" w:color="auto" w:fill="auto"/>
            <w:vAlign w:val="center"/>
          </w:tcPr>
          <w:p>
            <w:pPr>
              <w:pStyle w:val="17"/>
              <w:rPr>
                <w:b/>
              </w:rPr>
            </w:pPr>
            <w:r>
              <w:rPr>
                <w:rFonts w:hint="eastAsia"/>
                <w:b/>
              </w:rPr>
              <w:t>岗位</w:t>
            </w:r>
          </w:p>
        </w:tc>
        <w:tc>
          <w:tcPr>
            <w:tcW w:w="514" w:type="pct"/>
            <w:shd w:val="clear" w:color="auto" w:fill="auto"/>
            <w:vAlign w:val="center"/>
          </w:tcPr>
          <w:p>
            <w:pPr>
              <w:pStyle w:val="17"/>
              <w:rPr>
                <w:b/>
              </w:rPr>
            </w:pPr>
            <w:r>
              <w:rPr>
                <w:rFonts w:hint="eastAsia"/>
                <w:b/>
              </w:rPr>
              <w:t>姓名</w:t>
            </w:r>
          </w:p>
        </w:tc>
        <w:tc>
          <w:tcPr>
            <w:tcW w:w="2827" w:type="pct"/>
            <w:shd w:val="clear" w:color="auto" w:fill="auto"/>
            <w:vAlign w:val="center"/>
          </w:tcPr>
          <w:p>
            <w:pPr>
              <w:pStyle w:val="17"/>
              <w:rPr>
                <w:b/>
              </w:rPr>
            </w:pPr>
            <w:r>
              <w:rPr>
                <w:rFonts w:hint="eastAsia"/>
                <w:b/>
              </w:rPr>
              <w:t>工作职责</w:t>
            </w:r>
          </w:p>
        </w:tc>
        <w:tc>
          <w:tcPr>
            <w:tcW w:w="470" w:type="pct"/>
            <w:shd w:val="clear" w:color="auto" w:fill="auto"/>
            <w:vAlign w:val="center"/>
          </w:tcPr>
          <w:p>
            <w:pPr>
              <w:pStyle w:val="17"/>
              <w:rPr>
                <w:b/>
              </w:rPr>
            </w:pPr>
            <w:r>
              <w:rPr>
                <w:rFonts w:hint="eastAsia"/>
                <w:b/>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pPr>
              <w:pStyle w:val="17"/>
              <w:numPr>
                <w:ilvl w:val="0"/>
                <w:numId w:val="58"/>
              </w:numPr>
            </w:pPr>
          </w:p>
        </w:tc>
        <w:tc>
          <w:tcPr>
            <w:tcW w:w="770" w:type="pct"/>
            <w:shd w:val="clear" w:color="auto" w:fill="auto"/>
            <w:vAlign w:val="center"/>
          </w:tcPr>
          <w:p>
            <w:pPr>
              <w:pStyle w:val="17"/>
            </w:pPr>
            <w:r>
              <w:rPr>
                <w:rFonts w:hint="eastAsia"/>
              </w:rPr>
              <w:t>现场负责人</w:t>
            </w:r>
          </w:p>
        </w:tc>
        <w:tc>
          <w:tcPr>
            <w:tcW w:w="514" w:type="pct"/>
            <w:shd w:val="clear" w:color="auto" w:fill="auto"/>
            <w:vAlign w:val="center"/>
          </w:tcPr>
          <w:p>
            <w:pPr>
              <w:pStyle w:val="17"/>
            </w:pPr>
            <w:r>
              <w:rPr>
                <w:rFonts w:hint="eastAsia"/>
              </w:rPr>
              <w:t>孔令德</w:t>
            </w:r>
          </w:p>
        </w:tc>
        <w:tc>
          <w:tcPr>
            <w:tcW w:w="2827" w:type="pct"/>
            <w:shd w:val="clear" w:color="auto" w:fill="auto"/>
            <w:vAlign w:val="center"/>
          </w:tcPr>
          <w:p>
            <w:pPr>
              <w:pStyle w:val="17"/>
              <w:jc w:val="left"/>
            </w:pPr>
            <w:r>
              <w:rPr>
                <w:rFonts w:hint="eastAsia"/>
              </w:rPr>
              <w:t>负责设备安装组织、实施及安全</w:t>
            </w:r>
          </w:p>
        </w:tc>
        <w:tc>
          <w:tcPr>
            <w:tcW w:w="470" w:type="pct"/>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pPr>
              <w:pStyle w:val="17"/>
              <w:numPr>
                <w:ilvl w:val="0"/>
                <w:numId w:val="58"/>
              </w:numPr>
            </w:pPr>
          </w:p>
        </w:tc>
        <w:tc>
          <w:tcPr>
            <w:tcW w:w="770" w:type="pct"/>
            <w:shd w:val="clear" w:color="auto" w:fill="auto"/>
            <w:vAlign w:val="center"/>
          </w:tcPr>
          <w:p>
            <w:pPr>
              <w:pStyle w:val="17"/>
            </w:pPr>
            <w:r>
              <w:rPr>
                <w:rFonts w:hint="eastAsia"/>
              </w:rPr>
              <w:t>设备安拆工</w:t>
            </w:r>
          </w:p>
        </w:tc>
        <w:tc>
          <w:tcPr>
            <w:tcW w:w="514" w:type="pct"/>
            <w:shd w:val="clear" w:color="auto" w:fill="auto"/>
            <w:vAlign w:val="center"/>
          </w:tcPr>
          <w:p>
            <w:pPr>
              <w:pStyle w:val="17"/>
            </w:pPr>
            <w:r>
              <w:rPr>
                <w:rFonts w:hint="eastAsia"/>
              </w:rPr>
              <w:t>向杰</w:t>
            </w:r>
          </w:p>
        </w:tc>
        <w:tc>
          <w:tcPr>
            <w:tcW w:w="2827" w:type="pct"/>
            <w:shd w:val="clear" w:color="auto" w:fill="auto"/>
            <w:vAlign w:val="center"/>
          </w:tcPr>
          <w:p>
            <w:pPr>
              <w:pStyle w:val="17"/>
              <w:jc w:val="left"/>
            </w:pPr>
            <w:r>
              <w:rPr>
                <w:rFonts w:hint="eastAsia"/>
              </w:rPr>
              <w:t>负责设备安装技术工作以及安全工作</w:t>
            </w:r>
          </w:p>
        </w:tc>
        <w:tc>
          <w:tcPr>
            <w:tcW w:w="470" w:type="pct"/>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pPr>
              <w:pStyle w:val="17"/>
              <w:numPr>
                <w:ilvl w:val="0"/>
                <w:numId w:val="58"/>
              </w:numPr>
            </w:pPr>
          </w:p>
        </w:tc>
        <w:tc>
          <w:tcPr>
            <w:tcW w:w="770" w:type="pct"/>
            <w:shd w:val="clear" w:color="auto" w:fill="auto"/>
            <w:vAlign w:val="center"/>
          </w:tcPr>
          <w:p>
            <w:pPr>
              <w:pStyle w:val="17"/>
            </w:pPr>
            <w:r>
              <w:rPr>
                <w:rFonts w:hint="eastAsia"/>
              </w:rPr>
              <w:t>设备安拆工</w:t>
            </w:r>
          </w:p>
        </w:tc>
        <w:tc>
          <w:tcPr>
            <w:tcW w:w="514" w:type="pct"/>
            <w:shd w:val="clear" w:color="auto" w:fill="auto"/>
            <w:vAlign w:val="center"/>
          </w:tcPr>
          <w:p>
            <w:pPr>
              <w:pStyle w:val="17"/>
            </w:pPr>
            <w:r>
              <w:rPr>
                <w:rFonts w:hint="eastAsia"/>
              </w:rPr>
              <w:t>徐小平</w:t>
            </w:r>
          </w:p>
        </w:tc>
        <w:tc>
          <w:tcPr>
            <w:tcW w:w="2827" w:type="pct"/>
            <w:shd w:val="clear" w:color="auto" w:fill="auto"/>
            <w:vAlign w:val="center"/>
          </w:tcPr>
          <w:p>
            <w:pPr>
              <w:pStyle w:val="17"/>
              <w:jc w:val="left"/>
            </w:pPr>
            <w:r>
              <w:rPr>
                <w:rFonts w:hint="eastAsia"/>
              </w:rPr>
              <w:t>负责现场的安全组织、检查、监督、纠正</w:t>
            </w:r>
          </w:p>
        </w:tc>
        <w:tc>
          <w:tcPr>
            <w:tcW w:w="470" w:type="pct"/>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pPr>
              <w:pStyle w:val="17"/>
              <w:numPr>
                <w:ilvl w:val="0"/>
                <w:numId w:val="58"/>
              </w:numPr>
            </w:pPr>
          </w:p>
        </w:tc>
        <w:tc>
          <w:tcPr>
            <w:tcW w:w="770" w:type="pct"/>
            <w:shd w:val="clear" w:color="auto" w:fill="auto"/>
            <w:vAlign w:val="center"/>
          </w:tcPr>
          <w:p>
            <w:pPr>
              <w:pStyle w:val="17"/>
            </w:pPr>
            <w:r>
              <w:rPr>
                <w:rFonts w:hint="eastAsia"/>
              </w:rPr>
              <w:t>设备安拆工</w:t>
            </w:r>
          </w:p>
        </w:tc>
        <w:tc>
          <w:tcPr>
            <w:tcW w:w="514" w:type="pct"/>
            <w:shd w:val="clear" w:color="auto" w:fill="auto"/>
            <w:vAlign w:val="center"/>
          </w:tcPr>
          <w:p>
            <w:pPr>
              <w:pStyle w:val="17"/>
            </w:pPr>
            <w:r>
              <w:rPr>
                <w:rFonts w:hint="eastAsia"/>
              </w:rPr>
              <w:t>熊登</w:t>
            </w:r>
          </w:p>
        </w:tc>
        <w:tc>
          <w:tcPr>
            <w:tcW w:w="2827" w:type="pct"/>
            <w:shd w:val="clear" w:color="auto" w:fill="auto"/>
            <w:vAlign w:val="center"/>
          </w:tcPr>
          <w:p>
            <w:pPr>
              <w:pStyle w:val="17"/>
              <w:jc w:val="left"/>
            </w:pPr>
            <w:r>
              <w:rPr>
                <w:rFonts w:hint="eastAsia"/>
              </w:rPr>
              <w:t>负责设备安装的人员设备组织、协调</w:t>
            </w:r>
          </w:p>
          <w:p>
            <w:pPr>
              <w:pStyle w:val="17"/>
              <w:jc w:val="left"/>
            </w:pPr>
            <w:r>
              <w:rPr>
                <w:rFonts w:hint="eastAsia"/>
              </w:rPr>
              <w:t>检查吊具、索具安全性，保证吊点正确，物件平稳，指挥信号清晰、明确。</w:t>
            </w:r>
          </w:p>
        </w:tc>
        <w:tc>
          <w:tcPr>
            <w:tcW w:w="470" w:type="pct"/>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pPr>
              <w:pStyle w:val="17"/>
              <w:numPr>
                <w:ilvl w:val="0"/>
                <w:numId w:val="58"/>
              </w:numPr>
            </w:pPr>
          </w:p>
        </w:tc>
        <w:tc>
          <w:tcPr>
            <w:tcW w:w="770" w:type="pct"/>
            <w:shd w:val="clear" w:color="auto" w:fill="auto"/>
            <w:vAlign w:val="center"/>
          </w:tcPr>
          <w:p>
            <w:pPr>
              <w:pStyle w:val="17"/>
            </w:pPr>
            <w:r>
              <w:rPr>
                <w:rFonts w:hint="eastAsia"/>
              </w:rPr>
              <w:t>电工</w:t>
            </w:r>
          </w:p>
        </w:tc>
        <w:tc>
          <w:tcPr>
            <w:tcW w:w="514" w:type="pct"/>
            <w:shd w:val="clear" w:color="auto" w:fill="auto"/>
            <w:vAlign w:val="center"/>
          </w:tcPr>
          <w:p>
            <w:pPr>
              <w:pStyle w:val="17"/>
            </w:pPr>
            <w:r>
              <w:rPr>
                <w:rFonts w:hint="eastAsia"/>
              </w:rPr>
              <w:t>白前涛</w:t>
            </w:r>
          </w:p>
        </w:tc>
        <w:tc>
          <w:tcPr>
            <w:tcW w:w="2827" w:type="pct"/>
            <w:shd w:val="clear" w:color="auto" w:fill="auto"/>
            <w:vAlign w:val="center"/>
          </w:tcPr>
          <w:p>
            <w:pPr>
              <w:pStyle w:val="17"/>
              <w:jc w:val="left"/>
            </w:pPr>
            <w:r>
              <w:rPr>
                <w:rFonts w:hint="eastAsia"/>
              </w:rPr>
              <w:t>负责现场设备的电气安装、恢复、调试</w:t>
            </w:r>
          </w:p>
        </w:tc>
        <w:tc>
          <w:tcPr>
            <w:tcW w:w="470" w:type="pct"/>
            <w:shd w:val="clear" w:color="auto" w:fill="auto"/>
            <w:vAlign w:val="center"/>
          </w:tcPr>
          <w:p>
            <w:pPr>
              <w:pStyle w:val="17"/>
            </w:pPr>
          </w:p>
        </w:tc>
      </w:tr>
    </w:tbl>
    <w:p>
      <w:pPr>
        <w:pStyle w:val="4"/>
      </w:pPr>
      <w:r>
        <w:rPr>
          <w:rFonts w:hint="eastAsia"/>
          <w:shd w:val="clear" w:color="auto" w:fill="FFFFFF" w:themeFill="background1"/>
        </w:rPr>
        <w:t>安全管理保证措施</w:t>
      </w:r>
    </w:p>
    <w:p>
      <w:pPr>
        <w:pStyle w:val="5"/>
      </w:pPr>
      <w:r>
        <w:rPr>
          <w:rFonts w:hint="eastAsia"/>
        </w:rPr>
        <w:t>思想保证</w:t>
      </w:r>
    </w:p>
    <w:p>
      <w:pPr>
        <w:pStyle w:val="78"/>
        <w:numPr>
          <w:ilvl w:val="1"/>
          <w:numId w:val="59"/>
        </w:numPr>
        <w:ind w:firstLineChars="0"/>
      </w:pPr>
      <w:r>
        <w:rPr>
          <w:rFonts w:hint="eastAsia"/>
        </w:rPr>
        <w:t>认真贯彻执行“安全第一、预防为主、综合治理”的方针，增强全员安全意识，使全员都能明确自己的安全目标和职责，达到全员参加，全员实施的目的，体现“安全生产、人人有责”的原则；</w:t>
      </w:r>
    </w:p>
    <w:p>
      <w:pPr>
        <w:pStyle w:val="78"/>
        <w:numPr>
          <w:ilvl w:val="1"/>
          <w:numId w:val="59"/>
        </w:numPr>
        <w:ind w:firstLineChars="0"/>
      </w:pPr>
      <w:r>
        <w:rPr>
          <w:rFonts w:hint="eastAsia"/>
        </w:rPr>
        <w:t>安拆施工开工前，对所有上岗人员进行安全教育培训，使全员都能遵守生产必须安全，安全才能生产的原则，严格执行安全操作规程，持证上岗；</w:t>
      </w:r>
    </w:p>
    <w:p>
      <w:pPr>
        <w:pStyle w:val="78"/>
        <w:numPr>
          <w:ilvl w:val="1"/>
          <w:numId w:val="59"/>
        </w:numPr>
        <w:ind w:firstLineChars="0"/>
      </w:pPr>
      <w:r>
        <w:rPr>
          <w:rFonts w:hint="eastAsia"/>
        </w:rPr>
        <w:t>定期组织安全宣传活动，对全体参建人员进行安全警示教育；</w:t>
      </w:r>
    </w:p>
    <w:p>
      <w:pPr>
        <w:pStyle w:val="78"/>
        <w:numPr>
          <w:ilvl w:val="1"/>
          <w:numId w:val="59"/>
        </w:numPr>
        <w:ind w:firstLineChars="0"/>
      </w:pPr>
      <w:r>
        <w:rPr>
          <w:rFonts w:hint="eastAsia"/>
        </w:rPr>
        <w:t>随时接受业主及监理单位对安全生产的督促、检查、考评，对提出的问题，立即落实方案组织实施，确保安全生产。</w:t>
      </w:r>
    </w:p>
    <w:p>
      <w:pPr>
        <w:pStyle w:val="5"/>
      </w:pPr>
      <w:r>
        <w:rPr>
          <w:rFonts w:hint="eastAsia"/>
        </w:rPr>
        <w:t>组织保证</w:t>
      </w:r>
    </w:p>
    <w:p>
      <w:pPr>
        <w:pStyle w:val="78"/>
        <w:numPr>
          <w:ilvl w:val="1"/>
          <w:numId w:val="60"/>
        </w:numPr>
        <w:ind w:firstLineChars="0"/>
      </w:pPr>
      <w:r>
        <w:rPr>
          <w:rFonts w:hint="eastAsia"/>
        </w:rPr>
        <w:t>将项目的安全管理全面纳入公司安全管理体系，在公司安全主管部门的管理下展开工作，执行公司的安全管理制度，并在项目管理过程中寻求公司主管部门的支持；</w:t>
      </w:r>
    </w:p>
    <w:p>
      <w:pPr>
        <w:pStyle w:val="78"/>
        <w:numPr>
          <w:ilvl w:val="1"/>
          <w:numId w:val="60"/>
        </w:numPr>
        <w:ind w:firstLineChars="0"/>
      </w:pPr>
      <w:r>
        <w:rPr>
          <w:rFonts w:hint="eastAsia"/>
        </w:rPr>
        <w:t>成立项目安全生产工作小组，设立项目专职安全总监，全面执行项目的安全管理；</w:t>
      </w:r>
    </w:p>
    <w:p>
      <w:pPr>
        <w:pStyle w:val="78"/>
        <w:numPr>
          <w:ilvl w:val="1"/>
          <w:numId w:val="60"/>
        </w:numPr>
        <w:ind w:firstLineChars="0"/>
      </w:pPr>
      <w:r>
        <w:rPr>
          <w:rFonts w:hint="eastAsia"/>
        </w:rPr>
        <w:t>全面落实安全责任制度，项目经理为安全的第一责任人，其他安全责任落实到部门及相关个人；</w:t>
      </w:r>
    </w:p>
    <w:p>
      <w:pPr>
        <w:pStyle w:val="78"/>
        <w:numPr>
          <w:ilvl w:val="1"/>
          <w:numId w:val="60"/>
        </w:numPr>
        <w:ind w:firstLineChars="0"/>
      </w:pPr>
      <w:r>
        <w:rPr>
          <w:rFonts w:hint="eastAsia"/>
        </w:rPr>
        <w:t>执行项目三级管理制度，分别是以安全生产工作小组做为项目安全管理的决策层，以安全职能部门为主的管理层及以作业班组为主体的作业层；</w:t>
      </w:r>
    </w:p>
    <w:p>
      <w:pPr>
        <w:pStyle w:val="78"/>
        <w:numPr>
          <w:ilvl w:val="1"/>
          <w:numId w:val="60"/>
        </w:numPr>
        <w:ind w:firstLineChars="0"/>
      </w:pPr>
      <w:r>
        <w:rPr>
          <w:rFonts w:hint="eastAsia"/>
        </w:rPr>
        <w:t>安全总监选派具有专业知识和丰富现场安全管理的人员担任，配足配齐各现场安全管理人员；</w:t>
      </w:r>
    </w:p>
    <w:p>
      <w:pPr>
        <w:pStyle w:val="78"/>
        <w:numPr>
          <w:ilvl w:val="1"/>
          <w:numId w:val="60"/>
        </w:numPr>
        <w:ind w:firstLineChars="0"/>
      </w:pPr>
      <w:r>
        <w:rPr>
          <w:rFonts w:hint="eastAsia"/>
        </w:rPr>
        <w:t>选择安全意识强、安全措施充足、服从项目安全管理的作业班组进行现场施工，加强对作业班组的安全管理。</w:t>
      </w:r>
    </w:p>
    <w:p>
      <w:pPr>
        <w:pStyle w:val="5"/>
      </w:pPr>
      <w:r>
        <w:rPr>
          <w:rFonts w:hint="eastAsia"/>
        </w:rPr>
        <w:t>制度保证</w:t>
      </w:r>
    </w:p>
    <w:p>
      <w:pPr>
        <w:pStyle w:val="78"/>
        <w:numPr>
          <w:ilvl w:val="1"/>
          <w:numId w:val="61"/>
        </w:numPr>
        <w:ind w:firstLineChars="0"/>
      </w:pPr>
      <w:r>
        <w:rPr>
          <w:rFonts w:hint="eastAsia"/>
        </w:rPr>
        <w:t>全体参建人员严格执行党和国家有关安全生产法律、法规和安全生产规程，自觉遵守国家、行业、地方及业主的有关安全生产管理规定；</w:t>
      </w:r>
    </w:p>
    <w:p>
      <w:pPr>
        <w:pStyle w:val="78"/>
        <w:numPr>
          <w:ilvl w:val="1"/>
          <w:numId w:val="61"/>
        </w:numPr>
        <w:ind w:firstLineChars="0"/>
      </w:pPr>
      <w:r>
        <w:rPr>
          <w:rFonts w:hint="eastAsia"/>
        </w:rPr>
        <w:t>严格执行公司的安全生产管理相关的制度和文件；</w:t>
      </w:r>
    </w:p>
    <w:p>
      <w:pPr>
        <w:pStyle w:val="78"/>
        <w:numPr>
          <w:ilvl w:val="1"/>
          <w:numId w:val="61"/>
        </w:numPr>
        <w:ind w:firstLineChars="0"/>
      </w:pPr>
      <w:r>
        <w:rPr>
          <w:rFonts w:hint="eastAsia"/>
        </w:rPr>
        <w:t>严格执行安全生产教育与培训制度，安拆施工开工前，对参建人员进行岗前安全教育培训，经培训考试合格后方可上岗；</w:t>
      </w:r>
    </w:p>
    <w:p>
      <w:pPr>
        <w:pStyle w:val="78"/>
        <w:numPr>
          <w:ilvl w:val="1"/>
          <w:numId w:val="61"/>
        </w:numPr>
        <w:ind w:firstLineChars="0"/>
      </w:pPr>
      <w:r>
        <w:rPr>
          <w:rFonts w:hint="eastAsia"/>
        </w:rPr>
        <w:t>严格执行特殊工种持证上岗制度，安拆施工开工前，对特种作业人员进行专业安全培训，取得《安全操作合格证》后，持证上岗；</w:t>
      </w:r>
    </w:p>
    <w:p>
      <w:pPr>
        <w:pStyle w:val="78"/>
        <w:numPr>
          <w:ilvl w:val="1"/>
          <w:numId w:val="61"/>
        </w:numPr>
        <w:ind w:firstLineChars="0"/>
      </w:pPr>
      <w:r>
        <w:rPr>
          <w:rFonts w:hint="eastAsia"/>
        </w:rPr>
        <w:t>严格执行安全技术交底制度，使作业人员能了解作业过程中可能存在的事故隐患，交底采用书面安全交底和现场安全交底相结合的方式；</w:t>
      </w:r>
    </w:p>
    <w:p>
      <w:pPr>
        <w:pStyle w:val="78"/>
        <w:numPr>
          <w:ilvl w:val="1"/>
          <w:numId w:val="61"/>
        </w:numPr>
        <w:ind w:firstLineChars="0"/>
      </w:pPr>
      <w:r>
        <w:rPr>
          <w:rFonts w:hint="eastAsia"/>
        </w:rPr>
        <w:t>项目部专职安全员负责日常安全管理工作，班组设兼职安全员，进行现场安全管理、指导、监督、制止违章，在危险时采取紧急措施。专职安全员持证上岗，在现场均配戴好工作标志；</w:t>
      </w:r>
    </w:p>
    <w:p>
      <w:pPr>
        <w:pStyle w:val="78"/>
        <w:numPr>
          <w:ilvl w:val="1"/>
          <w:numId w:val="61"/>
        </w:numPr>
        <w:ind w:firstLineChars="0"/>
      </w:pPr>
      <w:r>
        <w:rPr>
          <w:rFonts w:hint="eastAsia"/>
        </w:rPr>
        <w:t>安拆施工开工前，针对工程实际编制切实可行的安全措施计划，并限期实施，没有安全保障措施时工程不得开工；</w:t>
      </w:r>
    </w:p>
    <w:p>
      <w:pPr>
        <w:pStyle w:val="78"/>
        <w:numPr>
          <w:ilvl w:val="1"/>
          <w:numId w:val="61"/>
        </w:numPr>
        <w:ind w:firstLineChars="0"/>
      </w:pPr>
      <w:r>
        <w:rPr>
          <w:rFonts w:hint="eastAsia"/>
        </w:rPr>
        <w:t>完善并执行安全目标管理制度，其中包括：禁酒令，安全生产带班管理制度，事故报告制度等；</w:t>
      </w:r>
    </w:p>
    <w:p>
      <w:pPr>
        <w:pStyle w:val="78"/>
        <w:numPr>
          <w:ilvl w:val="1"/>
          <w:numId w:val="61"/>
        </w:numPr>
        <w:ind w:firstLineChars="0"/>
      </w:pPr>
      <w:r>
        <w:rPr>
          <w:rFonts w:hint="eastAsia"/>
        </w:rPr>
        <w:t>实行安全目标管理，层层分解落实安全指标，严格执行与经济挂钩的奖惩制度，坚决实施安全一票否决权制度。</w:t>
      </w:r>
    </w:p>
    <w:p>
      <w:pPr>
        <w:pStyle w:val="5"/>
      </w:pPr>
      <w:r>
        <w:t>技术保证</w:t>
      </w:r>
    </w:p>
    <w:p>
      <w:pPr>
        <w:pStyle w:val="78"/>
        <w:numPr>
          <w:ilvl w:val="1"/>
          <w:numId w:val="62"/>
        </w:numPr>
        <w:ind w:firstLineChars="0"/>
      </w:pPr>
      <w:r>
        <w:rPr>
          <w:rFonts w:hint="eastAsia"/>
        </w:rPr>
        <w:t>项目总工要及时组织做施工组织设计、专项施工方案的编制、报批，超过一定规模的分部安拆施工要组织专家进行研究论证；</w:t>
      </w:r>
    </w:p>
    <w:p>
      <w:pPr>
        <w:pStyle w:val="78"/>
        <w:numPr>
          <w:ilvl w:val="1"/>
          <w:numId w:val="62"/>
        </w:numPr>
        <w:ind w:firstLineChars="0"/>
      </w:pPr>
      <w:r>
        <w:rPr>
          <w:rFonts w:hint="eastAsia"/>
        </w:rPr>
        <w:t>项目工程技术部人员及时针对施工方案做好施工作业指导书的编制、审核、报批，编制过程中需对风险进行识别与评估并提出对应的安全保证措施，并及时开展施工技术交底工作，在施工全过程中做好技术落实的监督指导；</w:t>
      </w:r>
    </w:p>
    <w:p>
      <w:pPr>
        <w:pStyle w:val="78"/>
        <w:numPr>
          <w:ilvl w:val="1"/>
          <w:numId w:val="62"/>
        </w:numPr>
        <w:ind w:firstLineChars="0"/>
      </w:pPr>
      <w:r>
        <w:rPr>
          <w:rFonts w:hint="eastAsia"/>
        </w:rPr>
        <w:t>完善并执行安全目标管理制度，其中包括：机械设备安全操作规程，安全用电制度，水上作业安全制度，工索具专项验收、使用及维保管理制度，特殊工种安全制度等。</w:t>
      </w:r>
    </w:p>
    <w:p>
      <w:pPr>
        <w:pStyle w:val="5"/>
      </w:pPr>
      <w:r>
        <w:rPr>
          <w:rFonts w:hint="eastAsia"/>
        </w:rPr>
        <w:t>资源保证</w:t>
      </w:r>
    </w:p>
    <w:p>
      <w:pPr>
        <w:pStyle w:val="78"/>
        <w:numPr>
          <w:ilvl w:val="1"/>
          <w:numId w:val="63"/>
        </w:numPr>
        <w:ind w:firstLineChars="0"/>
      </w:pPr>
      <w:r>
        <w:rPr>
          <w:rFonts w:hint="eastAsia"/>
        </w:rPr>
        <w:t>施工现场需配备足够的安全设施，必须具有安全的施工性能，并取得国家相关资质证明，不得带病作业，不得以次充好，防止出现二次伤害；</w:t>
      </w:r>
    </w:p>
    <w:p>
      <w:pPr>
        <w:pStyle w:val="78"/>
        <w:numPr>
          <w:ilvl w:val="1"/>
          <w:numId w:val="63"/>
        </w:numPr>
        <w:ind w:firstLineChars="0"/>
      </w:pPr>
      <w:r>
        <w:rPr>
          <w:rFonts w:hint="eastAsia"/>
        </w:rPr>
        <w:t>安全设施设备必须要有明确的标示，具有专业的操作人员和指挥人员，做到特种作业人员持证上岗；</w:t>
      </w:r>
    </w:p>
    <w:p>
      <w:pPr>
        <w:pStyle w:val="78"/>
        <w:numPr>
          <w:ilvl w:val="1"/>
          <w:numId w:val="63"/>
        </w:numPr>
        <w:ind w:firstLineChars="0"/>
      </w:pPr>
      <w:r>
        <w:rPr>
          <w:rFonts w:hint="eastAsia"/>
        </w:rPr>
        <w:t>各项设施设备的投入必须满足现场施工需求和应急要求；</w:t>
      </w:r>
    </w:p>
    <w:p>
      <w:pPr>
        <w:pStyle w:val="78"/>
        <w:numPr>
          <w:ilvl w:val="1"/>
          <w:numId w:val="63"/>
        </w:numPr>
        <w:ind w:firstLineChars="0"/>
      </w:pPr>
      <w:r>
        <w:rPr>
          <w:rFonts w:hint="eastAsia"/>
        </w:rPr>
        <w:t>项目部物资设备部必须定期对安全设施设备进行安全检查，确保投入的安全设施设备的安全可靠性；</w:t>
      </w:r>
    </w:p>
    <w:p>
      <w:pPr>
        <w:pStyle w:val="78"/>
        <w:numPr>
          <w:ilvl w:val="1"/>
          <w:numId w:val="63"/>
        </w:numPr>
        <w:ind w:firstLineChars="0"/>
      </w:pPr>
      <w:r>
        <w:rPr>
          <w:rFonts w:hint="eastAsia"/>
        </w:rPr>
        <w:t>施工现场需在具有安全风险隐患的区域设置明显安全警示牌和标识；</w:t>
      </w:r>
    </w:p>
    <w:p>
      <w:pPr>
        <w:pStyle w:val="78"/>
        <w:numPr>
          <w:ilvl w:val="1"/>
          <w:numId w:val="63"/>
        </w:numPr>
        <w:ind w:firstLineChars="0"/>
      </w:pPr>
      <w:r>
        <w:rPr>
          <w:rFonts w:hint="eastAsia"/>
        </w:rPr>
        <w:t>所有进入现场的施工作业人员必须配置充足的劳保用品，劳保用品必须选择具备资质厂家的产品，且产品应附有合格证、检验证书及有关文件；</w:t>
      </w:r>
    </w:p>
    <w:p>
      <w:pPr>
        <w:pStyle w:val="78"/>
        <w:numPr>
          <w:ilvl w:val="1"/>
          <w:numId w:val="63"/>
        </w:numPr>
        <w:ind w:firstLineChars="0"/>
      </w:pPr>
      <w:r>
        <w:rPr>
          <w:rFonts w:hint="eastAsia"/>
        </w:rPr>
        <w:t>劳保用品破损和已丧失其使用功能的应坚决更换或不许使用。</w:t>
      </w:r>
    </w:p>
    <w:bookmarkEnd w:id="141"/>
    <w:bookmarkEnd w:id="142"/>
    <w:p>
      <w:pPr>
        <w:pStyle w:val="3"/>
        <w:rPr>
          <w:shd w:val="clear" w:color="auto" w:fill="FFFFFF" w:themeFill="background1"/>
        </w:rPr>
      </w:pPr>
      <w:bookmarkStart w:id="144" w:name="_Toc131174056"/>
      <w:bookmarkStart w:id="145" w:name="_Toc31952"/>
      <w:bookmarkStart w:id="146" w:name="_Toc6917"/>
      <w:bookmarkStart w:id="147" w:name="_Toc40778445"/>
      <w:bookmarkStart w:id="148" w:name="_Toc17347"/>
      <w:bookmarkStart w:id="149" w:name="_Toc14971"/>
      <w:bookmarkStart w:id="150" w:name="_Toc11379"/>
      <w:bookmarkStart w:id="151" w:name="_Toc5668"/>
      <w:r>
        <w:rPr>
          <w:rFonts w:hint="eastAsia"/>
          <w:shd w:val="clear" w:color="auto" w:fill="FFFFFF" w:themeFill="background1"/>
        </w:rPr>
        <w:t>施工安全技术控制措施</w:t>
      </w:r>
      <w:bookmarkEnd w:id="144"/>
      <w:bookmarkEnd w:id="145"/>
    </w:p>
    <w:p>
      <w:pPr>
        <w:pStyle w:val="4"/>
      </w:pPr>
      <w:r>
        <w:rPr>
          <w:rFonts w:hint="eastAsia"/>
        </w:rPr>
        <w:t>塔式起重机安拆安全技术措施</w:t>
      </w:r>
    </w:p>
    <w:p>
      <w:pPr>
        <w:numPr>
          <w:ilvl w:val="0"/>
          <w:numId w:val="64"/>
        </w:numPr>
        <w:ind w:firstLineChars="0"/>
      </w:pPr>
      <w:r>
        <w:rPr>
          <w:rFonts w:hint="eastAsia"/>
        </w:rPr>
        <w:t>安装前应根据专项施工方案，对塔式起重机基础的下列项目进行检查。确认合格后方可实施：</w:t>
      </w:r>
    </w:p>
    <w:p>
      <w:pPr>
        <w:numPr>
          <w:ilvl w:val="0"/>
          <w:numId w:val="65"/>
        </w:numPr>
        <w:ind w:firstLineChars="0"/>
      </w:pPr>
      <w:r>
        <w:rPr>
          <w:rFonts w:hint="eastAsia"/>
        </w:rPr>
        <w:t>基础的位置、高程、尺寸；</w:t>
      </w:r>
    </w:p>
    <w:p>
      <w:pPr>
        <w:numPr>
          <w:ilvl w:val="0"/>
          <w:numId w:val="65"/>
        </w:numPr>
        <w:ind w:firstLineChars="0"/>
      </w:pPr>
      <w:r>
        <w:rPr>
          <w:rFonts w:hint="eastAsia"/>
        </w:rPr>
        <w:t>安装辅助设备的基础、地基承载力、预埋件等；</w:t>
      </w:r>
    </w:p>
    <w:p>
      <w:pPr>
        <w:numPr>
          <w:ilvl w:val="0"/>
          <w:numId w:val="65"/>
        </w:numPr>
        <w:ind w:firstLineChars="0"/>
      </w:pPr>
      <w:r>
        <w:rPr>
          <w:rFonts w:hint="eastAsia"/>
        </w:rPr>
        <w:t>基础的排水措施。</w:t>
      </w:r>
    </w:p>
    <w:p>
      <w:pPr>
        <w:numPr>
          <w:ilvl w:val="0"/>
          <w:numId w:val="64"/>
        </w:numPr>
        <w:ind w:firstLineChars="0"/>
      </w:pPr>
      <w:r>
        <w:rPr>
          <w:rFonts w:hint="eastAsia"/>
        </w:rPr>
        <w:t>安装或拆除作业应根据专项施工方案要求实施。安装或拆除作业人员应分工明确、职责清楚、安装前应对安装或拆除作业人员进行安全技术交底；</w:t>
      </w:r>
    </w:p>
    <w:p>
      <w:pPr>
        <w:numPr>
          <w:ilvl w:val="0"/>
          <w:numId w:val="64"/>
        </w:numPr>
        <w:ind w:firstLineChars="0"/>
      </w:pPr>
      <w:r>
        <w:rPr>
          <w:rFonts w:hint="eastAsia"/>
        </w:rPr>
        <w:t>安装或拆除辅助设备就位后，应对其机械和安全性能进行检验，合格后方可作业；</w:t>
      </w:r>
    </w:p>
    <w:p>
      <w:pPr>
        <w:numPr>
          <w:ilvl w:val="0"/>
          <w:numId w:val="64"/>
        </w:numPr>
        <w:ind w:firstLineChars="0"/>
      </w:pPr>
      <w:r>
        <w:rPr>
          <w:rFonts w:hint="eastAsia"/>
        </w:rPr>
        <w:t>安装或拆除作业中应统一指挥，明确指挥信号。当视线受阻，距离过远时应采用对讲机或多级指挥；</w:t>
      </w:r>
    </w:p>
    <w:p>
      <w:pPr>
        <w:numPr>
          <w:ilvl w:val="0"/>
          <w:numId w:val="64"/>
        </w:numPr>
        <w:ind w:firstLineChars="0"/>
      </w:pPr>
      <w:r>
        <w:rPr>
          <w:rFonts w:hint="eastAsia"/>
        </w:rPr>
        <w:t>塔式起重机的独立高度、悬臂高度应符合使用说明书的要求；</w:t>
      </w:r>
    </w:p>
    <w:p>
      <w:pPr>
        <w:numPr>
          <w:ilvl w:val="0"/>
          <w:numId w:val="64"/>
        </w:numPr>
        <w:ind w:firstLineChars="0"/>
      </w:pPr>
      <w:r>
        <w:rPr>
          <w:rFonts w:hint="eastAsia"/>
        </w:rPr>
        <w:t>雨雪、浓雾天气严禁进行安装作业。安装或拆除时塔式起重机最大高度处的风速应符合使用说明书的要求，且风速不得超过12m/s；</w:t>
      </w:r>
    </w:p>
    <w:p>
      <w:pPr>
        <w:numPr>
          <w:ilvl w:val="0"/>
          <w:numId w:val="64"/>
        </w:numPr>
        <w:ind w:firstLineChars="0"/>
      </w:pPr>
      <w:r>
        <w:rPr>
          <w:rFonts w:hint="eastAsia"/>
        </w:rPr>
        <w:t>塔式起重机不宜在夜间进行安装作业；当需在夜间进行塔式起重机安装和拆卸作业时，应保证提供足够的照明；</w:t>
      </w:r>
    </w:p>
    <w:p>
      <w:pPr>
        <w:numPr>
          <w:ilvl w:val="0"/>
          <w:numId w:val="64"/>
        </w:numPr>
        <w:ind w:firstLineChars="0"/>
      </w:pPr>
      <w:r>
        <w:rPr>
          <w:rFonts w:hint="eastAsia"/>
        </w:rPr>
        <w:t>当遇特殊情况安装作业不能连续进行时，必须将已安装的部位固定牢靠并达到安全状态，经检查确认无隐患后，方可停止作业；</w:t>
      </w:r>
    </w:p>
    <w:p>
      <w:pPr>
        <w:numPr>
          <w:ilvl w:val="0"/>
          <w:numId w:val="64"/>
        </w:numPr>
        <w:ind w:firstLineChars="0"/>
      </w:pPr>
      <w:r>
        <w:rPr>
          <w:rFonts w:hint="eastAsia"/>
        </w:rPr>
        <w:t>塔式起重机的安全装置必须齐全，并应按程序进行调试合格；</w:t>
      </w:r>
    </w:p>
    <w:p>
      <w:pPr>
        <w:numPr>
          <w:ilvl w:val="0"/>
          <w:numId w:val="64"/>
        </w:numPr>
        <w:ind w:firstLineChars="0"/>
      </w:pPr>
      <w:r>
        <w:rPr>
          <w:rFonts w:hint="eastAsia"/>
        </w:rPr>
        <w:t>连接件及其防松防脱件严禁用其他代用品代用。连接件及其防松防脱件应使用力矩扳手或专用工具紧固连接螺栓；</w:t>
      </w:r>
    </w:p>
    <w:p>
      <w:pPr>
        <w:numPr>
          <w:ilvl w:val="0"/>
          <w:numId w:val="64"/>
        </w:numPr>
        <w:ind w:firstLineChars="0"/>
      </w:pPr>
      <w:r>
        <w:rPr>
          <w:rFonts w:hint="eastAsia"/>
        </w:rPr>
        <w:t>安装单位自检合格后，应委托有相应资质的检验检测机构进行检测，检验检测机构应出具检测报告书；</w:t>
      </w:r>
    </w:p>
    <w:p>
      <w:pPr>
        <w:numPr>
          <w:ilvl w:val="0"/>
          <w:numId w:val="64"/>
        </w:numPr>
        <w:ind w:firstLineChars="0"/>
      </w:pPr>
      <w:r>
        <w:rPr>
          <w:rFonts w:hint="eastAsia"/>
        </w:rPr>
        <w:t>安装质量的自检报告书和检测报告书应存入设备档案。</w:t>
      </w:r>
    </w:p>
    <w:p>
      <w:pPr>
        <w:pStyle w:val="4"/>
      </w:pPr>
      <w:r>
        <w:rPr>
          <w:rFonts w:hint="eastAsia"/>
        </w:rPr>
        <w:t>试验安全技术措施</w:t>
      </w:r>
    </w:p>
    <w:p>
      <w:pPr>
        <w:numPr>
          <w:ilvl w:val="0"/>
          <w:numId w:val="64"/>
        </w:numPr>
        <w:ind w:firstLineChars="0"/>
      </w:pPr>
      <w:r>
        <w:rPr>
          <w:rFonts w:hint="eastAsia"/>
        </w:rPr>
        <w:t>试运行要求风速在规定的范围内，6级以上大风禁止起重吊装；</w:t>
      </w:r>
    </w:p>
    <w:p>
      <w:pPr>
        <w:numPr>
          <w:ilvl w:val="0"/>
          <w:numId w:val="64"/>
        </w:numPr>
        <w:ind w:firstLineChars="0"/>
      </w:pPr>
      <w:r>
        <w:rPr>
          <w:rFonts w:hint="eastAsia"/>
        </w:rPr>
        <w:t>设备试运行前，对电气设备的连接做全面检查，检查合格后方可进行试运行；</w:t>
      </w:r>
    </w:p>
    <w:p>
      <w:pPr>
        <w:numPr>
          <w:ilvl w:val="0"/>
          <w:numId w:val="64"/>
        </w:numPr>
        <w:ind w:firstLineChars="0"/>
      </w:pPr>
      <w:r>
        <w:rPr>
          <w:rFonts w:hint="eastAsia"/>
        </w:rPr>
        <w:t>设备试运行前，进行一般技术检查如检查调试好各部位限位器等；</w:t>
      </w:r>
    </w:p>
    <w:p>
      <w:pPr>
        <w:numPr>
          <w:ilvl w:val="0"/>
          <w:numId w:val="64"/>
        </w:numPr>
        <w:ind w:firstLineChars="0"/>
      </w:pPr>
      <w:r>
        <w:rPr>
          <w:rFonts w:hint="eastAsia"/>
        </w:rPr>
        <w:t>设备试运行需依次进行空负荷试验→静负荷试验→动负荷试验，并逐级进行加载；</w:t>
      </w:r>
    </w:p>
    <w:p>
      <w:pPr>
        <w:numPr>
          <w:ilvl w:val="0"/>
          <w:numId w:val="64"/>
        </w:numPr>
        <w:ind w:firstLineChars="0"/>
      </w:pPr>
      <w:r>
        <w:rPr>
          <w:rFonts w:hint="eastAsia"/>
        </w:rPr>
        <w:t>试运行期间形成试运行验收记录。</w:t>
      </w:r>
    </w:p>
    <w:p>
      <w:pPr>
        <w:pStyle w:val="4"/>
      </w:pPr>
      <w:r>
        <w:rPr>
          <w:rFonts w:hint="eastAsia"/>
        </w:rPr>
        <w:t>起重作业安全技术措施</w:t>
      </w:r>
    </w:p>
    <w:p>
      <w:pPr>
        <w:numPr>
          <w:ilvl w:val="0"/>
          <w:numId w:val="66"/>
        </w:numPr>
        <w:ind w:firstLineChars="0"/>
      </w:pPr>
      <w:r>
        <w:rPr>
          <w:rFonts w:hint="eastAsia"/>
        </w:rPr>
        <w:t>作业人员的安全规章制度的学习，提高安全防范意识；</w:t>
      </w:r>
    </w:p>
    <w:p>
      <w:pPr>
        <w:numPr>
          <w:ilvl w:val="0"/>
          <w:numId w:val="66"/>
        </w:numPr>
        <w:ind w:firstLineChars="0"/>
      </w:pPr>
      <w:r>
        <w:rPr>
          <w:rFonts w:hint="eastAsia"/>
        </w:rPr>
        <w:t>严禁酒后作业，严格遵守项目部相关规定安全施工；</w:t>
      </w:r>
    </w:p>
    <w:p>
      <w:pPr>
        <w:numPr>
          <w:ilvl w:val="0"/>
          <w:numId w:val="66"/>
        </w:numPr>
        <w:ind w:firstLineChars="0"/>
      </w:pPr>
      <w:r>
        <w:rPr>
          <w:rFonts w:hint="eastAsia"/>
        </w:rPr>
        <w:t>吊装作业人员统一配戴我项目部的安全帽，进入施工现场遵守我公司的规定；</w:t>
      </w:r>
    </w:p>
    <w:p>
      <w:pPr>
        <w:numPr>
          <w:ilvl w:val="0"/>
          <w:numId w:val="66"/>
        </w:numPr>
        <w:ind w:firstLineChars="0"/>
      </w:pPr>
      <w:r>
        <w:rPr>
          <w:rFonts w:hint="eastAsia"/>
        </w:rPr>
        <w:t>作业时必须执行安全技术交底，听从统一指挥；</w:t>
      </w:r>
    </w:p>
    <w:p>
      <w:pPr>
        <w:numPr>
          <w:ilvl w:val="0"/>
          <w:numId w:val="66"/>
        </w:numPr>
        <w:ind w:firstLineChars="0"/>
      </w:pPr>
      <w:r>
        <w:rPr>
          <w:rFonts w:hint="eastAsia"/>
        </w:rPr>
        <w:t>起重工、信号工必须经专门安全技术培训，持证上岗；</w:t>
      </w:r>
    </w:p>
    <w:p>
      <w:pPr>
        <w:numPr>
          <w:ilvl w:val="0"/>
          <w:numId w:val="66"/>
        </w:numPr>
        <w:ind w:firstLineChars="0"/>
      </w:pPr>
      <w:r>
        <w:rPr>
          <w:rFonts w:hint="eastAsia"/>
        </w:rPr>
        <w:t>信号工要穿有明显标识的衣服，两眼视力不得低于1.0，无色盲、听力障碍、高血压、心脏病等生理缺陷；</w:t>
      </w:r>
    </w:p>
    <w:p>
      <w:pPr>
        <w:numPr>
          <w:ilvl w:val="0"/>
          <w:numId w:val="66"/>
        </w:numPr>
        <w:ind w:firstLineChars="0"/>
      </w:pPr>
      <w:r>
        <w:rPr>
          <w:rFonts w:hint="eastAsia"/>
        </w:rPr>
        <w:t>信号工高空指挥时，需戴安全带，脚穿防滑鞋；</w:t>
      </w:r>
    </w:p>
    <w:p>
      <w:pPr>
        <w:numPr>
          <w:ilvl w:val="0"/>
          <w:numId w:val="66"/>
        </w:numPr>
        <w:ind w:firstLineChars="0"/>
      </w:pPr>
      <w:r>
        <w:rPr>
          <w:rFonts w:hint="eastAsia"/>
        </w:rPr>
        <w:t>吊车尾部为司机盲区，工作人员注意吊车尾部的旋转动态；</w:t>
      </w:r>
    </w:p>
    <w:p>
      <w:pPr>
        <w:numPr>
          <w:ilvl w:val="0"/>
          <w:numId w:val="66"/>
        </w:numPr>
        <w:ind w:firstLineChars="0"/>
      </w:pPr>
      <w:r>
        <w:rPr>
          <w:rFonts w:hint="eastAsia"/>
        </w:rPr>
        <w:t>起重大件时，严禁任何人员乘坐大件；</w:t>
      </w:r>
    </w:p>
    <w:p>
      <w:pPr>
        <w:numPr>
          <w:ilvl w:val="0"/>
          <w:numId w:val="66"/>
        </w:numPr>
        <w:ind w:firstLineChars="0"/>
      </w:pPr>
      <w:r>
        <w:rPr>
          <w:rFonts w:hint="eastAsia"/>
        </w:rPr>
        <w:t>司机作业时，严禁收听任何有声电器及电话（除指挥使用对讲机除外），严禁和其他人员交谈；</w:t>
      </w:r>
    </w:p>
    <w:p>
      <w:pPr>
        <w:numPr>
          <w:ilvl w:val="0"/>
          <w:numId w:val="66"/>
        </w:numPr>
        <w:ind w:firstLineChars="0"/>
      </w:pPr>
      <w:r>
        <w:rPr>
          <w:rFonts w:hint="eastAsia"/>
        </w:rPr>
        <w:t>司机和信号工必须使用对讲机进行指令的接受和发出，确保对讲机的音质清晰，调频无干扰；</w:t>
      </w:r>
    </w:p>
    <w:p>
      <w:pPr>
        <w:numPr>
          <w:ilvl w:val="0"/>
          <w:numId w:val="66"/>
        </w:numPr>
        <w:ind w:firstLineChars="0"/>
      </w:pPr>
      <w:r>
        <w:rPr>
          <w:rFonts w:hint="eastAsia"/>
        </w:rPr>
        <w:t>作业前必须检查作业环境、吊索具、防护用品。吊装区域无闲散人员，障碍已排除。吊具无缺陷，捆绑正确牢固。在信号不明和作业现场光线阴暗时，严禁进行起吊作业；</w:t>
      </w:r>
    </w:p>
    <w:p>
      <w:pPr>
        <w:numPr>
          <w:ilvl w:val="0"/>
          <w:numId w:val="66"/>
        </w:numPr>
        <w:ind w:firstLineChars="0"/>
      </w:pPr>
      <w:r>
        <w:rPr>
          <w:rFonts w:hint="eastAsia"/>
        </w:rPr>
        <w:t>起重作业时，必须正确选择吊点的位置，合理穿挂索具，试吊；</w:t>
      </w:r>
    </w:p>
    <w:p>
      <w:pPr>
        <w:numPr>
          <w:ilvl w:val="0"/>
          <w:numId w:val="66"/>
        </w:numPr>
        <w:ind w:firstLineChars="0"/>
      </w:pPr>
      <w:r>
        <w:rPr>
          <w:rFonts w:hint="eastAsia"/>
        </w:rPr>
        <w:t>试吊：吊绳套挂牢固，起重机缓缓起升，将吊绳绷直稍停，试吊高度为100mm～200mm。试吊中，指挥信号工、挂钩工、司机必须协调配合。如发现吊物重心滑移或其他物件粘连等情况时，必须立即停止起吊，采取措施并确认安全后方可起吊；</w:t>
      </w:r>
    </w:p>
    <w:p>
      <w:pPr>
        <w:numPr>
          <w:ilvl w:val="0"/>
          <w:numId w:val="66"/>
        </w:numPr>
        <w:ind w:firstLineChars="0"/>
      </w:pPr>
      <w:r>
        <w:rPr>
          <w:rFonts w:hint="eastAsia"/>
        </w:rPr>
        <w:t>大雨、风力在6级以上等恶劣天气，必须停止露天起重吊装作业。严禁在带电的高压线或一侧作业；</w:t>
      </w:r>
    </w:p>
    <w:p>
      <w:pPr>
        <w:numPr>
          <w:ilvl w:val="0"/>
          <w:numId w:val="66"/>
        </w:numPr>
        <w:ind w:firstLineChars="0"/>
      </w:pPr>
      <w:r>
        <w:rPr>
          <w:rFonts w:hint="eastAsia"/>
        </w:rPr>
        <w:t>严格执行“十不吊”的原则。即：超负荷不吊；无专人指挥或指挥信号不明，重量不明，光线暗淡不吊；安全装置，机械设备有异常或有故障不吊；在重物上加工或埋入土中物件以及歪拉斜挂不吊；物件捆绑不牢不平或活动零件不固定，不清除不吊；吊物上站人或从人头上越过及垂臂下站人不吊；氧气瓶、乙炔发生器等易爆器械无安全措施不吊；棱角缺口未垫好不吊；</w:t>
      </w:r>
      <w:r>
        <w:t>6</w:t>
      </w:r>
      <w:r>
        <w:rPr>
          <w:rFonts w:hint="eastAsia"/>
        </w:rPr>
        <w:t>级以上大风和雷暴雨时不吊；在斜坡上或坑沿，堤岸不填实不吊；</w:t>
      </w:r>
    </w:p>
    <w:p>
      <w:pPr>
        <w:numPr>
          <w:ilvl w:val="0"/>
          <w:numId w:val="66"/>
        </w:numPr>
        <w:ind w:firstLineChars="0"/>
      </w:pPr>
      <w:r>
        <w:rPr>
          <w:rFonts w:hint="eastAsia"/>
        </w:rPr>
        <w:t>使用起重作业时，必须正确选择吊点的位置，合理穿挂索具，试吊；</w:t>
      </w:r>
    </w:p>
    <w:p>
      <w:pPr>
        <w:numPr>
          <w:ilvl w:val="0"/>
          <w:numId w:val="66"/>
        </w:numPr>
        <w:ind w:firstLineChars="0"/>
      </w:pPr>
      <w:r>
        <w:rPr>
          <w:rFonts w:hint="eastAsia"/>
        </w:rPr>
        <w:t>机械设备要摆放整齐，用倒链拴牢固。放在高处的货物要有防护措施。</w:t>
      </w:r>
    </w:p>
    <w:p>
      <w:pPr>
        <w:numPr>
          <w:ilvl w:val="0"/>
          <w:numId w:val="66"/>
        </w:numPr>
        <w:ind w:right="261" w:firstLineChars="0"/>
        <w:rPr>
          <w:rFonts w:ascii="宋体" w:hAnsi="宋体"/>
        </w:rPr>
      </w:pPr>
      <w:r>
        <w:rPr>
          <w:rFonts w:hint="eastAsia" w:ascii="宋体" w:hAnsi="宋体"/>
        </w:rPr>
        <w:t>当需要在夜间进行安拆作业时，应保证提供足够的照明；当遇特殊情况安装作业不能连续进行时，应将已安装的部位固定牢靠并达到安全状态；安装完成后应组织人员验收与试吊；安装单位自检合格后，应上报有关部门检测合格；风雨、浓雾天气应停止拆除作业；当遇特殊情况拆除作业不能连续进行时应已安装的部位固定牢靠并达到安全状态；吊具与索具系结物品，及其连接在起重机械上的方法不可靠；吊耳、耳轴或耳轴套，磨损减少原尺寸5％；吊装长大物件时，应在物件两端绑扎溜绳，并且由操作人员控制物件的平衡和稳定。</w:t>
      </w:r>
    </w:p>
    <w:p>
      <w:pPr>
        <w:pStyle w:val="4"/>
      </w:pPr>
      <w:r>
        <w:rPr>
          <w:rFonts w:hint="eastAsia"/>
        </w:rPr>
        <w:t>高处作业安全技术措施</w:t>
      </w:r>
    </w:p>
    <w:p>
      <w:pPr>
        <w:numPr>
          <w:ilvl w:val="0"/>
          <w:numId w:val="67"/>
        </w:numPr>
      </w:pPr>
      <w:r>
        <w:rPr>
          <w:rFonts w:hint="eastAsia"/>
        </w:rPr>
        <w:t>高空作业人员必须正确佩带安全帽，必须系好安全带，并挂在牢固处（高挂低用）；</w:t>
      </w:r>
    </w:p>
    <w:p>
      <w:pPr>
        <w:numPr>
          <w:ilvl w:val="0"/>
          <w:numId w:val="67"/>
        </w:numPr>
      </w:pPr>
      <w:r>
        <w:rPr>
          <w:rFonts w:hint="eastAsia"/>
        </w:rPr>
        <w:t>高处作业使用的吊架、平台、脚手板、梯子、护栏、索具（钢丝绳、麻绳、化学纤维绳）等料具和安全带、安全网等安全防护用品的质量都必须符合国家规范的要求；</w:t>
      </w:r>
    </w:p>
    <w:p>
      <w:pPr>
        <w:numPr>
          <w:ilvl w:val="0"/>
          <w:numId w:val="67"/>
        </w:numPr>
      </w:pPr>
      <w:r>
        <w:rPr>
          <w:rFonts w:hint="eastAsia"/>
        </w:rPr>
        <w:t>高处施工作业前，应进行针对性的书面安全交底，要被交底人的签字，同时必须落实所有的安全技术措施和个人防护用品，未经落实时不得进行施工作业；</w:t>
      </w:r>
    </w:p>
    <w:p>
      <w:pPr>
        <w:numPr>
          <w:ilvl w:val="0"/>
          <w:numId w:val="67"/>
        </w:numPr>
      </w:pPr>
      <w:r>
        <w:rPr>
          <w:rFonts w:hint="eastAsia"/>
        </w:rPr>
        <w:t>从事高处作业的人员，必须定期体检。凡患有高血压、心脏病、贫血、癫痫症、严重近视及患有其他不适应高处作业病症的人员，均不得登高作业；</w:t>
      </w:r>
    </w:p>
    <w:p>
      <w:pPr>
        <w:numPr>
          <w:ilvl w:val="0"/>
          <w:numId w:val="67"/>
        </w:numPr>
      </w:pPr>
      <w:r>
        <w:rPr>
          <w:rFonts w:hint="eastAsia"/>
        </w:rPr>
        <w:t>攀登和悬空高处作业人员以及搭设高处作业安全设施的人员，必须经过专业技术培训及专业考试合格，持证上岗；</w:t>
      </w:r>
    </w:p>
    <w:p>
      <w:pPr>
        <w:numPr>
          <w:ilvl w:val="0"/>
          <w:numId w:val="67"/>
        </w:numPr>
      </w:pPr>
      <w:r>
        <w:rPr>
          <w:rFonts w:hint="eastAsia"/>
        </w:rPr>
        <w:t>施工中，对高处作业的安全技术设施，使用中发生损坏，必须及时解决，危及人身安全的，必须立即停止作业，排除险情或隐患后，方准作业；</w:t>
      </w:r>
    </w:p>
    <w:p>
      <w:pPr>
        <w:numPr>
          <w:ilvl w:val="0"/>
          <w:numId w:val="67"/>
        </w:numPr>
      </w:pPr>
      <w:r>
        <w:rPr>
          <w:rFonts w:hint="eastAsia"/>
        </w:rPr>
        <w:t>施工作业场所有坠落可能的物体，应一律先行撤除或加以固定。高处作业中所用的物料，均应堆放平稳，不妨碍通行，并不得超重，在临时搭建的安装平台上载荷不得大于270kg/m³。工具用毕应随手放入工具袋内；作业中的走道，通道板和登高用具，应随时清扫干净；拆卸下的物件及余料和废料均应及时清理运走，不能任意乱扔或向下丢弃，传递物件禁止抛掷，小型工具、配件用工具包盛装或使用吊篮吊装；</w:t>
      </w:r>
    </w:p>
    <w:p>
      <w:pPr>
        <w:numPr>
          <w:ilvl w:val="0"/>
          <w:numId w:val="67"/>
        </w:numPr>
      </w:pPr>
      <w:r>
        <w:rPr>
          <w:rFonts w:hint="eastAsia"/>
        </w:rPr>
        <w:t>高处作业无法搭设严密的防护设施的，必须使用安全带。安全带必须系挂在施工作业上方牢固的物体上，并高挂低用，禁止低挂高用；</w:t>
      </w:r>
    </w:p>
    <w:p>
      <w:pPr>
        <w:numPr>
          <w:ilvl w:val="0"/>
          <w:numId w:val="67"/>
        </w:numPr>
      </w:pPr>
      <w:r>
        <w:rPr>
          <w:rFonts w:hint="eastAsia"/>
        </w:rPr>
        <w:t>高处作业人员不准骑坐临时搭建的安装平台上的护栏、未安装牢固的管道、设备上和躺在平台、孔洞边缘上休息。在没有安全防护设施的条件下，严禁在木桁架、挑梁，砌体及构架上行走或作业；</w:t>
      </w:r>
    </w:p>
    <w:p>
      <w:pPr>
        <w:numPr>
          <w:ilvl w:val="0"/>
          <w:numId w:val="67"/>
        </w:numPr>
      </w:pPr>
      <w:r>
        <w:rPr>
          <w:rFonts w:hint="eastAsia"/>
        </w:rPr>
        <w:t>雨、雪天进行高处作业时，必须采取可靠的防滑、防寒和防冻措施，凡水、雪、霜、冰均应及时清除干净。暴风雪及沙尘暴后，应及时对高处作业的安全防护设施逐一加以检查，发现有松动、变形、损坏或脱落等现象，应立即修复完善，</w:t>
      </w:r>
      <w:r>
        <w:t>6</w:t>
      </w:r>
      <w:r>
        <w:rPr>
          <w:rFonts w:hint="eastAsia"/>
        </w:rPr>
        <w:t>级大风立即停止露天高处作业；</w:t>
      </w:r>
    </w:p>
    <w:p>
      <w:pPr>
        <w:numPr>
          <w:ilvl w:val="0"/>
          <w:numId w:val="67"/>
        </w:numPr>
      </w:pPr>
      <w:r>
        <w:rPr>
          <w:rFonts w:hint="eastAsia"/>
        </w:rPr>
        <w:t>因作业需要，临时拆除或变动安全防护设施的，必须经施工负责人同意，并采取相应的可靠措施，作业后立即恢复；</w:t>
      </w:r>
    </w:p>
    <w:p>
      <w:pPr>
        <w:numPr>
          <w:ilvl w:val="0"/>
          <w:numId w:val="67"/>
        </w:numPr>
      </w:pPr>
      <w:r>
        <w:rPr>
          <w:rFonts w:hint="eastAsia"/>
        </w:rPr>
        <w:t>高处作业人员应沿着斜道、梯子上下，严禁沿着绳索、立杆、井架或栏杆等攀登；</w:t>
      </w:r>
    </w:p>
    <w:p>
      <w:pPr>
        <w:numPr>
          <w:ilvl w:val="0"/>
          <w:numId w:val="67"/>
        </w:numPr>
      </w:pPr>
      <w:r>
        <w:rPr>
          <w:rFonts w:hint="eastAsia"/>
        </w:rPr>
        <w:t>人字梯的使用：</w:t>
      </w:r>
    </w:p>
    <w:p>
      <w:pPr>
        <w:numPr>
          <w:ilvl w:val="0"/>
          <w:numId w:val="68"/>
        </w:numPr>
      </w:pPr>
      <w:r>
        <w:rPr>
          <w:rFonts w:hint="eastAsia"/>
        </w:rPr>
        <w:t>使用前检查该梯子是否安全，即检查梯子的铆钉是否松动，焊接是否开裂；</w:t>
      </w:r>
    </w:p>
    <w:p>
      <w:pPr>
        <w:numPr>
          <w:ilvl w:val="0"/>
          <w:numId w:val="68"/>
        </w:numPr>
      </w:pPr>
      <w:r>
        <w:rPr>
          <w:rFonts w:hint="eastAsia"/>
        </w:rPr>
        <w:t>用结实的绳索将两边拉住、拴紧、绷直；</w:t>
      </w:r>
    </w:p>
    <w:p>
      <w:pPr>
        <w:numPr>
          <w:ilvl w:val="0"/>
          <w:numId w:val="68"/>
        </w:numPr>
      </w:pPr>
      <w:r>
        <w:rPr>
          <w:rFonts w:hint="eastAsia"/>
        </w:rPr>
        <w:t>梯子须安放稳固，使用材料需经人传递或用小桶吊放，严禁上下抛物；</w:t>
      </w:r>
    </w:p>
    <w:p>
      <w:pPr>
        <w:numPr>
          <w:ilvl w:val="0"/>
          <w:numId w:val="68"/>
        </w:numPr>
      </w:pPr>
      <w:r>
        <w:rPr>
          <w:rFonts w:hint="eastAsia"/>
        </w:rPr>
        <w:t>使用梯子时至少两人一组，有专人扶梯；</w:t>
      </w:r>
    </w:p>
    <w:p>
      <w:pPr>
        <w:numPr>
          <w:ilvl w:val="0"/>
          <w:numId w:val="68"/>
        </w:numPr>
      </w:pPr>
      <w:r>
        <w:rPr>
          <w:rFonts w:hint="eastAsia"/>
        </w:rPr>
        <w:t>严禁使用梯子最上面两格；</w:t>
      </w:r>
    </w:p>
    <w:p>
      <w:pPr>
        <w:numPr>
          <w:ilvl w:val="0"/>
          <w:numId w:val="68"/>
        </w:numPr>
      </w:pPr>
      <w:r>
        <w:rPr>
          <w:rFonts w:hint="eastAsia"/>
        </w:rPr>
        <w:t>严禁背对梯子作业；</w:t>
      </w:r>
    </w:p>
    <w:p>
      <w:pPr>
        <w:numPr>
          <w:ilvl w:val="0"/>
          <w:numId w:val="68"/>
        </w:numPr>
      </w:pPr>
      <w:r>
        <w:rPr>
          <w:rFonts w:hint="eastAsia"/>
        </w:rPr>
        <w:t>超过2m以上的作业，且安全带无挂点时，除扶梯人外，须再设置一名监护人；</w:t>
      </w:r>
    </w:p>
    <w:p>
      <w:pPr>
        <w:numPr>
          <w:ilvl w:val="0"/>
          <w:numId w:val="68"/>
        </w:numPr>
      </w:pPr>
      <w:r>
        <w:rPr>
          <w:rFonts w:hint="eastAsia"/>
        </w:rPr>
        <w:t>严禁交叉作业；</w:t>
      </w:r>
    </w:p>
    <w:p>
      <w:pPr>
        <w:numPr>
          <w:ilvl w:val="0"/>
          <w:numId w:val="68"/>
        </w:numPr>
      </w:pPr>
      <w:r>
        <w:rPr>
          <w:rFonts w:hint="eastAsia"/>
        </w:rPr>
        <w:t>作业区域应用警示带围好、设置监护人，严禁非作业人员入内；</w:t>
      </w:r>
    </w:p>
    <w:p>
      <w:pPr>
        <w:numPr>
          <w:ilvl w:val="0"/>
          <w:numId w:val="67"/>
        </w:numPr>
      </w:pPr>
      <w:r>
        <w:rPr>
          <w:rFonts w:hint="eastAsia"/>
        </w:rPr>
        <w:t>高温季节必须按照防暑降温的要求合理安排工作时间，配备充足的饮用水，采取必要的防暑降温措施；</w:t>
      </w:r>
    </w:p>
    <w:p>
      <w:pPr>
        <w:numPr>
          <w:ilvl w:val="0"/>
          <w:numId w:val="67"/>
        </w:numPr>
      </w:pPr>
      <w:r>
        <w:rPr>
          <w:rFonts w:hint="eastAsia"/>
        </w:rPr>
        <w:t>临近傍晚及气候突变等照明不良的情况下，必须确保人员和各类构件的安全。</w:t>
      </w:r>
    </w:p>
    <w:p>
      <w:pPr>
        <w:pStyle w:val="4"/>
      </w:pPr>
      <w:r>
        <w:rPr>
          <w:rFonts w:hint="eastAsia"/>
        </w:rPr>
        <w:t>焊接与切割安全技术措施</w:t>
      </w:r>
    </w:p>
    <w:p>
      <w:pPr>
        <w:numPr>
          <w:ilvl w:val="0"/>
          <w:numId w:val="69"/>
        </w:numPr>
        <w:ind w:firstLineChars="0"/>
      </w:pPr>
      <w:r>
        <w:rPr>
          <w:rFonts w:hint="eastAsia"/>
        </w:rPr>
        <w:t>电源端接线必须由专业电工进行，焊机或供电线路出现故障，焊工要及时联系动力电工进行处理；</w:t>
      </w:r>
    </w:p>
    <w:p>
      <w:pPr>
        <w:numPr>
          <w:ilvl w:val="0"/>
          <w:numId w:val="69"/>
        </w:numPr>
        <w:ind w:firstLineChars="0"/>
      </w:pPr>
      <w:r>
        <w:rPr>
          <w:rFonts w:hint="eastAsia"/>
        </w:rPr>
        <w:t>焊工穿戴专用工作服、绝缘鞋、防护手套等符合专业防护要求的劳动保护用品。衣着不得敞领卷袖，必须配戴防护面罩，以免弧光伤眼；焊接前，必须事先消除有害、易燃、易爆物质，解除容器或管道内压力，消除容器密封状态（敞开旋口盖）；</w:t>
      </w:r>
    </w:p>
    <w:p>
      <w:pPr>
        <w:numPr>
          <w:ilvl w:val="0"/>
          <w:numId w:val="69"/>
        </w:numPr>
        <w:ind w:firstLineChars="0"/>
      </w:pPr>
      <w:r>
        <w:rPr>
          <w:rFonts w:hint="eastAsia"/>
        </w:rPr>
        <w:t>检查作场所周围是否有易燃物，如有，应清除或采取可靠的隔离、防护措施，并设专人监护；</w:t>
      </w:r>
    </w:p>
    <w:p>
      <w:pPr>
        <w:numPr>
          <w:ilvl w:val="0"/>
          <w:numId w:val="69"/>
        </w:numPr>
        <w:ind w:firstLineChars="0"/>
      </w:pPr>
      <w:r>
        <w:rPr>
          <w:rFonts w:hint="eastAsia"/>
        </w:rPr>
        <w:t>不宜在雨、雪及大风天气进行露天焊接作业。如确实需要时，应采取遮蔽雨雪、防止触电和火花飞溅等措施；</w:t>
      </w:r>
    </w:p>
    <w:p>
      <w:pPr>
        <w:numPr>
          <w:ilvl w:val="0"/>
          <w:numId w:val="69"/>
        </w:numPr>
        <w:ind w:firstLineChars="0"/>
      </w:pPr>
      <w:r>
        <w:rPr>
          <w:rFonts w:hint="eastAsia"/>
        </w:rPr>
        <w:t>焊接时，焊工不要接触焊接物件或其它导电物件；</w:t>
      </w:r>
    </w:p>
    <w:p>
      <w:pPr>
        <w:numPr>
          <w:ilvl w:val="0"/>
          <w:numId w:val="69"/>
        </w:numPr>
        <w:ind w:firstLineChars="0"/>
      </w:pPr>
      <w:r>
        <w:rPr>
          <w:rFonts w:hint="eastAsia"/>
        </w:rPr>
        <w:t>焊接完工后，焊接位置应予以隔离或设专人监护，防止烫伤其他人员及火灾事故发生；</w:t>
      </w:r>
    </w:p>
    <w:p>
      <w:pPr>
        <w:numPr>
          <w:ilvl w:val="0"/>
          <w:numId w:val="69"/>
        </w:numPr>
        <w:ind w:firstLineChars="0"/>
      </w:pPr>
      <w:r>
        <w:rPr>
          <w:rFonts w:hint="eastAsia"/>
        </w:rPr>
        <w:t>工作结束后，检查地面，灭绝火种，切断电源，方可离开；</w:t>
      </w:r>
    </w:p>
    <w:p>
      <w:pPr>
        <w:numPr>
          <w:ilvl w:val="0"/>
          <w:numId w:val="69"/>
        </w:numPr>
        <w:ind w:firstLineChars="0"/>
      </w:pPr>
      <w:r>
        <w:rPr>
          <w:rFonts w:hint="eastAsia"/>
        </w:rPr>
        <w:t>焊工在工作前必须检查好回火防止器及一切工具是否良好；</w:t>
      </w:r>
    </w:p>
    <w:p>
      <w:pPr>
        <w:numPr>
          <w:ilvl w:val="0"/>
          <w:numId w:val="69"/>
        </w:numPr>
        <w:ind w:firstLineChars="0"/>
      </w:pPr>
      <w:r>
        <w:rPr>
          <w:rFonts w:hint="eastAsia"/>
        </w:rPr>
        <w:t>乙炔瓶、氧气瓶、胶管接头、阀门的紧固件应坚固牢靠，不准有松动、破损和漏气。氧气瓶及其附件以及胶管工具上禁止沾油；</w:t>
      </w:r>
    </w:p>
    <w:p>
      <w:pPr>
        <w:numPr>
          <w:ilvl w:val="0"/>
          <w:numId w:val="69"/>
        </w:numPr>
        <w:ind w:firstLineChars="0"/>
      </w:pPr>
      <w:r>
        <w:rPr>
          <w:rFonts w:hint="eastAsia"/>
        </w:rPr>
        <w:t>工作前必须检查氧气管、乙炔管，如有漏气、老化、鼓包和变质时，不准使用，管内应保持清洁，不得有异物，氧气管、乙炔管不得互换使用；</w:t>
      </w:r>
    </w:p>
    <w:p>
      <w:pPr>
        <w:numPr>
          <w:ilvl w:val="0"/>
          <w:numId w:val="69"/>
        </w:numPr>
        <w:ind w:firstLineChars="0"/>
      </w:pPr>
      <w:r>
        <w:rPr>
          <w:rFonts w:hint="eastAsia"/>
        </w:rPr>
        <w:t>工作前应检查作场所周围是否有易燃物，如有，应清除或采取可靠的隔离、防护措施，并设专人监护；</w:t>
      </w:r>
    </w:p>
    <w:p>
      <w:pPr>
        <w:numPr>
          <w:ilvl w:val="0"/>
          <w:numId w:val="69"/>
        </w:numPr>
        <w:ind w:firstLineChars="0"/>
      </w:pPr>
      <w:r>
        <w:rPr>
          <w:rFonts w:hint="eastAsia"/>
        </w:rPr>
        <w:t>在连接氧气表（减压器）之前，要用专用扳手将氧气瓶阀门微开，放出一些氧气，吹净瓶口污物和杂质，随后关闭。操作时工作人员应站在气口侧面，并闪开。开气时，气门不可朝下；</w:t>
      </w:r>
    </w:p>
    <w:p>
      <w:pPr>
        <w:numPr>
          <w:ilvl w:val="0"/>
          <w:numId w:val="69"/>
        </w:numPr>
        <w:ind w:firstLineChars="0"/>
      </w:pPr>
      <w:r>
        <w:rPr>
          <w:rFonts w:hint="eastAsia"/>
        </w:rPr>
        <w:t>乙炔、氧气瓶应垂直放置，防止倾倒，严禁与氧气瓶等易燃品同时存放；</w:t>
      </w:r>
    </w:p>
    <w:p>
      <w:pPr>
        <w:numPr>
          <w:ilvl w:val="0"/>
          <w:numId w:val="69"/>
        </w:numPr>
        <w:ind w:firstLineChars="0"/>
      </w:pPr>
      <w:r>
        <w:rPr>
          <w:rFonts w:hint="eastAsia"/>
        </w:rPr>
        <w:t>开启氧气或乙炔瓶阀门时，禁止用铁器敲击，应用专用工具，动作要缓慢，防止产生火花，严禁面对减压器站立；</w:t>
      </w:r>
    </w:p>
    <w:p>
      <w:pPr>
        <w:numPr>
          <w:ilvl w:val="0"/>
          <w:numId w:val="69"/>
        </w:numPr>
        <w:ind w:firstLineChars="0"/>
      </w:pPr>
      <w:r>
        <w:rPr>
          <w:rFonts w:hint="eastAsia"/>
        </w:rPr>
        <w:t>在机械上（或高处）作业时，应在切割部件下部搭设安全保护装置以防金属溶液落下引起火灾或烧伤其他人员；</w:t>
      </w:r>
    </w:p>
    <w:p>
      <w:pPr>
        <w:numPr>
          <w:ilvl w:val="0"/>
          <w:numId w:val="69"/>
        </w:numPr>
        <w:ind w:firstLineChars="0"/>
      </w:pPr>
      <w:r>
        <w:rPr>
          <w:rFonts w:hint="eastAsia"/>
        </w:rPr>
        <w:t>了解设备的消防器材状况，并保证在焊接地点周围有2个以上干粉灭火器；切割工作结束后，应检查地面，灭绝火种；</w:t>
      </w:r>
    </w:p>
    <w:p>
      <w:pPr>
        <w:numPr>
          <w:ilvl w:val="0"/>
          <w:numId w:val="69"/>
        </w:numPr>
        <w:ind w:firstLineChars="0"/>
      </w:pPr>
      <w:r>
        <w:rPr>
          <w:rFonts w:hint="eastAsia"/>
        </w:rPr>
        <w:t>使用时，必须保证氧气瓶、乙炔瓶距明火不得小于10m。</w:t>
      </w:r>
    </w:p>
    <w:p>
      <w:pPr>
        <w:numPr>
          <w:ilvl w:val="0"/>
          <w:numId w:val="69"/>
        </w:numPr>
        <w:ind w:firstLineChars="0"/>
      </w:pPr>
      <w:r>
        <w:rPr>
          <w:rFonts w:hint="eastAsia"/>
        </w:rPr>
        <w:t>工作地点不固定、移动较频繁时，应装在专用小车上，严禁将乙炔瓶和氧气瓶放在一起。</w:t>
      </w:r>
    </w:p>
    <w:p>
      <w:pPr>
        <w:pStyle w:val="4"/>
      </w:pPr>
      <w:r>
        <w:rPr>
          <w:rFonts w:hint="eastAsia"/>
        </w:rPr>
        <w:t>临时用电安全措施</w:t>
      </w:r>
    </w:p>
    <w:p>
      <w:pPr>
        <w:numPr>
          <w:ilvl w:val="0"/>
          <w:numId w:val="70"/>
        </w:numPr>
        <w:ind w:firstLineChars="0"/>
      </w:pPr>
      <w:r>
        <w:t>严格执行《施工现场临时用电安全技术规范》（JGJ 46-2005），按照施工用电组织设计架设三相五线制的电气线路，所有电线均应架空，过道或穿墙均要用钢管或胶套管保护，严禁利用大地作为工作零线。认真贯彻《建筑施工安全检查标准》（JGJ 59-2011）中临时用电规定；</w:t>
      </w:r>
    </w:p>
    <w:p>
      <w:pPr>
        <w:numPr>
          <w:ilvl w:val="0"/>
          <w:numId w:val="70"/>
        </w:numPr>
        <w:ind w:firstLineChars="0"/>
      </w:pPr>
      <w:r>
        <w:t>配电箱、开关箱内电气设备完好无缺。箱体下方进出线，开关箱应符合</w:t>
      </w:r>
      <w:r>
        <w:rPr>
          <w:rFonts w:hint="eastAsia"/>
        </w:rPr>
        <w:t>“</w:t>
      </w:r>
      <w:r>
        <w:t>一机一闸一漏一箱</w:t>
      </w:r>
      <w:r>
        <w:rPr>
          <w:rFonts w:hint="eastAsia"/>
        </w:rPr>
        <w:t>”</w:t>
      </w:r>
      <w:r>
        <w:t>的要求，门、锁完善，有防雨、防尘措施，箱内无杂物，箱前通道畅通，并应对电箱统一编号，刷上危险标志。保护零线（PE、绿/黄线）中间和末端必须重复接地，严禁与工作零线混接；产生振动的设备的重复接地不少于两处；</w:t>
      </w:r>
    </w:p>
    <w:p>
      <w:pPr>
        <w:numPr>
          <w:ilvl w:val="0"/>
          <w:numId w:val="70"/>
        </w:numPr>
        <w:ind w:firstLineChars="0"/>
      </w:pPr>
      <w:r>
        <w:t>临时用电施工组织设计和临时安全用电技术措施及电气防火措施，必须由电气工程技术人员编制，技术负责人审核，经主管部门批准后实施；</w:t>
      </w:r>
    </w:p>
    <w:p>
      <w:pPr>
        <w:numPr>
          <w:ilvl w:val="0"/>
          <w:numId w:val="70"/>
        </w:numPr>
        <w:ind w:firstLineChars="0"/>
      </w:pPr>
      <w:r>
        <w:t>安装、维修或拆除临时用电工程，必须由持证电工完成，无证人员禁止上岗。电工等级应同工程的难易程度和技术复杂性相适应；</w:t>
      </w:r>
    </w:p>
    <w:p>
      <w:pPr>
        <w:numPr>
          <w:ilvl w:val="0"/>
          <w:numId w:val="70"/>
        </w:numPr>
        <w:ind w:firstLineChars="0"/>
      </w:pPr>
      <w:r>
        <w:t>使用设备必须按规定穿戴和配备好相应的劳动保护用品，并应检查电气装置和保护设施是否完好，严禁设备带病运转和进行运转中维修；</w:t>
      </w:r>
    </w:p>
    <w:p>
      <w:pPr>
        <w:numPr>
          <w:ilvl w:val="0"/>
          <w:numId w:val="70"/>
        </w:numPr>
        <w:ind w:firstLineChars="0"/>
      </w:pPr>
      <w:r>
        <w:t>停用的设备必须拉闸断电，锁好开关箱。负载线、保护零线和开关箱发现问题应及时报告解决。搬迁或移动的用电设备，必须由专业电工切断电源并作妥善处理；</w:t>
      </w:r>
    </w:p>
    <w:p>
      <w:pPr>
        <w:numPr>
          <w:ilvl w:val="0"/>
          <w:numId w:val="70"/>
        </w:numPr>
        <w:ind w:firstLineChars="0"/>
      </w:pPr>
      <w:r>
        <w:t>按规范做好施工现场临时安全用电的安全技术档案；</w:t>
      </w:r>
    </w:p>
    <w:p>
      <w:pPr>
        <w:numPr>
          <w:ilvl w:val="0"/>
          <w:numId w:val="70"/>
        </w:numPr>
        <w:ind w:firstLineChars="0"/>
      </w:pPr>
      <w:r>
        <w:t>在建工程与外电线路的安全距离及外电防护和接地与防雷等应严格按规范执行；</w:t>
      </w:r>
    </w:p>
    <w:p>
      <w:pPr>
        <w:numPr>
          <w:ilvl w:val="0"/>
          <w:numId w:val="70"/>
        </w:numPr>
        <w:ind w:firstLineChars="0"/>
      </w:pPr>
      <w:r>
        <w:t>配电线路的架空线必须采用绝缘铜线和绝缘铝线。架空线必须设置在专用电杆上；</w:t>
      </w:r>
    </w:p>
    <w:p>
      <w:pPr>
        <w:numPr>
          <w:ilvl w:val="0"/>
          <w:numId w:val="70"/>
        </w:numPr>
        <w:ind w:firstLineChars="0"/>
      </w:pPr>
      <w:r>
        <w:t>空线的接头、相序排列、档距、线间距离及横担的垂直距离和横担的选择及规格，严格执行规范规定；</w:t>
      </w:r>
    </w:p>
    <w:p>
      <w:pPr>
        <w:numPr>
          <w:ilvl w:val="0"/>
          <w:numId w:val="70"/>
        </w:numPr>
        <w:ind w:firstLineChars="0"/>
      </w:pPr>
      <w:r>
        <w:t>动力配电箱与照明配电箱应分别设置，如合置在同一配电箱内，动力和照明线路应分路设置；</w:t>
      </w:r>
    </w:p>
    <w:p>
      <w:pPr>
        <w:numPr>
          <w:ilvl w:val="0"/>
          <w:numId w:val="70"/>
        </w:numPr>
        <w:ind w:firstLineChars="0"/>
      </w:pPr>
      <w:r>
        <w:t>开关箱应由末级配电箱配电，配电箱、开关箱制作所用的材料、箱的规格设置要求及安装技术应按规范执行。配电箱、开关箱最好购合格的成品使用；</w:t>
      </w:r>
    </w:p>
    <w:p>
      <w:pPr>
        <w:numPr>
          <w:ilvl w:val="0"/>
          <w:numId w:val="70"/>
        </w:numPr>
        <w:ind w:firstLineChars="0"/>
      </w:pPr>
      <w:r>
        <w:t>配电箱、开关箱内的开关电器安装，绝缘要求和箱壳保护接零应按规范执行；</w:t>
      </w:r>
    </w:p>
    <w:p>
      <w:pPr>
        <w:numPr>
          <w:ilvl w:val="0"/>
          <w:numId w:val="70"/>
        </w:numPr>
        <w:ind w:firstLineChars="0"/>
      </w:pPr>
      <w:r>
        <w:t>严禁用同一个开关电器直接控制2台及2台以上用电设备（含插座）；</w:t>
      </w:r>
    </w:p>
    <w:p>
      <w:pPr>
        <w:numPr>
          <w:ilvl w:val="0"/>
          <w:numId w:val="70"/>
        </w:numPr>
        <w:ind w:firstLineChars="0"/>
      </w:pPr>
      <w:r>
        <w:t>开关箱内必须装设漏电保护器，漏电保护器的选择应符合要求。漏电保护器的安装要求和额定漏电动作应符合规范要求；</w:t>
      </w:r>
    </w:p>
    <w:p>
      <w:pPr>
        <w:numPr>
          <w:ilvl w:val="0"/>
          <w:numId w:val="70"/>
        </w:numPr>
        <w:ind w:firstLineChars="0"/>
      </w:pPr>
      <w:r>
        <w:t>配电箱和开关箱中两级漏电保护器的额定漏电动作时间作合理配合，使之具有分段保护的功能；</w:t>
      </w:r>
    </w:p>
    <w:p>
      <w:pPr>
        <w:numPr>
          <w:ilvl w:val="0"/>
          <w:numId w:val="70"/>
        </w:numPr>
        <w:ind w:firstLineChars="0"/>
      </w:pPr>
      <w:r>
        <w:t>手动开关电器只许用于直接控制照明电器和容量不大于5.5kW动力电路。容量大于5.5kW的动力电路应采用自动开关电器或降压启动装置控制。各种开关电器的额定值与其控制用电设备的额定值相适应；</w:t>
      </w:r>
    </w:p>
    <w:p>
      <w:pPr>
        <w:numPr>
          <w:ilvl w:val="0"/>
          <w:numId w:val="70"/>
        </w:numPr>
        <w:ind w:firstLineChars="0"/>
      </w:pPr>
      <w:r>
        <w:t>对配电箱、开关箱进行检查、维修时，必须将其前一级相应的电源开关分闸断电，并悬挂停电检修标志牌，严禁带电作业；</w:t>
      </w:r>
    </w:p>
    <w:p>
      <w:pPr>
        <w:numPr>
          <w:ilvl w:val="0"/>
          <w:numId w:val="70"/>
        </w:numPr>
        <w:ind w:firstLineChars="0"/>
      </w:pPr>
      <w:r>
        <w:t>移动的用电设备使用的电源线路，必须使用绝缘胶套管式电缆；</w:t>
      </w:r>
    </w:p>
    <w:p>
      <w:pPr>
        <w:numPr>
          <w:ilvl w:val="0"/>
          <w:numId w:val="70"/>
        </w:numPr>
        <w:ind w:firstLineChars="0"/>
      </w:pPr>
      <w:r>
        <w:t>用电设备和电气线路必须有保护接零；</w:t>
      </w:r>
    </w:p>
    <w:p>
      <w:pPr>
        <w:numPr>
          <w:ilvl w:val="0"/>
          <w:numId w:val="70"/>
        </w:numPr>
        <w:ind w:firstLineChars="0"/>
      </w:pPr>
      <w:r>
        <w:t>电动工具、机械设备有良好的接地装置，所用电源有可靠的触电保护器。阴雨天气及在潮湿部位工作所使用的电动工机具、机械、工作人员的劳保用品必须符合有关的要求；</w:t>
      </w:r>
    </w:p>
    <w:p>
      <w:pPr>
        <w:numPr>
          <w:ilvl w:val="0"/>
          <w:numId w:val="70"/>
        </w:numPr>
        <w:ind w:firstLineChars="0"/>
      </w:pPr>
      <w:r>
        <w:t>严禁施工现场非正式电工乱接用电线和安装用电开关；</w:t>
      </w:r>
    </w:p>
    <w:p>
      <w:pPr>
        <w:numPr>
          <w:ilvl w:val="0"/>
          <w:numId w:val="70"/>
        </w:numPr>
        <w:ind w:firstLineChars="0"/>
      </w:pPr>
      <w:r>
        <w:t>残缺绝缘盖的闸刀开关禁止使用，开关不得采用铜、铁、铝线作熔断保险丝；</w:t>
      </w:r>
    </w:p>
    <w:p>
      <w:pPr>
        <w:numPr>
          <w:ilvl w:val="0"/>
          <w:numId w:val="70"/>
        </w:numPr>
        <w:ind w:firstLineChars="0"/>
      </w:pPr>
      <w:r>
        <w:t>在施工现场设置围栏、警示牌、夜间警示灯，以告示行人。</w:t>
      </w:r>
    </w:p>
    <w:p>
      <w:pPr>
        <w:pStyle w:val="4"/>
      </w:pPr>
      <w:r>
        <w:t>交叉作业安全措施</w:t>
      </w:r>
    </w:p>
    <w:p>
      <w:pPr>
        <w:numPr>
          <w:ilvl w:val="0"/>
          <w:numId w:val="71"/>
        </w:numPr>
        <w:ind w:firstLineChars="0"/>
      </w:pPr>
      <w:r>
        <w:t>交叉作业要设安全栏杆、安全网、防护棚和示警围栏;夜间工作要有足够照明;</w:t>
      </w:r>
      <w:r>
        <w:rPr>
          <w:rFonts w:hint="eastAsia"/>
        </w:rPr>
        <w:t>高处作业</w:t>
      </w:r>
      <w:r>
        <w:t>施工人员必须体检合格</w:t>
      </w:r>
      <w:r>
        <w:rPr>
          <w:rFonts w:hint="eastAsia"/>
        </w:rPr>
        <w:t>，</w:t>
      </w:r>
      <w:r>
        <w:t>作业时须带安全帽，不准穿凉鞋、硬底鞋、塑料鞋及赤脚攀登</w:t>
      </w:r>
      <w:r>
        <w:rPr>
          <w:rFonts w:hint="eastAsia"/>
        </w:rPr>
        <w:t>；</w:t>
      </w:r>
      <w:r>
        <w:t>作业中不准将工具、材料上、下投掷,要用绳索绑牢后吊运;六级以上大风时不能施工工作；</w:t>
      </w:r>
    </w:p>
    <w:p>
      <w:pPr>
        <w:numPr>
          <w:ilvl w:val="0"/>
          <w:numId w:val="71"/>
        </w:numPr>
        <w:ind w:firstLineChars="0"/>
      </w:pPr>
      <w:r>
        <w:t>在同一作业区域内进行起重吊装作业时</w:t>
      </w:r>
      <w:r>
        <w:rPr>
          <w:rFonts w:hint="eastAsia"/>
        </w:rPr>
        <w:t>；</w:t>
      </w:r>
      <w:r>
        <w:t>应充分考虑对各方工作的安全影响</w:t>
      </w:r>
      <w:r>
        <w:rPr>
          <w:rFonts w:hint="eastAsia"/>
        </w:rPr>
        <w:t>，</w:t>
      </w:r>
      <w:r>
        <w:t>制定起重吊装方案和安全措施。指派专业人员负责统一指挥</w:t>
      </w:r>
      <w:r>
        <w:rPr>
          <w:rFonts w:hint="eastAsia"/>
        </w:rPr>
        <w:t>，</w:t>
      </w:r>
      <w:r>
        <w:t>检查现场安全和措施符合要求后</w:t>
      </w:r>
      <w:r>
        <w:rPr>
          <w:rFonts w:hint="eastAsia"/>
        </w:rPr>
        <w:t>，</w:t>
      </w:r>
      <w:r>
        <w:t>方可进行起重吊装作业；</w:t>
      </w:r>
    </w:p>
    <w:p>
      <w:pPr>
        <w:numPr>
          <w:ilvl w:val="0"/>
          <w:numId w:val="71"/>
        </w:numPr>
        <w:ind w:firstLineChars="0"/>
      </w:pPr>
      <w:r>
        <w:t>与起重作业无关的人员不准进入作业现场</w:t>
      </w:r>
      <w:r>
        <w:rPr>
          <w:rFonts w:hint="eastAsia"/>
        </w:rPr>
        <w:t>，</w:t>
      </w:r>
      <w:r>
        <w:t>吊物运行路线下方所有人员应无条件撤离</w:t>
      </w:r>
      <w:r>
        <w:rPr>
          <w:rFonts w:hint="eastAsia"/>
        </w:rPr>
        <w:t>；</w:t>
      </w:r>
      <w:r>
        <w:t>指挥人员站位应便于指挥和了望</w:t>
      </w:r>
      <w:r>
        <w:rPr>
          <w:rFonts w:hint="eastAsia"/>
        </w:rPr>
        <w:t>，</w:t>
      </w:r>
      <w:r>
        <w:t>不得与起吊路线交叉；</w:t>
      </w:r>
    </w:p>
    <w:p>
      <w:pPr>
        <w:numPr>
          <w:ilvl w:val="0"/>
          <w:numId w:val="71"/>
        </w:numPr>
        <w:ind w:firstLineChars="0"/>
      </w:pPr>
      <w:r>
        <w:t>作业人员与被吊物体必须保持有效的安全距离。索具与吊物应捆绑牢固、采取防滑措施，吊钩应有安全装置</w:t>
      </w:r>
      <w:r>
        <w:rPr>
          <w:rFonts w:hint="eastAsia"/>
        </w:rPr>
        <w:t>；</w:t>
      </w:r>
      <w:r>
        <w:t>吊装作业前,起重指挥人员通知有关人员撤离</w:t>
      </w:r>
      <w:r>
        <w:rPr>
          <w:rFonts w:hint="eastAsia"/>
        </w:rPr>
        <w:t>，</w:t>
      </w:r>
      <w:r>
        <w:t>确认吊物下方及吊物行走路线范围无人员及障碍物，方可起吊；</w:t>
      </w:r>
    </w:p>
    <w:p>
      <w:pPr>
        <w:numPr>
          <w:ilvl w:val="0"/>
          <w:numId w:val="71"/>
        </w:numPr>
        <w:ind w:firstLineChars="0"/>
      </w:pPr>
      <w:r>
        <w:t>在同一作业区域内进行焊接（动火）作业时</w:t>
      </w:r>
      <w:r>
        <w:rPr>
          <w:rFonts w:hint="eastAsia"/>
        </w:rPr>
        <w:t>；</w:t>
      </w:r>
      <w:r>
        <w:t>施工单位必须事先作好防护</w:t>
      </w:r>
      <w:r>
        <w:rPr>
          <w:rFonts w:hint="eastAsia"/>
        </w:rPr>
        <w:t>，</w:t>
      </w:r>
      <w:r>
        <w:t>并配备合格的消防灭火器材</w:t>
      </w:r>
      <w:r>
        <w:rPr>
          <w:rFonts w:hint="eastAsia"/>
        </w:rPr>
        <w:t>，</w:t>
      </w:r>
      <w:r>
        <w:t>消除现场易燃易爆物品。无法清除易燃物品时</w:t>
      </w:r>
      <w:r>
        <w:rPr>
          <w:rFonts w:hint="eastAsia"/>
        </w:rPr>
        <w:t>，</w:t>
      </w:r>
      <w:r>
        <w:t>应与焊接（动火）作业保持适当的安全距离并采取隔离和防护措施。</w:t>
      </w:r>
    </w:p>
    <w:p>
      <w:pPr>
        <w:pStyle w:val="3"/>
      </w:pPr>
      <w:bookmarkStart w:id="152" w:name="_Toc12247"/>
      <w:r>
        <w:rPr>
          <w:rFonts w:hint="eastAsia"/>
        </w:rPr>
        <w:t>监测监控措施</w:t>
      </w:r>
      <w:bookmarkEnd w:id="152"/>
    </w:p>
    <w:p>
      <w:pPr>
        <w:pStyle w:val="78"/>
        <w:numPr>
          <w:ilvl w:val="0"/>
          <w:numId w:val="72"/>
        </w:numPr>
        <w:ind w:firstLineChars="0"/>
      </w:pPr>
      <w:r>
        <w:rPr>
          <w:rFonts w:hint="eastAsia"/>
        </w:rPr>
        <w:t>安拆过程中持续搜集影响设备安拆施工的天气信息，当遇到6级及以上大风时应停止施工；</w:t>
      </w:r>
    </w:p>
    <w:p>
      <w:pPr>
        <w:pStyle w:val="78"/>
        <w:numPr>
          <w:ilvl w:val="0"/>
          <w:numId w:val="72"/>
        </w:numPr>
        <w:ind w:firstLineChars="0"/>
      </w:pPr>
      <w:r>
        <w:rPr>
          <w:rFonts w:hint="eastAsia"/>
        </w:rPr>
        <w:t>持续监控测量侧向垂直度等，确保</w:t>
      </w:r>
      <w:r>
        <w:fldChar w:fldCharType="begin"/>
      </w:r>
      <w:r>
        <w:instrText xml:space="preserve"> REF 设备类型 \h  \* MERGEFORMAT </w:instrText>
      </w:r>
      <w:r>
        <w:fldChar w:fldCharType="separate"/>
      </w:r>
      <w:r>
        <w:rPr>
          <w:rFonts w:hint="eastAsia"/>
        </w:rPr>
        <w:t>塔式起重机</w:t>
      </w:r>
      <w:r>
        <w:fldChar w:fldCharType="end"/>
      </w:r>
      <w:r>
        <w:rPr>
          <w:rFonts w:hint="eastAsia"/>
        </w:rPr>
        <w:t>满足要求。</w:t>
      </w:r>
    </w:p>
    <w:p>
      <w:pPr>
        <w:pStyle w:val="3"/>
      </w:pPr>
      <w:bookmarkStart w:id="153" w:name="_Toc1372"/>
      <w:r>
        <w:rPr>
          <w:rFonts w:hint="eastAsia"/>
        </w:rPr>
        <w:t>特殊季节保证措施</w:t>
      </w:r>
      <w:bookmarkEnd w:id="153"/>
    </w:p>
    <w:p>
      <w:pPr>
        <w:pStyle w:val="4"/>
      </w:pPr>
      <w:r>
        <w:rPr>
          <w:rFonts w:hint="eastAsia"/>
        </w:rPr>
        <w:t>雨季施工保证措施</w:t>
      </w:r>
    </w:p>
    <w:p>
      <w:pPr>
        <w:pStyle w:val="78"/>
        <w:numPr>
          <w:ilvl w:val="0"/>
          <w:numId w:val="73"/>
        </w:numPr>
        <w:ind w:firstLineChars="0"/>
      </w:pPr>
      <w:r>
        <w:rPr>
          <w:rFonts w:hint="eastAsia"/>
        </w:rPr>
        <w:t>明确目标，建立制度，完善管理，落实责任，并及时上报处理汛期发生的各种质量和安全隐患，并严格按“四不放过”原则加强安全隐患的排查处理，防微杜渐，坚决减少汛期对工程建设质量和进度的影响，坚决预防、杜绝重特大安全事故发生。</w:t>
      </w:r>
    </w:p>
    <w:p>
      <w:pPr>
        <w:pStyle w:val="78"/>
        <w:numPr>
          <w:ilvl w:val="0"/>
          <w:numId w:val="73"/>
        </w:numPr>
        <w:ind w:firstLineChars="0"/>
      </w:pPr>
      <w:r>
        <w:rPr>
          <w:rFonts w:hint="eastAsia"/>
        </w:rPr>
        <w:t>制定雨季施工安全预案，做好防洪抢险的准备工作，高度重视雨季施工，把汛期施工作为安全生产的一项重要内容进行考核，制定汛期施工方案和相应的应急预案，落实防汛材料和设备，责任到人，确保不发生安全事故。</w:t>
      </w:r>
    </w:p>
    <w:p>
      <w:pPr>
        <w:pStyle w:val="78"/>
        <w:numPr>
          <w:ilvl w:val="0"/>
          <w:numId w:val="73"/>
        </w:numPr>
        <w:ind w:firstLineChars="0"/>
      </w:pPr>
      <w:r>
        <w:rPr>
          <w:rFonts w:hint="eastAsia"/>
        </w:rPr>
        <w:t>雨季施工要提前准备必要的防洪抢险器材、机具及遮盖材料，对水泥、钢材等工程材料要有防雨防潮、对施工机械应有防止洪水淹没等措施，确保突发洪水时能有足够的人力、物力进行抗洪抢险，避免洪水造成较大的损失。</w:t>
      </w:r>
    </w:p>
    <w:p>
      <w:pPr>
        <w:pStyle w:val="78"/>
        <w:numPr>
          <w:ilvl w:val="0"/>
          <w:numId w:val="73"/>
        </w:numPr>
        <w:ind w:firstLineChars="0"/>
      </w:pPr>
      <w:r>
        <w:rPr>
          <w:rFonts w:hint="eastAsia"/>
        </w:rPr>
        <w:t>施工场地和生活区要设置排水设施；施工现场应及时排除积水，并采取防滑措施。同时制定安全用电规程，严防漏电、触电；雷区应有防雷措施。</w:t>
      </w:r>
    </w:p>
    <w:p>
      <w:pPr>
        <w:pStyle w:val="78"/>
        <w:numPr>
          <w:ilvl w:val="0"/>
          <w:numId w:val="73"/>
        </w:numPr>
        <w:ind w:firstLineChars="0"/>
      </w:pPr>
      <w:r>
        <w:rPr>
          <w:rFonts w:hint="eastAsia"/>
        </w:rPr>
        <w:t>雨季施工要避开大风大雨天气，遇暴风雨或受洪水危害时要停止施工作业。</w:t>
      </w:r>
    </w:p>
    <w:p>
      <w:pPr>
        <w:pStyle w:val="78"/>
        <w:numPr>
          <w:ilvl w:val="0"/>
          <w:numId w:val="73"/>
        </w:numPr>
        <w:ind w:firstLineChars="0"/>
      </w:pPr>
      <w:r>
        <w:rPr>
          <w:rFonts w:hint="eastAsia"/>
        </w:rPr>
        <w:t>加强与气象部门的沟通，提前掌握天气变化趋势，对可能到来的大范围强降水要早知道、早预防、早准备，做到有备无患，最大程度地减小对施工的影响。</w:t>
      </w:r>
    </w:p>
    <w:p>
      <w:pPr>
        <w:pStyle w:val="78"/>
        <w:numPr>
          <w:ilvl w:val="0"/>
          <w:numId w:val="73"/>
        </w:numPr>
        <w:ind w:firstLineChars="0"/>
      </w:pPr>
      <w:r>
        <w:rPr>
          <w:rFonts w:hint="eastAsia"/>
        </w:rPr>
        <w:t>施工现场的运输道路、生产生活房屋、变电所、发电机房、易燃易爆仓库、材料堆放以及动力通讯线路等重要、重点部位，要有专人值守和巡视，发现隐患要及时处理或上报。</w:t>
      </w:r>
    </w:p>
    <w:p>
      <w:pPr>
        <w:pStyle w:val="78"/>
        <w:numPr>
          <w:ilvl w:val="0"/>
          <w:numId w:val="73"/>
        </w:numPr>
        <w:ind w:firstLineChars="0"/>
      </w:pPr>
      <w:r>
        <w:rPr>
          <w:rFonts w:hint="eastAsia"/>
        </w:rPr>
        <w:t>如发生雨天浇筑混凝土的情况，要保证现场有足够的覆盖材料，及时覆盖。并预先设置施工缝，以便雨天能够及停止浇注。同时加强坍落度检测，保证混凝土强度。</w:t>
      </w:r>
    </w:p>
    <w:p>
      <w:pPr>
        <w:pStyle w:val="78"/>
        <w:numPr>
          <w:ilvl w:val="0"/>
          <w:numId w:val="73"/>
        </w:numPr>
        <w:ind w:firstLineChars="0"/>
      </w:pPr>
      <w:r>
        <w:rPr>
          <w:rFonts w:hint="eastAsia"/>
        </w:rPr>
        <w:t>注意安全用电，以防止漏电、触电。加强施工用电安全防护工作，机电设备的电闸箱采取防雨、防潮等措施，并安装好接地保护装置。</w:t>
      </w:r>
    </w:p>
    <w:p>
      <w:pPr>
        <w:pStyle w:val="78"/>
        <w:numPr>
          <w:ilvl w:val="0"/>
          <w:numId w:val="73"/>
        </w:numPr>
        <w:ind w:firstLineChars="0"/>
      </w:pPr>
      <w:r>
        <w:rPr>
          <w:rFonts w:hint="eastAsia"/>
        </w:rPr>
        <w:t>现场钢筋原材堆场要有良好的排水设施，钢筋原材堆放要用枕木垫起，以防止钢筋泡水生锈，在下雨前，要对所有钢筋原材、半成品钢筋加以覆盖，避免雨淋。</w:t>
      </w:r>
    </w:p>
    <w:p>
      <w:pPr>
        <w:pStyle w:val="78"/>
        <w:numPr>
          <w:ilvl w:val="0"/>
          <w:numId w:val="73"/>
        </w:numPr>
        <w:ind w:firstLineChars="0"/>
      </w:pPr>
      <w:r>
        <w:rPr>
          <w:rFonts w:hint="eastAsia"/>
        </w:rPr>
        <w:t>当钢筋受雨淋而生锈时，应进行除锈处理后才能使用到工程中。若钢筋锈蚀严重，当视情况进行退场处理或降级使用。</w:t>
      </w:r>
    </w:p>
    <w:p>
      <w:pPr>
        <w:pStyle w:val="78"/>
        <w:numPr>
          <w:ilvl w:val="0"/>
          <w:numId w:val="73"/>
        </w:numPr>
        <w:ind w:firstLineChars="0"/>
      </w:pPr>
      <w:r>
        <w:rPr>
          <w:rFonts w:hint="eastAsia"/>
        </w:rPr>
        <w:t>在雨季施工期间，项目所有员工均要配备雨鞋、雨衣。员工在雨天进行施工时，必须要穿好雨衣、雨鞋，防止因淋雨而生病。</w:t>
      </w:r>
    </w:p>
    <w:p>
      <w:pPr>
        <w:pStyle w:val="78"/>
        <w:numPr>
          <w:ilvl w:val="0"/>
          <w:numId w:val="73"/>
        </w:numPr>
        <w:ind w:firstLineChars="0"/>
      </w:pPr>
      <w:r>
        <w:rPr>
          <w:rFonts w:hint="eastAsia"/>
        </w:rPr>
        <w:t>雨天不要进行钢筋焊接作业，预防施工漏电及雷电对人身安全造成伤害。</w:t>
      </w:r>
    </w:p>
    <w:p>
      <w:pPr>
        <w:pStyle w:val="4"/>
      </w:pPr>
      <w:r>
        <w:rPr>
          <w:rFonts w:hint="eastAsia"/>
        </w:rPr>
        <w:t>大风天气施工保证措施</w:t>
      </w:r>
    </w:p>
    <w:p>
      <w:pPr>
        <w:pStyle w:val="78"/>
        <w:numPr>
          <w:ilvl w:val="0"/>
          <w:numId w:val="74"/>
        </w:numPr>
        <w:ind w:firstLineChars="0"/>
      </w:pPr>
      <w:r>
        <w:rPr>
          <w:rFonts w:hint="eastAsia"/>
        </w:rPr>
        <w:t>加强当地气象网站的监听，随时通告有关大风信息，起重吊装作业要求在风力六级以下施工。</w:t>
      </w:r>
    </w:p>
    <w:p>
      <w:pPr>
        <w:pStyle w:val="78"/>
        <w:numPr>
          <w:ilvl w:val="0"/>
          <w:numId w:val="74"/>
        </w:numPr>
        <w:ind w:firstLineChars="0"/>
      </w:pPr>
      <w:r>
        <w:rPr>
          <w:rFonts w:hint="eastAsia"/>
        </w:rPr>
        <w:t>若遇六级以上大风时，及时停止起重吊装作业，并采取有效的防风措施。</w:t>
      </w:r>
    </w:p>
    <w:p>
      <w:pPr>
        <w:pStyle w:val="78"/>
        <w:numPr>
          <w:ilvl w:val="0"/>
          <w:numId w:val="74"/>
        </w:numPr>
        <w:ind w:firstLineChars="0"/>
      </w:pPr>
      <w:r>
        <w:rPr>
          <w:rFonts w:hint="eastAsia"/>
        </w:rPr>
        <w:t>针对季风期内突发风以及大风等天气，对现场机械设备、临时设施采取加固措施。</w:t>
      </w:r>
    </w:p>
    <w:p>
      <w:pPr>
        <w:pStyle w:val="78"/>
        <w:numPr>
          <w:ilvl w:val="0"/>
          <w:numId w:val="74"/>
        </w:numPr>
        <w:ind w:firstLineChars="0"/>
      </w:pPr>
      <w:r>
        <w:rPr>
          <w:rFonts w:hint="eastAsia"/>
        </w:rPr>
        <w:t>季风期施工时，将高空作业平台上小型物件及不稳定物体进行绑牢、安装稳定，防止物件掉落。</w:t>
      </w:r>
    </w:p>
    <w:p>
      <w:pPr>
        <w:pStyle w:val="78"/>
        <w:numPr>
          <w:ilvl w:val="0"/>
          <w:numId w:val="74"/>
        </w:numPr>
        <w:ind w:firstLineChars="0"/>
      </w:pPr>
      <w:r>
        <w:rPr>
          <w:rFonts w:hint="eastAsia"/>
        </w:rPr>
        <w:t>积极与当地相关部门联系，服从其统一领导和调度，努力配合工作。</w:t>
      </w:r>
    </w:p>
    <w:p>
      <w:pPr>
        <w:pStyle w:val="78"/>
        <w:numPr>
          <w:ilvl w:val="0"/>
          <w:numId w:val="74"/>
        </w:numPr>
        <w:ind w:firstLineChars="0"/>
      </w:pPr>
      <w:r>
        <w:rPr>
          <w:rFonts w:hint="eastAsia"/>
        </w:rPr>
        <w:t>有关人员配备通讯设备（如对讲机），加强联系，互通情况。</w:t>
      </w:r>
    </w:p>
    <w:bookmarkEnd w:id="146"/>
    <w:bookmarkEnd w:id="147"/>
    <w:bookmarkEnd w:id="148"/>
    <w:bookmarkEnd w:id="149"/>
    <w:bookmarkEnd w:id="150"/>
    <w:bookmarkEnd w:id="151"/>
    <w:p>
      <w:pPr>
        <w:pStyle w:val="78"/>
        <w:numPr>
          <w:ilvl w:val="0"/>
          <w:numId w:val="74"/>
        </w:numPr>
        <w:ind w:firstLineChars="0"/>
      </w:pPr>
      <w:bookmarkStart w:id="154" w:name="_Toc5858"/>
      <w:bookmarkStart w:id="155" w:name="_Toc2870"/>
      <w:bookmarkStart w:id="156" w:name="_Toc40778447"/>
      <w:r>
        <w:rPr>
          <w:color w:val="000000" w:themeColor="text1"/>
          <w14:textFill>
            <w14:solidFill>
              <w14:schemeClr w14:val="tx1"/>
            </w14:solidFill>
          </w14:textFill>
        </w:rPr>
        <w:br w:type="page"/>
      </w:r>
    </w:p>
    <w:bookmarkEnd w:id="154"/>
    <w:bookmarkEnd w:id="155"/>
    <w:bookmarkEnd w:id="156"/>
    <w:p>
      <w:pPr>
        <w:pStyle w:val="2"/>
      </w:pPr>
      <w:bookmarkStart w:id="157" w:name="_Toc131174059"/>
      <w:bookmarkStart w:id="158" w:name="_Toc16492"/>
      <w:r>
        <w:rPr>
          <w:rFonts w:hint="eastAsia"/>
        </w:rPr>
        <w:t>施工管理及作业人员配备和分工</w:t>
      </w:r>
      <w:bookmarkEnd w:id="157"/>
      <w:bookmarkEnd w:id="158"/>
    </w:p>
    <w:p>
      <w:pPr>
        <w:pStyle w:val="3"/>
      </w:pPr>
      <w:bookmarkStart w:id="159" w:name="_Toc131174060"/>
      <w:bookmarkStart w:id="160" w:name="_Toc1554"/>
      <w:r>
        <w:rPr>
          <w:rFonts w:hint="eastAsia"/>
        </w:rPr>
        <w:t>施工管理人员配备和分工</w:t>
      </w:r>
      <w:bookmarkEnd w:id="159"/>
      <w:bookmarkEnd w:id="160"/>
    </w:p>
    <w:p>
      <w:pPr>
        <w:ind w:firstLine="480"/>
      </w:pPr>
      <w:r>
        <w:rPr>
          <w:rFonts w:hint="eastAsia"/>
        </w:rPr>
        <w:t>施工管理人员配备和分工表如</w:t>
      </w:r>
      <w:r>
        <w:fldChar w:fldCharType="begin"/>
      </w:r>
      <w:r>
        <w:instrText xml:space="preserve"> </w:instrText>
      </w:r>
      <w:r>
        <w:rPr>
          <w:rFonts w:hint="eastAsia"/>
        </w:rPr>
        <w:instrText xml:space="preserve">REF _Ref123648866 \h</w:instrText>
      </w:r>
      <w:r>
        <w:instrText xml:space="preserve"> </w:instrText>
      </w:r>
      <w:r>
        <w:fldChar w:fldCharType="separate"/>
      </w:r>
      <w:r>
        <w:rPr>
          <w:rFonts w:hint="eastAsia"/>
        </w:rPr>
        <w:t>表</w:t>
      </w:r>
      <w:r>
        <w:t>7.1</w:t>
      </w:r>
      <w:r>
        <w:rPr>
          <w:rFonts w:hint="eastAsia"/>
        </w:rPr>
        <w:t>-</w:t>
      </w:r>
      <w:r>
        <w:t>1</w:t>
      </w:r>
      <w:r>
        <w:fldChar w:fldCharType="end"/>
      </w:r>
      <w:r>
        <w:rPr>
          <w:rFonts w:hint="eastAsia"/>
        </w:rPr>
        <w:t>所示。</w:t>
      </w:r>
    </w:p>
    <w:p>
      <w:pPr>
        <w:pStyle w:val="16"/>
      </w:pPr>
      <w:bookmarkStart w:id="161" w:name="_Ref123648866"/>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7.1</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bookmarkEnd w:id="161"/>
      <w:r>
        <w:rPr>
          <w:rFonts w:hint="eastAsia"/>
        </w:rPr>
        <w:t xml:space="preserve"> 施工管理人员配备和分工表</w:t>
      </w:r>
    </w:p>
    <w:tbl>
      <w:tblPr>
        <w:tblStyle w:val="11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9"/>
        <w:gridCol w:w="1350"/>
        <w:gridCol w:w="801"/>
        <w:gridCol w:w="492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98" w:type="pct"/>
            <w:vAlign w:val="center"/>
          </w:tcPr>
          <w:p>
            <w:pPr>
              <w:pStyle w:val="17"/>
              <w:rPr>
                <w:b/>
              </w:rPr>
            </w:pPr>
            <w:r>
              <w:rPr>
                <w:rFonts w:hint="eastAsia"/>
                <w:b/>
              </w:rPr>
              <w:t>序号</w:t>
            </w:r>
          </w:p>
        </w:tc>
        <w:tc>
          <w:tcPr>
            <w:tcW w:w="792" w:type="pct"/>
            <w:vAlign w:val="center"/>
          </w:tcPr>
          <w:p>
            <w:pPr>
              <w:pStyle w:val="17"/>
              <w:rPr>
                <w:b/>
              </w:rPr>
            </w:pPr>
            <w:r>
              <w:rPr>
                <w:rFonts w:hint="eastAsia"/>
                <w:b/>
              </w:rPr>
              <w:t>职务</w:t>
            </w:r>
          </w:p>
        </w:tc>
        <w:tc>
          <w:tcPr>
            <w:tcW w:w="470" w:type="pct"/>
            <w:vAlign w:val="center"/>
          </w:tcPr>
          <w:p>
            <w:pPr>
              <w:pStyle w:val="17"/>
              <w:rPr>
                <w:b/>
              </w:rPr>
            </w:pPr>
            <w:r>
              <w:rPr>
                <w:rFonts w:hint="eastAsia"/>
                <w:b/>
              </w:rPr>
              <w:t>人数</w:t>
            </w:r>
          </w:p>
        </w:tc>
        <w:tc>
          <w:tcPr>
            <w:tcW w:w="2891" w:type="pct"/>
            <w:vAlign w:val="center"/>
          </w:tcPr>
          <w:p>
            <w:pPr>
              <w:pStyle w:val="17"/>
              <w:rPr>
                <w:b/>
              </w:rPr>
            </w:pPr>
            <w:r>
              <w:rPr>
                <w:rFonts w:hint="eastAsia"/>
                <w:b/>
              </w:rPr>
              <w:t>工作职责</w:t>
            </w:r>
          </w:p>
        </w:tc>
        <w:tc>
          <w:tcPr>
            <w:tcW w:w="449" w:type="pct"/>
            <w:vAlign w:val="center"/>
          </w:tcPr>
          <w:p>
            <w:pPr>
              <w:pStyle w:val="17"/>
              <w:rPr>
                <w:b/>
              </w:rPr>
            </w:pPr>
            <w:r>
              <w:rPr>
                <w:rFonts w:hint="eastAsia"/>
                <w:b/>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98" w:type="pct"/>
            <w:shd w:val="clear" w:color="auto" w:fill="auto"/>
            <w:vAlign w:val="center"/>
          </w:tcPr>
          <w:p>
            <w:pPr>
              <w:pStyle w:val="17"/>
              <w:numPr>
                <w:ilvl w:val="0"/>
                <w:numId w:val="75"/>
              </w:numPr>
            </w:pPr>
          </w:p>
        </w:tc>
        <w:tc>
          <w:tcPr>
            <w:tcW w:w="792" w:type="pct"/>
            <w:shd w:val="clear" w:color="auto" w:fill="auto"/>
            <w:vAlign w:val="center"/>
          </w:tcPr>
          <w:p>
            <w:pPr>
              <w:pStyle w:val="17"/>
            </w:pPr>
            <w:r>
              <w:rPr>
                <w:rFonts w:hint="eastAsia"/>
              </w:rPr>
              <w:t>施工负责人</w:t>
            </w:r>
          </w:p>
        </w:tc>
        <w:tc>
          <w:tcPr>
            <w:tcW w:w="470" w:type="pct"/>
            <w:shd w:val="clear" w:color="auto" w:fill="auto"/>
            <w:vAlign w:val="center"/>
          </w:tcPr>
          <w:p>
            <w:pPr>
              <w:pStyle w:val="17"/>
            </w:pPr>
            <w:r>
              <w:rPr>
                <w:rFonts w:hint="eastAsia"/>
              </w:rPr>
              <w:t>1</w:t>
            </w:r>
          </w:p>
        </w:tc>
        <w:tc>
          <w:tcPr>
            <w:tcW w:w="2891" w:type="pct"/>
            <w:shd w:val="clear" w:color="auto" w:fill="auto"/>
            <w:vAlign w:val="center"/>
          </w:tcPr>
          <w:p>
            <w:pPr>
              <w:pStyle w:val="17"/>
            </w:pPr>
            <w:r>
              <w:rPr>
                <w:rFonts w:hint="eastAsia"/>
              </w:rPr>
              <w:t>安装项目总负责</w:t>
            </w:r>
          </w:p>
        </w:tc>
        <w:tc>
          <w:tcPr>
            <w:tcW w:w="449" w:type="pct"/>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98" w:type="pct"/>
            <w:shd w:val="clear" w:color="auto" w:fill="auto"/>
            <w:vAlign w:val="center"/>
          </w:tcPr>
          <w:p>
            <w:pPr>
              <w:pStyle w:val="17"/>
              <w:numPr>
                <w:ilvl w:val="0"/>
                <w:numId w:val="75"/>
              </w:numPr>
            </w:pPr>
          </w:p>
        </w:tc>
        <w:tc>
          <w:tcPr>
            <w:tcW w:w="792" w:type="pct"/>
            <w:shd w:val="clear" w:color="auto" w:fill="auto"/>
            <w:vAlign w:val="center"/>
          </w:tcPr>
          <w:p>
            <w:pPr>
              <w:pStyle w:val="17"/>
            </w:pPr>
            <w:r>
              <w:rPr>
                <w:rFonts w:hint="eastAsia"/>
              </w:rPr>
              <w:t>技术负责人</w:t>
            </w:r>
          </w:p>
        </w:tc>
        <w:tc>
          <w:tcPr>
            <w:tcW w:w="470" w:type="pct"/>
            <w:shd w:val="clear" w:color="auto" w:fill="auto"/>
            <w:vAlign w:val="center"/>
          </w:tcPr>
          <w:p>
            <w:pPr>
              <w:pStyle w:val="17"/>
            </w:pPr>
            <w:r>
              <w:rPr>
                <w:rFonts w:hint="eastAsia"/>
              </w:rPr>
              <w:t>1</w:t>
            </w:r>
          </w:p>
        </w:tc>
        <w:tc>
          <w:tcPr>
            <w:tcW w:w="2891" w:type="pct"/>
            <w:shd w:val="clear" w:color="auto" w:fill="auto"/>
            <w:vAlign w:val="center"/>
          </w:tcPr>
          <w:p>
            <w:pPr>
              <w:pStyle w:val="17"/>
            </w:pPr>
            <w:r>
              <w:rPr>
                <w:rFonts w:hint="eastAsia"/>
              </w:rPr>
              <w:t>工程项目的技术管理工作</w:t>
            </w:r>
          </w:p>
        </w:tc>
        <w:tc>
          <w:tcPr>
            <w:tcW w:w="449" w:type="pct"/>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98" w:type="pct"/>
            <w:shd w:val="clear" w:color="auto" w:fill="auto"/>
            <w:vAlign w:val="center"/>
          </w:tcPr>
          <w:p>
            <w:pPr>
              <w:pStyle w:val="17"/>
              <w:numPr>
                <w:ilvl w:val="0"/>
                <w:numId w:val="75"/>
              </w:numPr>
            </w:pPr>
          </w:p>
        </w:tc>
        <w:tc>
          <w:tcPr>
            <w:tcW w:w="792" w:type="pct"/>
            <w:shd w:val="clear" w:color="auto" w:fill="auto"/>
            <w:vAlign w:val="center"/>
          </w:tcPr>
          <w:p>
            <w:pPr>
              <w:pStyle w:val="17"/>
            </w:pPr>
            <w:r>
              <w:rPr>
                <w:rFonts w:hint="eastAsia"/>
              </w:rPr>
              <w:t>安全负责人</w:t>
            </w:r>
          </w:p>
        </w:tc>
        <w:tc>
          <w:tcPr>
            <w:tcW w:w="470" w:type="pct"/>
            <w:shd w:val="clear" w:color="auto" w:fill="auto"/>
            <w:vAlign w:val="center"/>
          </w:tcPr>
          <w:p>
            <w:pPr>
              <w:pStyle w:val="17"/>
            </w:pPr>
            <w:r>
              <w:rPr>
                <w:rFonts w:hint="eastAsia"/>
              </w:rPr>
              <w:t>1</w:t>
            </w:r>
          </w:p>
        </w:tc>
        <w:tc>
          <w:tcPr>
            <w:tcW w:w="2891" w:type="pct"/>
            <w:shd w:val="clear" w:color="auto" w:fill="auto"/>
            <w:vAlign w:val="center"/>
          </w:tcPr>
          <w:p>
            <w:pPr>
              <w:pStyle w:val="17"/>
            </w:pPr>
            <w:r>
              <w:rPr>
                <w:rFonts w:hint="eastAsia"/>
              </w:rPr>
              <w:t>工程项目的安全</w:t>
            </w:r>
            <w:r>
              <w:t>工作</w:t>
            </w:r>
          </w:p>
        </w:tc>
        <w:tc>
          <w:tcPr>
            <w:tcW w:w="449" w:type="pct"/>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98" w:type="pct"/>
            <w:shd w:val="clear" w:color="auto" w:fill="auto"/>
            <w:vAlign w:val="center"/>
          </w:tcPr>
          <w:p>
            <w:pPr>
              <w:pStyle w:val="17"/>
              <w:numPr>
                <w:ilvl w:val="0"/>
                <w:numId w:val="75"/>
              </w:numPr>
            </w:pPr>
          </w:p>
        </w:tc>
        <w:tc>
          <w:tcPr>
            <w:tcW w:w="792" w:type="pct"/>
            <w:shd w:val="clear" w:color="auto" w:fill="auto"/>
            <w:vAlign w:val="center"/>
          </w:tcPr>
          <w:p>
            <w:pPr>
              <w:pStyle w:val="17"/>
            </w:pPr>
            <w:r>
              <w:rPr>
                <w:rFonts w:hint="eastAsia"/>
              </w:rPr>
              <w:t>现场负责人</w:t>
            </w:r>
          </w:p>
        </w:tc>
        <w:tc>
          <w:tcPr>
            <w:tcW w:w="470" w:type="pct"/>
            <w:shd w:val="clear" w:color="auto" w:fill="auto"/>
            <w:vAlign w:val="center"/>
          </w:tcPr>
          <w:p>
            <w:pPr>
              <w:pStyle w:val="17"/>
            </w:pPr>
            <w:r>
              <w:rPr>
                <w:rFonts w:hint="eastAsia"/>
              </w:rPr>
              <w:t>1</w:t>
            </w:r>
          </w:p>
        </w:tc>
        <w:tc>
          <w:tcPr>
            <w:tcW w:w="2891" w:type="pct"/>
            <w:shd w:val="clear" w:color="auto" w:fill="auto"/>
            <w:vAlign w:val="center"/>
          </w:tcPr>
          <w:p>
            <w:pPr>
              <w:pStyle w:val="17"/>
            </w:pPr>
            <w:r>
              <w:rPr>
                <w:rFonts w:hint="eastAsia"/>
              </w:rPr>
              <w:t>工程项目的质量管理</w:t>
            </w:r>
            <w:r>
              <w:t>工作</w:t>
            </w:r>
          </w:p>
        </w:tc>
        <w:tc>
          <w:tcPr>
            <w:tcW w:w="449" w:type="pct"/>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90" w:type="pct"/>
            <w:gridSpan w:val="2"/>
            <w:vAlign w:val="center"/>
          </w:tcPr>
          <w:p>
            <w:pPr>
              <w:pStyle w:val="17"/>
            </w:pPr>
            <w:r>
              <w:rPr>
                <w:rFonts w:hint="eastAsia"/>
              </w:rPr>
              <w:t>总计</w:t>
            </w:r>
          </w:p>
        </w:tc>
        <w:tc>
          <w:tcPr>
            <w:tcW w:w="470" w:type="pct"/>
            <w:vAlign w:val="center"/>
          </w:tcPr>
          <w:p>
            <w:pPr>
              <w:pStyle w:val="17"/>
            </w:pPr>
            <w:r>
              <w:fldChar w:fldCharType="begin"/>
            </w:r>
            <w:r>
              <w:instrText xml:space="preserve"> =SUM(ABOVE) </w:instrText>
            </w:r>
            <w:r>
              <w:fldChar w:fldCharType="separate"/>
            </w:r>
            <w:r>
              <w:t>4</w:t>
            </w:r>
            <w:r>
              <w:fldChar w:fldCharType="end"/>
            </w:r>
          </w:p>
        </w:tc>
        <w:tc>
          <w:tcPr>
            <w:tcW w:w="2891" w:type="pct"/>
            <w:vAlign w:val="center"/>
          </w:tcPr>
          <w:p>
            <w:pPr>
              <w:pStyle w:val="17"/>
            </w:pPr>
          </w:p>
        </w:tc>
        <w:tc>
          <w:tcPr>
            <w:tcW w:w="449" w:type="pct"/>
            <w:vAlign w:val="center"/>
          </w:tcPr>
          <w:p>
            <w:pPr>
              <w:pStyle w:val="17"/>
            </w:pPr>
          </w:p>
        </w:tc>
      </w:tr>
    </w:tbl>
    <w:p>
      <w:pPr>
        <w:pStyle w:val="3"/>
        <w:rPr>
          <w:color w:val="000000" w:themeColor="text1"/>
          <w14:textFill>
            <w14:solidFill>
              <w14:schemeClr w14:val="tx1"/>
            </w14:solidFill>
          </w14:textFill>
        </w:rPr>
      </w:pPr>
      <w:bookmarkStart w:id="162" w:name="_Toc9891"/>
      <w:bookmarkStart w:id="163" w:name="_Toc103689365"/>
      <w:bookmarkStart w:id="164" w:name="_Toc103688655"/>
      <w:bookmarkStart w:id="165" w:name="_Toc131174061"/>
      <w:bookmarkStart w:id="166" w:name="_Toc119416154"/>
      <w:bookmarkStart w:id="167" w:name="_Toc5012"/>
      <w:r>
        <w:rPr>
          <w:rFonts w:hint="eastAsia"/>
          <w:color w:val="000000" w:themeColor="text1"/>
          <w14:textFill>
            <w14:solidFill>
              <w14:schemeClr w14:val="tx1"/>
            </w14:solidFill>
          </w14:textFill>
        </w:rPr>
        <w:t>施工作业人员配备及分工</w:t>
      </w:r>
      <w:bookmarkEnd w:id="162"/>
      <w:bookmarkEnd w:id="163"/>
      <w:bookmarkEnd w:id="164"/>
      <w:bookmarkEnd w:id="165"/>
      <w:bookmarkEnd w:id="166"/>
      <w:bookmarkEnd w:id="167"/>
    </w:p>
    <w:p>
      <w:pPr>
        <w:ind w:firstLine="480"/>
      </w:pPr>
      <w:r>
        <w:rPr>
          <w:rFonts w:hint="eastAsia"/>
        </w:rPr>
        <w:t>设备安拆施工特种作业人员配备和分工详见。</w:t>
      </w:r>
    </w:p>
    <w:p>
      <w:pPr>
        <w:pStyle w:val="16"/>
      </w:pPr>
      <w:bookmarkStart w:id="168" w:name="_Toc103688656"/>
      <w:bookmarkStart w:id="169" w:name="_Toc119416155"/>
      <w:bookmarkStart w:id="170" w:name="_Toc103689366"/>
      <w:bookmarkStart w:id="171" w:name="_Toc14865"/>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7.2</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r>
        <w:rPr>
          <w:rFonts w:hint="eastAsia"/>
        </w:rPr>
        <w:t xml:space="preserve"> 施工特种作业人员配备和分工表</w:t>
      </w:r>
    </w:p>
    <w:tbl>
      <w:tblPr>
        <w:tblStyle w:val="11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314"/>
        <w:gridCol w:w="731"/>
        <w:gridCol w:w="4377"/>
        <w:gridCol w:w="13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vAlign w:val="center"/>
          </w:tcPr>
          <w:p>
            <w:pPr>
              <w:pStyle w:val="17"/>
              <w:rPr>
                <w:b/>
              </w:rPr>
            </w:pPr>
            <w:r>
              <w:rPr>
                <w:rFonts w:hint="eastAsia"/>
                <w:b/>
              </w:rPr>
              <w:t>序号</w:t>
            </w:r>
          </w:p>
        </w:tc>
        <w:tc>
          <w:tcPr>
            <w:tcW w:w="771" w:type="pct"/>
            <w:vAlign w:val="center"/>
          </w:tcPr>
          <w:p>
            <w:pPr>
              <w:pStyle w:val="17"/>
              <w:rPr>
                <w:b/>
              </w:rPr>
            </w:pPr>
            <w:r>
              <w:rPr>
                <w:rFonts w:hint="eastAsia"/>
                <w:b/>
              </w:rPr>
              <w:t>工种</w:t>
            </w:r>
          </w:p>
        </w:tc>
        <w:tc>
          <w:tcPr>
            <w:tcW w:w="429" w:type="pct"/>
            <w:vAlign w:val="center"/>
          </w:tcPr>
          <w:p>
            <w:pPr>
              <w:pStyle w:val="17"/>
              <w:rPr>
                <w:b/>
              </w:rPr>
            </w:pPr>
            <w:r>
              <w:rPr>
                <w:rFonts w:hint="eastAsia"/>
                <w:b/>
              </w:rPr>
              <w:t>人数</w:t>
            </w:r>
          </w:p>
        </w:tc>
        <w:tc>
          <w:tcPr>
            <w:tcW w:w="2568" w:type="pct"/>
            <w:vAlign w:val="center"/>
          </w:tcPr>
          <w:p>
            <w:pPr>
              <w:pStyle w:val="17"/>
              <w:rPr>
                <w:b/>
              </w:rPr>
            </w:pPr>
            <w:r>
              <w:rPr>
                <w:rFonts w:hint="eastAsia"/>
                <w:b/>
              </w:rPr>
              <w:t>工作职责</w:t>
            </w:r>
          </w:p>
        </w:tc>
        <w:tc>
          <w:tcPr>
            <w:tcW w:w="813" w:type="pct"/>
            <w:vAlign w:val="center"/>
          </w:tcPr>
          <w:p>
            <w:pPr>
              <w:pStyle w:val="17"/>
              <w:rPr>
                <w:b/>
              </w:rPr>
            </w:pPr>
            <w:r>
              <w:rPr>
                <w:rFonts w:hint="eastAsia"/>
                <w:b/>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pPr>
              <w:pStyle w:val="17"/>
              <w:numPr>
                <w:ilvl w:val="0"/>
                <w:numId w:val="76"/>
              </w:numPr>
            </w:pPr>
          </w:p>
        </w:tc>
        <w:tc>
          <w:tcPr>
            <w:tcW w:w="771" w:type="pct"/>
            <w:shd w:val="clear" w:color="auto" w:fill="auto"/>
            <w:vAlign w:val="center"/>
          </w:tcPr>
          <w:p>
            <w:pPr>
              <w:pStyle w:val="17"/>
            </w:pPr>
            <w:r>
              <w:rPr>
                <w:rFonts w:hint="eastAsia"/>
              </w:rPr>
              <w:t>起重指挥</w:t>
            </w:r>
          </w:p>
        </w:tc>
        <w:tc>
          <w:tcPr>
            <w:tcW w:w="429" w:type="pct"/>
            <w:shd w:val="clear" w:color="auto" w:fill="auto"/>
            <w:vAlign w:val="center"/>
          </w:tcPr>
          <w:p>
            <w:pPr>
              <w:pStyle w:val="17"/>
            </w:pPr>
            <w:r>
              <w:rPr>
                <w:rFonts w:hint="eastAsia"/>
              </w:rPr>
              <w:t>1</w:t>
            </w:r>
          </w:p>
        </w:tc>
        <w:tc>
          <w:tcPr>
            <w:tcW w:w="2568" w:type="pct"/>
            <w:shd w:val="clear" w:color="auto" w:fill="auto"/>
            <w:vAlign w:val="center"/>
          </w:tcPr>
          <w:p>
            <w:pPr>
              <w:pStyle w:val="17"/>
            </w:pPr>
            <w:r>
              <w:rPr>
                <w:rFonts w:hint="eastAsia"/>
              </w:rPr>
              <w:t>负责现场起重作业的指挥与协调</w:t>
            </w:r>
          </w:p>
        </w:tc>
        <w:tc>
          <w:tcPr>
            <w:tcW w:w="813" w:type="pct"/>
            <w:shd w:val="clear" w:color="auto" w:fill="auto"/>
            <w:vAlign w:val="center"/>
          </w:tcPr>
          <w:p>
            <w:pPr>
              <w:pStyle w:val="17"/>
            </w:pPr>
            <w:r>
              <w:rPr>
                <w:rFonts w:hint="eastAsia"/>
              </w:rPr>
              <w:t>项目部人员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pPr>
              <w:pStyle w:val="17"/>
              <w:numPr>
                <w:ilvl w:val="0"/>
                <w:numId w:val="76"/>
              </w:numPr>
            </w:pPr>
          </w:p>
        </w:tc>
        <w:tc>
          <w:tcPr>
            <w:tcW w:w="771" w:type="pct"/>
            <w:shd w:val="clear" w:color="auto" w:fill="auto"/>
            <w:vAlign w:val="center"/>
          </w:tcPr>
          <w:p>
            <w:pPr>
              <w:pStyle w:val="17"/>
            </w:pPr>
            <w:r>
              <w:t>起重司机</w:t>
            </w:r>
          </w:p>
        </w:tc>
        <w:tc>
          <w:tcPr>
            <w:tcW w:w="429" w:type="pct"/>
            <w:shd w:val="clear" w:color="auto" w:fill="auto"/>
            <w:vAlign w:val="center"/>
          </w:tcPr>
          <w:p>
            <w:pPr>
              <w:pStyle w:val="17"/>
            </w:pPr>
            <w:r>
              <w:rPr>
                <w:rFonts w:hint="eastAsia"/>
              </w:rPr>
              <w:t>1</w:t>
            </w:r>
          </w:p>
        </w:tc>
        <w:tc>
          <w:tcPr>
            <w:tcW w:w="2568" w:type="pct"/>
            <w:shd w:val="clear" w:color="auto" w:fill="auto"/>
            <w:vAlign w:val="center"/>
          </w:tcPr>
          <w:p>
            <w:pPr>
              <w:pStyle w:val="17"/>
            </w:pPr>
            <w:r>
              <w:rPr>
                <w:rFonts w:hint="eastAsia"/>
              </w:rPr>
              <w:t>负责设备安装作业过程中的起重操作</w:t>
            </w:r>
          </w:p>
        </w:tc>
        <w:tc>
          <w:tcPr>
            <w:tcW w:w="813" w:type="pct"/>
            <w:shd w:val="clear" w:color="auto" w:fill="auto"/>
            <w:vAlign w:val="center"/>
          </w:tcPr>
          <w:p>
            <w:pPr>
              <w:pStyle w:val="17"/>
            </w:pPr>
            <w:r>
              <w:rPr>
                <w:rFonts w:hint="eastAsia"/>
              </w:rPr>
              <w:t>项目部人员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pPr>
              <w:pStyle w:val="17"/>
              <w:numPr>
                <w:ilvl w:val="0"/>
                <w:numId w:val="76"/>
              </w:numPr>
            </w:pPr>
          </w:p>
        </w:tc>
        <w:tc>
          <w:tcPr>
            <w:tcW w:w="771" w:type="pct"/>
            <w:shd w:val="clear" w:color="auto" w:fill="auto"/>
            <w:vAlign w:val="center"/>
          </w:tcPr>
          <w:p>
            <w:pPr>
              <w:pStyle w:val="17"/>
            </w:pPr>
            <w:r>
              <w:rPr>
                <w:rFonts w:hint="eastAsia"/>
              </w:rPr>
              <w:t>司索工</w:t>
            </w:r>
          </w:p>
        </w:tc>
        <w:tc>
          <w:tcPr>
            <w:tcW w:w="429" w:type="pct"/>
            <w:shd w:val="clear" w:color="auto" w:fill="auto"/>
            <w:vAlign w:val="center"/>
          </w:tcPr>
          <w:p>
            <w:pPr>
              <w:pStyle w:val="17"/>
            </w:pPr>
            <w:r>
              <w:rPr>
                <w:rFonts w:hint="eastAsia"/>
              </w:rPr>
              <w:t>1</w:t>
            </w:r>
          </w:p>
        </w:tc>
        <w:tc>
          <w:tcPr>
            <w:tcW w:w="2568" w:type="pct"/>
            <w:shd w:val="clear" w:color="auto" w:fill="auto"/>
            <w:vAlign w:val="center"/>
          </w:tcPr>
          <w:p>
            <w:pPr>
              <w:pStyle w:val="17"/>
            </w:pPr>
            <w:r>
              <w:rPr>
                <w:rFonts w:hint="eastAsia"/>
              </w:rPr>
              <w:t>负责现场吊装作业钢丝绳挂钩作业</w:t>
            </w:r>
          </w:p>
        </w:tc>
        <w:tc>
          <w:tcPr>
            <w:tcW w:w="813" w:type="pct"/>
            <w:shd w:val="clear" w:color="auto" w:fill="auto"/>
            <w:vAlign w:val="center"/>
          </w:tcPr>
          <w:p>
            <w:pPr>
              <w:pStyle w:val="17"/>
            </w:pPr>
            <w:r>
              <w:rPr>
                <w:rFonts w:hint="eastAsia"/>
              </w:rPr>
              <w:t>项目部人员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pPr>
              <w:pStyle w:val="17"/>
              <w:numPr>
                <w:ilvl w:val="0"/>
                <w:numId w:val="76"/>
              </w:numPr>
            </w:pPr>
          </w:p>
        </w:tc>
        <w:tc>
          <w:tcPr>
            <w:tcW w:w="771" w:type="pct"/>
            <w:shd w:val="clear" w:color="auto" w:fill="auto"/>
            <w:vAlign w:val="center"/>
          </w:tcPr>
          <w:p>
            <w:pPr>
              <w:pStyle w:val="17"/>
            </w:pPr>
            <w:r>
              <w:rPr>
                <w:rFonts w:hint="eastAsia"/>
              </w:rPr>
              <w:t>电工</w:t>
            </w:r>
          </w:p>
        </w:tc>
        <w:tc>
          <w:tcPr>
            <w:tcW w:w="429" w:type="pct"/>
            <w:shd w:val="clear" w:color="auto" w:fill="auto"/>
            <w:vAlign w:val="center"/>
          </w:tcPr>
          <w:p>
            <w:pPr>
              <w:pStyle w:val="17"/>
            </w:pPr>
            <w:r>
              <w:rPr>
                <w:rFonts w:hint="eastAsia"/>
              </w:rPr>
              <w:t>1</w:t>
            </w:r>
          </w:p>
        </w:tc>
        <w:tc>
          <w:tcPr>
            <w:tcW w:w="2568" w:type="pct"/>
            <w:shd w:val="clear" w:color="auto" w:fill="auto"/>
            <w:vAlign w:val="center"/>
          </w:tcPr>
          <w:p>
            <w:pPr>
              <w:pStyle w:val="17"/>
            </w:pPr>
            <w:r>
              <w:t>负责设备的电气检查、</w:t>
            </w:r>
            <w:r>
              <w:rPr>
                <w:rFonts w:hint="eastAsia"/>
              </w:rPr>
              <w:t>安装</w:t>
            </w:r>
            <w:r>
              <w:t>拆除方案</w:t>
            </w:r>
            <w:r>
              <w:rPr>
                <w:rFonts w:hint="eastAsia"/>
              </w:rPr>
              <w:t>中电气安装</w:t>
            </w:r>
          </w:p>
        </w:tc>
        <w:tc>
          <w:tcPr>
            <w:tcW w:w="813" w:type="pct"/>
            <w:shd w:val="clear" w:color="auto" w:fill="auto"/>
            <w:vAlign w:val="center"/>
          </w:tcPr>
          <w:p>
            <w:pPr>
              <w:pStyle w:val="17"/>
            </w:pPr>
            <w:r>
              <w:rPr>
                <w:rFonts w:hint="eastAsia"/>
              </w:rPr>
              <w:t>本单位人员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90" w:type="pct"/>
            <w:gridSpan w:val="2"/>
            <w:vAlign w:val="center"/>
          </w:tcPr>
          <w:p>
            <w:pPr>
              <w:pStyle w:val="17"/>
            </w:pPr>
            <w:r>
              <w:rPr>
                <w:rFonts w:hint="eastAsia"/>
              </w:rPr>
              <w:t>总计</w:t>
            </w:r>
          </w:p>
        </w:tc>
        <w:tc>
          <w:tcPr>
            <w:tcW w:w="429" w:type="pct"/>
            <w:vAlign w:val="center"/>
          </w:tcPr>
          <w:p>
            <w:pPr>
              <w:pStyle w:val="17"/>
            </w:pPr>
            <w:r>
              <w:t>4</w:t>
            </w:r>
          </w:p>
        </w:tc>
        <w:tc>
          <w:tcPr>
            <w:tcW w:w="2568" w:type="pct"/>
            <w:vAlign w:val="center"/>
          </w:tcPr>
          <w:p>
            <w:pPr>
              <w:pStyle w:val="17"/>
            </w:pPr>
          </w:p>
        </w:tc>
        <w:tc>
          <w:tcPr>
            <w:tcW w:w="813" w:type="pct"/>
            <w:vAlign w:val="center"/>
          </w:tcPr>
          <w:p>
            <w:pPr>
              <w:pStyle w:val="17"/>
            </w:pPr>
          </w:p>
        </w:tc>
      </w:tr>
      <w:bookmarkEnd w:id="168"/>
      <w:bookmarkEnd w:id="169"/>
      <w:bookmarkEnd w:id="170"/>
      <w:bookmarkEnd w:id="171"/>
    </w:tbl>
    <w:p>
      <w:pPr>
        <w:ind w:firstLine="480"/>
      </w:pPr>
      <w:r>
        <w:rPr>
          <w:rFonts w:hint="eastAsia"/>
        </w:rPr>
        <w:t>设备安拆施工其他作业人员配备和分工详见。</w:t>
      </w:r>
    </w:p>
    <w:p>
      <w:pPr>
        <w:pStyle w:val="16"/>
      </w:pPr>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7.2</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2</w:t>
      </w:r>
      <w:r>
        <w:fldChar w:fldCharType="end"/>
      </w:r>
      <w:r>
        <w:rPr>
          <w:rFonts w:hint="eastAsia"/>
        </w:rPr>
        <w:t xml:space="preserve"> 施工其他作业人员配备和分工表</w:t>
      </w:r>
    </w:p>
    <w:tbl>
      <w:tblPr>
        <w:tblStyle w:val="11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316"/>
        <w:gridCol w:w="729"/>
        <w:gridCol w:w="4377"/>
        <w:gridCol w:w="13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vAlign w:val="center"/>
          </w:tcPr>
          <w:p>
            <w:pPr>
              <w:pStyle w:val="17"/>
              <w:rPr>
                <w:b/>
              </w:rPr>
            </w:pPr>
            <w:r>
              <w:rPr>
                <w:rFonts w:hint="eastAsia"/>
                <w:b/>
              </w:rPr>
              <w:t>序号</w:t>
            </w:r>
          </w:p>
        </w:tc>
        <w:tc>
          <w:tcPr>
            <w:tcW w:w="772" w:type="pct"/>
            <w:vAlign w:val="center"/>
          </w:tcPr>
          <w:p>
            <w:pPr>
              <w:pStyle w:val="17"/>
              <w:rPr>
                <w:b/>
              </w:rPr>
            </w:pPr>
            <w:r>
              <w:rPr>
                <w:rFonts w:hint="eastAsia"/>
                <w:b/>
              </w:rPr>
              <w:t>工种</w:t>
            </w:r>
          </w:p>
        </w:tc>
        <w:tc>
          <w:tcPr>
            <w:tcW w:w="428" w:type="pct"/>
            <w:vAlign w:val="center"/>
          </w:tcPr>
          <w:p>
            <w:pPr>
              <w:pStyle w:val="17"/>
              <w:rPr>
                <w:b/>
              </w:rPr>
            </w:pPr>
            <w:r>
              <w:rPr>
                <w:rFonts w:hint="eastAsia"/>
                <w:b/>
              </w:rPr>
              <w:t>人数</w:t>
            </w:r>
          </w:p>
        </w:tc>
        <w:tc>
          <w:tcPr>
            <w:tcW w:w="2568" w:type="pct"/>
            <w:vAlign w:val="center"/>
          </w:tcPr>
          <w:p>
            <w:pPr>
              <w:pStyle w:val="17"/>
              <w:rPr>
                <w:b/>
              </w:rPr>
            </w:pPr>
            <w:r>
              <w:rPr>
                <w:rFonts w:hint="eastAsia"/>
                <w:b/>
              </w:rPr>
              <w:t>工作职责</w:t>
            </w:r>
          </w:p>
        </w:tc>
        <w:tc>
          <w:tcPr>
            <w:tcW w:w="813" w:type="pct"/>
            <w:vAlign w:val="center"/>
          </w:tcPr>
          <w:p>
            <w:pPr>
              <w:pStyle w:val="17"/>
              <w:rPr>
                <w:b/>
              </w:rPr>
            </w:pPr>
            <w:r>
              <w:rPr>
                <w:rFonts w:hint="eastAsia"/>
                <w:b/>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vAlign w:val="center"/>
          </w:tcPr>
          <w:p>
            <w:pPr>
              <w:pStyle w:val="17"/>
              <w:numPr>
                <w:ilvl w:val="0"/>
                <w:numId w:val="77"/>
              </w:numPr>
            </w:pPr>
          </w:p>
        </w:tc>
        <w:tc>
          <w:tcPr>
            <w:tcW w:w="772" w:type="pct"/>
            <w:shd w:val="clear" w:color="auto" w:fill="auto"/>
            <w:vAlign w:val="center"/>
          </w:tcPr>
          <w:p>
            <w:pPr>
              <w:pStyle w:val="17"/>
            </w:pPr>
            <w:r>
              <w:rPr>
                <w:rFonts w:hint="eastAsia"/>
              </w:rPr>
              <w:t>设备安拆工</w:t>
            </w:r>
          </w:p>
        </w:tc>
        <w:tc>
          <w:tcPr>
            <w:tcW w:w="428" w:type="pct"/>
            <w:shd w:val="clear" w:color="auto" w:fill="auto"/>
            <w:vAlign w:val="center"/>
          </w:tcPr>
          <w:p>
            <w:pPr>
              <w:pStyle w:val="17"/>
            </w:pPr>
            <w:r>
              <w:rPr>
                <w:rFonts w:hint="eastAsia"/>
              </w:rPr>
              <w:t>4</w:t>
            </w:r>
          </w:p>
        </w:tc>
        <w:tc>
          <w:tcPr>
            <w:tcW w:w="2568" w:type="pct"/>
            <w:shd w:val="clear" w:color="auto" w:fill="auto"/>
            <w:vAlign w:val="center"/>
          </w:tcPr>
          <w:p>
            <w:pPr>
              <w:pStyle w:val="17"/>
            </w:pPr>
            <w:r>
              <w:rPr>
                <w:rFonts w:hint="eastAsia"/>
              </w:rPr>
              <w:t>负责安装拆除作业具体实施</w:t>
            </w:r>
          </w:p>
        </w:tc>
        <w:tc>
          <w:tcPr>
            <w:tcW w:w="813" w:type="pct"/>
            <w:shd w:val="clear" w:color="auto" w:fill="auto"/>
            <w:vAlign w:val="center"/>
          </w:tcPr>
          <w:p>
            <w:pPr>
              <w:pStyle w:val="17"/>
            </w:pPr>
            <w:r>
              <w:rPr>
                <w:rFonts w:hint="eastAsia"/>
              </w:rPr>
              <w:t>本单位人员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vAlign w:val="center"/>
          </w:tcPr>
          <w:p>
            <w:pPr>
              <w:pStyle w:val="17"/>
              <w:numPr>
                <w:ilvl w:val="0"/>
                <w:numId w:val="77"/>
              </w:numPr>
            </w:pPr>
          </w:p>
        </w:tc>
        <w:tc>
          <w:tcPr>
            <w:tcW w:w="772" w:type="pct"/>
            <w:shd w:val="clear" w:color="auto" w:fill="auto"/>
            <w:vAlign w:val="center"/>
          </w:tcPr>
          <w:p>
            <w:pPr>
              <w:pStyle w:val="17"/>
            </w:pPr>
            <w:r>
              <w:rPr>
                <w:rFonts w:hint="eastAsia"/>
              </w:rPr>
              <w:t>杂工</w:t>
            </w:r>
          </w:p>
        </w:tc>
        <w:tc>
          <w:tcPr>
            <w:tcW w:w="428" w:type="pct"/>
            <w:shd w:val="clear" w:color="auto" w:fill="auto"/>
            <w:vAlign w:val="center"/>
          </w:tcPr>
          <w:p>
            <w:pPr>
              <w:pStyle w:val="17"/>
            </w:pPr>
            <w:r>
              <w:rPr>
                <w:rFonts w:hint="eastAsia"/>
              </w:rPr>
              <w:t>6</w:t>
            </w:r>
          </w:p>
        </w:tc>
        <w:tc>
          <w:tcPr>
            <w:tcW w:w="2568" w:type="pct"/>
            <w:shd w:val="clear" w:color="auto" w:fill="auto"/>
            <w:vAlign w:val="center"/>
          </w:tcPr>
          <w:p>
            <w:pPr>
              <w:pStyle w:val="17"/>
            </w:pPr>
            <w:r>
              <w:rPr>
                <w:rFonts w:hint="eastAsia"/>
              </w:rPr>
              <w:t>负责地面清理、现场文明施工</w:t>
            </w:r>
          </w:p>
        </w:tc>
        <w:tc>
          <w:tcPr>
            <w:tcW w:w="813" w:type="pct"/>
            <w:shd w:val="clear" w:color="auto" w:fill="auto"/>
            <w:vAlign w:val="center"/>
          </w:tcPr>
          <w:p>
            <w:pPr>
              <w:pStyle w:val="17"/>
            </w:pPr>
            <w:r>
              <w:rPr>
                <w:rFonts w:hint="eastAsia"/>
              </w:rPr>
              <w:t>项目部人员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91" w:type="pct"/>
            <w:gridSpan w:val="2"/>
            <w:vAlign w:val="center"/>
          </w:tcPr>
          <w:p>
            <w:pPr>
              <w:pStyle w:val="17"/>
            </w:pPr>
            <w:r>
              <w:rPr>
                <w:rFonts w:hint="eastAsia"/>
              </w:rPr>
              <w:t>总计</w:t>
            </w:r>
          </w:p>
        </w:tc>
        <w:tc>
          <w:tcPr>
            <w:tcW w:w="428" w:type="pct"/>
            <w:vAlign w:val="center"/>
          </w:tcPr>
          <w:p>
            <w:pPr>
              <w:pStyle w:val="17"/>
            </w:pPr>
            <w:r>
              <w:t>10</w:t>
            </w:r>
          </w:p>
        </w:tc>
        <w:tc>
          <w:tcPr>
            <w:tcW w:w="2568" w:type="pct"/>
            <w:vAlign w:val="center"/>
          </w:tcPr>
          <w:p>
            <w:pPr>
              <w:pStyle w:val="17"/>
            </w:pPr>
          </w:p>
        </w:tc>
        <w:tc>
          <w:tcPr>
            <w:tcW w:w="813" w:type="pct"/>
            <w:vAlign w:val="center"/>
          </w:tcPr>
          <w:p>
            <w:pPr>
              <w:pStyle w:val="17"/>
            </w:pPr>
          </w:p>
        </w:tc>
      </w:tr>
    </w:tbl>
    <w:p>
      <w:pPr>
        <w:ind w:firstLine="480"/>
      </w:pPr>
      <w:r>
        <w:br w:type="page"/>
      </w:r>
    </w:p>
    <w:p>
      <w:pPr>
        <w:pStyle w:val="2"/>
      </w:pPr>
      <w:bookmarkStart w:id="172" w:name="_Toc131174062"/>
      <w:bookmarkStart w:id="173" w:name="_Toc18146"/>
      <w:r>
        <w:rPr>
          <w:rFonts w:hint="eastAsia"/>
        </w:rPr>
        <w:t>验收要求</w:t>
      </w:r>
      <w:bookmarkEnd w:id="172"/>
      <w:bookmarkEnd w:id="173"/>
    </w:p>
    <w:p>
      <w:pPr>
        <w:pStyle w:val="3"/>
      </w:pPr>
      <w:bookmarkStart w:id="174" w:name="_Toc131174063"/>
      <w:bookmarkStart w:id="175" w:name="_Toc56"/>
      <w:bookmarkStart w:id="176" w:name="_Toc40778449"/>
      <w:bookmarkStart w:id="177" w:name="_Toc20450"/>
      <w:bookmarkStart w:id="178" w:name="_Toc29675"/>
      <w:r>
        <w:rPr>
          <w:rFonts w:hint="eastAsia"/>
        </w:rPr>
        <w:t>验收标准</w:t>
      </w:r>
      <w:bookmarkEnd w:id="174"/>
      <w:bookmarkEnd w:id="175"/>
      <w:bookmarkEnd w:id="176"/>
      <w:bookmarkEnd w:id="177"/>
      <w:bookmarkEnd w:id="178"/>
    </w:p>
    <w:p>
      <w:pPr>
        <w:ind w:firstLine="480"/>
      </w:pPr>
      <w:bookmarkStart w:id="179" w:name="_Toc23170"/>
      <w:bookmarkStart w:id="180" w:name="_Toc65571555"/>
      <w:r>
        <w:rPr>
          <w:rFonts w:hint="eastAsia"/>
        </w:rPr>
        <w:t>验收标准主要依据：《</w:t>
      </w:r>
      <w:r>
        <w:t>塔式起重机</w:t>
      </w:r>
      <w:r>
        <w:rPr>
          <w:rFonts w:hint="eastAsia"/>
        </w:rPr>
        <w:t>》（</w:t>
      </w:r>
      <w:r>
        <w:t>GB/T 5031-2008</w:t>
      </w:r>
      <w:r>
        <w:rPr>
          <w:rFonts w:hint="eastAsia"/>
        </w:rPr>
        <w:t>）、《施工现场临时用电安全技术规范》（JGJ46-2005）、《建筑施工起重吊装工程安全技术规范》（JGJ 276-2012）、《建筑施工高处作业安全技术规范》（JGJ 80-2016）等。</w:t>
      </w:r>
    </w:p>
    <w:p>
      <w:pPr>
        <w:pStyle w:val="3"/>
      </w:pPr>
      <w:bookmarkStart w:id="181" w:name="_Toc131174064"/>
      <w:bookmarkStart w:id="182" w:name="_Toc18595"/>
      <w:r>
        <w:t>验收程序</w:t>
      </w:r>
      <w:bookmarkEnd w:id="179"/>
      <w:bookmarkEnd w:id="180"/>
      <w:bookmarkEnd w:id="181"/>
      <w:bookmarkEnd w:id="182"/>
    </w:p>
    <w:p>
      <w:pPr>
        <w:numPr>
          <w:ilvl w:val="0"/>
          <w:numId w:val="78"/>
        </w:numPr>
        <w:ind w:firstLine="480"/>
      </w:pPr>
      <w:bookmarkStart w:id="183" w:name="_Toc28613975"/>
      <w:bookmarkStart w:id="184" w:name="_Toc27569"/>
      <w:bookmarkStart w:id="185" w:name="_Toc40778451"/>
      <w:bookmarkStart w:id="186" w:name="_Toc7965"/>
      <w:r>
        <w:rPr>
          <w:rFonts w:hint="eastAsia"/>
        </w:rPr>
        <w:t>基础施工完成后，项目部组织技术管理人员、安全管理人员、现场专监对其进行验收。</w:t>
      </w:r>
    </w:p>
    <w:p>
      <w:pPr>
        <w:numPr>
          <w:ilvl w:val="0"/>
          <w:numId w:val="78"/>
        </w:numPr>
        <w:ind w:firstLine="480"/>
      </w:pPr>
      <w:r>
        <w:rPr>
          <w:rFonts w:hint="eastAsia"/>
        </w:rPr>
        <w:t>安装设备过程中，组织管理人员检查设备安全装置与限位装置进行验收。</w:t>
      </w:r>
    </w:p>
    <w:p>
      <w:pPr>
        <w:numPr>
          <w:ilvl w:val="0"/>
          <w:numId w:val="78"/>
        </w:numPr>
        <w:ind w:firstLine="480"/>
      </w:pPr>
      <w:r>
        <w:rPr>
          <w:rFonts w:hint="eastAsia"/>
        </w:rPr>
        <w:t>大型机械设备经检验合格，持有效证件，组拼完毕后由项目设备管理部组织验收，验收合格后方能使用。</w:t>
      </w:r>
    </w:p>
    <w:p>
      <w:pPr>
        <w:numPr>
          <w:ilvl w:val="0"/>
          <w:numId w:val="78"/>
        </w:numPr>
        <w:ind w:firstLine="480"/>
      </w:pPr>
      <w:r>
        <w:rPr>
          <w:rFonts w:hint="eastAsia"/>
        </w:rPr>
        <w:t>小型机具使用前，由项目设备管理部组织验收，填写书面验收记录、合格后挂牌方可使用。</w:t>
      </w:r>
    </w:p>
    <w:p>
      <w:pPr>
        <w:numPr>
          <w:ilvl w:val="0"/>
          <w:numId w:val="78"/>
        </w:numPr>
        <w:ind w:firstLine="480"/>
      </w:pPr>
      <w:r>
        <w:rPr>
          <w:rFonts w:hint="eastAsia"/>
        </w:rPr>
        <w:t>临时用电设施、装置通电前由项目设备管理部组织验收，验收合格后方可通电使用，并做好验收记录。</w:t>
      </w:r>
    </w:p>
    <w:p>
      <w:pPr>
        <w:numPr>
          <w:ilvl w:val="0"/>
          <w:numId w:val="78"/>
        </w:numPr>
        <w:ind w:firstLine="480"/>
      </w:pPr>
      <w:r>
        <w:rPr>
          <w:rFonts w:hint="eastAsia"/>
        </w:rPr>
        <w:t>施工现场所有的临边安全防护设施，由项目安全管理部组织验收，合格后方可投入使用，每验收一次须做好验收记录。</w:t>
      </w:r>
    </w:p>
    <w:p>
      <w:pPr>
        <w:ind w:firstLine="480"/>
      </w:pPr>
      <w:r>
        <w:rPr>
          <w:rFonts w:hint="eastAsia"/>
        </w:rPr>
        <w:t>（8）起重吊装工索具由项目技术管理部组织验收，验收合格后方可投入使用。</w:t>
      </w:r>
    </w:p>
    <w:p>
      <w:pPr>
        <w:pStyle w:val="3"/>
      </w:pPr>
      <w:bookmarkStart w:id="187" w:name="_Toc131174065"/>
      <w:bookmarkStart w:id="188" w:name="_Toc25843"/>
      <w:r>
        <w:rPr>
          <w:rFonts w:hint="eastAsia"/>
        </w:rPr>
        <w:t>验收内容</w:t>
      </w:r>
      <w:bookmarkEnd w:id="183"/>
      <w:bookmarkEnd w:id="184"/>
      <w:bookmarkEnd w:id="185"/>
      <w:bookmarkEnd w:id="186"/>
      <w:bookmarkEnd w:id="187"/>
      <w:bookmarkEnd w:id="188"/>
    </w:p>
    <w:p>
      <w:pPr>
        <w:numPr>
          <w:ilvl w:val="0"/>
          <w:numId w:val="79"/>
        </w:numPr>
        <w:ind w:firstLine="480"/>
      </w:pPr>
      <w:r>
        <w:rPr>
          <w:rFonts w:hint="eastAsia"/>
        </w:rPr>
        <w:t>吊装区域：地基承载力、起重机支腿、起重机性能、吊点吊具、吊装区域（受限空间、高压电线、四周建筑等）、人员证件、劳保用品（安全带等）的检查。</w:t>
      </w:r>
    </w:p>
    <w:p>
      <w:pPr>
        <w:numPr>
          <w:ilvl w:val="0"/>
          <w:numId w:val="79"/>
        </w:numPr>
        <w:ind w:firstLine="480"/>
      </w:pPr>
      <w:r>
        <w:rPr>
          <w:rFonts w:hint="eastAsia"/>
        </w:rPr>
        <w:t>焊接与气割：接地情况、开关箱、一机一闸、气瓶安全距离、气瓶存储方式、动火作业申请、人员证件、劳保用品、消防设施的检查。</w:t>
      </w:r>
    </w:p>
    <w:p>
      <w:pPr>
        <w:numPr>
          <w:ilvl w:val="0"/>
          <w:numId w:val="79"/>
        </w:numPr>
        <w:ind w:firstLine="480"/>
      </w:pPr>
      <w:r>
        <w:rPr>
          <w:rFonts w:hint="eastAsia"/>
        </w:rPr>
        <w:t>临时用电检查：电箱、开关箱、电缆线。</w:t>
      </w:r>
    </w:p>
    <w:p>
      <w:pPr>
        <w:pStyle w:val="3"/>
      </w:pPr>
      <w:bookmarkStart w:id="189" w:name="_Toc131174066"/>
      <w:bookmarkStart w:id="190" w:name="_Toc30410"/>
      <w:r>
        <w:rPr>
          <w:rFonts w:hint="eastAsia"/>
        </w:rPr>
        <w:t>验收人员</w:t>
      </w:r>
      <w:bookmarkEnd w:id="189"/>
      <w:bookmarkEnd w:id="190"/>
    </w:p>
    <w:p>
      <w:pPr>
        <w:ind w:firstLine="480"/>
        <w:rPr>
          <w:color w:val="000000" w:themeColor="text1"/>
          <w14:textFill>
            <w14:solidFill>
              <w14:schemeClr w14:val="tx1"/>
            </w14:solidFill>
          </w14:textFill>
        </w:rPr>
      </w:pPr>
      <w:r>
        <w:rPr>
          <w:rFonts w:hint="eastAsia"/>
        </w:rPr>
        <w:t>参与验收人员包括：安拆单位现场负责人、安拆班组长、项目部代表（含技术、安全、设备管理人员）等，需要监理验收的通知监理参与验收。</w:t>
      </w:r>
      <w:r>
        <w:rPr>
          <w:rFonts w:hint="eastAsia"/>
          <w:color w:val="000000" w:themeColor="text1"/>
          <w14:textFill>
            <w14:solidFill>
              <w14:schemeClr w14:val="tx1"/>
            </w14:solidFill>
          </w14:textFill>
        </w:rPr>
        <w:br w:type="page"/>
      </w:r>
    </w:p>
    <w:p>
      <w:pPr>
        <w:pStyle w:val="2"/>
      </w:pPr>
      <w:bookmarkStart w:id="191" w:name="_Toc40778453"/>
      <w:bookmarkStart w:id="192" w:name="_Toc28613976"/>
      <w:bookmarkStart w:id="193" w:name="_Toc15382"/>
      <w:bookmarkStart w:id="194" w:name="_Toc20052"/>
      <w:bookmarkStart w:id="195" w:name="_Toc32680"/>
      <w:r>
        <w:rPr>
          <w:rFonts w:hint="eastAsia"/>
        </w:rPr>
        <w:t>应急处置措施</w:t>
      </w:r>
      <w:bookmarkEnd w:id="191"/>
      <w:bookmarkEnd w:id="192"/>
      <w:bookmarkEnd w:id="193"/>
      <w:bookmarkEnd w:id="194"/>
      <w:bookmarkEnd w:id="195"/>
    </w:p>
    <w:p>
      <w:pPr>
        <w:pStyle w:val="3"/>
      </w:pPr>
      <w:bookmarkStart w:id="196" w:name="_Toc23556"/>
      <w:bookmarkStart w:id="197" w:name="_Toc21328"/>
      <w:bookmarkStart w:id="198" w:name="_Toc40778454"/>
      <w:bookmarkStart w:id="199" w:name="_Toc28613977"/>
      <w:bookmarkStart w:id="200" w:name="_Toc2701"/>
      <w:bookmarkStart w:id="201" w:name="_Toc86675425"/>
      <w:bookmarkStart w:id="202" w:name="_Toc88642976"/>
      <w:bookmarkStart w:id="203" w:name="_Toc22714"/>
      <w:bookmarkStart w:id="204" w:name="_Toc63185590"/>
      <w:bookmarkStart w:id="205" w:name="_Toc40778456"/>
      <w:r>
        <w:rPr>
          <w:rFonts w:hint="eastAsia"/>
        </w:rPr>
        <w:t>组织</w:t>
      </w:r>
      <w:bookmarkEnd w:id="196"/>
      <w:bookmarkEnd w:id="197"/>
      <w:bookmarkEnd w:id="198"/>
      <w:bookmarkEnd w:id="199"/>
      <w:r>
        <w:rPr>
          <w:rFonts w:hint="eastAsia"/>
        </w:rPr>
        <w:t>机构</w:t>
      </w:r>
      <w:bookmarkEnd w:id="200"/>
      <w:bookmarkEnd w:id="201"/>
      <w:bookmarkEnd w:id="202"/>
    </w:p>
    <w:p>
      <w:pPr>
        <w:ind w:firstLine="480"/>
      </w:pPr>
      <w:r>
        <w:rPr>
          <w:rFonts w:hint="eastAsia"/>
        </w:rPr>
        <w:t>根据本施工工程成立应急救援组织机构，其人员组成、职责及联系方式详见</w:t>
      </w:r>
      <w:r>
        <w:fldChar w:fldCharType="begin"/>
      </w:r>
      <w:r>
        <w:instrText xml:space="preserve"> </w:instrText>
      </w:r>
      <w:r>
        <w:rPr>
          <w:rFonts w:hint="eastAsia"/>
        </w:rPr>
        <w:instrText xml:space="preserve">REF _Ref124494803 \h</w:instrText>
      </w:r>
      <w:r>
        <w:instrText xml:space="preserve"> </w:instrText>
      </w:r>
      <w:r>
        <w:fldChar w:fldCharType="separate"/>
      </w:r>
      <w:r>
        <w:rPr>
          <w:rFonts w:hint="eastAsia"/>
        </w:rPr>
        <w:t>表</w:t>
      </w:r>
      <w:r>
        <w:t>9.1</w:t>
      </w:r>
      <w:r>
        <w:rPr>
          <w:rFonts w:hint="eastAsia"/>
        </w:rPr>
        <w:t>-</w:t>
      </w:r>
      <w:r>
        <w:t>1</w:t>
      </w:r>
      <w:r>
        <w:fldChar w:fldCharType="end"/>
      </w:r>
      <w:r>
        <w:rPr>
          <w:rFonts w:hint="eastAsia"/>
        </w:rPr>
        <w:t>所示。</w:t>
      </w:r>
    </w:p>
    <w:p>
      <w:pPr>
        <w:pStyle w:val="16"/>
      </w:pPr>
      <w:bookmarkStart w:id="206" w:name="_Ref124494803"/>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9.1</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bookmarkEnd w:id="206"/>
      <w:r>
        <w:rPr>
          <w:rFonts w:hint="eastAsia"/>
        </w:rPr>
        <w:t xml:space="preserve"> 应急救援组织机构、职责及联系方式</w:t>
      </w:r>
    </w:p>
    <w:tbl>
      <w:tblPr>
        <w:tblStyle w:val="11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13"/>
        <w:gridCol w:w="1495"/>
        <w:gridCol w:w="990"/>
        <w:gridCol w:w="4313"/>
        <w:gridCol w:w="9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tblHeader/>
        </w:trPr>
        <w:tc>
          <w:tcPr>
            <w:tcW w:w="477" w:type="pct"/>
            <w:shd w:val="clear" w:color="auto" w:fill="auto"/>
            <w:vAlign w:val="center"/>
          </w:tcPr>
          <w:p>
            <w:pPr>
              <w:pStyle w:val="17"/>
              <w:rPr>
                <w:b/>
              </w:rPr>
            </w:pPr>
            <w:r>
              <w:rPr>
                <w:rFonts w:hint="eastAsia"/>
                <w:b/>
              </w:rPr>
              <w:t>序号</w:t>
            </w:r>
          </w:p>
        </w:tc>
        <w:tc>
          <w:tcPr>
            <w:tcW w:w="877" w:type="pct"/>
            <w:shd w:val="clear" w:color="auto" w:fill="auto"/>
            <w:vAlign w:val="center"/>
          </w:tcPr>
          <w:p>
            <w:pPr>
              <w:pStyle w:val="17"/>
              <w:rPr>
                <w:b/>
              </w:rPr>
            </w:pPr>
            <w:r>
              <w:rPr>
                <w:rFonts w:hint="eastAsia"/>
                <w:b/>
              </w:rPr>
              <w:t>岗位</w:t>
            </w:r>
          </w:p>
        </w:tc>
        <w:tc>
          <w:tcPr>
            <w:tcW w:w="581" w:type="pct"/>
            <w:shd w:val="clear" w:color="auto" w:fill="auto"/>
            <w:vAlign w:val="center"/>
          </w:tcPr>
          <w:p>
            <w:pPr>
              <w:pStyle w:val="17"/>
              <w:rPr>
                <w:b/>
              </w:rPr>
            </w:pPr>
            <w:r>
              <w:rPr>
                <w:rFonts w:hint="eastAsia"/>
                <w:b/>
              </w:rPr>
              <w:t>姓名</w:t>
            </w:r>
          </w:p>
        </w:tc>
        <w:tc>
          <w:tcPr>
            <w:tcW w:w="2530" w:type="pct"/>
            <w:shd w:val="clear" w:color="auto" w:fill="auto"/>
            <w:vAlign w:val="center"/>
          </w:tcPr>
          <w:p>
            <w:pPr>
              <w:pStyle w:val="17"/>
              <w:rPr>
                <w:b/>
              </w:rPr>
            </w:pPr>
            <w:r>
              <w:rPr>
                <w:rFonts w:hint="eastAsia"/>
                <w:b/>
              </w:rPr>
              <w:t>工作职责</w:t>
            </w:r>
          </w:p>
        </w:tc>
        <w:tc>
          <w:tcPr>
            <w:tcW w:w="534" w:type="pct"/>
            <w:shd w:val="clear" w:color="auto" w:fill="auto"/>
            <w:vAlign w:val="center"/>
          </w:tcPr>
          <w:p>
            <w:pPr>
              <w:pStyle w:val="17"/>
              <w:rPr>
                <w:b/>
              </w:rPr>
            </w:pPr>
            <w:r>
              <w:rPr>
                <w:rFonts w:hint="eastAsia"/>
                <w:b/>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477" w:type="pct"/>
            <w:shd w:val="clear" w:color="auto" w:fill="auto"/>
            <w:vAlign w:val="center"/>
          </w:tcPr>
          <w:p>
            <w:pPr>
              <w:pStyle w:val="17"/>
              <w:numPr>
                <w:ilvl w:val="0"/>
                <w:numId w:val="80"/>
              </w:numPr>
            </w:pPr>
          </w:p>
        </w:tc>
        <w:tc>
          <w:tcPr>
            <w:tcW w:w="877" w:type="pct"/>
            <w:shd w:val="clear" w:color="auto" w:fill="auto"/>
            <w:vAlign w:val="center"/>
          </w:tcPr>
          <w:p>
            <w:pPr>
              <w:pStyle w:val="17"/>
            </w:pPr>
            <w:r>
              <w:rPr>
                <w:rFonts w:hint="eastAsia"/>
              </w:rPr>
              <w:t>现场负责人</w:t>
            </w:r>
          </w:p>
        </w:tc>
        <w:tc>
          <w:tcPr>
            <w:tcW w:w="581" w:type="pct"/>
            <w:shd w:val="clear" w:color="auto" w:fill="auto"/>
            <w:vAlign w:val="center"/>
          </w:tcPr>
          <w:p>
            <w:pPr>
              <w:pStyle w:val="17"/>
            </w:pPr>
            <w:r>
              <w:rPr>
                <w:rFonts w:hint="eastAsia"/>
              </w:rPr>
              <w:t>孔令德</w:t>
            </w:r>
          </w:p>
        </w:tc>
        <w:tc>
          <w:tcPr>
            <w:tcW w:w="2530" w:type="pct"/>
            <w:shd w:val="clear" w:color="auto" w:fill="auto"/>
            <w:vAlign w:val="center"/>
          </w:tcPr>
          <w:p>
            <w:pPr>
              <w:pStyle w:val="17"/>
              <w:jc w:val="both"/>
            </w:pPr>
            <w:r>
              <w:rPr>
                <w:rFonts w:hint="eastAsia"/>
              </w:rPr>
              <w:t>负责设备安装组织、实施及安全</w:t>
            </w:r>
          </w:p>
        </w:tc>
        <w:tc>
          <w:tcPr>
            <w:tcW w:w="534" w:type="pct"/>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477" w:type="pct"/>
            <w:shd w:val="clear" w:color="auto" w:fill="auto"/>
            <w:vAlign w:val="center"/>
          </w:tcPr>
          <w:p>
            <w:pPr>
              <w:pStyle w:val="17"/>
              <w:numPr>
                <w:ilvl w:val="0"/>
                <w:numId w:val="80"/>
              </w:numPr>
            </w:pPr>
          </w:p>
        </w:tc>
        <w:tc>
          <w:tcPr>
            <w:tcW w:w="877" w:type="pct"/>
            <w:shd w:val="clear" w:color="auto" w:fill="auto"/>
            <w:vAlign w:val="center"/>
          </w:tcPr>
          <w:p>
            <w:pPr>
              <w:pStyle w:val="17"/>
            </w:pPr>
            <w:r>
              <w:rPr>
                <w:rFonts w:hint="eastAsia"/>
              </w:rPr>
              <w:t>设备安拆工</w:t>
            </w:r>
          </w:p>
        </w:tc>
        <w:tc>
          <w:tcPr>
            <w:tcW w:w="581" w:type="pct"/>
            <w:shd w:val="clear" w:color="auto" w:fill="auto"/>
            <w:vAlign w:val="center"/>
          </w:tcPr>
          <w:p>
            <w:pPr>
              <w:pStyle w:val="17"/>
            </w:pPr>
            <w:r>
              <w:rPr>
                <w:rFonts w:hint="eastAsia"/>
              </w:rPr>
              <w:t>向杰</w:t>
            </w:r>
          </w:p>
        </w:tc>
        <w:tc>
          <w:tcPr>
            <w:tcW w:w="2530" w:type="pct"/>
            <w:shd w:val="clear" w:color="auto" w:fill="auto"/>
            <w:vAlign w:val="center"/>
          </w:tcPr>
          <w:p>
            <w:pPr>
              <w:pStyle w:val="17"/>
              <w:jc w:val="both"/>
            </w:pPr>
            <w:r>
              <w:rPr>
                <w:rFonts w:hint="eastAsia"/>
              </w:rPr>
              <w:t>负责设备安装技术工作以及安全工作</w:t>
            </w:r>
          </w:p>
        </w:tc>
        <w:tc>
          <w:tcPr>
            <w:tcW w:w="534" w:type="pct"/>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477" w:type="pct"/>
            <w:shd w:val="clear" w:color="auto" w:fill="auto"/>
            <w:vAlign w:val="center"/>
          </w:tcPr>
          <w:p>
            <w:pPr>
              <w:pStyle w:val="17"/>
              <w:numPr>
                <w:ilvl w:val="0"/>
                <w:numId w:val="80"/>
              </w:numPr>
            </w:pPr>
          </w:p>
        </w:tc>
        <w:tc>
          <w:tcPr>
            <w:tcW w:w="877" w:type="pct"/>
            <w:shd w:val="clear" w:color="auto" w:fill="auto"/>
            <w:vAlign w:val="center"/>
          </w:tcPr>
          <w:p>
            <w:pPr>
              <w:pStyle w:val="17"/>
            </w:pPr>
            <w:r>
              <w:rPr>
                <w:rFonts w:hint="eastAsia"/>
              </w:rPr>
              <w:t>设备安拆工</w:t>
            </w:r>
          </w:p>
        </w:tc>
        <w:tc>
          <w:tcPr>
            <w:tcW w:w="581" w:type="pct"/>
            <w:shd w:val="clear" w:color="auto" w:fill="auto"/>
            <w:vAlign w:val="center"/>
          </w:tcPr>
          <w:p>
            <w:pPr>
              <w:pStyle w:val="17"/>
            </w:pPr>
            <w:r>
              <w:rPr>
                <w:rFonts w:hint="eastAsia"/>
              </w:rPr>
              <w:t>徐小平</w:t>
            </w:r>
          </w:p>
        </w:tc>
        <w:tc>
          <w:tcPr>
            <w:tcW w:w="2530" w:type="pct"/>
            <w:shd w:val="clear" w:color="auto" w:fill="auto"/>
            <w:vAlign w:val="center"/>
          </w:tcPr>
          <w:p>
            <w:pPr>
              <w:pStyle w:val="17"/>
              <w:jc w:val="both"/>
            </w:pPr>
            <w:r>
              <w:rPr>
                <w:rFonts w:hint="eastAsia"/>
              </w:rPr>
              <w:t>负责现场的安全组织、检查、监督、纠正</w:t>
            </w:r>
          </w:p>
        </w:tc>
        <w:tc>
          <w:tcPr>
            <w:tcW w:w="534" w:type="pct"/>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477" w:type="pct"/>
            <w:shd w:val="clear" w:color="auto" w:fill="auto"/>
            <w:vAlign w:val="center"/>
          </w:tcPr>
          <w:p>
            <w:pPr>
              <w:pStyle w:val="17"/>
              <w:numPr>
                <w:ilvl w:val="0"/>
                <w:numId w:val="80"/>
              </w:numPr>
            </w:pPr>
          </w:p>
        </w:tc>
        <w:tc>
          <w:tcPr>
            <w:tcW w:w="877" w:type="pct"/>
            <w:shd w:val="clear" w:color="auto" w:fill="auto"/>
            <w:vAlign w:val="center"/>
          </w:tcPr>
          <w:p>
            <w:pPr>
              <w:pStyle w:val="17"/>
            </w:pPr>
            <w:r>
              <w:rPr>
                <w:rFonts w:hint="eastAsia"/>
              </w:rPr>
              <w:t>设备安拆工</w:t>
            </w:r>
          </w:p>
        </w:tc>
        <w:tc>
          <w:tcPr>
            <w:tcW w:w="581" w:type="pct"/>
            <w:shd w:val="clear" w:color="auto" w:fill="auto"/>
            <w:vAlign w:val="center"/>
          </w:tcPr>
          <w:p>
            <w:pPr>
              <w:pStyle w:val="17"/>
            </w:pPr>
            <w:r>
              <w:rPr>
                <w:rFonts w:hint="eastAsia"/>
              </w:rPr>
              <w:t>熊登</w:t>
            </w:r>
          </w:p>
        </w:tc>
        <w:tc>
          <w:tcPr>
            <w:tcW w:w="2530" w:type="pct"/>
            <w:shd w:val="clear" w:color="auto" w:fill="auto"/>
            <w:vAlign w:val="center"/>
          </w:tcPr>
          <w:p>
            <w:pPr>
              <w:pStyle w:val="17"/>
              <w:jc w:val="both"/>
            </w:pPr>
            <w:r>
              <w:rPr>
                <w:rFonts w:hint="eastAsia"/>
              </w:rPr>
              <w:t>负责设备安装的人员设备组织、协调；</w:t>
            </w:r>
          </w:p>
          <w:p>
            <w:pPr>
              <w:pStyle w:val="17"/>
              <w:jc w:val="both"/>
            </w:pPr>
            <w:r>
              <w:rPr>
                <w:rFonts w:hint="eastAsia"/>
              </w:rPr>
              <w:t>检查吊具、索具安全性，保证吊点正确，物件平稳，指挥信号清晰、明确。</w:t>
            </w:r>
          </w:p>
        </w:tc>
        <w:tc>
          <w:tcPr>
            <w:tcW w:w="534" w:type="pct"/>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477" w:type="pct"/>
            <w:shd w:val="clear" w:color="auto" w:fill="auto"/>
            <w:vAlign w:val="center"/>
          </w:tcPr>
          <w:p>
            <w:pPr>
              <w:pStyle w:val="17"/>
              <w:numPr>
                <w:ilvl w:val="0"/>
                <w:numId w:val="80"/>
              </w:numPr>
            </w:pPr>
          </w:p>
        </w:tc>
        <w:tc>
          <w:tcPr>
            <w:tcW w:w="877" w:type="pct"/>
            <w:shd w:val="clear" w:color="auto" w:fill="auto"/>
            <w:vAlign w:val="center"/>
          </w:tcPr>
          <w:p>
            <w:pPr>
              <w:pStyle w:val="17"/>
            </w:pPr>
            <w:r>
              <w:rPr>
                <w:rFonts w:hint="eastAsia"/>
              </w:rPr>
              <w:t>电工</w:t>
            </w:r>
          </w:p>
        </w:tc>
        <w:tc>
          <w:tcPr>
            <w:tcW w:w="581" w:type="pct"/>
            <w:shd w:val="clear" w:color="auto" w:fill="auto"/>
            <w:vAlign w:val="center"/>
          </w:tcPr>
          <w:p>
            <w:pPr>
              <w:pStyle w:val="17"/>
            </w:pPr>
            <w:r>
              <w:rPr>
                <w:rFonts w:hint="eastAsia"/>
              </w:rPr>
              <w:t>白前涛</w:t>
            </w:r>
          </w:p>
        </w:tc>
        <w:tc>
          <w:tcPr>
            <w:tcW w:w="2530" w:type="pct"/>
            <w:shd w:val="clear" w:color="auto" w:fill="auto"/>
            <w:vAlign w:val="center"/>
          </w:tcPr>
          <w:p>
            <w:pPr>
              <w:pStyle w:val="17"/>
              <w:jc w:val="both"/>
            </w:pPr>
            <w:r>
              <w:rPr>
                <w:rFonts w:hint="eastAsia"/>
              </w:rPr>
              <w:t>负责现场设备的电气安装、恢复、调试</w:t>
            </w:r>
          </w:p>
        </w:tc>
        <w:tc>
          <w:tcPr>
            <w:tcW w:w="534" w:type="pct"/>
            <w:shd w:val="clear" w:color="auto" w:fill="auto"/>
            <w:vAlign w:val="center"/>
          </w:tcPr>
          <w:p>
            <w:pPr>
              <w:pStyle w:val="17"/>
            </w:pPr>
          </w:p>
        </w:tc>
      </w:tr>
    </w:tbl>
    <w:p>
      <w:pPr>
        <w:pStyle w:val="3"/>
      </w:pPr>
      <w:bookmarkStart w:id="207" w:name="_Toc9735"/>
      <w:bookmarkStart w:id="208" w:name="_Toc28613979"/>
      <w:bookmarkStart w:id="209" w:name="_Toc40778455"/>
      <w:bookmarkStart w:id="210" w:name="_Toc86675426"/>
      <w:bookmarkStart w:id="211" w:name="_Toc88642977"/>
      <w:bookmarkStart w:id="212" w:name="_Toc14689"/>
      <w:bookmarkStart w:id="213" w:name="_Toc1874"/>
      <w:r>
        <w:rPr>
          <w:rFonts w:hint="eastAsia"/>
        </w:rPr>
        <w:t>处置流程</w:t>
      </w:r>
      <w:bookmarkEnd w:id="207"/>
      <w:bookmarkEnd w:id="208"/>
      <w:bookmarkEnd w:id="209"/>
      <w:bookmarkEnd w:id="210"/>
      <w:bookmarkEnd w:id="211"/>
      <w:bookmarkEnd w:id="212"/>
      <w:bookmarkEnd w:id="213"/>
    </w:p>
    <w:p>
      <w:pPr>
        <w:ind w:firstLine="480"/>
      </w:pPr>
      <w:r>
        <w:rPr>
          <w:rFonts w:hint="eastAsia"/>
        </w:rPr>
        <w:t>现场发生事故征兆或生产安全事故，安拆单位人员立即向现场项目部管理人员汇报，并通知起重机司机、起重指挥人员停止吊装作业，协作项目部管理人员进行应急处置。</w:t>
      </w:r>
    </w:p>
    <w:bookmarkEnd w:id="203"/>
    <w:bookmarkEnd w:id="204"/>
    <w:bookmarkEnd w:id="205"/>
    <w:p>
      <w:pPr>
        <w:pStyle w:val="3"/>
      </w:pPr>
      <w:bookmarkStart w:id="214" w:name="_Toc131174070"/>
      <w:bookmarkStart w:id="215" w:name="_Toc11945"/>
      <w:bookmarkStart w:id="216" w:name="_Toc86675428"/>
      <w:bookmarkStart w:id="217" w:name="_Toc88642979"/>
      <w:r>
        <w:rPr>
          <w:rFonts w:hint="eastAsia"/>
        </w:rPr>
        <w:t>应急处置措施</w:t>
      </w:r>
      <w:bookmarkEnd w:id="214"/>
      <w:bookmarkEnd w:id="215"/>
    </w:p>
    <w:p>
      <w:pPr>
        <w:pStyle w:val="4"/>
      </w:pPr>
      <w:r>
        <w:rPr>
          <w:rFonts w:hint="eastAsia"/>
        </w:rPr>
        <w:t>塔吊坍塌应急处置措施</w:t>
      </w:r>
    </w:p>
    <w:p>
      <w:pPr>
        <w:numPr>
          <w:ilvl w:val="0"/>
          <w:numId w:val="81"/>
        </w:numPr>
        <w:ind w:firstLineChars="0"/>
      </w:pPr>
      <w:r>
        <w:rPr>
          <w:rFonts w:hint="eastAsia"/>
        </w:rPr>
        <w:t>安拆现场发生设备坍塌事故，迅速确定事故发生的准确位置、可能波及的范围、损坏的程度、人员伤亡情况等，以根据不同情况进行应急处置。</w:t>
      </w:r>
    </w:p>
    <w:p>
      <w:pPr>
        <w:numPr>
          <w:ilvl w:val="0"/>
          <w:numId w:val="81"/>
        </w:numPr>
        <w:ind w:firstLineChars="0"/>
      </w:pPr>
      <w:r>
        <w:rPr>
          <w:rFonts w:hint="eastAsia"/>
        </w:rPr>
        <w:t>设置危险警戒区域，严禁与应急抢险无关的人员进入。</w:t>
      </w:r>
    </w:p>
    <w:p>
      <w:pPr>
        <w:numPr>
          <w:ilvl w:val="0"/>
          <w:numId w:val="81"/>
        </w:numPr>
        <w:ind w:firstLineChars="0"/>
      </w:pPr>
      <w:r>
        <w:rPr>
          <w:rFonts w:hint="eastAsia"/>
        </w:rPr>
        <w:t>按着救人优先的原则，且在保障人身安全的情况下尽可能地抢救重要财产，并注意做好应急人员的自身安全。</w:t>
      </w:r>
    </w:p>
    <w:p>
      <w:pPr>
        <w:numPr>
          <w:ilvl w:val="0"/>
          <w:numId w:val="81"/>
        </w:numPr>
        <w:ind w:firstLineChars="0"/>
      </w:pPr>
      <w:r>
        <w:rPr>
          <w:rFonts w:hint="eastAsia"/>
        </w:rPr>
        <w:t>组织人员尽快解除重物压迫，减少伤员挤压综合症发生，并将其转移至安全地方。</w:t>
      </w:r>
    </w:p>
    <w:p>
      <w:pPr>
        <w:numPr>
          <w:ilvl w:val="0"/>
          <w:numId w:val="81"/>
        </w:numPr>
        <w:ind w:firstLineChars="0"/>
      </w:pPr>
      <w:r>
        <w:rPr>
          <w:rFonts w:hint="eastAsia"/>
        </w:rPr>
        <w:t>对未坍塌部位进行抢修加固或者拆除，封锁周围危险区域，防止进一步坍塌。</w:t>
      </w:r>
    </w:p>
    <w:p>
      <w:pPr>
        <w:numPr>
          <w:ilvl w:val="0"/>
          <w:numId w:val="81"/>
        </w:numPr>
        <w:ind w:firstLineChars="0"/>
      </w:pPr>
      <w:r>
        <w:rPr>
          <w:rFonts w:hint="eastAsia"/>
        </w:rPr>
        <w:t>现场急救条件不能满足需求时，必须立即上报当地政府有关部门，并请求必要的支持和帮助。拨打急救电话时，应详细说明事故地点和人员伤害情况，并派人到路口进行接应。</w:t>
      </w:r>
    </w:p>
    <w:p>
      <w:pPr>
        <w:numPr>
          <w:ilvl w:val="0"/>
          <w:numId w:val="81"/>
        </w:numPr>
        <w:ind w:firstLineChars="0"/>
      </w:pPr>
      <w:r>
        <w:rPr>
          <w:rFonts w:hint="eastAsia"/>
        </w:rPr>
        <w:t>在没有人员受伤的情况下，应根据实际情况对支架进行加固或拆除，在确保人员生命安全的前提下，组织恢复正常施工秩序。</w:t>
      </w:r>
    </w:p>
    <w:p>
      <w:pPr>
        <w:pStyle w:val="4"/>
      </w:pPr>
      <w:r>
        <w:rPr>
          <w:rFonts w:hint="eastAsia"/>
        </w:rPr>
        <w:t>起重伤害应急处置措施</w:t>
      </w:r>
    </w:p>
    <w:p>
      <w:pPr>
        <w:numPr>
          <w:ilvl w:val="0"/>
          <w:numId w:val="82"/>
        </w:numPr>
        <w:ind w:firstLine="480"/>
      </w:pPr>
      <w:r>
        <w:rPr>
          <w:rFonts w:hint="eastAsia"/>
        </w:rPr>
        <w:t>当发生起重吊装设备械倾覆事故时，首先查看起重机司机是否被困在操作室内，检查有无其他人员被砸伤或者掩埋在起重机下，相邻构筑物是否受到破坏。</w:t>
      </w:r>
    </w:p>
    <w:p>
      <w:pPr>
        <w:numPr>
          <w:ilvl w:val="0"/>
          <w:numId w:val="82"/>
        </w:numPr>
        <w:ind w:firstLine="480"/>
      </w:pPr>
      <w:r>
        <w:rPr>
          <w:rFonts w:hint="eastAsia"/>
        </w:rPr>
        <w:t>若有人员被困，确定被埋人员的位置，立即组织现场急救。</w:t>
      </w:r>
    </w:p>
    <w:p>
      <w:pPr>
        <w:numPr>
          <w:ilvl w:val="0"/>
          <w:numId w:val="82"/>
        </w:numPr>
        <w:ind w:firstLine="480"/>
      </w:pPr>
      <w:r>
        <w:rPr>
          <w:rFonts w:hint="eastAsia"/>
        </w:rPr>
        <w:t>当挖救被埋人员时，切勿使用机械挖救，以防伤人，同时调用其他起重设备将倾覆起重机缓慢拉起，设备部件固定牢固后，再组织抢救被埋人员。</w:t>
      </w:r>
    </w:p>
    <w:p>
      <w:pPr>
        <w:numPr>
          <w:ilvl w:val="0"/>
          <w:numId w:val="82"/>
        </w:numPr>
        <w:ind w:firstLine="480"/>
      </w:pPr>
      <w:r>
        <w:rPr>
          <w:rFonts w:hint="eastAsia"/>
        </w:rPr>
        <w:t>昏迷者应平卧，面部转向一侧，以防舌根下坠或分泌物、呕吐物吸入，发生喉阻塞。有骨折者，应初步固定后再搬运。</w:t>
      </w:r>
    </w:p>
    <w:p>
      <w:pPr>
        <w:numPr>
          <w:ilvl w:val="0"/>
          <w:numId w:val="82"/>
        </w:numPr>
        <w:ind w:firstLine="480"/>
      </w:pPr>
      <w:r>
        <w:rPr>
          <w:rFonts w:hint="eastAsia"/>
        </w:rPr>
        <w:t>发现脊椎受伤者，创伤处用消毒的纱布或清洁布等覆盖伤口，用绷带或布条包扎，搬运时将伤者平卧放在帆布担架或硬板上，以免受伤的脊椎移位、断裂造成截瘫。</w:t>
      </w:r>
    </w:p>
    <w:p>
      <w:pPr>
        <w:numPr>
          <w:ilvl w:val="0"/>
          <w:numId w:val="82"/>
        </w:numPr>
        <w:ind w:firstLine="420" w:firstLineChars="0"/>
      </w:pPr>
      <w:r>
        <w:rPr>
          <w:rFonts w:hint="eastAsia"/>
        </w:rPr>
        <w:t>吊装前应提前检查钢丝绳、卸扣等，发现钢丝绳存在断丝、断股、锈蚀严重等现象时必须立即更换钢丝绳。</w:t>
      </w:r>
    </w:p>
    <w:p>
      <w:pPr>
        <w:numPr>
          <w:ilvl w:val="0"/>
          <w:numId w:val="82"/>
        </w:numPr>
        <w:ind w:firstLine="420" w:firstLineChars="0"/>
      </w:pPr>
      <w:r>
        <w:rPr>
          <w:rFonts w:hint="eastAsia"/>
        </w:rPr>
        <w:t>大型构件吊装之前必须进行试吊。</w:t>
      </w:r>
    </w:p>
    <w:p>
      <w:pPr>
        <w:numPr>
          <w:ilvl w:val="0"/>
          <w:numId w:val="82"/>
        </w:numPr>
        <w:ind w:firstLine="420" w:firstLineChars="0"/>
      </w:pPr>
      <w:r>
        <w:rPr>
          <w:rFonts w:hint="eastAsia"/>
        </w:rPr>
        <w:t>吊装过程中若发生钢丝绳断裂，但吊物仍悬挂在空中时，首先应该立即停止吊装作业，将吊物缓缓下方至地面，更换钢丝绳检查无误后方可继续吊装。</w:t>
      </w:r>
    </w:p>
    <w:p>
      <w:pPr>
        <w:numPr>
          <w:ilvl w:val="0"/>
          <w:numId w:val="82"/>
        </w:numPr>
        <w:ind w:firstLine="420" w:firstLineChars="0"/>
      </w:pPr>
      <w:r>
        <w:rPr>
          <w:rFonts w:hint="eastAsia"/>
        </w:rPr>
        <w:t>若吊装过程中发生钢丝绳断裂，且吊物已经坠落。应首先排查坠落过程中是否造成人员伤亡，及时将受伤人员转移至安全区域等待救援车辆的到来。然后调来其他起重设备将汽车吊与吊物分离。同时检查吊车、吊物是否存在损坏现象。待确定吊物、吊车均已正常后方可重新安排吊装事宜。</w:t>
      </w:r>
    </w:p>
    <w:p>
      <w:pPr>
        <w:pStyle w:val="4"/>
      </w:pPr>
      <w:r>
        <w:rPr>
          <w:rFonts w:hint="eastAsia"/>
        </w:rPr>
        <w:t>钢丝绳断裂、脱钩应急处置措施</w:t>
      </w:r>
    </w:p>
    <w:p>
      <w:pPr>
        <w:numPr>
          <w:ilvl w:val="0"/>
          <w:numId w:val="83"/>
        </w:numPr>
        <w:ind w:firstLine="420" w:firstLineChars="0"/>
      </w:pPr>
      <w:r>
        <w:rPr>
          <w:rFonts w:hint="eastAsia"/>
        </w:rPr>
        <w:t>吊装前应提前检查钢丝绳、卸扣等，发现钢丝绳存在断丝、断股、锈蚀严重等现象时必须立即更换钢丝绳。</w:t>
      </w:r>
    </w:p>
    <w:p>
      <w:pPr>
        <w:numPr>
          <w:ilvl w:val="0"/>
          <w:numId w:val="83"/>
        </w:numPr>
        <w:ind w:firstLine="420" w:firstLineChars="0"/>
      </w:pPr>
      <w:r>
        <w:rPr>
          <w:rFonts w:hint="eastAsia"/>
        </w:rPr>
        <w:t>大型构件吊装之前必须进行试吊。</w:t>
      </w:r>
    </w:p>
    <w:p>
      <w:pPr>
        <w:numPr>
          <w:ilvl w:val="0"/>
          <w:numId w:val="83"/>
        </w:numPr>
        <w:ind w:firstLine="420" w:firstLineChars="0"/>
      </w:pPr>
      <w:r>
        <w:rPr>
          <w:rFonts w:hint="eastAsia"/>
        </w:rPr>
        <w:t>吊装过程中若发生钢丝绳断裂，但吊物仍悬挂在空中时，首先应该立即停止吊装作业，将吊物缓缓下方至地面，更换钢丝绳检查无误后方可继续吊装。</w:t>
      </w:r>
    </w:p>
    <w:p>
      <w:pPr>
        <w:numPr>
          <w:ilvl w:val="0"/>
          <w:numId w:val="83"/>
        </w:numPr>
        <w:ind w:firstLine="420" w:firstLineChars="0"/>
      </w:pPr>
      <w:r>
        <w:rPr>
          <w:rFonts w:hint="eastAsia"/>
        </w:rPr>
        <w:t>若吊装过程中发生钢丝绳断裂，且吊物已经坠落。应首先排查坠落过程中是否造成人员伤亡，及时将受伤人员转移至安全区域等待救援车辆的到来。然后调来其他起重设备将汽车吊与吊物分离。同时检查吊车、吊物是否存在损坏现象。待确定吊物、吊车均已正常后方可重新安排吊装事宜。</w:t>
      </w:r>
    </w:p>
    <w:p>
      <w:pPr>
        <w:pStyle w:val="4"/>
      </w:pPr>
      <w:r>
        <w:rPr>
          <w:rFonts w:hint="eastAsia"/>
        </w:rPr>
        <w:t>高处坠落应急处置措施</w:t>
      </w:r>
    </w:p>
    <w:p>
      <w:pPr>
        <w:numPr>
          <w:ilvl w:val="0"/>
          <w:numId w:val="84"/>
        </w:numPr>
        <w:ind w:firstLine="480"/>
      </w:pPr>
      <w:r>
        <w:rPr>
          <w:rFonts w:hint="eastAsia"/>
        </w:rPr>
        <w:t>发生高处坠落事故，应马上组织挽救伤者，首先观察伤者的受伤情况、部位、伤害性质，如伤员发生休克，应先处理休克。遇呼吸、心跳停止者，应立即进行人工呼吸，胸外心脏挤压。处于休克状态的伤员要认其安静、保暖、平卧、少动，并将下肢抬高约20度左右，尽快送医院进行抢救治疗。</w:t>
      </w:r>
    </w:p>
    <w:p>
      <w:pPr>
        <w:numPr>
          <w:ilvl w:val="0"/>
          <w:numId w:val="85"/>
        </w:numPr>
        <w:ind w:firstLine="480"/>
      </w:pPr>
      <w:r>
        <w:rPr>
          <w:rFonts w:hint="eastAsia"/>
        </w:rPr>
        <w:t>出现颅脑损伤时，必须维持呼吸道畅通。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往就近有条件的医院治疗。</w:t>
      </w:r>
    </w:p>
    <w:p>
      <w:pPr>
        <w:numPr>
          <w:ilvl w:val="0"/>
          <w:numId w:val="85"/>
        </w:numPr>
        <w:ind w:firstLine="480"/>
      </w:pPr>
      <w:r>
        <w:rPr>
          <w:rFonts w:hint="eastAsia"/>
        </w:rPr>
        <w:t>发现脊椎受伤者，创伤处用消毒的纱布或清洁布等覆盖伤口，用绷带或布条包扎，搬运时将伤者平卧放在帆布担架或硬板上，以免受伤的脊椎移位、断裂造成截瘫，招致死亡。抢救脊椎受伤者，搬运过程中，严禁只抬伤者的两肩与两腿或单肩背运。</w:t>
      </w:r>
    </w:p>
    <w:p>
      <w:pPr>
        <w:numPr>
          <w:ilvl w:val="0"/>
          <w:numId w:val="85"/>
        </w:numPr>
        <w:ind w:firstLine="480"/>
      </w:pPr>
      <w:r>
        <w:rPr>
          <w:rFonts w:hint="eastAsia"/>
        </w:rPr>
        <w:t>发现伤者手足骨折者，不要盲目搬动伤者。应在骨折部位用夹板把受伤的位置临时固定，使断端不再移位或刺伤肌肉、神经或血管。固定方法：以固定骨折处上下关节为原则，用夹板，也可就地取材，用木板、竹子等，在无材料的情况下，上肢可固定在身侧，下肢与腱侧下肢缚在一起。</w:t>
      </w:r>
    </w:p>
    <w:p>
      <w:pPr>
        <w:numPr>
          <w:ilvl w:val="0"/>
          <w:numId w:val="85"/>
        </w:numPr>
        <w:ind w:firstLine="480"/>
      </w:pPr>
      <w:r>
        <w:rPr>
          <w:rFonts w:hint="eastAsia"/>
        </w:rPr>
        <w:t>遇有创伤性出血的伤员，应迅速包扎止血，使伤员保持在头底脚高的卧位，并注意保暖。正确的现场止血处理措施：</w:t>
      </w:r>
    </w:p>
    <w:p>
      <w:pPr>
        <w:numPr>
          <w:ilvl w:val="0"/>
          <w:numId w:val="86"/>
        </w:numPr>
        <w:ind w:firstLine="480"/>
      </w:pPr>
      <w:r>
        <w:rPr>
          <w:rFonts w:hint="eastAsia"/>
        </w:rPr>
        <w:t>一般伤口的止血法：先用生理盐水（0.9%Nacl溶液）冲洗伤口，涂上红汞水，然后盖上消毒纱布，用绷带较紧地包扎。</w:t>
      </w:r>
    </w:p>
    <w:p>
      <w:pPr>
        <w:numPr>
          <w:ilvl w:val="0"/>
          <w:numId w:val="86"/>
        </w:numPr>
        <w:ind w:firstLine="480"/>
      </w:pPr>
      <w:r>
        <w:rPr>
          <w:rFonts w:hint="eastAsia"/>
        </w:rPr>
        <w:t>加压包扎止血法：用纱布、棉花等作成软件垫，放在伤口上再加包扎，来增强压力而达到止血。</w:t>
      </w:r>
    </w:p>
    <w:p>
      <w:pPr>
        <w:numPr>
          <w:ilvl w:val="0"/>
          <w:numId w:val="86"/>
        </w:numPr>
        <w:ind w:firstLine="480"/>
      </w:pPr>
      <w:r>
        <w:rPr>
          <w:rFonts w:hint="eastAsia"/>
        </w:rPr>
        <w:t>止血带止血法：选择弹性好的橡皮管、橡皮带或三角巾、毛巾、带状布条等，上肢出血结扎在上臂1/2处（靠近心脏位置），下肢出血结扎在大腿上1/3处（靠近心脏位置）。结扎时，在止血带与皮肤之间垫上纱布棉垫。每隔25—40分钟放松一次，每次放松0.5—1分钟。</w:t>
      </w:r>
    </w:p>
    <w:p>
      <w:pPr>
        <w:numPr>
          <w:ilvl w:val="0"/>
          <w:numId w:val="85"/>
        </w:numPr>
        <w:ind w:firstLine="480"/>
      </w:pPr>
      <w:r>
        <w:rPr>
          <w:rFonts w:hint="eastAsia"/>
        </w:rPr>
        <w:t>动用最快的交通工具或其他措施，及时把伤者送往邻近医院抢救，运送途中应尽量减少颠簸。同时密切注意伤者的呼吸、脉搏、血压及伤口的情况。</w:t>
      </w:r>
    </w:p>
    <w:p>
      <w:pPr>
        <w:pStyle w:val="4"/>
      </w:pPr>
      <w:r>
        <w:rPr>
          <w:rFonts w:hint="eastAsia"/>
        </w:rPr>
        <w:t>物体打击应急处置措施</w:t>
      </w:r>
    </w:p>
    <w:p>
      <w:pPr>
        <w:numPr>
          <w:ilvl w:val="0"/>
          <w:numId w:val="87"/>
        </w:numPr>
        <w:ind w:firstLineChars="0"/>
      </w:pPr>
      <w:r>
        <w:rPr>
          <w:rFonts w:hint="eastAsia"/>
        </w:rPr>
        <w:t>当发生物体打击事故后，抢救的重点放在颅脑损伤、胸部骨折和出血上进行处理。</w:t>
      </w:r>
    </w:p>
    <w:p>
      <w:pPr>
        <w:numPr>
          <w:ilvl w:val="0"/>
          <w:numId w:val="87"/>
        </w:numPr>
        <w:ind w:firstLineChars="0"/>
      </w:pPr>
      <w:r>
        <w:rPr>
          <w:rFonts w:hint="eastAsia"/>
        </w:rPr>
        <w:t>当施工人员发生物体打击时，首先观察伤者的受伤情况、部位、伤害性质，尽可能不要移动患者，尽量当场施救。如果处在不宜施工的场所时必须将患者搬运到能够安全施救的地方，搬运时应尽量多找一些人来搬运，观察患者呼吸和脸色的变化，如果是脊柱骨折，不要弯曲、扭动患者的颈部和身体，不要接触患者的伤口，要使患者身体放松，尽量将患者放到担架或平板上进行搬运。</w:t>
      </w:r>
    </w:p>
    <w:p>
      <w:pPr>
        <w:numPr>
          <w:ilvl w:val="0"/>
          <w:numId w:val="87"/>
        </w:numPr>
        <w:ind w:firstLineChars="0"/>
      </w:pPr>
      <w:r>
        <w:rPr>
          <w:rFonts w:hint="eastAsia"/>
        </w:rPr>
        <w:t>遇呼吸、心跳停止者，应立即进行人工呼吸，胸外心脏挤压。处于休克状态的伤员要让其安静、保暖、平卧、少动，并将下肢抬高约20度左右，尽快送医院进行抢救治疗。</w:t>
      </w:r>
    </w:p>
    <w:p>
      <w:pPr>
        <w:numPr>
          <w:ilvl w:val="0"/>
          <w:numId w:val="87"/>
        </w:numPr>
        <w:ind w:firstLineChars="0"/>
      </w:pPr>
      <w:r>
        <w:rPr>
          <w:rFonts w:hint="eastAsia"/>
        </w:rPr>
        <w:t>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医院治疗。</w:t>
      </w:r>
    </w:p>
    <w:p>
      <w:pPr>
        <w:pStyle w:val="4"/>
      </w:pPr>
      <w:r>
        <w:rPr>
          <w:rFonts w:hint="eastAsia"/>
        </w:rPr>
        <w:t>机械伤害应急处置措施</w:t>
      </w:r>
    </w:p>
    <w:p>
      <w:pPr>
        <w:numPr>
          <w:ilvl w:val="0"/>
          <w:numId w:val="88"/>
        </w:numPr>
        <w:ind w:firstLineChars="0"/>
      </w:pPr>
      <w:r>
        <w:rPr>
          <w:rFonts w:hint="eastAsia"/>
        </w:rPr>
        <w:t>当施工人员发生机械伤害事故时，迅速确定事故发生的准确位置、可能波及的范围、设备损坏的程度、人员伤亡等情况，观察伤者的受伤情况、部位、伤害性质，急救人员应尽快赶往出事地点。</w:t>
      </w:r>
    </w:p>
    <w:p>
      <w:pPr>
        <w:numPr>
          <w:ilvl w:val="0"/>
          <w:numId w:val="88"/>
        </w:numPr>
        <w:ind w:firstLineChars="0"/>
      </w:pPr>
      <w:r>
        <w:rPr>
          <w:rFonts w:hint="eastAsia"/>
        </w:rPr>
        <w:t>休克、昏迷急救</w:t>
      </w:r>
    </w:p>
    <w:p>
      <w:pPr>
        <w:ind w:firstLine="480"/>
      </w:pPr>
      <w:r>
        <w:rPr>
          <w:rFonts w:hint="eastAsia"/>
        </w:rPr>
        <w:t>让休克者平卧、不用枕头，腿部抬高30度。若属于心原性休克同时伴有心力衰竭、气急，不能平卧时，可采用半卧，注意保暖和安静，尽量不要搬动，如必须搬动时，动作要轻。</w:t>
      </w:r>
    </w:p>
    <w:p>
      <w:pPr>
        <w:numPr>
          <w:ilvl w:val="0"/>
          <w:numId w:val="88"/>
        </w:numPr>
        <w:ind w:firstLineChars="0"/>
      </w:pPr>
      <w:r>
        <w:rPr>
          <w:rFonts w:hint="eastAsia"/>
        </w:rPr>
        <w:t>骨折急救</w:t>
      </w:r>
    </w:p>
    <w:p>
      <w:pPr>
        <w:numPr>
          <w:ilvl w:val="0"/>
          <w:numId w:val="89"/>
        </w:numPr>
        <w:ind w:firstLineChars="0"/>
      </w:pPr>
      <w:r>
        <w:rPr>
          <w:rFonts w:hint="eastAsia"/>
        </w:rPr>
        <w:t xml:space="preserve">固定断骨的材料可就地取材，如棍、木板、拐杖、硬纸板等都可作为固定材料，长短要以能固定住骨折处上下两个关节或不使断骨错动为准。 </w:t>
      </w:r>
    </w:p>
    <w:p>
      <w:pPr>
        <w:numPr>
          <w:ilvl w:val="0"/>
          <w:numId w:val="89"/>
        </w:numPr>
        <w:ind w:firstLineChars="0"/>
      </w:pPr>
      <w:r>
        <w:rPr>
          <w:rFonts w:hint="eastAsia"/>
        </w:rPr>
        <w:t xml:space="preserve">脊柱骨折或骨折或颈部骨折时，除非是特殊情况如室内失火，否则应让伤者留在原地，等待携有医疗器材的医护人员来搬动。  </w:t>
      </w:r>
    </w:p>
    <w:p>
      <w:pPr>
        <w:numPr>
          <w:ilvl w:val="0"/>
          <w:numId w:val="89"/>
        </w:numPr>
        <w:ind w:firstLineChars="0"/>
      </w:pPr>
      <w:r>
        <w:rPr>
          <w:rFonts w:hint="eastAsia"/>
        </w:rPr>
        <w:t>抬运伤者，从地上抬起时，要多人同时缓缓用力平托；运送时，必须用木板或硬材料，不能用布担架或绳床。木板上可垫棉被，但不能用枕头，颈椎骨骨折伤者的头须放正，两旁用沙袋将头夹住，不能让头随便晃动。</w:t>
      </w:r>
    </w:p>
    <w:p>
      <w:pPr>
        <w:numPr>
          <w:ilvl w:val="0"/>
          <w:numId w:val="88"/>
        </w:numPr>
        <w:ind w:firstLineChars="0"/>
      </w:pPr>
      <w:r>
        <w:rPr>
          <w:rFonts w:hint="eastAsia"/>
        </w:rPr>
        <w:t>严重出血的急救</w:t>
      </w:r>
    </w:p>
    <w:p>
      <w:pPr>
        <w:ind w:firstLine="480"/>
      </w:pPr>
      <w:r>
        <w:rPr>
          <w:rFonts w:hint="eastAsia"/>
        </w:rPr>
        <w:t>止血的方法：</w:t>
      </w:r>
    </w:p>
    <w:p>
      <w:pPr>
        <w:numPr>
          <w:ilvl w:val="0"/>
          <w:numId w:val="90"/>
        </w:numPr>
        <w:ind w:firstLineChars="0"/>
      </w:pPr>
      <w:r>
        <w:rPr>
          <w:rFonts w:hint="eastAsia"/>
        </w:rPr>
        <w:t>一般止血法：一般伤口小的出血，先用生理盐水涂上红汞药水，然后盖上消毒纱布，用绷带较紧地包扎。</w:t>
      </w:r>
    </w:p>
    <w:p>
      <w:pPr>
        <w:numPr>
          <w:ilvl w:val="0"/>
          <w:numId w:val="90"/>
        </w:numPr>
        <w:ind w:firstLineChars="0"/>
      </w:pPr>
      <w:r>
        <w:rPr>
          <w:rFonts w:hint="eastAsia"/>
        </w:rPr>
        <w:t>严重出血时，应使用压迫带止血法。这是一种最基本、最常用，也是最有效的止血方法。适用于头、颈、四肢动脉大血管出血的临时止血。即用手指或手掌用力压住比伤口靠近心脏更近部位的动脉跳动处（止血点）。只要位置找的准，这种方法能马上起到止血作用。</w:t>
      </w:r>
    </w:p>
    <w:p>
      <w:pPr>
        <w:numPr>
          <w:ilvl w:val="0"/>
          <w:numId w:val="88"/>
        </w:numPr>
        <w:ind w:firstLineChars="0"/>
      </w:pPr>
      <w:r>
        <w:rPr>
          <w:rFonts w:hint="eastAsia"/>
        </w:rPr>
        <w:t>肢体切断断肢（指）后，有时即刻造成伤者因流血或疼痛而发生休克，所以应设法首先止血，防止伤员休克。其急救要点为：</w:t>
      </w:r>
    </w:p>
    <w:p>
      <w:pPr>
        <w:numPr>
          <w:ilvl w:val="0"/>
          <w:numId w:val="91"/>
        </w:numPr>
        <w:ind w:firstLineChars="0"/>
      </w:pPr>
      <w:r>
        <w:rPr>
          <w:rFonts w:hint="eastAsia"/>
        </w:rPr>
        <w:t>让伤者躺下，用一块纱布或清洁布块（如翻出干净手帕的内面），放在断肢伤口上，再用绷带固定位置。如果找不到绷带，也可用围巾包扎。</w:t>
      </w:r>
    </w:p>
    <w:p>
      <w:pPr>
        <w:numPr>
          <w:ilvl w:val="0"/>
          <w:numId w:val="91"/>
        </w:numPr>
        <w:ind w:firstLineChars="0"/>
      </w:pPr>
      <w:r>
        <w:rPr>
          <w:rFonts w:hint="eastAsia"/>
        </w:rPr>
        <w:t>如是手臂切断，用绷带把断臂挂在胸前，固定位置；若是一条腿断了，则与另一条腿扎在一起。</w:t>
      </w:r>
    </w:p>
    <w:p>
      <w:pPr>
        <w:numPr>
          <w:ilvl w:val="0"/>
          <w:numId w:val="91"/>
        </w:numPr>
        <w:ind w:firstLineChars="0"/>
      </w:pPr>
      <w:r>
        <w:rPr>
          <w:rFonts w:hint="eastAsia"/>
        </w:rPr>
        <w:t>料理好伤者后，设法找回断肢。倘若离断的伤肢（指）仍在机器中，千万不能将肢体强行拉出，或将机器倒开（转），以免增加损伤的机会。正确的方法应是拆开机器后取出。</w:t>
      </w:r>
    </w:p>
    <w:p>
      <w:pPr>
        <w:numPr>
          <w:ilvl w:val="0"/>
          <w:numId w:val="91"/>
        </w:numPr>
        <w:ind w:firstLineChars="0"/>
      </w:pPr>
      <w:r>
        <w:rPr>
          <w:rFonts w:hint="eastAsia"/>
        </w:rPr>
        <w:t xml:space="preserve">取下断落的肢（指）体后，立即用无菌纱布或干净布片包扎，然后放人塑料袋或橡皮袋中，结扎袋口。若一时未准备好袋子或消毒纱布，可暂置于4℃的冰箱内（不应放在冰冻室内，以免冻伤）。运送时应将装有断伤肢体的袋子放入合适的容器中，如广口保温桶等，周围用冰块或冰棍冷冻（注意防止冰块与其直接接触，以免冻伤），迅速同伤员一起送医院以备断肢（指）再植。   </w:t>
      </w:r>
    </w:p>
    <w:p>
      <w:pPr>
        <w:numPr>
          <w:ilvl w:val="0"/>
          <w:numId w:val="91"/>
        </w:numPr>
        <w:ind w:firstLineChars="0"/>
      </w:pPr>
      <w:r>
        <w:rPr>
          <w:rFonts w:hint="eastAsia"/>
        </w:rPr>
        <w:t>离断后的伤肢，如有少许皮肤或其他肌腱相连，不能将其离断，应放在夹板或阔竹片上，然后包扎，立即送到医院作紧急处理。</w:t>
      </w:r>
    </w:p>
    <w:p>
      <w:pPr>
        <w:numPr>
          <w:ilvl w:val="0"/>
          <w:numId w:val="91"/>
        </w:numPr>
        <w:ind w:firstLineChars="0"/>
      </w:pPr>
      <w:r>
        <w:rPr>
          <w:rFonts w:hint="eastAsia"/>
        </w:rPr>
        <w:t>严禁在离断伤肢（指）的断端涂抹各种药物及药水（包括消毒剂），更不能涂抹牙膏、灶灰之类试图止血。</w:t>
      </w:r>
    </w:p>
    <w:p>
      <w:pPr>
        <w:numPr>
          <w:ilvl w:val="0"/>
          <w:numId w:val="88"/>
        </w:numPr>
        <w:ind w:firstLineChars="0"/>
      </w:pPr>
      <w:r>
        <w:rPr>
          <w:rFonts w:hint="eastAsia"/>
        </w:rPr>
        <w:t>一般性外伤</w:t>
      </w:r>
    </w:p>
    <w:p>
      <w:pPr>
        <w:numPr>
          <w:ilvl w:val="1"/>
          <w:numId w:val="92"/>
        </w:numPr>
        <w:ind w:firstLineChars="0"/>
      </w:pPr>
      <w:r>
        <w:rPr>
          <w:rFonts w:hint="eastAsia"/>
        </w:rPr>
        <w:t>视伤情送往医院，防止破伤风。</w:t>
      </w:r>
    </w:p>
    <w:p>
      <w:pPr>
        <w:numPr>
          <w:ilvl w:val="1"/>
          <w:numId w:val="92"/>
        </w:numPr>
        <w:ind w:firstLineChars="0"/>
      </w:pPr>
      <w:r>
        <w:rPr>
          <w:rFonts w:hint="eastAsia"/>
        </w:rPr>
        <w:t>轻微内伤，送医院检查。</w:t>
      </w:r>
    </w:p>
    <w:p>
      <w:pPr>
        <w:pStyle w:val="4"/>
      </w:pPr>
      <w:r>
        <w:rPr>
          <w:rFonts w:hint="eastAsia"/>
        </w:rPr>
        <w:t>触电应急处置措施</w:t>
      </w:r>
    </w:p>
    <w:p>
      <w:pPr>
        <w:numPr>
          <w:ilvl w:val="2"/>
          <w:numId w:val="93"/>
        </w:numPr>
        <w:ind w:firstLineChars="0"/>
      </w:pPr>
      <w:r>
        <w:rPr>
          <w:rFonts w:hint="eastAsia"/>
        </w:rPr>
        <w:t>迅速脱离电源</w:t>
      </w:r>
    </w:p>
    <w:p>
      <w:pPr>
        <w:ind w:firstLine="480"/>
      </w:pPr>
      <w:r>
        <w:rPr>
          <w:rFonts w:hint="eastAsia"/>
        </w:rPr>
        <w:t>人体触电以后，可能由于痉挛或失去知觉等原因而紧抓带电体，不能自己摆脱电源。抢救触电者的首要步骤就是使触电者尽快脱离电源。</w:t>
      </w:r>
    </w:p>
    <w:p>
      <w:pPr>
        <w:ind w:firstLine="480"/>
      </w:pPr>
      <w:r>
        <w:rPr>
          <w:rFonts w:hint="eastAsia"/>
        </w:rPr>
        <w:t>使触电者脱离电源的方法：</w:t>
      </w:r>
    </w:p>
    <w:p>
      <w:pPr>
        <w:numPr>
          <w:ilvl w:val="1"/>
          <w:numId w:val="94"/>
        </w:numPr>
        <w:ind w:firstLineChars="0"/>
      </w:pPr>
      <w:r>
        <w:rPr>
          <w:rFonts w:hint="eastAsia"/>
        </w:rPr>
        <w:t>立即将闸刀打开或将插头拨掉，切断电源。要注意，普通的电灯开关（如拉线开关）只能关断一根线，有时关断的不是相线，并未真正切断电源。</w:t>
      </w:r>
    </w:p>
    <w:p>
      <w:pPr>
        <w:numPr>
          <w:ilvl w:val="1"/>
          <w:numId w:val="94"/>
        </w:numPr>
        <w:ind w:firstLineChars="0"/>
      </w:pPr>
      <w:r>
        <w:rPr>
          <w:rFonts w:hint="eastAsia"/>
        </w:rPr>
        <w:t>找不到开关或插头时，可用绝缘的物体（如干燥的木棒、竹杆、手套等）将电线拨开，使触电者脱离电源。</w:t>
      </w:r>
    </w:p>
    <w:p>
      <w:pPr>
        <w:numPr>
          <w:ilvl w:val="1"/>
          <w:numId w:val="94"/>
        </w:numPr>
        <w:ind w:firstLineChars="0"/>
      </w:pPr>
      <w:r>
        <w:rPr>
          <w:rFonts w:hint="eastAsia"/>
        </w:rPr>
        <w:t>用绝缘工具（如带绝缘的电工钳、木柄斧头以及锄头等）切断电线来切断电源。</w:t>
      </w:r>
    </w:p>
    <w:p>
      <w:pPr>
        <w:numPr>
          <w:ilvl w:val="1"/>
          <w:numId w:val="94"/>
        </w:numPr>
        <w:ind w:firstLineChars="0"/>
      </w:pPr>
      <w:r>
        <w:rPr>
          <w:rFonts w:hint="eastAsia"/>
        </w:rPr>
        <w:t>遇高压触电事故，立即通过有关部门停电。</w:t>
      </w:r>
    </w:p>
    <w:p>
      <w:pPr>
        <w:ind w:firstLine="480"/>
      </w:pPr>
      <w:r>
        <w:rPr>
          <w:rFonts w:hint="eastAsia"/>
        </w:rPr>
        <w:t>总之，要因地制宜，灵活运用各种方法，快速切断电源，防止事故扩大。</w:t>
      </w:r>
    </w:p>
    <w:p>
      <w:pPr>
        <w:numPr>
          <w:ilvl w:val="2"/>
          <w:numId w:val="93"/>
        </w:numPr>
        <w:ind w:firstLineChars="0"/>
      </w:pPr>
      <w:r>
        <w:rPr>
          <w:rFonts w:hint="eastAsia"/>
        </w:rPr>
        <w:t>现场急救方法</w:t>
      </w:r>
    </w:p>
    <w:p>
      <w:pPr>
        <w:ind w:firstLine="480"/>
      </w:pPr>
      <w:r>
        <w:rPr>
          <w:rFonts w:hint="eastAsia"/>
        </w:rPr>
        <w:t>当触电者脱离电源后，应根据触电者的具体情况迅速对症救护，力争在触电后1分钟内进行救治。国内外一些资料表明，触电后在一分钟内进救治的，90％以上有良好的效果，而超过12分钟再开始救治的，基本无救活的可能。现场应用的主要方法是口对口人工呼吸和体外心脏挤压法，严禁打强心针。</w:t>
      </w:r>
    </w:p>
    <w:p>
      <w:pPr>
        <w:numPr>
          <w:ilvl w:val="1"/>
          <w:numId w:val="95"/>
        </w:numPr>
        <w:ind w:firstLineChars="0"/>
      </w:pPr>
      <w:r>
        <w:rPr>
          <w:rFonts w:hint="eastAsia"/>
        </w:rPr>
        <w:t>口对口人工呼吸法：是用人工的方法来代替肺的呼吸活动，使空气有节律地进入和排出肺脏，供给体内足够的氧气，充分排出二氧化碳，维持正常的通气功能。</w:t>
      </w:r>
    </w:p>
    <w:p>
      <w:pPr>
        <w:numPr>
          <w:ilvl w:val="1"/>
          <w:numId w:val="95"/>
        </w:numPr>
        <w:ind w:firstLineChars="0"/>
      </w:pPr>
      <w:r>
        <w:rPr>
          <w:rFonts w:hint="eastAsia"/>
        </w:rPr>
        <w:t>体外心脏挤压法：是指有节律地对心脏挤压，用人工的方法代替心脏的自然收缩，使心脏恢复搏动功能，维持血液循环。</w:t>
      </w:r>
    </w:p>
    <w:p>
      <w:pPr>
        <w:numPr>
          <w:ilvl w:val="2"/>
          <w:numId w:val="93"/>
        </w:numPr>
        <w:ind w:firstLineChars="0"/>
      </w:pPr>
      <w:r>
        <w:rPr>
          <w:rFonts w:hint="eastAsia"/>
        </w:rPr>
        <w:t>触电急救方法</w:t>
      </w:r>
    </w:p>
    <w:p>
      <w:pPr>
        <w:ind w:firstLine="480"/>
      </w:pPr>
      <w:r>
        <w:rPr>
          <w:rFonts w:hint="eastAsia"/>
        </w:rPr>
        <w:t>触电病人一般有以下四种症状，可分别给予正确的对症救治：</w:t>
      </w:r>
    </w:p>
    <w:p>
      <w:pPr>
        <w:numPr>
          <w:ilvl w:val="1"/>
          <w:numId w:val="96"/>
        </w:numPr>
        <w:ind w:firstLineChars="0"/>
      </w:pPr>
      <w:r>
        <w:rPr>
          <w:rFonts w:hint="eastAsia"/>
        </w:rPr>
        <w:t>神志尚清醒，但心慌力乏，四肢麻木。该类病人一般只需将其扶到清凉通风之处休息，让其自然慢慢恢复。但要派专人照料护理，因为有的病人在几小时后会发生病变而突然死亡。</w:t>
      </w:r>
    </w:p>
    <w:p>
      <w:pPr>
        <w:numPr>
          <w:ilvl w:val="1"/>
          <w:numId w:val="96"/>
        </w:numPr>
        <w:ind w:firstLineChars="0"/>
      </w:pPr>
      <w:r>
        <w:rPr>
          <w:rFonts w:hint="eastAsia"/>
        </w:rPr>
        <w:t>有心跳，但呼吸停止或极微弱。该类病人应该采用口对口人工呼吸法进行急救。人工呼吸法可按下述口诀进行，频率是每分钟约12次：清理口腔防堵塞，鼻孔朝天头后仰；贴嘴吹气胸扩张，放开口鼻换气畅。</w:t>
      </w:r>
    </w:p>
    <w:p>
      <w:pPr>
        <w:numPr>
          <w:ilvl w:val="1"/>
          <w:numId w:val="96"/>
        </w:numPr>
        <w:ind w:firstLineChars="0"/>
      </w:pPr>
      <w:r>
        <w:rPr>
          <w:rFonts w:hint="eastAsia"/>
        </w:rPr>
        <w:t>有呼吸，但心跳停止或极微弱。该类病人应该采用人工胸外心脏挤压法来恢复病人的心跳。一般可以按下述口诀进行，频率是每分钟约60~80次。当胸一手掌，中指对凹膛；掌根用力向下压，压下突然收。</w:t>
      </w:r>
    </w:p>
    <w:p>
      <w:pPr>
        <w:numPr>
          <w:ilvl w:val="1"/>
          <w:numId w:val="96"/>
        </w:numPr>
        <w:ind w:firstLineChars="0"/>
      </w:pPr>
      <w:r>
        <w:rPr>
          <w:rFonts w:hint="eastAsia"/>
        </w:rPr>
        <w:t>心跳、呼吸均已停止者。该类病人的危险性最大，抢救的难度也最大。应该把以上两法同时使用，亦即采用“人工氧合”的方法。最好是两人一起抢救，如果仅有一人抢救时，应先吹气2～3次，再挤压心脏15次，如此反复交替进行。</w:t>
      </w:r>
    </w:p>
    <w:p>
      <w:pPr>
        <w:pStyle w:val="4"/>
      </w:pPr>
      <w:r>
        <w:rPr>
          <w:rFonts w:hint="eastAsia"/>
        </w:rPr>
        <w:t>火灾应急处置措施</w:t>
      </w:r>
    </w:p>
    <w:p>
      <w:pPr>
        <w:numPr>
          <w:ilvl w:val="2"/>
          <w:numId w:val="97"/>
        </w:numPr>
        <w:ind w:firstLineChars="0"/>
      </w:pPr>
      <w:r>
        <w:rPr>
          <w:rFonts w:hint="eastAsia"/>
        </w:rPr>
        <w:t>现场人员发现火情第一时间及时通知现场负责人，现场负责人接到报告立即联系各应急处置部门及时赶到火灾地点。</w:t>
      </w:r>
    </w:p>
    <w:p>
      <w:pPr>
        <w:numPr>
          <w:ilvl w:val="2"/>
          <w:numId w:val="97"/>
        </w:numPr>
        <w:ind w:firstLineChars="0"/>
      </w:pPr>
      <w:r>
        <w:rPr>
          <w:rFonts w:hint="eastAsia"/>
        </w:rPr>
        <w:t>负责人到达现场后根据火情，按照应急处置措施组织义务消防队和现场人员进行自救。火灾事故超出应急能力时，向社会请求支援。</w:t>
      </w:r>
    </w:p>
    <w:p>
      <w:pPr>
        <w:numPr>
          <w:ilvl w:val="2"/>
          <w:numId w:val="97"/>
        </w:numPr>
        <w:ind w:firstLineChars="0"/>
      </w:pPr>
      <w:r>
        <w:rPr>
          <w:rFonts w:hint="eastAsia"/>
        </w:rPr>
        <w:t>火灾发生后，现场人员按照逃生线路图疏散至安全场所，在确保人员安全的前提下组织灭火。人员疏散要及时有序，防止次生事故发生。</w:t>
      </w:r>
    </w:p>
    <w:p>
      <w:pPr>
        <w:numPr>
          <w:ilvl w:val="2"/>
          <w:numId w:val="97"/>
        </w:numPr>
        <w:ind w:firstLineChars="0"/>
      </w:pPr>
      <w:r>
        <w:rPr>
          <w:rFonts w:hint="eastAsia"/>
        </w:rPr>
        <w:t>具备救援能力时，疏散和保护物资，减少火灾损失。</w:t>
      </w:r>
    </w:p>
    <w:p>
      <w:pPr>
        <w:numPr>
          <w:ilvl w:val="2"/>
          <w:numId w:val="97"/>
        </w:numPr>
        <w:ind w:firstLineChars="0"/>
      </w:pPr>
      <w:r>
        <w:rPr>
          <w:rFonts w:hint="eastAsia"/>
        </w:rPr>
        <w:t>当易燃易爆物品有爆炸可能时，首先疏散人员，再采取其他控制措施。</w:t>
      </w:r>
    </w:p>
    <w:p>
      <w:pPr>
        <w:numPr>
          <w:ilvl w:val="2"/>
          <w:numId w:val="97"/>
        </w:numPr>
        <w:ind w:firstLineChars="0"/>
      </w:pPr>
      <w:r>
        <w:rPr>
          <w:rFonts w:hint="eastAsia"/>
        </w:rPr>
        <w:t>当电气设备发生火灾时，立即将有关设备的电源切断，采取紧急隔离停电措施。在电气设备灭火时，只准许在熟悉该设备带电部分的人员指挥或带领下进行，并使用干式灭火器、二氧化碳、1211灭火器灭火。</w:t>
      </w:r>
    </w:p>
    <w:p>
      <w:pPr>
        <w:numPr>
          <w:ilvl w:val="2"/>
          <w:numId w:val="97"/>
        </w:numPr>
        <w:ind w:firstLineChars="0"/>
      </w:pPr>
      <w:r>
        <w:rPr>
          <w:rFonts w:hint="eastAsia"/>
        </w:rPr>
        <w:t>电缆着火燃烧时，立即判明着火电缆所控制的设备，并断开其电源，组织人员用干粉灭火器、1211灭火器或二氧化碳灭火器进行灭火；也可用干燥的砂子或干土覆盖扑灭，不得用水或泡沫灭火器灭火，不得用手直接接触或移动电缆。</w:t>
      </w:r>
    </w:p>
    <w:p>
      <w:pPr>
        <w:numPr>
          <w:ilvl w:val="2"/>
          <w:numId w:val="97"/>
        </w:numPr>
        <w:ind w:firstLineChars="0"/>
      </w:pPr>
      <w:r>
        <w:rPr>
          <w:rFonts w:hint="eastAsia"/>
        </w:rPr>
        <w:t>拨打报警电话时要说明详细地址和受伤人员的性别、主要受伤部位、意识是否清晰等，留下联系电话并保持畅通。报警后由熟悉路况的人到最近的路口等候。</w:t>
      </w:r>
    </w:p>
    <w:p>
      <w:pPr>
        <w:numPr>
          <w:ilvl w:val="2"/>
          <w:numId w:val="97"/>
        </w:numPr>
        <w:ind w:firstLineChars="0"/>
      </w:pPr>
      <w:r>
        <w:rPr>
          <w:rFonts w:hint="eastAsia"/>
        </w:rPr>
        <w:t>拨打119报警时要报告详细单位名称和地点，要说明是什么物质着火和火势大小，留下联系电话并保持畅通。报警后，由熟悉情况的人到离火场最近的路口迎候消防车或指引通道，提供水源位置。</w:t>
      </w:r>
    </w:p>
    <w:p>
      <w:pPr>
        <w:pStyle w:val="4"/>
      </w:pPr>
      <w:r>
        <w:rPr>
          <w:rFonts w:hint="eastAsia"/>
        </w:rPr>
        <w:t>车辆伤害应急处置措施</w:t>
      </w:r>
    </w:p>
    <w:p>
      <w:pPr>
        <w:numPr>
          <w:ilvl w:val="0"/>
          <w:numId w:val="98"/>
        </w:numPr>
        <w:ind w:firstLine="480"/>
      </w:pPr>
      <w:r>
        <w:rPr>
          <w:rFonts w:hint="eastAsia"/>
        </w:rPr>
        <w:t>现场人员发现车辆伤害事故立即通知现场负责人，现场负责人接到报告后立即组织人员进行救援。</w:t>
      </w:r>
    </w:p>
    <w:p>
      <w:pPr>
        <w:numPr>
          <w:ilvl w:val="0"/>
          <w:numId w:val="98"/>
        </w:numPr>
        <w:ind w:firstLine="480"/>
      </w:pPr>
      <w:r>
        <w:rPr>
          <w:rFonts w:hint="eastAsia"/>
        </w:rPr>
        <w:t>首先查看人员是否被困在驾驶室内，检查有无其他人员被砸伤或者掩埋在设备构件下，相邻构筑物是否受到破坏。</w:t>
      </w:r>
    </w:p>
    <w:p>
      <w:pPr>
        <w:numPr>
          <w:ilvl w:val="0"/>
          <w:numId w:val="98"/>
        </w:numPr>
        <w:ind w:firstLine="480"/>
      </w:pPr>
      <w:r>
        <w:rPr>
          <w:rFonts w:hint="eastAsia"/>
        </w:rPr>
        <w:t>若人员可被移动出车辆或构件外，应使用担架将伤员移动到安全区域，并立即进行止血，并固定可能骨折的部位。</w:t>
      </w:r>
    </w:p>
    <w:p>
      <w:pPr>
        <w:numPr>
          <w:ilvl w:val="0"/>
          <w:numId w:val="98"/>
        </w:numPr>
        <w:ind w:firstLine="480"/>
      </w:pPr>
      <w:r>
        <w:rPr>
          <w:rFonts w:hint="eastAsia"/>
        </w:rPr>
        <w:t>若人员被困在驾驶室内，不得盲目施救，应立即联系地方消防部门使用专用破除设备进行破除，之后进行人员救援。</w:t>
      </w:r>
    </w:p>
    <w:p>
      <w:pPr>
        <w:numPr>
          <w:ilvl w:val="0"/>
          <w:numId w:val="98"/>
        </w:numPr>
        <w:ind w:firstLine="480"/>
      </w:pPr>
      <w:r>
        <w:rPr>
          <w:rFonts w:hint="eastAsia"/>
        </w:rPr>
        <w:t>若人员被掩埋在设备构件下，切勿使用机械挖救，以防伤人，调用其他起重设备将倾覆构件缓慢拉起，设备构件固定牢固后，再组织抢救被埋人员。</w:t>
      </w:r>
    </w:p>
    <w:p>
      <w:pPr>
        <w:pStyle w:val="3"/>
      </w:pPr>
      <w:bookmarkStart w:id="218" w:name="_Toc6197"/>
      <w:r>
        <w:rPr>
          <w:rFonts w:hint="eastAsia"/>
        </w:rPr>
        <w:t>应急车辆、物资及设备</w:t>
      </w:r>
      <w:bookmarkEnd w:id="216"/>
      <w:bookmarkEnd w:id="217"/>
      <w:bookmarkEnd w:id="218"/>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项目部应急设备见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REF _Ref85788245 \h</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rPr>
        <w:t>表</w:t>
      </w:r>
      <w:r>
        <w:t>9.4</w:t>
      </w:r>
      <w:r>
        <w:rPr>
          <w:rFonts w:hint="eastAsia"/>
        </w:rPr>
        <w:t>-</w:t>
      </w:r>
      <w:r>
        <w:t>1</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w:t>
      </w:r>
    </w:p>
    <w:p>
      <w:pPr>
        <w:pStyle w:val="16"/>
      </w:pPr>
      <w:bookmarkStart w:id="219" w:name="_Ref85788245"/>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9.4</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bookmarkEnd w:id="219"/>
      <w:r>
        <w:t xml:space="preserve"> </w:t>
      </w:r>
      <w:r>
        <w:rPr>
          <w:rFonts w:hint="eastAsia"/>
        </w:rPr>
        <w:t>项目部应急设备</w:t>
      </w:r>
      <w:r>
        <w:t>表</w:t>
      </w:r>
    </w:p>
    <w:tbl>
      <w:tblPr>
        <w:tblStyle w:val="14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68"/>
        <w:gridCol w:w="1772"/>
        <w:gridCol w:w="1069"/>
        <w:gridCol w:w="1773"/>
        <w:gridCol w:w="1069"/>
        <w:gridCol w:w="17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27" w:type="pct"/>
            <w:vAlign w:val="center"/>
          </w:tcPr>
          <w:p>
            <w:pPr>
              <w:spacing w:line="240" w:lineRule="auto"/>
              <w:ind w:firstLine="0" w:firstLineChars="0"/>
              <w:jc w:val="center"/>
              <w:rPr>
                <w:b/>
                <w:bCs/>
                <w:sz w:val="21"/>
              </w:rPr>
            </w:pPr>
            <w:r>
              <w:rPr>
                <w:b/>
                <w:bCs/>
                <w:sz w:val="21"/>
              </w:rPr>
              <w:t>序号</w:t>
            </w:r>
          </w:p>
        </w:tc>
        <w:tc>
          <w:tcPr>
            <w:tcW w:w="1040" w:type="pct"/>
            <w:vAlign w:val="center"/>
          </w:tcPr>
          <w:p>
            <w:pPr>
              <w:spacing w:line="240" w:lineRule="auto"/>
              <w:ind w:firstLine="0" w:firstLineChars="0"/>
              <w:jc w:val="center"/>
              <w:rPr>
                <w:b/>
                <w:bCs/>
                <w:sz w:val="21"/>
              </w:rPr>
            </w:pPr>
            <w:r>
              <w:rPr>
                <w:rFonts w:hint="eastAsia"/>
                <w:b/>
                <w:bCs/>
                <w:sz w:val="21"/>
              </w:rPr>
              <w:t>设备名称</w:t>
            </w:r>
          </w:p>
        </w:tc>
        <w:tc>
          <w:tcPr>
            <w:tcW w:w="627" w:type="pct"/>
            <w:vAlign w:val="center"/>
          </w:tcPr>
          <w:p>
            <w:pPr>
              <w:spacing w:line="240" w:lineRule="auto"/>
              <w:ind w:firstLine="0" w:firstLineChars="0"/>
              <w:jc w:val="center"/>
              <w:rPr>
                <w:b/>
                <w:bCs/>
                <w:sz w:val="21"/>
              </w:rPr>
            </w:pPr>
            <w:r>
              <w:rPr>
                <w:rFonts w:hint="eastAsia"/>
                <w:b/>
                <w:bCs/>
                <w:sz w:val="21"/>
              </w:rPr>
              <w:t>单位</w:t>
            </w:r>
          </w:p>
        </w:tc>
        <w:tc>
          <w:tcPr>
            <w:tcW w:w="1040" w:type="pct"/>
            <w:vAlign w:val="center"/>
          </w:tcPr>
          <w:p>
            <w:pPr>
              <w:spacing w:line="240" w:lineRule="auto"/>
              <w:ind w:firstLine="0" w:firstLineChars="0"/>
              <w:jc w:val="center"/>
              <w:rPr>
                <w:b/>
                <w:bCs/>
                <w:sz w:val="21"/>
              </w:rPr>
            </w:pPr>
            <w:r>
              <w:rPr>
                <w:rFonts w:hint="eastAsia"/>
                <w:b/>
                <w:bCs/>
                <w:sz w:val="21"/>
              </w:rPr>
              <w:t>投入数量</w:t>
            </w:r>
          </w:p>
        </w:tc>
        <w:tc>
          <w:tcPr>
            <w:tcW w:w="627" w:type="pct"/>
            <w:vAlign w:val="center"/>
          </w:tcPr>
          <w:p>
            <w:pPr>
              <w:spacing w:line="240" w:lineRule="auto"/>
              <w:ind w:firstLine="0" w:firstLineChars="0"/>
              <w:jc w:val="center"/>
              <w:rPr>
                <w:b/>
                <w:bCs/>
                <w:sz w:val="21"/>
              </w:rPr>
            </w:pPr>
            <w:r>
              <w:rPr>
                <w:rFonts w:hint="eastAsia"/>
                <w:b/>
                <w:bCs/>
                <w:sz w:val="21"/>
              </w:rPr>
              <w:t>性能</w:t>
            </w:r>
          </w:p>
        </w:tc>
        <w:tc>
          <w:tcPr>
            <w:tcW w:w="1040" w:type="pct"/>
            <w:vAlign w:val="center"/>
          </w:tcPr>
          <w:p>
            <w:pPr>
              <w:spacing w:line="240" w:lineRule="auto"/>
              <w:ind w:firstLine="0" w:firstLineChars="0"/>
              <w:jc w:val="center"/>
              <w:rPr>
                <w:b/>
                <w:bCs/>
                <w:sz w:val="21"/>
              </w:rPr>
            </w:pPr>
            <w:r>
              <w:rPr>
                <w:rFonts w:hint="eastAsia"/>
                <w:b/>
                <w:bCs/>
                <w:sz w:val="21"/>
              </w:rPr>
              <w:t>存放地点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27" w:type="pct"/>
            <w:vAlign w:val="center"/>
          </w:tcPr>
          <w:p>
            <w:pPr>
              <w:pStyle w:val="78"/>
              <w:numPr>
                <w:ilvl w:val="0"/>
                <w:numId w:val="99"/>
              </w:numPr>
              <w:spacing w:line="240" w:lineRule="auto"/>
              <w:ind w:firstLineChars="0"/>
              <w:jc w:val="center"/>
              <w:rPr>
                <w:sz w:val="21"/>
              </w:rPr>
            </w:pPr>
          </w:p>
        </w:tc>
        <w:tc>
          <w:tcPr>
            <w:tcW w:w="1040" w:type="pct"/>
            <w:vAlign w:val="center"/>
          </w:tcPr>
          <w:p>
            <w:pPr>
              <w:spacing w:line="240" w:lineRule="auto"/>
              <w:ind w:firstLine="0" w:firstLineChars="0"/>
              <w:jc w:val="center"/>
              <w:rPr>
                <w:sz w:val="21"/>
              </w:rPr>
            </w:pPr>
            <w:r>
              <w:rPr>
                <w:rFonts w:hint="eastAsia"/>
                <w:sz w:val="21"/>
              </w:rPr>
              <w:t>轿车</w:t>
            </w:r>
          </w:p>
        </w:tc>
        <w:tc>
          <w:tcPr>
            <w:tcW w:w="627" w:type="pct"/>
            <w:vAlign w:val="center"/>
          </w:tcPr>
          <w:p>
            <w:pPr>
              <w:spacing w:line="240" w:lineRule="auto"/>
              <w:ind w:firstLine="0" w:firstLineChars="0"/>
              <w:jc w:val="center"/>
              <w:rPr>
                <w:sz w:val="21"/>
              </w:rPr>
            </w:pPr>
            <w:r>
              <w:rPr>
                <w:rFonts w:hint="eastAsia"/>
                <w:sz w:val="21"/>
              </w:rPr>
              <w:t>台</w:t>
            </w:r>
          </w:p>
        </w:tc>
        <w:tc>
          <w:tcPr>
            <w:tcW w:w="1040" w:type="pct"/>
            <w:vAlign w:val="center"/>
          </w:tcPr>
          <w:p>
            <w:pPr>
              <w:spacing w:line="240" w:lineRule="auto"/>
              <w:ind w:firstLine="0" w:firstLineChars="0"/>
              <w:jc w:val="center"/>
              <w:rPr>
                <w:sz w:val="21"/>
              </w:rPr>
            </w:pPr>
            <w:r>
              <w:rPr>
                <w:sz w:val="21"/>
              </w:rPr>
              <w:t>2</w:t>
            </w:r>
          </w:p>
        </w:tc>
        <w:tc>
          <w:tcPr>
            <w:tcW w:w="627" w:type="pct"/>
            <w:vAlign w:val="center"/>
          </w:tcPr>
          <w:p>
            <w:pPr>
              <w:spacing w:line="240" w:lineRule="auto"/>
              <w:ind w:firstLine="0" w:firstLineChars="0"/>
              <w:jc w:val="center"/>
              <w:rPr>
                <w:sz w:val="21"/>
              </w:rPr>
            </w:pPr>
            <w:r>
              <w:rPr>
                <w:rFonts w:hint="eastAsia"/>
                <w:sz w:val="21"/>
              </w:rPr>
              <w:t>优良</w:t>
            </w:r>
          </w:p>
        </w:tc>
        <w:tc>
          <w:tcPr>
            <w:tcW w:w="1040" w:type="pct"/>
            <w:vAlign w:val="center"/>
          </w:tcPr>
          <w:p>
            <w:pPr>
              <w:spacing w:line="240" w:lineRule="auto"/>
              <w:ind w:firstLine="0" w:firstLineChars="0"/>
              <w:jc w:val="center"/>
              <w:rPr>
                <w:sz w:val="21"/>
              </w:rPr>
            </w:pPr>
            <w:r>
              <w:rPr>
                <w:rFonts w:hint="eastAsia"/>
                <w:sz w:val="21"/>
              </w:rPr>
              <w:t>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27" w:type="pct"/>
            <w:vAlign w:val="center"/>
          </w:tcPr>
          <w:p>
            <w:pPr>
              <w:pStyle w:val="78"/>
              <w:numPr>
                <w:ilvl w:val="0"/>
                <w:numId w:val="99"/>
              </w:numPr>
              <w:spacing w:line="240" w:lineRule="auto"/>
              <w:ind w:firstLineChars="0"/>
              <w:jc w:val="center"/>
              <w:rPr>
                <w:sz w:val="21"/>
              </w:rPr>
            </w:pPr>
          </w:p>
        </w:tc>
        <w:tc>
          <w:tcPr>
            <w:tcW w:w="1040" w:type="pct"/>
            <w:vAlign w:val="center"/>
          </w:tcPr>
          <w:p>
            <w:pPr>
              <w:spacing w:line="240" w:lineRule="auto"/>
              <w:ind w:firstLine="0" w:firstLineChars="0"/>
              <w:jc w:val="center"/>
              <w:rPr>
                <w:sz w:val="21"/>
              </w:rPr>
            </w:pPr>
            <w:r>
              <w:rPr>
                <w:rFonts w:hint="eastAsia"/>
                <w:sz w:val="21"/>
              </w:rPr>
              <w:t>皮卡车</w:t>
            </w:r>
          </w:p>
        </w:tc>
        <w:tc>
          <w:tcPr>
            <w:tcW w:w="627" w:type="pct"/>
            <w:vAlign w:val="center"/>
          </w:tcPr>
          <w:p>
            <w:pPr>
              <w:spacing w:line="240" w:lineRule="auto"/>
              <w:ind w:firstLine="0" w:firstLineChars="0"/>
              <w:jc w:val="center"/>
              <w:rPr>
                <w:sz w:val="21"/>
              </w:rPr>
            </w:pPr>
            <w:r>
              <w:rPr>
                <w:rFonts w:hint="eastAsia"/>
                <w:sz w:val="21"/>
              </w:rPr>
              <w:t>台</w:t>
            </w:r>
          </w:p>
        </w:tc>
        <w:tc>
          <w:tcPr>
            <w:tcW w:w="1040" w:type="pct"/>
            <w:vAlign w:val="center"/>
          </w:tcPr>
          <w:p>
            <w:pPr>
              <w:spacing w:line="240" w:lineRule="auto"/>
              <w:ind w:firstLine="0" w:firstLineChars="0"/>
              <w:jc w:val="center"/>
              <w:rPr>
                <w:sz w:val="21"/>
              </w:rPr>
            </w:pPr>
            <w:r>
              <w:rPr>
                <w:rFonts w:hint="eastAsia"/>
                <w:sz w:val="21"/>
              </w:rPr>
              <w:t>1</w:t>
            </w:r>
          </w:p>
        </w:tc>
        <w:tc>
          <w:tcPr>
            <w:tcW w:w="627" w:type="pct"/>
            <w:vAlign w:val="center"/>
          </w:tcPr>
          <w:p>
            <w:pPr>
              <w:spacing w:line="240" w:lineRule="auto"/>
              <w:ind w:firstLine="0" w:firstLineChars="0"/>
              <w:jc w:val="center"/>
              <w:rPr>
                <w:sz w:val="21"/>
              </w:rPr>
            </w:pPr>
            <w:r>
              <w:rPr>
                <w:rFonts w:hint="eastAsia"/>
                <w:sz w:val="21"/>
              </w:rPr>
              <w:t>优良</w:t>
            </w:r>
          </w:p>
        </w:tc>
        <w:tc>
          <w:tcPr>
            <w:tcW w:w="1040" w:type="pct"/>
            <w:vAlign w:val="center"/>
          </w:tcPr>
          <w:p>
            <w:pPr>
              <w:spacing w:line="240" w:lineRule="auto"/>
              <w:ind w:firstLine="0" w:firstLineChars="0"/>
              <w:jc w:val="center"/>
              <w:rPr>
                <w:sz w:val="21"/>
              </w:rPr>
            </w:pPr>
            <w:r>
              <w:rPr>
                <w:rFonts w:hint="eastAsia"/>
                <w:sz w:val="21"/>
              </w:rPr>
              <w:t>项目部</w:t>
            </w:r>
          </w:p>
        </w:tc>
      </w:tr>
    </w:tbl>
    <w:p>
      <w:pPr>
        <w:ind w:firstLine="480"/>
      </w:pPr>
      <w:r>
        <w:rPr>
          <w:rFonts w:hint="eastAsia"/>
        </w:rPr>
        <w:t>施工安全应急物资及设备见</w:t>
      </w:r>
      <w:r>
        <w:fldChar w:fldCharType="begin"/>
      </w:r>
      <w:r>
        <w:instrText xml:space="preserve"> </w:instrText>
      </w:r>
      <w:r>
        <w:rPr>
          <w:rFonts w:hint="eastAsia"/>
        </w:rPr>
        <w:instrText xml:space="preserve">REF _Ref85788153 \h</w:instrText>
      </w:r>
      <w:r>
        <w:instrText xml:space="preserve"> </w:instrText>
      </w:r>
      <w:r>
        <w:fldChar w:fldCharType="separate"/>
      </w:r>
      <w:r>
        <w:rPr>
          <w:rFonts w:hint="eastAsia"/>
        </w:rPr>
        <w:t>表</w:t>
      </w:r>
      <w:r>
        <w:t>9.4</w:t>
      </w:r>
      <w:r>
        <w:rPr>
          <w:rFonts w:hint="eastAsia"/>
        </w:rPr>
        <w:t>-</w:t>
      </w:r>
      <w:r>
        <w:t>2</w:t>
      </w:r>
      <w:r>
        <w:fldChar w:fldCharType="end"/>
      </w:r>
      <w:r>
        <w:rPr>
          <w:rFonts w:hint="eastAsia"/>
        </w:rPr>
        <w:t>。</w:t>
      </w:r>
    </w:p>
    <w:p>
      <w:pPr>
        <w:pStyle w:val="16"/>
      </w:pPr>
      <w:bookmarkStart w:id="220" w:name="_Ref85788153"/>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9.4</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2</w:t>
      </w:r>
      <w:r>
        <w:fldChar w:fldCharType="end"/>
      </w:r>
      <w:bookmarkEnd w:id="220"/>
      <w:r>
        <w:t xml:space="preserve"> 施工</w:t>
      </w:r>
      <w:r>
        <w:rPr>
          <w:rFonts w:hint="eastAsia"/>
        </w:rPr>
        <w:t>应急物资及设备</w:t>
      </w:r>
      <w:r>
        <w:t>表</w:t>
      </w:r>
    </w:p>
    <w:tbl>
      <w:tblPr>
        <w:tblStyle w:val="149"/>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1249"/>
        <w:gridCol w:w="1745"/>
        <w:gridCol w:w="755"/>
        <w:gridCol w:w="755"/>
        <w:gridCol w:w="1254"/>
        <w:gridCol w:w="1255"/>
        <w:gridCol w:w="7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blHeader/>
        </w:trPr>
        <w:tc>
          <w:tcPr>
            <w:tcW w:w="443" w:type="pct"/>
            <w:vAlign w:val="center"/>
          </w:tcPr>
          <w:p>
            <w:pPr>
              <w:spacing w:line="240" w:lineRule="auto"/>
              <w:ind w:firstLine="0" w:firstLineChars="0"/>
              <w:jc w:val="center"/>
              <w:rPr>
                <w:b/>
                <w:bCs/>
                <w:sz w:val="21"/>
              </w:rPr>
            </w:pPr>
            <w:r>
              <w:rPr>
                <w:b/>
                <w:bCs/>
                <w:sz w:val="21"/>
              </w:rPr>
              <w:t>序号</w:t>
            </w:r>
          </w:p>
        </w:tc>
        <w:tc>
          <w:tcPr>
            <w:tcW w:w="733" w:type="pct"/>
            <w:vAlign w:val="center"/>
          </w:tcPr>
          <w:p>
            <w:pPr>
              <w:spacing w:line="240" w:lineRule="auto"/>
              <w:ind w:firstLine="0" w:firstLineChars="0"/>
              <w:jc w:val="center"/>
              <w:rPr>
                <w:b/>
                <w:bCs/>
                <w:sz w:val="21"/>
              </w:rPr>
            </w:pPr>
            <w:r>
              <w:rPr>
                <w:b/>
                <w:bCs/>
                <w:sz w:val="21"/>
              </w:rPr>
              <w:t>类别</w:t>
            </w:r>
          </w:p>
        </w:tc>
        <w:tc>
          <w:tcPr>
            <w:tcW w:w="1024" w:type="pct"/>
            <w:vAlign w:val="center"/>
          </w:tcPr>
          <w:p>
            <w:pPr>
              <w:spacing w:line="240" w:lineRule="auto"/>
              <w:ind w:firstLine="0" w:firstLineChars="0"/>
              <w:jc w:val="center"/>
              <w:rPr>
                <w:b/>
                <w:bCs/>
                <w:sz w:val="21"/>
              </w:rPr>
            </w:pPr>
            <w:r>
              <w:rPr>
                <w:b/>
                <w:bCs/>
                <w:sz w:val="21"/>
              </w:rPr>
              <w:t>物品名称</w:t>
            </w:r>
          </w:p>
        </w:tc>
        <w:tc>
          <w:tcPr>
            <w:tcW w:w="443" w:type="pct"/>
            <w:vAlign w:val="center"/>
          </w:tcPr>
          <w:p>
            <w:pPr>
              <w:spacing w:line="240" w:lineRule="auto"/>
              <w:ind w:firstLine="0" w:firstLineChars="0"/>
              <w:jc w:val="center"/>
              <w:rPr>
                <w:b/>
                <w:bCs/>
                <w:sz w:val="21"/>
              </w:rPr>
            </w:pPr>
            <w:r>
              <w:rPr>
                <w:b/>
                <w:bCs/>
                <w:sz w:val="21"/>
              </w:rPr>
              <w:t>单位</w:t>
            </w:r>
          </w:p>
        </w:tc>
        <w:tc>
          <w:tcPr>
            <w:tcW w:w="443" w:type="pct"/>
            <w:vAlign w:val="center"/>
          </w:tcPr>
          <w:p>
            <w:pPr>
              <w:spacing w:line="240" w:lineRule="auto"/>
              <w:ind w:firstLine="0" w:firstLineChars="0"/>
              <w:jc w:val="center"/>
              <w:rPr>
                <w:b/>
                <w:bCs/>
                <w:sz w:val="21"/>
              </w:rPr>
            </w:pPr>
            <w:r>
              <w:rPr>
                <w:b/>
                <w:bCs/>
                <w:sz w:val="21"/>
              </w:rPr>
              <w:t>数量</w:t>
            </w:r>
          </w:p>
        </w:tc>
        <w:tc>
          <w:tcPr>
            <w:tcW w:w="736" w:type="pct"/>
            <w:vAlign w:val="center"/>
          </w:tcPr>
          <w:p>
            <w:pPr>
              <w:spacing w:line="240" w:lineRule="auto"/>
              <w:ind w:firstLine="0" w:firstLineChars="0"/>
              <w:jc w:val="center"/>
              <w:rPr>
                <w:b/>
                <w:bCs/>
                <w:sz w:val="21"/>
              </w:rPr>
            </w:pPr>
            <w:r>
              <w:rPr>
                <w:b/>
                <w:bCs/>
                <w:sz w:val="21"/>
              </w:rPr>
              <w:t>存放位置</w:t>
            </w:r>
          </w:p>
        </w:tc>
        <w:tc>
          <w:tcPr>
            <w:tcW w:w="736" w:type="pct"/>
            <w:vAlign w:val="center"/>
          </w:tcPr>
          <w:p>
            <w:pPr>
              <w:spacing w:line="240" w:lineRule="auto"/>
              <w:ind w:firstLine="0" w:firstLineChars="0"/>
              <w:jc w:val="center"/>
              <w:rPr>
                <w:b/>
                <w:bCs/>
                <w:sz w:val="21"/>
              </w:rPr>
            </w:pPr>
            <w:r>
              <w:rPr>
                <w:b/>
                <w:bCs/>
                <w:sz w:val="21"/>
              </w:rPr>
              <w:t>储备状态</w:t>
            </w:r>
          </w:p>
        </w:tc>
        <w:tc>
          <w:tcPr>
            <w:tcW w:w="443" w:type="pct"/>
            <w:vAlign w:val="center"/>
          </w:tcPr>
          <w:p>
            <w:pPr>
              <w:spacing w:line="240" w:lineRule="auto"/>
              <w:ind w:firstLine="0" w:firstLineChars="0"/>
              <w:jc w:val="center"/>
              <w:rPr>
                <w:b/>
                <w:bCs/>
                <w:sz w:val="21"/>
              </w:rPr>
            </w:pPr>
            <w:r>
              <w:rPr>
                <w:b/>
                <w:bCs/>
                <w:sz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pPr>
              <w:pStyle w:val="78"/>
              <w:numPr>
                <w:ilvl w:val="0"/>
                <w:numId w:val="100"/>
              </w:numPr>
              <w:spacing w:line="240" w:lineRule="auto"/>
              <w:ind w:firstLineChars="0"/>
              <w:jc w:val="center"/>
              <w:rPr>
                <w:sz w:val="21"/>
              </w:rPr>
            </w:pPr>
          </w:p>
        </w:tc>
        <w:tc>
          <w:tcPr>
            <w:tcW w:w="733" w:type="pct"/>
            <w:vMerge w:val="restart"/>
            <w:vAlign w:val="center"/>
          </w:tcPr>
          <w:p>
            <w:pPr>
              <w:spacing w:line="240" w:lineRule="auto"/>
              <w:ind w:firstLine="0" w:firstLineChars="0"/>
              <w:jc w:val="center"/>
              <w:rPr>
                <w:sz w:val="21"/>
              </w:rPr>
            </w:pPr>
            <w:r>
              <w:rPr>
                <w:sz w:val="21"/>
              </w:rPr>
              <w:t>医疗器材</w:t>
            </w:r>
          </w:p>
        </w:tc>
        <w:tc>
          <w:tcPr>
            <w:tcW w:w="1024" w:type="pct"/>
            <w:vAlign w:val="center"/>
          </w:tcPr>
          <w:p>
            <w:pPr>
              <w:spacing w:line="240" w:lineRule="auto"/>
              <w:ind w:firstLine="0" w:firstLineChars="0"/>
              <w:jc w:val="center"/>
              <w:rPr>
                <w:sz w:val="21"/>
              </w:rPr>
            </w:pPr>
            <w:r>
              <w:rPr>
                <w:sz w:val="21"/>
              </w:rPr>
              <w:t>急救药箱</w:t>
            </w:r>
          </w:p>
        </w:tc>
        <w:tc>
          <w:tcPr>
            <w:tcW w:w="443" w:type="pct"/>
            <w:vAlign w:val="center"/>
          </w:tcPr>
          <w:p>
            <w:pPr>
              <w:spacing w:line="240" w:lineRule="auto"/>
              <w:ind w:firstLine="0" w:firstLineChars="0"/>
              <w:jc w:val="center"/>
              <w:rPr>
                <w:sz w:val="21"/>
              </w:rPr>
            </w:pPr>
            <w:r>
              <w:rPr>
                <w:sz w:val="21"/>
              </w:rPr>
              <w:t>个</w:t>
            </w:r>
          </w:p>
        </w:tc>
        <w:tc>
          <w:tcPr>
            <w:tcW w:w="443" w:type="pct"/>
            <w:vAlign w:val="center"/>
          </w:tcPr>
          <w:p>
            <w:pPr>
              <w:spacing w:line="240" w:lineRule="auto"/>
              <w:ind w:firstLine="0" w:firstLineChars="0"/>
              <w:jc w:val="center"/>
              <w:rPr>
                <w:sz w:val="21"/>
              </w:rPr>
            </w:pPr>
            <w:r>
              <w:rPr>
                <w:sz w:val="21"/>
              </w:rPr>
              <w:t>1</w:t>
            </w:r>
          </w:p>
        </w:tc>
        <w:tc>
          <w:tcPr>
            <w:tcW w:w="736" w:type="pct"/>
            <w:vAlign w:val="center"/>
          </w:tcPr>
          <w:p>
            <w:pPr>
              <w:spacing w:line="240" w:lineRule="auto"/>
              <w:ind w:firstLine="0" w:firstLineChars="0"/>
              <w:jc w:val="center"/>
              <w:rPr>
                <w:sz w:val="21"/>
              </w:rPr>
            </w:pPr>
            <w:r>
              <w:rPr>
                <w:sz w:val="21"/>
              </w:rPr>
              <w:t>现场仓库</w:t>
            </w:r>
          </w:p>
        </w:tc>
        <w:tc>
          <w:tcPr>
            <w:tcW w:w="736" w:type="pct"/>
            <w:vAlign w:val="center"/>
          </w:tcPr>
          <w:p>
            <w:pPr>
              <w:spacing w:line="240" w:lineRule="auto"/>
              <w:ind w:firstLine="0" w:firstLineChars="0"/>
              <w:jc w:val="center"/>
              <w:rPr>
                <w:sz w:val="21"/>
              </w:rPr>
            </w:pPr>
            <w:r>
              <w:rPr>
                <w:sz w:val="21"/>
              </w:rPr>
              <w:t>良好</w:t>
            </w:r>
          </w:p>
        </w:tc>
        <w:tc>
          <w:tcPr>
            <w:tcW w:w="443" w:type="pct"/>
            <w:vAlign w:val="center"/>
          </w:tcPr>
          <w:p>
            <w:pPr>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pPr>
              <w:pStyle w:val="78"/>
              <w:numPr>
                <w:ilvl w:val="0"/>
                <w:numId w:val="100"/>
              </w:numPr>
              <w:spacing w:line="240" w:lineRule="auto"/>
              <w:ind w:firstLineChars="0"/>
              <w:jc w:val="center"/>
              <w:rPr>
                <w:sz w:val="21"/>
              </w:rPr>
            </w:pPr>
          </w:p>
        </w:tc>
        <w:tc>
          <w:tcPr>
            <w:tcW w:w="733" w:type="pct"/>
            <w:vMerge w:val="continue"/>
            <w:vAlign w:val="center"/>
          </w:tcPr>
          <w:p>
            <w:pPr>
              <w:spacing w:line="240" w:lineRule="auto"/>
              <w:ind w:firstLine="0" w:firstLineChars="0"/>
              <w:jc w:val="center"/>
              <w:rPr>
                <w:sz w:val="21"/>
              </w:rPr>
            </w:pPr>
          </w:p>
        </w:tc>
        <w:tc>
          <w:tcPr>
            <w:tcW w:w="1024" w:type="pct"/>
            <w:vAlign w:val="center"/>
          </w:tcPr>
          <w:p>
            <w:pPr>
              <w:spacing w:line="240" w:lineRule="auto"/>
              <w:ind w:firstLine="0" w:firstLineChars="0"/>
              <w:jc w:val="center"/>
              <w:rPr>
                <w:sz w:val="21"/>
              </w:rPr>
            </w:pPr>
            <w:r>
              <w:rPr>
                <w:sz w:val="21"/>
              </w:rPr>
              <w:t>纯棉弹性绷带</w:t>
            </w:r>
          </w:p>
        </w:tc>
        <w:tc>
          <w:tcPr>
            <w:tcW w:w="443" w:type="pct"/>
            <w:vAlign w:val="center"/>
          </w:tcPr>
          <w:p>
            <w:pPr>
              <w:spacing w:line="240" w:lineRule="auto"/>
              <w:ind w:firstLine="0" w:firstLineChars="0"/>
              <w:jc w:val="center"/>
              <w:rPr>
                <w:sz w:val="21"/>
              </w:rPr>
            </w:pPr>
            <w:r>
              <w:rPr>
                <w:sz w:val="21"/>
              </w:rPr>
              <w:t>卷</w:t>
            </w:r>
          </w:p>
        </w:tc>
        <w:tc>
          <w:tcPr>
            <w:tcW w:w="443" w:type="pct"/>
            <w:vAlign w:val="center"/>
          </w:tcPr>
          <w:p>
            <w:pPr>
              <w:spacing w:line="240" w:lineRule="auto"/>
              <w:ind w:firstLine="0" w:firstLineChars="0"/>
              <w:jc w:val="center"/>
              <w:rPr>
                <w:sz w:val="21"/>
              </w:rPr>
            </w:pPr>
            <w:r>
              <w:rPr>
                <w:sz w:val="21"/>
              </w:rPr>
              <w:t>30</w:t>
            </w:r>
          </w:p>
        </w:tc>
        <w:tc>
          <w:tcPr>
            <w:tcW w:w="736" w:type="pct"/>
            <w:vAlign w:val="center"/>
          </w:tcPr>
          <w:p>
            <w:pPr>
              <w:spacing w:line="240" w:lineRule="auto"/>
              <w:ind w:firstLine="0" w:firstLineChars="0"/>
              <w:jc w:val="center"/>
              <w:rPr>
                <w:sz w:val="21"/>
              </w:rPr>
            </w:pPr>
            <w:r>
              <w:rPr>
                <w:sz w:val="21"/>
              </w:rPr>
              <w:t>现场仓库</w:t>
            </w:r>
          </w:p>
        </w:tc>
        <w:tc>
          <w:tcPr>
            <w:tcW w:w="736" w:type="pct"/>
            <w:vAlign w:val="center"/>
          </w:tcPr>
          <w:p>
            <w:pPr>
              <w:spacing w:line="240" w:lineRule="auto"/>
              <w:ind w:firstLine="0" w:firstLineChars="0"/>
              <w:jc w:val="center"/>
              <w:rPr>
                <w:sz w:val="21"/>
              </w:rPr>
            </w:pPr>
            <w:r>
              <w:rPr>
                <w:sz w:val="21"/>
              </w:rPr>
              <w:t>良好</w:t>
            </w:r>
          </w:p>
        </w:tc>
        <w:tc>
          <w:tcPr>
            <w:tcW w:w="443" w:type="pct"/>
            <w:vAlign w:val="center"/>
          </w:tcPr>
          <w:p>
            <w:pPr>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pPr>
              <w:pStyle w:val="78"/>
              <w:numPr>
                <w:ilvl w:val="0"/>
                <w:numId w:val="100"/>
              </w:numPr>
              <w:spacing w:line="240" w:lineRule="auto"/>
              <w:ind w:firstLineChars="0"/>
              <w:jc w:val="center"/>
              <w:rPr>
                <w:sz w:val="21"/>
              </w:rPr>
            </w:pPr>
          </w:p>
        </w:tc>
        <w:tc>
          <w:tcPr>
            <w:tcW w:w="733" w:type="pct"/>
            <w:vMerge w:val="continue"/>
            <w:vAlign w:val="center"/>
          </w:tcPr>
          <w:p>
            <w:pPr>
              <w:spacing w:line="240" w:lineRule="auto"/>
              <w:ind w:firstLine="0" w:firstLineChars="0"/>
              <w:jc w:val="center"/>
              <w:rPr>
                <w:sz w:val="21"/>
              </w:rPr>
            </w:pPr>
          </w:p>
        </w:tc>
        <w:tc>
          <w:tcPr>
            <w:tcW w:w="1024" w:type="pct"/>
            <w:vAlign w:val="center"/>
          </w:tcPr>
          <w:p>
            <w:pPr>
              <w:spacing w:line="240" w:lineRule="auto"/>
              <w:ind w:firstLine="0" w:firstLineChars="0"/>
              <w:jc w:val="center"/>
              <w:rPr>
                <w:sz w:val="21"/>
              </w:rPr>
            </w:pPr>
            <w:r>
              <w:rPr>
                <w:sz w:val="21"/>
              </w:rPr>
              <w:t>止血布</w:t>
            </w:r>
          </w:p>
        </w:tc>
        <w:tc>
          <w:tcPr>
            <w:tcW w:w="443" w:type="pct"/>
            <w:vAlign w:val="center"/>
          </w:tcPr>
          <w:p>
            <w:pPr>
              <w:spacing w:line="240" w:lineRule="auto"/>
              <w:ind w:firstLine="0" w:firstLineChars="0"/>
              <w:jc w:val="center"/>
              <w:rPr>
                <w:sz w:val="21"/>
              </w:rPr>
            </w:pPr>
            <w:r>
              <w:rPr>
                <w:sz w:val="21"/>
              </w:rPr>
              <w:t>张</w:t>
            </w:r>
          </w:p>
        </w:tc>
        <w:tc>
          <w:tcPr>
            <w:tcW w:w="443" w:type="pct"/>
            <w:vAlign w:val="center"/>
          </w:tcPr>
          <w:p>
            <w:pPr>
              <w:spacing w:line="240" w:lineRule="auto"/>
              <w:ind w:firstLine="0" w:firstLineChars="0"/>
              <w:jc w:val="center"/>
              <w:rPr>
                <w:sz w:val="21"/>
              </w:rPr>
            </w:pPr>
            <w:r>
              <w:rPr>
                <w:sz w:val="21"/>
              </w:rPr>
              <w:t>30</w:t>
            </w:r>
          </w:p>
        </w:tc>
        <w:tc>
          <w:tcPr>
            <w:tcW w:w="736" w:type="pct"/>
            <w:vAlign w:val="center"/>
          </w:tcPr>
          <w:p>
            <w:pPr>
              <w:spacing w:line="240" w:lineRule="auto"/>
              <w:ind w:firstLine="0" w:firstLineChars="0"/>
              <w:jc w:val="center"/>
              <w:rPr>
                <w:sz w:val="21"/>
              </w:rPr>
            </w:pPr>
            <w:r>
              <w:rPr>
                <w:sz w:val="21"/>
              </w:rPr>
              <w:t>现场仓库</w:t>
            </w:r>
          </w:p>
        </w:tc>
        <w:tc>
          <w:tcPr>
            <w:tcW w:w="736" w:type="pct"/>
            <w:vAlign w:val="center"/>
          </w:tcPr>
          <w:p>
            <w:pPr>
              <w:spacing w:line="240" w:lineRule="auto"/>
              <w:ind w:firstLine="0" w:firstLineChars="0"/>
              <w:jc w:val="center"/>
              <w:rPr>
                <w:sz w:val="21"/>
              </w:rPr>
            </w:pPr>
            <w:r>
              <w:rPr>
                <w:sz w:val="21"/>
              </w:rPr>
              <w:t>良好</w:t>
            </w:r>
          </w:p>
        </w:tc>
        <w:tc>
          <w:tcPr>
            <w:tcW w:w="443" w:type="pct"/>
            <w:vAlign w:val="center"/>
          </w:tcPr>
          <w:p>
            <w:pPr>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pPr>
              <w:pStyle w:val="78"/>
              <w:numPr>
                <w:ilvl w:val="0"/>
                <w:numId w:val="100"/>
              </w:numPr>
              <w:spacing w:line="240" w:lineRule="auto"/>
              <w:ind w:firstLineChars="0"/>
              <w:jc w:val="center"/>
              <w:rPr>
                <w:sz w:val="21"/>
              </w:rPr>
            </w:pPr>
          </w:p>
        </w:tc>
        <w:tc>
          <w:tcPr>
            <w:tcW w:w="733" w:type="pct"/>
            <w:vMerge w:val="continue"/>
            <w:vAlign w:val="center"/>
          </w:tcPr>
          <w:p>
            <w:pPr>
              <w:spacing w:line="240" w:lineRule="auto"/>
              <w:ind w:firstLine="0" w:firstLineChars="0"/>
              <w:jc w:val="center"/>
              <w:rPr>
                <w:sz w:val="21"/>
              </w:rPr>
            </w:pPr>
          </w:p>
        </w:tc>
        <w:tc>
          <w:tcPr>
            <w:tcW w:w="1024" w:type="pct"/>
            <w:vAlign w:val="center"/>
          </w:tcPr>
          <w:p>
            <w:pPr>
              <w:spacing w:line="240" w:lineRule="auto"/>
              <w:ind w:firstLine="0" w:firstLineChars="0"/>
              <w:jc w:val="center"/>
              <w:rPr>
                <w:sz w:val="21"/>
              </w:rPr>
            </w:pPr>
            <w:r>
              <w:rPr>
                <w:sz w:val="21"/>
              </w:rPr>
              <w:t>创可贴</w:t>
            </w:r>
          </w:p>
        </w:tc>
        <w:tc>
          <w:tcPr>
            <w:tcW w:w="443" w:type="pct"/>
            <w:vAlign w:val="center"/>
          </w:tcPr>
          <w:p>
            <w:pPr>
              <w:spacing w:line="240" w:lineRule="auto"/>
              <w:ind w:firstLine="0" w:firstLineChars="0"/>
              <w:jc w:val="center"/>
              <w:rPr>
                <w:sz w:val="21"/>
              </w:rPr>
            </w:pPr>
            <w:r>
              <w:rPr>
                <w:sz w:val="21"/>
              </w:rPr>
              <w:t>张</w:t>
            </w:r>
          </w:p>
        </w:tc>
        <w:tc>
          <w:tcPr>
            <w:tcW w:w="443" w:type="pct"/>
            <w:vAlign w:val="center"/>
          </w:tcPr>
          <w:p>
            <w:pPr>
              <w:spacing w:line="240" w:lineRule="auto"/>
              <w:ind w:firstLine="0" w:firstLineChars="0"/>
              <w:jc w:val="center"/>
              <w:rPr>
                <w:sz w:val="21"/>
              </w:rPr>
            </w:pPr>
            <w:r>
              <w:rPr>
                <w:sz w:val="21"/>
              </w:rPr>
              <w:t>200</w:t>
            </w:r>
          </w:p>
        </w:tc>
        <w:tc>
          <w:tcPr>
            <w:tcW w:w="736" w:type="pct"/>
            <w:vAlign w:val="center"/>
          </w:tcPr>
          <w:p>
            <w:pPr>
              <w:spacing w:line="240" w:lineRule="auto"/>
              <w:ind w:firstLine="0" w:firstLineChars="0"/>
              <w:jc w:val="center"/>
              <w:rPr>
                <w:sz w:val="21"/>
              </w:rPr>
            </w:pPr>
            <w:r>
              <w:rPr>
                <w:sz w:val="21"/>
              </w:rPr>
              <w:t>现场仓库</w:t>
            </w:r>
          </w:p>
        </w:tc>
        <w:tc>
          <w:tcPr>
            <w:tcW w:w="736" w:type="pct"/>
            <w:vAlign w:val="center"/>
          </w:tcPr>
          <w:p>
            <w:pPr>
              <w:spacing w:line="240" w:lineRule="auto"/>
              <w:ind w:firstLine="0" w:firstLineChars="0"/>
              <w:jc w:val="center"/>
              <w:rPr>
                <w:sz w:val="21"/>
              </w:rPr>
            </w:pPr>
            <w:r>
              <w:rPr>
                <w:sz w:val="21"/>
              </w:rPr>
              <w:t>良好</w:t>
            </w:r>
          </w:p>
        </w:tc>
        <w:tc>
          <w:tcPr>
            <w:tcW w:w="443" w:type="pct"/>
            <w:vAlign w:val="center"/>
          </w:tcPr>
          <w:p>
            <w:pPr>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pPr>
              <w:pStyle w:val="78"/>
              <w:numPr>
                <w:ilvl w:val="0"/>
                <w:numId w:val="100"/>
              </w:numPr>
              <w:spacing w:line="240" w:lineRule="auto"/>
              <w:ind w:firstLineChars="0"/>
              <w:jc w:val="center"/>
              <w:rPr>
                <w:sz w:val="21"/>
              </w:rPr>
            </w:pPr>
          </w:p>
        </w:tc>
        <w:tc>
          <w:tcPr>
            <w:tcW w:w="733" w:type="pct"/>
            <w:vMerge w:val="continue"/>
            <w:vAlign w:val="center"/>
          </w:tcPr>
          <w:p>
            <w:pPr>
              <w:spacing w:line="240" w:lineRule="auto"/>
              <w:ind w:firstLine="0" w:firstLineChars="0"/>
              <w:jc w:val="center"/>
              <w:rPr>
                <w:sz w:val="21"/>
              </w:rPr>
            </w:pPr>
          </w:p>
        </w:tc>
        <w:tc>
          <w:tcPr>
            <w:tcW w:w="1024" w:type="pct"/>
            <w:vAlign w:val="center"/>
          </w:tcPr>
          <w:p>
            <w:pPr>
              <w:spacing w:line="240" w:lineRule="auto"/>
              <w:ind w:firstLine="0" w:firstLineChars="0"/>
              <w:jc w:val="center"/>
              <w:rPr>
                <w:sz w:val="21"/>
              </w:rPr>
            </w:pPr>
            <w:r>
              <w:rPr>
                <w:sz w:val="21"/>
              </w:rPr>
              <w:t>脱脂棉</w:t>
            </w:r>
          </w:p>
        </w:tc>
        <w:tc>
          <w:tcPr>
            <w:tcW w:w="443" w:type="pct"/>
            <w:vAlign w:val="center"/>
          </w:tcPr>
          <w:p>
            <w:pPr>
              <w:spacing w:line="240" w:lineRule="auto"/>
              <w:ind w:firstLine="0" w:firstLineChars="0"/>
              <w:jc w:val="center"/>
              <w:rPr>
                <w:sz w:val="21"/>
              </w:rPr>
            </w:pPr>
            <w:r>
              <w:rPr>
                <w:sz w:val="21"/>
              </w:rPr>
              <w:t>卷</w:t>
            </w:r>
          </w:p>
        </w:tc>
        <w:tc>
          <w:tcPr>
            <w:tcW w:w="443" w:type="pct"/>
            <w:vAlign w:val="center"/>
          </w:tcPr>
          <w:p>
            <w:pPr>
              <w:spacing w:line="240" w:lineRule="auto"/>
              <w:ind w:firstLine="0" w:firstLineChars="0"/>
              <w:jc w:val="center"/>
              <w:rPr>
                <w:sz w:val="21"/>
              </w:rPr>
            </w:pPr>
            <w:r>
              <w:rPr>
                <w:sz w:val="21"/>
              </w:rPr>
              <w:t>20</w:t>
            </w:r>
          </w:p>
        </w:tc>
        <w:tc>
          <w:tcPr>
            <w:tcW w:w="736" w:type="pct"/>
            <w:vAlign w:val="center"/>
          </w:tcPr>
          <w:p>
            <w:pPr>
              <w:spacing w:line="240" w:lineRule="auto"/>
              <w:ind w:firstLine="0" w:firstLineChars="0"/>
              <w:jc w:val="center"/>
              <w:rPr>
                <w:sz w:val="21"/>
              </w:rPr>
            </w:pPr>
            <w:r>
              <w:rPr>
                <w:sz w:val="21"/>
              </w:rPr>
              <w:t>现场仓库</w:t>
            </w:r>
          </w:p>
        </w:tc>
        <w:tc>
          <w:tcPr>
            <w:tcW w:w="736" w:type="pct"/>
            <w:vAlign w:val="center"/>
          </w:tcPr>
          <w:p>
            <w:pPr>
              <w:spacing w:line="240" w:lineRule="auto"/>
              <w:ind w:firstLine="0" w:firstLineChars="0"/>
              <w:jc w:val="center"/>
              <w:rPr>
                <w:sz w:val="21"/>
              </w:rPr>
            </w:pPr>
            <w:r>
              <w:rPr>
                <w:sz w:val="21"/>
              </w:rPr>
              <w:t>良好</w:t>
            </w:r>
          </w:p>
        </w:tc>
        <w:tc>
          <w:tcPr>
            <w:tcW w:w="443" w:type="pct"/>
            <w:vAlign w:val="center"/>
          </w:tcPr>
          <w:p>
            <w:pPr>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pPr>
              <w:pStyle w:val="78"/>
              <w:numPr>
                <w:ilvl w:val="0"/>
                <w:numId w:val="100"/>
              </w:numPr>
              <w:spacing w:line="240" w:lineRule="auto"/>
              <w:ind w:firstLineChars="0"/>
              <w:jc w:val="center"/>
              <w:rPr>
                <w:sz w:val="21"/>
              </w:rPr>
            </w:pPr>
          </w:p>
        </w:tc>
        <w:tc>
          <w:tcPr>
            <w:tcW w:w="733" w:type="pct"/>
            <w:vMerge w:val="continue"/>
            <w:vAlign w:val="center"/>
          </w:tcPr>
          <w:p>
            <w:pPr>
              <w:spacing w:line="240" w:lineRule="auto"/>
              <w:ind w:firstLine="0" w:firstLineChars="0"/>
              <w:jc w:val="center"/>
              <w:rPr>
                <w:sz w:val="21"/>
              </w:rPr>
            </w:pPr>
          </w:p>
        </w:tc>
        <w:tc>
          <w:tcPr>
            <w:tcW w:w="1024" w:type="pct"/>
            <w:vAlign w:val="center"/>
          </w:tcPr>
          <w:p>
            <w:pPr>
              <w:spacing w:line="240" w:lineRule="auto"/>
              <w:ind w:firstLine="0" w:firstLineChars="0"/>
              <w:jc w:val="center"/>
              <w:rPr>
                <w:sz w:val="21"/>
              </w:rPr>
            </w:pPr>
            <w:r>
              <w:rPr>
                <w:sz w:val="21"/>
              </w:rPr>
              <w:t>消毒棉签</w:t>
            </w:r>
          </w:p>
        </w:tc>
        <w:tc>
          <w:tcPr>
            <w:tcW w:w="443" w:type="pct"/>
            <w:vAlign w:val="center"/>
          </w:tcPr>
          <w:p>
            <w:pPr>
              <w:spacing w:line="240" w:lineRule="auto"/>
              <w:ind w:firstLine="0" w:firstLineChars="0"/>
              <w:jc w:val="center"/>
              <w:rPr>
                <w:sz w:val="21"/>
              </w:rPr>
            </w:pPr>
            <w:r>
              <w:rPr>
                <w:sz w:val="21"/>
              </w:rPr>
              <w:t>袋</w:t>
            </w:r>
          </w:p>
        </w:tc>
        <w:tc>
          <w:tcPr>
            <w:tcW w:w="443" w:type="pct"/>
            <w:vAlign w:val="center"/>
          </w:tcPr>
          <w:p>
            <w:pPr>
              <w:spacing w:line="240" w:lineRule="auto"/>
              <w:ind w:firstLine="0" w:firstLineChars="0"/>
              <w:jc w:val="center"/>
              <w:rPr>
                <w:sz w:val="21"/>
              </w:rPr>
            </w:pPr>
            <w:r>
              <w:rPr>
                <w:sz w:val="21"/>
              </w:rPr>
              <w:t>20</w:t>
            </w:r>
          </w:p>
        </w:tc>
        <w:tc>
          <w:tcPr>
            <w:tcW w:w="736" w:type="pct"/>
            <w:vAlign w:val="center"/>
          </w:tcPr>
          <w:p>
            <w:pPr>
              <w:spacing w:line="240" w:lineRule="auto"/>
              <w:ind w:firstLine="0" w:firstLineChars="0"/>
              <w:jc w:val="center"/>
              <w:rPr>
                <w:sz w:val="21"/>
              </w:rPr>
            </w:pPr>
            <w:r>
              <w:rPr>
                <w:sz w:val="21"/>
              </w:rPr>
              <w:t>现场仓库</w:t>
            </w:r>
          </w:p>
        </w:tc>
        <w:tc>
          <w:tcPr>
            <w:tcW w:w="736" w:type="pct"/>
            <w:vAlign w:val="center"/>
          </w:tcPr>
          <w:p>
            <w:pPr>
              <w:spacing w:line="240" w:lineRule="auto"/>
              <w:ind w:firstLine="0" w:firstLineChars="0"/>
              <w:jc w:val="center"/>
              <w:rPr>
                <w:sz w:val="21"/>
              </w:rPr>
            </w:pPr>
            <w:r>
              <w:rPr>
                <w:sz w:val="21"/>
              </w:rPr>
              <w:t>良好</w:t>
            </w:r>
          </w:p>
        </w:tc>
        <w:tc>
          <w:tcPr>
            <w:tcW w:w="443" w:type="pct"/>
            <w:vAlign w:val="center"/>
          </w:tcPr>
          <w:p>
            <w:pPr>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pPr>
              <w:pStyle w:val="78"/>
              <w:numPr>
                <w:ilvl w:val="0"/>
                <w:numId w:val="100"/>
              </w:numPr>
              <w:spacing w:line="240" w:lineRule="auto"/>
              <w:ind w:firstLineChars="0"/>
              <w:jc w:val="center"/>
              <w:rPr>
                <w:sz w:val="21"/>
              </w:rPr>
            </w:pPr>
          </w:p>
        </w:tc>
        <w:tc>
          <w:tcPr>
            <w:tcW w:w="733" w:type="pct"/>
            <w:vMerge w:val="continue"/>
            <w:vAlign w:val="center"/>
          </w:tcPr>
          <w:p>
            <w:pPr>
              <w:spacing w:line="240" w:lineRule="auto"/>
              <w:ind w:firstLine="0" w:firstLineChars="0"/>
              <w:jc w:val="center"/>
              <w:rPr>
                <w:sz w:val="21"/>
              </w:rPr>
            </w:pPr>
          </w:p>
        </w:tc>
        <w:tc>
          <w:tcPr>
            <w:tcW w:w="1024" w:type="pct"/>
            <w:vAlign w:val="center"/>
          </w:tcPr>
          <w:p>
            <w:pPr>
              <w:spacing w:line="240" w:lineRule="auto"/>
              <w:ind w:firstLine="0" w:firstLineChars="0"/>
              <w:jc w:val="center"/>
              <w:rPr>
                <w:sz w:val="21"/>
              </w:rPr>
            </w:pPr>
            <w:r>
              <w:rPr>
                <w:sz w:val="21"/>
              </w:rPr>
              <w:t>其他医疗器材</w:t>
            </w:r>
          </w:p>
        </w:tc>
        <w:tc>
          <w:tcPr>
            <w:tcW w:w="443" w:type="pct"/>
            <w:vAlign w:val="center"/>
          </w:tcPr>
          <w:p>
            <w:pPr>
              <w:spacing w:line="240" w:lineRule="auto"/>
              <w:ind w:firstLine="0" w:firstLineChars="0"/>
              <w:jc w:val="center"/>
              <w:rPr>
                <w:sz w:val="21"/>
              </w:rPr>
            </w:pPr>
          </w:p>
        </w:tc>
        <w:tc>
          <w:tcPr>
            <w:tcW w:w="443" w:type="pct"/>
            <w:vAlign w:val="center"/>
          </w:tcPr>
          <w:p>
            <w:pPr>
              <w:spacing w:line="240" w:lineRule="auto"/>
              <w:ind w:firstLine="0" w:firstLineChars="0"/>
              <w:jc w:val="center"/>
              <w:rPr>
                <w:sz w:val="21"/>
              </w:rPr>
            </w:pPr>
            <w:r>
              <w:rPr>
                <w:sz w:val="21"/>
              </w:rPr>
              <w:t>若干</w:t>
            </w:r>
          </w:p>
        </w:tc>
        <w:tc>
          <w:tcPr>
            <w:tcW w:w="736" w:type="pct"/>
            <w:vAlign w:val="center"/>
          </w:tcPr>
          <w:p>
            <w:pPr>
              <w:spacing w:line="240" w:lineRule="auto"/>
              <w:ind w:firstLine="0" w:firstLineChars="0"/>
              <w:jc w:val="center"/>
              <w:rPr>
                <w:sz w:val="21"/>
              </w:rPr>
            </w:pPr>
            <w:r>
              <w:rPr>
                <w:sz w:val="21"/>
              </w:rPr>
              <w:t>现场仓库</w:t>
            </w:r>
          </w:p>
        </w:tc>
        <w:tc>
          <w:tcPr>
            <w:tcW w:w="736" w:type="pct"/>
            <w:vAlign w:val="center"/>
          </w:tcPr>
          <w:p>
            <w:pPr>
              <w:spacing w:line="240" w:lineRule="auto"/>
              <w:ind w:firstLine="0" w:firstLineChars="0"/>
              <w:jc w:val="center"/>
              <w:rPr>
                <w:sz w:val="21"/>
              </w:rPr>
            </w:pPr>
            <w:r>
              <w:rPr>
                <w:sz w:val="21"/>
              </w:rPr>
              <w:t>良好</w:t>
            </w:r>
          </w:p>
        </w:tc>
        <w:tc>
          <w:tcPr>
            <w:tcW w:w="443" w:type="pct"/>
            <w:vAlign w:val="center"/>
          </w:tcPr>
          <w:p>
            <w:pPr>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pPr>
              <w:pStyle w:val="78"/>
              <w:numPr>
                <w:ilvl w:val="0"/>
                <w:numId w:val="100"/>
              </w:numPr>
              <w:spacing w:line="240" w:lineRule="auto"/>
              <w:ind w:firstLineChars="0"/>
              <w:jc w:val="center"/>
              <w:rPr>
                <w:sz w:val="21"/>
              </w:rPr>
            </w:pPr>
          </w:p>
        </w:tc>
        <w:tc>
          <w:tcPr>
            <w:tcW w:w="733" w:type="pct"/>
            <w:vMerge w:val="restart"/>
            <w:vAlign w:val="center"/>
          </w:tcPr>
          <w:p>
            <w:pPr>
              <w:spacing w:line="240" w:lineRule="auto"/>
              <w:ind w:firstLine="0" w:firstLineChars="0"/>
              <w:jc w:val="center"/>
              <w:rPr>
                <w:sz w:val="21"/>
              </w:rPr>
            </w:pPr>
            <w:r>
              <w:rPr>
                <w:sz w:val="21"/>
              </w:rPr>
              <w:t>抢救工具</w:t>
            </w:r>
          </w:p>
        </w:tc>
        <w:tc>
          <w:tcPr>
            <w:tcW w:w="1024" w:type="pct"/>
            <w:vAlign w:val="center"/>
          </w:tcPr>
          <w:p>
            <w:pPr>
              <w:spacing w:line="240" w:lineRule="auto"/>
              <w:ind w:firstLine="0" w:firstLineChars="0"/>
              <w:jc w:val="center"/>
              <w:rPr>
                <w:sz w:val="21"/>
              </w:rPr>
            </w:pPr>
            <w:r>
              <w:rPr>
                <w:sz w:val="21"/>
              </w:rPr>
              <w:t>安全绳</w:t>
            </w:r>
          </w:p>
        </w:tc>
        <w:tc>
          <w:tcPr>
            <w:tcW w:w="443" w:type="pct"/>
            <w:vAlign w:val="center"/>
          </w:tcPr>
          <w:p>
            <w:pPr>
              <w:spacing w:line="240" w:lineRule="auto"/>
              <w:ind w:firstLine="0" w:firstLineChars="0"/>
              <w:jc w:val="center"/>
              <w:rPr>
                <w:sz w:val="21"/>
              </w:rPr>
            </w:pPr>
            <w:r>
              <w:rPr>
                <w:sz w:val="21"/>
              </w:rPr>
              <w:t>米</w:t>
            </w:r>
          </w:p>
        </w:tc>
        <w:tc>
          <w:tcPr>
            <w:tcW w:w="443" w:type="pct"/>
            <w:vAlign w:val="center"/>
          </w:tcPr>
          <w:p>
            <w:pPr>
              <w:spacing w:line="240" w:lineRule="auto"/>
              <w:ind w:firstLine="0" w:firstLineChars="0"/>
              <w:jc w:val="center"/>
              <w:rPr>
                <w:sz w:val="21"/>
              </w:rPr>
            </w:pPr>
            <w:r>
              <w:rPr>
                <w:sz w:val="21"/>
              </w:rPr>
              <w:t>500</w:t>
            </w:r>
          </w:p>
        </w:tc>
        <w:tc>
          <w:tcPr>
            <w:tcW w:w="736" w:type="pct"/>
            <w:vAlign w:val="center"/>
          </w:tcPr>
          <w:p>
            <w:pPr>
              <w:spacing w:line="240" w:lineRule="auto"/>
              <w:ind w:firstLine="0" w:firstLineChars="0"/>
              <w:jc w:val="center"/>
              <w:rPr>
                <w:sz w:val="21"/>
              </w:rPr>
            </w:pPr>
            <w:r>
              <w:rPr>
                <w:sz w:val="21"/>
              </w:rPr>
              <w:t>现场</w:t>
            </w:r>
          </w:p>
        </w:tc>
        <w:tc>
          <w:tcPr>
            <w:tcW w:w="736" w:type="pct"/>
            <w:vAlign w:val="center"/>
          </w:tcPr>
          <w:p>
            <w:pPr>
              <w:spacing w:line="240" w:lineRule="auto"/>
              <w:ind w:firstLine="0" w:firstLineChars="0"/>
              <w:jc w:val="center"/>
              <w:rPr>
                <w:sz w:val="21"/>
              </w:rPr>
            </w:pPr>
            <w:r>
              <w:rPr>
                <w:sz w:val="21"/>
              </w:rPr>
              <w:t>良好</w:t>
            </w:r>
          </w:p>
        </w:tc>
        <w:tc>
          <w:tcPr>
            <w:tcW w:w="443" w:type="pct"/>
            <w:vAlign w:val="center"/>
          </w:tcPr>
          <w:p>
            <w:pPr>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pPr>
              <w:pStyle w:val="78"/>
              <w:numPr>
                <w:ilvl w:val="0"/>
                <w:numId w:val="100"/>
              </w:numPr>
              <w:spacing w:line="240" w:lineRule="auto"/>
              <w:ind w:firstLineChars="0"/>
              <w:jc w:val="center"/>
              <w:rPr>
                <w:sz w:val="21"/>
              </w:rPr>
            </w:pPr>
          </w:p>
        </w:tc>
        <w:tc>
          <w:tcPr>
            <w:tcW w:w="733" w:type="pct"/>
            <w:vMerge w:val="continue"/>
            <w:vAlign w:val="center"/>
          </w:tcPr>
          <w:p>
            <w:pPr>
              <w:spacing w:line="240" w:lineRule="auto"/>
              <w:ind w:firstLine="0" w:firstLineChars="0"/>
              <w:jc w:val="center"/>
              <w:rPr>
                <w:sz w:val="21"/>
              </w:rPr>
            </w:pPr>
          </w:p>
        </w:tc>
        <w:tc>
          <w:tcPr>
            <w:tcW w:w="1024" w:type="pct"/>
            <w:vAlign w:val="center"/>
          </w:tcPr>
          <w:p>
            <w:pPr>
              <w:spacing w:line="240" w:lineRule="auto"/>
              <w:ind w:firstLine="0" w:firstLineChars="0"/>
              <w:jc w:val="center"/>
              <w:rPr>
                <w:sz w:val="21"/>
              </w:rPr>
            </w:pPr>
            <w:r>
              <w:rPr>
                <w:sz w:val="21"/>
              </w:rPr>
              <w:t>安全带</w:t>
            </w:r>
          </w:p>
        </w:tc>
        <w:tc>
          <w:tcPr>
            <w:tcW w:w="443" w:type="pct"/>
            <w:vAlign w:val="center"/>
          </w:tcPr>
          <w:p>
            <w:pPr>
              <w:spacing w:line="240" w:lineRule="auto"/>
              <w:ind w:firstLine="0" w:firstLineChars="0"/>
              <w:jc w:val="center"/>
              <w:rPr>
                <w:sz w:val="21"/>
              </w:rPr>
            </w:pPr>
            <w:r>
              <w:rPr>
                <w:sz w:val="21"/>
              </w:rPr>
              <w:t>副</w:t>
            </w:r>
          </w:p>
        </w:tc>
        <w:tc>
          <w:tcPr>
            <w:tcW w:w="443" w:type="pct"/>
            <w:vAlign w:val="center"/>
          </w:tcPr>
          <w:p>
            <w:pPr>
              <w:spacing w:line="240" w:lineRule="auto"/>
              <w:ind w:firstLine="0" w:firstLineChars="0"/>
              <w:jc w:val="center"/>
              <w:rPr>
                <w:sz w:val="21"/>
              </w:rPr>
            </w:pPr>
            <w:r>
              <w:rPr>
                <w:sz w:val="21"/>
              </w:rPr>
              <w:t>10</w:t>
            </w:r>
          </w:p>
        </w:tc>
        <w:tc>
          <w:tcPr>
            <w:tcW w:w="736" w:type="pct"/>
            <w:vAlign w:val="center"/>
          </w:tcPr>
          <w:p>
            <w:pPr>
              <w:spacing w:line="240" w:lineRule="auto"/>
              <w:ind w:firstLine="0" w:firstLineChars="0"/>
              <w:jc w:val="center"/>
              <w:rPr>
                <w:sz w:val="21"/>
              </w:rPr>
            </w:pPr>
            <w:r>
              <w:rPr>
                <w:sz w:val="21"/>
              </w:rPr>
              <w:t>现场仓库</w:t>
            </w:r>
          </w:p>
        </w:tc>
        <w:tc>
          <w:tcPr>
            <w:tcW w:w="736" w:type="pct"/>
            <w:vAlign w:val="center"/>
          </w:tcPr>
          <w:p>
            <w:pPr>
              <w:spacing w:line="240" w:lineRule="auto"/>
              <w:ind w:firstLine="0" w:firstLineChars="0"/>
              <w:jc w:val="center"/>
              <w:rPr>
                <w:sz w:val="21"/>
              </w:rPr>
            </w:pPr>
            <w:r>
              <w:rPr>
                <w:sz w:val="21"/>
              </w:rPr>
              <w:t>良好</w:t>
            </w:r>
          </w:p>
        </w:tc>
        <w:tc>
          <w:tcPr>
            <w:tcW w:w="443" w:type="pct"/>
            <w:vAlign w:val="center"/>
          </w:tcPr>
          <w:p>
            <w:pPr>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pPr>
              <w:pStyle w:val="78"/>
              <w:numPr>
                <w:ilvl w:val="0"/>
                <w:numId w:val="100"/>
              </w:numPr>
              <w:spacing w:line="240" w:lineRule="auto"/>
              <w:ind w:firstLineChars="0"/>
              <w:jc w:val="center"/>
              <w:rPr>
                <w:sz w:val="21"/>
              </w:rPr>
            </w:pPr>
          </w:p>
        </w:tc>
        <w:tc>
          <w:tcPr>
            <w:tcW w:w="733" w:type="pct"/>
            <w:vMerge w:val="continue"/>
            <w:vAlign w:val="center"/>
          </w:tcPr>
          <w:p>
            <w:pPr>
              <w:spacing w:line="240" w:lineRule="auto"/>
              <w:ind w:firstLine="0" w:firstLineChars="0"/>
              <w:jc w:val="center"/>
              <w:rPr>
                <w:sz w:val="21"/>
              </w:rPr>
            </w:pPr>
          </w:p>
        </w:tc>
        <w:tc>
          <w:tcPr>
            <w:tcW w:w="1024" w:type="pct"/>
            <w:vAlign w:val="center"/>
          </w:tcPr>
          <w:p>
            <w:pPr>
              <w:spacing w:line="240" w:lineRule="auto"/>
              <w:ind w:firstLine="0" w:firstLineChars="0"/>
              <w:jc w:val="center"/>
              <w:rPr>
                <w:sz w:val="21"/>
              </w:rPr>
            </w:pPr>
            <w:r>
              <w:rPr>
                <w:sz w:val="21"/>
              </w:rPr>
              <w:t>铁锨</w:t>
            </w:r>
          </w:p>
        </w:tc>
        <w:tc>
          <w:tcPr>
            <w:tcW w:w="443" w:type="pct"/>
            <w:vAlign w:val="center"/>
          </w:tcPr>
          <w:p>
            <w:pPr>
              <w:spacing w:line="240" w:lineRule="auto"/>
              <w:ind w:firstLine="0" w:firstLineChars="0"/>
              <w:jc w:val="center"/>
              <w:rPr>
                <w:sz w:val="21"/>
              </w:rPr>
            </w:pPr>
            <w:r>
              <w:rPr>
                <w:sz w:val="21"/>
              </w:rPr>
              <w:t>把</w:t>
            </w:r>
          </w:p>
        </w:tc>
        <w:tc>
          <w:tcPr>
            <w:tcW w:w="443" w:type="pct"/>
            <w:vAlign w:val="center"/>
          </w:tcPr>
          <w:p>
            <w:pPr>
              <w:spacing w:line="240" w:lineRule="auto"/>
              <w:ind w:firstLine="0" w:firstLineChars="0"/>
              <w:jc w:val="center"/>
              <w:rPr>
                <w:sz w:val="21"/>
              </w:rPr>
            </w:pPr>
            <w:r>
              <w:rPr>
                <w:sz w:val="21"/>
              </w:rPr>
              <w:t>5</w:t>
            </w:r>
          </w:p>
        </w:tc>
        <w:tc>
          <w:tcPr>
            <w:tcW w:w="736" w:type="pct"/>
            <w:vAlign w:val="center"/>
          </w:tcPr>
          <w:p>
            <w:pPr>
              <w:spacing w:line="240" w:lineRule="auto"/>
              <w:ind w:firstLine="0" w:firstLineChars="0"/>
              <w:jc w:val="center"/>
              <w:rPr>
                <w:sz w:val="21"/>
              </w:rPr>
            </w:pPr>
            <w:r>
              <w:rPr>
                <w:sz w:val="21"/>
              </w:rPr>
              <w:t>现场仓库</w:t>
            </w:r>
          </w:p>
        </w:tc>
        <w:tc>
          <w:tcPr>
            <w:tcW w:w="736" w:type="pct"/>
            <w:vAlign w:val="center"/>
          </w:tcPr>
          <w:p>
            <w:pPr>
              <w:spacing w:line="240" w:lineRule="auto"/>
              <w:ind w:firstLine="0" w:firstLineChars="0"/>
              <w:jc w:val="center"/>
              <w:rPr>
                <w:sz w:val="21"/>
              </w:rPr>
            </w:pPr>
            <w:r>
              <w:rPr>
                <w:sz w:val="21"/>
              </w:rPr>
              <w:t>良好</w:t>
            </w:r>
          </w:p>
        </w:tc>
        <w:tc>
          <w:tcPr>
            <w:tcW w:w="443" w:type="pct"/>
            <w:vAlign w:val="center"/>
          </w:tcPr>
          <w:p>
            <w:pPr>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pPr>
              <w:pStyle w:val="78"/>
              <w:numPr>
                <w:ilvl w:val="0"/>
                <w:numId w:val="100"/>
              </w:numPr>
              <w:spacing w:line="240" w:lineRule="auto"/>
              <w:ind w:firstLineChars="0"/>
              <w:jc w:val="center"/>
              <w:rPr>
                <w:sz w:val="21"/>
              </w:rPr>
            </w:pPr>
          </w:p>
        </w:tc>
        <w:tc>
          <w:tcPr>
            <w:tcW w:w="733" w:type="pct"/>
            <w:vMerge w:val="continue"/>
            <w:vAlign w:val="center"/>
          </w:tcPr>
          <w:p>
            <w:pPr>
              <w:spacing w:line="240" w:lineRule="auto"/>
              <w:ind w:firstLine="0" w:firstLineChars="0"/>
              <w:jc w:val="center"/>
              <w:rPr>
                <w:sz w:val="21"/>
              </w:rPr>
            </w:pPr>
          </w:p>
        </w:tc>
        <w:tc>
          <w:tcPr>
            <w:tcW w:w="1024" w:type="pct"/>
            <w:vAlign w:val="center"/>
          </w:tcPr>
          <w:p>
            <w:pPr>
              <w:spacing w:line="240" w:lineRule="auto"/>
              <w:ind w:firstLine="0" w:firstLineChars="0"/>
              <w:jc w:val="center"/>
              <w:rPr>
                <w:sz w:val="21"/>
              </w:rPr>
            </w:pPr>
            <w:r>
              <w:rPr>
                <w:sz w:val="21"/>
              </w:rPr>
              <w:t>撬棍</w:t>
            </w:r>
          </w:p>
        </w:tc>
        <w:tc>
          <w:tcPr>
            <w:tcW w:w="443" w:type="pct"/>
            <w:vAlign w:val="center"/>
          </w:tcPr>
          <w:p>
            <w:pPr>
              <w:spacing w:line="240" w:lineRule="auto"/>
              <w:ind w:firstLine="0" w:firstLineChars="0"/>
              <w:jc w:val="center"/>
              <w:rPr>
                <w:sz w:val="21"/>
              </w:rPr>
            </w:pPr>
            <w:r>
              <w:rPr>
                <w:sz w:val="21"/>
              </w:rPr>
              <w:t>把</w:t>
            </w:r>
          </w:p>
        </w:tc>
        <w:tc>
          <w:tcPr>
            <w:tcW w:w="443" w:type="pct"/>
            <w:vAlign w:val="center"/>
          </w:tcPr>
          <w:p>
            <w:pPr>
              <w:spacing w:line="240" w:lineRule="auto"/>
              <w:ind w:firstLine="0" w:firstLineChars="0"/>
              <w:jc w:val="center"/>
              <w:rPr>
                <w:sz w:val="21"/>
              </w:rPr>
            </w:pPr>
            <w:r>
              <w:rPr>
                <w:sz w:val="21"/>
              </w:rPr>
              <w:t>5</w:t>
            </w:r>
          </w:p>
        </w:tc>
        <w:tc>
          <w:tcPr>
            <w:tcW w:w="736" w:type="pct"/>
            <w:vAlign w:val="center"/>
          </w:tcPr>
          <w:p>
            <w:pPr>
              <w:spacing w:line="240" w:lineRule="auto"/>
              <w:ind w:firstLine="0" w:firstLineChars="0"/>
              <w:jc w:val="center"/>
              <w:rPr>
                <w:sz w:val="21"/>
              </w:rPr>
            </w:pPr>
            <w:r>
              <w:rPr>
                <w:sz w:val="21"/>
              </w:rPr>
              <w:t>现场仓库</w:t>
            </w:r>
          </w:p>
        </w:tc>
        <w:tc>
          <w:tcPr>
            <w:tcW w:w="736" w:type="pct"/>
            <w:vAlign w:val="center"/>
          </w:tcPr>
          <w:p>
            <w:pPr>
              <w:spacing w:line="240" w:lineRule="auto"/>
              <w:ind w:firstLine="0" w:firstLineChars="0"/>
              <w:jc w:val="center"/>
              <w:rPr>
                <w:sz w:val="21"/>
              </w:rPr>
            </w:pPr>
            <w:r>
              <w:rPr>
                <w:sz w:val="21"/>
              </w:rPr>
              <w:t>良好</w:t>
            </w:r>
          </w:p>
        </w:tc>
        <w:tc>
          <w:tcPr>
            <w:tcW w:w="443" w:type="pct"/>
            <w:vAlign w:val="center"/>
          </w:tcPr>
          <w:p>
            <w:pPr>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pPr>
              <w:pStyle w:val="78"/>
              <w:numPr>
                <w:ilvl w:val="0"/>
                <w:numId w:val="100"/>
              </w:numPr>
              <w:spacing w:line="240" w:lineRule="auto"/>
              <w:ind w:firstLineChars="0"/>
              <w:jc w:val="center"/>
              <w:rPr>
                <w:sz w:val="21"/>
              </w:rPr>
            </w:pPr>
          </w:p>
        </w:tc>
        <w:tc>
          <w:tcPr>
            <w:tcW w:w="733" w:type="pct"/>
            <w:vMerge w:val="continue"/>
            <w:vAlign w:val="center"/>
          </w:tcPr>
          <w:p>
            <w:pPr>
              <w:spacing w:line="240" w:lineRule="auto"/>
              <w:ind w:firstLine="0" w:firstLineChars="0"/>
              <w:jc w:val="center"/>
              <w:rPr>
                <w:sz w:val="21"/>
              </w:rPr>
            </w:pPr>
          </w:p>
        </w:tc>
        <w:tc>
          <w:tcPr>
            <w:tcW w:w="1024" w:type="pct"/>
            <w:vAlign w:val="center"/>
          </w:tcPr>
          <w:p>
            <w:pPr>
              <w:spacing w:line="240" w:lineRule="auto"/>
              <w:ind w:firstLine="0" w:firstLineChars="0"/>
              <w:jc w:val="center"/>
              <w:rPr>
                <w:sz w:val="21"/>
              </w:rPr>
            </w:pPr>
            <w:r>
              <w:rPr>
                <w:sz w:val="21"/>
              </w:rPr>
              <w:t>气割工具</w:t>
            </w:r>
          </w:p>
        </w:tc>
        <w:tc>
          <w:tcPr>
            <w:tcW w:w="443" w:type="pct"/>
            <w:vAlign w:val="center"/>
          </w:tcPr>
          <w:p>
            <w:pPr>
              <w:spacing w:line="240" w:lineRule="auto"/>
              <w:ind w:firstLine="0" w:firstLineChars="0"/>
              <w:jc w:val="center"/>
              <w:rPr>
                <w:sz w:val="21"/>
              </w:rPr>
            </w:pPr>
            <w:r>
              <w:rPr>
                <w:sz w:val="21"/>
              </w:rPr>
              <w:t>套</w:t>
            </w:r>
          </w:p>
        </w:tc>
        <w:tc>
          <w:tcPr>
            <w:tcW w:w="443" w:type="pct"/>
            <w:vAlign w:val="center"/>
          </w:tcPr>
          <w:p>
            <w:pPr>
              <w:spacing w:line="240" w:lineRule="auto"/>
              <w:ind w:firstLine="0" w:firstLineChars="0"/>
              <w:jc w:val="center"/>
              <w:rPr>
                <w:sz w:val="21"/>
              </w:rPr>
            </w:pPr>
            <w:r>
              <w:rPr>
                <w:sz w:val="21"/>
              </w:rPr>
              <w:t>2</w:t>
            </w:r>
          </w:p>
        </w:tc>
        <w:tc>
          <w:tcPr>
            <w:tcW w:w="736" w:type="pct"/>
            <w:vAlign w:val="center"/>
          </w:tcPr>
          <w:p>
            <w:pPr>
              <w:spacing w:line="240" w:lineRule="auto"/>
              <w:ind w:firstLine="0" w:firstLineChars="0"/>
              <w:jc w:val="center"/>
              <w:rPr>
                <w:sz w:val="21"/>
              </w:rPr>
            </w:pPr>
            <w:r>
              <w:rPr>
                <w:sz w:val="21"/>
              </w:rPr>
              <w:t>现场仓库</w:t>
            </w:r>
          </w:p>
        </w:tc>
        <w:tc>
          <w:tcPr>
            <w:tcW w:w="736" w:type="pct"/>
            <w:vAlign w:val="center"/>
          </w:tcPr>
          <w:p>
            <w:pPr>
              <w:spacing w:line="240" w:lineRule="auto"/>
              <w:ind w:firstLine="0" w:firstLineChars="0"/>
              <w:jc w:val="center"/>
              <w:rPr>
                <w:sz w:val="21"/>
              </w:rPr>
            </w:pPr>
            <w:r>
              <w:rPr>
                <w:sz w:val="21"/>
              </w:rPr>
              <w:t>良好</w:t>
            </w:r>
          </w:p>
        </w:tc>
        <w:tc>
          <w:tcPr>
            <w:tcW w:w="443" w:type="pct"/>
            <w:vAlign w:val="center"/>
          </w:tcPr>
          <w:p>
            <w:pPr>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pPr>
              <w:pStyle w:val="78"/>
              <w:numPr>
                <w:ilvl w:val="0"/>
                <w:numId w:val="100"/>
              </w:numPr>
              <w:spacing w:line="240" w:lineRule="auto"/>
              <w:ind w:firstLineChars="0"/>
              <w:jc w:val="center"/>
              <w:rPr>
                <w:sz w:val="21"/>
              </w:rPr>
            </w:pPr>
          </w:p>
        </w:tc>
        <w:tc>
          <w:tcPr>
            <w:tcW w:w="733" w:type="pct"/>
            <w:vMerge w:val="continue"/>
            <w:vAlign w:val="center"/>
          </w:tcPr>
          <w:p>
            <w:pPr>
              <w:spacing w:line="240" w:lineRule="auto"/>
              <w:ind w:firstLine="0" w:firstLineChars="0"/>
              <w:jc w:val="center"/>
              <w:rPr>
                <w:sz w:val="21"/>
              </w:rPr>
            </w:pPr>
          </w:p>
        </w:tc>
        <w:tc>
          <w:tcPr>
            <w:tcW w:w="1024" w:type="pct"/>
            <w:vAlign w:val="center"/>
          </w:tcPr>
          <w:p>
            <w:pPr>
              <w:spacing w:line="240" w:lineRule="auto"/>
              <w:ind w:firstLine="0" w:firstLineChars="0"/>
              <w:jc w:val="center"/>
              <w:rPr>
                <w:sz w:val="21"/>
              </w:rPr>
            </w:pPr>
            <w:r>
              <w:rPr>
                <w:sz w:val="21"/>
              </w:rPr>
              <w:t>电工工具</w:t>
            </w:r>
          </w:p>
        </w:tc>
        <w:tc>
          <w:tcPr>
            <w:tcW w:w="443" w:type="pct"/>
            <w:vAlign w:val="center"/>
          </w:tcPr>
          <w:p>
            <w:pPr>
              <w:spacing w:line="240" w:lineRule="auto"/>
              <w:ind w:firstLine="0" w:firstLineChars="0"/>
              <w:jc w:val="center"/>
              <w:rPr>
                <w:sz w:val="21"/>
              </w:rPr>
            </w:pPr>
            <w:r>
              <w:rPr>
                <w:sz w:val="21"/>
              </w:rPr>
              <w:t>套</w:t>
            </w:r>
          </w:p>
        </w:tc>
        <w:tc>
          <w:tcPr>
            <w:tcW w:w="443" w:type="pct"/>
            <w:vAlign w:val="center"/>
          </w:tcPr>
          <w:p>
            <w:pPr>
              <w:spacing w:line="240" w:lineRule="auto"/>
              <w:ind w:firstLine="0" w:firstLineChars="0"/>
              <w:jc w:val="center"/>
              <w:rPr>
                <w:sz w:val="21"/>
              </w:rPr>
            </w:pPr>
            <w:r>
              <w:rPr>
                <w:sz w:val="21"/>
              </w:rPr>
              <w:t>若干　</w:t>
            </w:r>
          </w:p>
        </w:tc>
        <w:tc>
          <w:tcPr>
            <w:tcW w:w="736" w:type="pct"/>
            <w:vAlign w:val="center"/>
          </w:tcPr>
          <w:p>
            <w:pPr>
              <w:spacing w:line="240" w:lineRule="auto"/>
              <w:ind w:firstLine="0" w:firstLineChars="0"/>
              <w:jc w:val="center"/>
              <w:rPr>
                <w:sz w:val="21"/>
              </w:rPr>
            </w:pPr>
            <w:r>
              <w:rPr>
                <w:sz w:val="21"/>
              </w:rPr>
              <w:t>现场仓库</w:t>
            </w:r>
          </w:p>
        </w:tc>
        <w:tc>
          <w:tcPr>
            <w:tcW w:w="736" w:type="pct"/>
            <w:vAlign w:val="center"/>
          </w:tcPr>
          <w:p>
            <w:pPr>
              <w:spacing w:line="240" w:lineRule="auto"/>
              <w:ind w:firstLine="0" w:firstLineChars="0"/>
              <w:jc w:val="center"/>
              <w:rPr>
                <w:sz w:val="21"/>
              </w:rPr>
            </w:pPr>
            <w:r>
              <w:rPr>
                <w:sz w:val="21"/>
              </w:rPr>
              <w:t>良好</w:t>
            </w:r>
          </w:p>
        </w:tc>
        <w:tc>
          <w:tcPr>
            <w:tcW w:w="443" w:type="pct"/>
            <w:vAlign w:val="center"/>
          </w:tcPr>
          <w:p>
            <w:pPr>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pPr>
              <w:pStyle w:val="78"/>
              <w:numPr>
                <w:ilvl w:val="0"/>
                <w:numId w:val="100"/>
              </w:numPr>
              <w:spacing w:line="240" w:lineRule="auto"/>
              <w:ind w:firstLineChars="0"/>
              <w:jc w:val="center"/>
              <w:rPr>
                <w:sz w:val="21"/>
              </w:rPr>
            </w:pPr>
          </w:p>
        </w:tc>
        <w:tc>
          <w:tcPr>
            <w:tcW w:w="733" w:type="pct"/>
            <w:vMerge w:val="continue"/>
            <w:vAlign w:val="center"/>
          </w:tcPr>
          <w:p>
            <w:pPr>
              <w:spacing w:line="240" w:lineRule="auto"/>
              <w:ind w:firstLine="0" w:firstLineChars="0"/>
              <w:jc w:val="center"/>
              <w:rPr>
                <w:sz w:val="21"/>
              </w:rPr>
            </w:pPr>
          </w:p>
        </w:tc>
        <w:tc>
          <w:tcPr>
            <w:tcW w:w="1024" w:type="pct"/>
            <w:vAlign w:val="center"/>
          </w:tcPr>
          <w:p>
            <w:pPr>
              <w:spacing w:line="240" w:lineRule="auto"/>
              <w:ind w:firstLine="0" w:firstLineChars="0"/>
              <w:jc w:val="center"/>
              <w:rPr>
                <w:sz w:val="21"/>
              </w:rPr>
            </w:pPr>
            <w:r>
              <w:rPr>
                <w:sz w:val="21"/>
              </w:rPr>
              <w:t>简易担架</w:t>
            </w:r>
          </w:p>
        </w:tc>
        <w:tc>
          <w:tcPr>
            <w:tcW w:w="443" w:type="pct"/>
            <w:vAlign w:val="center"/>
          </w:tcPr>
          <w:p>
            <w:pPr>
              <w:spacing w:line="240" w:lineRule="auto"/>
              <w:ind w:firstLine="0" w:firstLineChars="0"/>
              <w:jc w:val="center"/>
              <w:rPr>
                <w:sz w:val="21"/>
              </w:rPr>
            </w:pPr>
            <w:r>
              <w:rPr>
                <w:sz w:val="21"/>
              </w:rPr>
              <w:t>个</w:t>
            </w:r>
          </w:p>
        </w:tc>
        <w:tc>
          <w:tcPr>
            <w:tcW w:w="443" w:type="pct"/>
            <w:vAlign w:val="center"/>
          </w:tcPr>
          <w:p>
            <w:pPr>
              <w:spacing w:line="240" w:lineRule="auto"/>
              <w:ind w:firstLine="0" w:firstLineChars="0"/>
              <w:jc w:val="center"/>
              <w:rPr>
                <w:sz w:val="21"/>
              </w:rPr>
            </w:pPr>
            <w:r>
              <w:rPr>
                <w:sz w:val="21"/>
              </w:rPr>
              <w:t>2</w:t>
            </w:r>
          </w:p>
        </w:tc>
        <w:tc>
          <w:tcPr>
            <w:tcW w:w="736" w:type="pct"/>
            <w:vAlign w:val="center"/>
          </w:tcPr>
          <w:p>
            <w:pPr>
              <w:spacing w:line="240" w:lineRule="auto"/>
              <w:ind w:firstLine="0" w:firstLineChars="0"/>
              <w:jc w:val="center"/>
              <w:rPr>
                <w:sz w:val="21"/>
              </w:rPr>
            </w:pPr>
            <w:r>
              <w:rPr>
                <w:sz w:val="21"/>
              </w:rPr>
              <w:t>现场仓库</w:t>
            </w:r>
          </w:p>
        </w:tc>
        <w:tc>
          <w:tcPr>
            <w:tcW w:w="736" w:type="pct"/>
            <w:vAlign w:val="center"/>
          </w:tcPr>
          <w:p>
            <w:pPr>
              <w:spacing w:line="240" w:lineRule="auto"/>
              <w:ind w:firstLine="0" w:firstLineChars="0"/>
              <w:jc w:val="center"/>
              <w:rPr>
                <w:sz w:val="21"/>
              </w:rPr>
            </w:pPr>
            <w:r>
              <w:rPr>
                <w:sz w:val="21"/>
              </w:rPr>
              <w:t>良好</w:t>
            </w:r>
          </w:p>
        </w:tc>
        <w:tc>
          <w:tcPr>
            <w:tcW w:w="443" w:type="pct"/>
            <w:vAlign w:val="center"/>
          </w:tcPr>
          <w:p>
            <w:pPr>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pPr>
              <w:pStyle w:val="78"/>
              <w:numPr>
                <w:ilvl w:val="0"/>
                <w:numId w:val="100"/>
              </w:numPr>
              <w:spacing w:line="240" w:lineRule="auto"/>
              <w:ind w:firstLineChars="0"/>
              <w:jc w:val="center"/>
              <w:rPr>
                <w:sz w:val="21"/>
              </w:rPr>
            </w:pPr>
          </w:p>
        </w:tc>
        <w:tc>
          <w:tcPr>
            <w:tcW w:w="733" w:type="pct"/>
            <w:vMerge w:val="restart"/>
            <w:vAlign w:val="center"/>
          </w:tcPr>
          <w:p>
            <w:pPr>
              <w:spacing w:line="240" w:lineRule="auto"/>
              <w:ind w:firstLine="0" w:firstLineChars="0"/>
              <w:jc w:val="center"/>
              <w:rPr>
                <w:sz w:val="21"/>
              </w:rPr>
            </w:pPr>
            <w:r>
              <w:rPr>
                <w:sz w:val="21"/>
              </w:rPr>
              <w:t>照明器材</w:t>
            </w:r>
          </w:p>
        </w:tc>
        <w:tc>
          <w:tcPr>
            <w:tcW w:w="1024" w:type="pct"/>
            <w:vAlign w:val="center"/>
          </w:tcPr>
          <w:p>
            <w:pPr>
              <w:spacing w:line="240" w:lineRule="auto"/>
              <w:ind w:firstLine="0" w:firstLineChars="0"/>
              <w:jc w:val="center"/>
              <w:rPr>
                <w:sz w:val="21"/>
              </w:rPr>
            </w:pPr>
            <w:r>
              <w:rPr>
                <w:sz w:val="21"/>
              </w:rPr>
              <w:t>手电筒</w:t>
            </w:r>
          </w:p>
        </w:tc>
        <w:tc>
          <w:tcPr>
            <w:tcW w:w="443" w:type="pct"/>
            <w:vAlign w:val="center"/>
          </w:tcPr>
          <w:p>
            <w:pPr>
              <w:spacing w:line="240" w:lineRule="auto"/>
              <w:ind w:firstLine="0" w:firstLineChars="0"/>
              <w:jc w:val="center"/>
              <w:rPr>
                <w:sz w:val="21"/>
              </w:rPr>
            </w:pPr>
            <w:r>
              <w:rPr>
                <w:sz w:val="21"/>
              </w:rPr>
              <w:t>把</w:t>
            </w:r>
          </w:p>
        </w:tc>
        <w:tc>
          <w:tcPr>
            <w:tcW w:w="443" w:type="pct"/>
            <w:vAlign w:val="center"/>
          </w:tcPr>
          <w:p>
            <w:pPr>
              <w:spacing w:line="240" w:lineRule="auto"/>
              <w:ind w:firstLine="0" w:firstLineChars="0"/>
              <w:jc w:val="center"/>
              <w:rPr>
                <w:sz w:val="21"/>
              </w:rPr>
            </w:pPr>
            <w:r>
              <w:rPr>
                <w:sz w:val="21"/>
              </w:rPr>
              <w:t>10</w:t>
            </w:r>
          </w:p>
        </w:tc>
        <w:tc>
          <w:tcPr>
            <w:tcW w:w="736" w:type="pct"/>
            <w:vAlign w:val="center"/>
          </w:tcPr>
          <w:p>
            <w:pPr>
              <w:spacing w:line="240" w:lineRule="auto"/>
              <w:ind w:firstLine="0" w:firstLineChars="0"/>
              <w:jc w:val="center"/>
              <w:rPr>
                <w:sz w:val="21"/>
              </w:rPr>
            </w:pPr>
            <w:r>
              <w:rPr>
                <w:sz w:val="21"/>
              </w:rPr>
              <w:t>现场仓库</w:t>
            </w:r>
          </w:p>
        </w:tc>
        <w:tc>
          <w:tcPr>
            <w:tcW w:w="736" w:type="pct"/>
            <w:vAlign w:val="center"/>
          </w:tcPr>
          <w:p>
            <w:pPr>
              <w:spacing w:line="240" w:lineRule="auto"/>
              <w:ind w:firstLine="0" w:firstLineChars="0"/>
              <w:jc w:val="center"/>
              <w:rPr>
                <w:sz w:val="21"/>
              </w:rPr>
            </w:pPr>
            <w:r>
              <w:rPr>
                <w:sz w:val="21"/>
              </w:rPr>
              <w:t>良好</w:t>
            </w:r>
          </w:p>
        </w:tc>
        <w:tc>
          <w:tcPr>
            <w:tcW w:w="443" w:type="pct"/>
            <w:vAlign w:val="center"/>
          </w:tcPr>
          <w:p>
            <w:pPr>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pPr>
              <w:pStyle w:val="78"/>
              <w:numPr>
                <w:ilvl w:val="0"/>
                <w:numId w:val="100"/>
              </w:numPr>
              <w:spacing w:line="240" w:lineRule="auto"/>
              <w:ind w:firstLineChars="0"/>
              <w:jc w:val="center"/>
              <w:rPr>
                <w:sz w:val="21"/>
              </w:rPr>
            </w:pPr>
          </w:p>
        </w:tc>
        <w:tc>
          <w:tcPr>
            <w:tcW w:w="733" w:type="pct"/>
            <w:vMerge w:val="continue"/>
            <w:vAlign w:val="center"/>
          </w:tcPr>
          <w:p>
            <w:pPr>
              <w:spacing w:line="240" w:lineRule="auto"/>
              <w:ind w:firstLine="0" w:firstLineChars="0"/>
              <w:jc w:val="center"/>
              <w:rPr>
                <w:sz w:val="21"/>
              </w:rPr>
            </w:pPr>
          </w:p>
        </w:tc>
        <w:tc>
          <w:tcPr>
            <w:tcW w:w="1024" w:type="pct"/>
            <w:vAlign w:val="center"/>
          </w:tcPr>
          <w:p>
            <w:pPr>
              <w:spacing w:line="240" w:lineRule="auto"/>
              <w:ind w:firstLine="0" w:firstLineChars="0"/>
              <w:jc w:val="center"/>
              <w:rPr>
                <w:sz w:val="21"/>
              </w:rPr>
            </w:pPr>
            <w:r>
              <w:rPr>
                <w:sz w:val="21"/>
              </w:rPr>
              <w:t>应急灯具</w:t>
            </w:r>
          </w:p>
        </w:tc>
        <w:tc>
          <w:tcPr>
            <w:tcW w:w="443" w:type="pct"/>
            <w:vAlign w:val="center"/>
          </w:tcPr>
          <w:p>
            <w:pPr>
              <w:spacing w:line="240" w:lineRule="auto"/>
              <w:ind w:firstLine="0" w:firstLineChars="0"/>
              <w:jc w:val="center"/>
              <w:rPr>
                <w:sz w:val="21"/>
              </w:rPr>
            </w:pPr>
            <w:r>
              <w:rPr>
                <w:sz w:val="21"/>
              </w:rPr>
              <w:t>个</w:t>
            </w:r>
          </w:p>
        </w:tc>
        <w:tc>
          <w:tcPr>
            <w:tcW w:w="443" w:type="pct"/>
            <w:vAlign w:val="center"/>
          </w:tcPr>
          <w:p>
            <w:pPr>
              <w:spacing w:line="240" w:lineRule="auto"/>
              <w:ind w:firstLine="0" w:firstLineChars="0"/>
              <w:jc w:val="center"/>
              <w:rPr>
                <w:sz w:val="21"/>
              </w:rPr>
            </w:pPr>
            <w:r>
              <w:rPr>
                <w:sz w:val="21"/>
              </w:rPr>
              <w:t>10</w:t>
            </w:r>
          </w:p>
        </w:tc>
        <w:tc>
          <w:tcPr>
            <w:tcW w:w="736" w:type="pct"/>
            <w:vAlign w:val="center"/>
          </w:tcPr>
          <w:p>
            <w:pPr>
              <w:spacing w:line="240" w:lineRule="auto"/>
              <w:ind w:firstLine="0" w:firstLineChars="0"/>
              <w:jc w:val="center"/>
              <w:rPr>
                <w:sz w:val="21"/>
              </w:rPr>
            </w:pPr>
            <w:r>
              <w:rPr>
                <w:sz w:val="21"/>
              </w:rPr>
              <w:t>现场仓库</w:t>
            </w:r>
          </w:p>
        </w:tc>
        <w:tc>
          <w:tcPr>
            <w:tcW w:w="736" w:type="pct"/>
            <w:vAlign w:val="center"/>
          </w:tcPr>
          <w:p>
            <w:pPr>
              <w:spacing w:line="240" w:lineRule="auto"/>
              <w:ind w:firstLine="0" w:firstLineChars="0"/>
              <w:jc w:val="center"/>
              <w:rPr>
                <w:sz w:val="21"/>
              </w:rPr>
            </w:pPr>
            <w:r>
              <w:rPr>
                <w:sz w:val="21"/>
              </w:rPr>
              <w:t>良好</w:t>
            </w:r>
          </w:p>
        </w:tc>
        <w:tc>
          <w:tcPr>
            <w:tcW w:w="443" w:type="pct"/>
            <w:vAlign w:val="center"/>
          </w:tcPr>
          <w:p>
            <w:pPr>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pPr>
              <w:pStyle w:val="78"/>
              <w:numPr>
                <w:ilvl w:val="0"/>
                <w:numId w:val="100"/>
              </w:numPr>
              <w:spacing w:line="240" w:lineRule="auto"/>
              <w:ind w:firstLineChars="0"/>
              <w:jc w:val="center"/>
              <w:rPr>
                <w:sz w:val="21"/>
              </w:rPr>
            </w:pPr>
          </w:p>
        </w:tc>
        <w:tc>
          <w:tcPr>
            <w:tcW w:w="733" w:type="pct"/>
            <w:vMerge w:val="restart"/>
            <w:vAlign w:val="center"/>
          </w:tcPr>
          <w:p>
            <w:pPr>
              <w:spacing w:line="240" w:lineRule="auto"/>
              <w:ind w:firstLine="0" w:firstLineChars="0"/>
              <w:jc w:val="center"/>
              <w:rPr>
                <w:sz w:val="21"/>
              </w:rPr>
            </w:pPr>
            <w:r>
              <w:rPr>
                <w:sz w:val="21"/>
              </w:rPr>
              <w:t>通讯器材</w:t>
            </w:r>
          </w:p>
        </w:tc>
        <w:tc>
          <w:tcPr>
            <w:tcW w:w="1024" w:type="pct"/>
            <w:vAlign w:val="center"/>
          </w:tcPr>
          <w:p>
            <w:pPr>
              <w:spacing w:line="240" w:lineRule="auto"/>
              <w:ind w:firstLine="0" w:firstLineChars="0"/>
              <w:jc w:val="center"/>
              <w:rPr>
                <w:sz w:val="21"/>
              </w:rPr>
            </w:pPr>
            <w:r>
              <w:rPr>
                <w:sz w:val="21"/>
              </w:rPr>
              <w:t>对讲机</w:t>
            </w:r>
          </w:p>
        </w:tc>
        <w:tc>
          <w:tcPr>
            <w:tcW w:w="443" w:type="pct"/>
            <w:vAlign w:val="center"/>
          </w:tcPr>
          <w:p>
            <w:pPr>
              <w:spacing w:line="240" w:lineRule="auto"/>
              <w:ind w:firstLine="0" w:firstLineChars="0"/>
              <w:jc w:val="center"/>
              <w:rPr>
                <w:sz w:val="21"/>
              </w:rPr>
            </w:pPr>
            <w:r>
              <w:rPr>
                <w:sz w:val="21"/>
              </w:rPr>
              <w:t>部</w:t>
            </w:r>
          </w:p>
        </w:tc>
        <w:tc>
          <w:tcPr>
            <w:tcW w:w="443" w:type="pct"/>
            <w:vAlign w:val="center"/>
          </w:tcPr>
          <w:p>
            <w:pPr>
              <w:spacing w:line="240" w:lineRule="auto"/>
              <w:ind w:firstLine="0" w:firstLineChars="0"/>
              <w:jc w:val="center"/>
              <w:rPr>
                <w:sz w:val="21"/>
              </w:rPr>
            </w:pPr>
            <w:r>
              <w:rPr>
                <w:sz w:val="21"/>
              </w:rPr>
              <w:t>5</w:t>
            </w:r>
          </w:p>
        </w:tc>
        <w:tc>
          <w:tcPr>
            <w:tcW w:w="736" w:type="pct"/>
            <w:vAlign w:val="center"/>
          </w:tcPr>
          <w:p>
            <w:pPr>
              <w:spacing w:line="240" w:lineRule="auto"/>
              <w:ind w:firstLine="0" w:firstLineChars="0"/>
              <w:jc w:val="center"/>
              <w:rPr>
                <w:sz w:val="21"/>
              </w:rPr>
            </w:pPr>
            <w:r>
              <w:rPr>
                <w:sz w:val="21"/>
              </w:rPr>
              <w:t>现场</w:t>
            </w:r>
          </w:p>
        </w:tc>
        <w:tc>
          <w:tcPr>
            <w:tcW w:w="736" w:type="pct"/>
            <w:vAlign w:val="center"/>
          </w:tcPr>
          <w:p>
            <w:pPr>
              <w:spacing w:line="240" w:lineRule="auto"/>
              <w:ind w:firstLine="0" w:firstLineChars="0"/>
              <w:jc w:val="center"/>
              <w:rPr>
                <w:sz w:val="21"/>
              </w:rPr>
            </w:pPr>
            <w:r>
              <w:rPr>
                <w:sz w:val="21"/>
              </w:rPr>
              <w:t>良好</w:t>
            </w:r>
          </w:p>
        </w:tc>
        <w:tc>
          <w:tcPr>
            <w:tcW w:w="443" w:type="pct"/>
            <w:vAlign w:val="center"/>
          </w:tcPr>
          <w:p>
            <w:pPr>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pPr>
              <w:pStyle w:val="78"/>
              <w:numPr>
                <w:ilvl w:val="0"/>
                <w:numId w:val="100"/>
              </w:numPr>
              <w:spacing w:line="240" w:lineRule="auto"/>
              <w:ind w:firstLineChars="0"/>
              <w:jc w:val="center"/>
              <w:rPr>
                <w:sz w:val="21"/>
              </w:rPr>
            </w:pPr>
          </w:p>
        </w:tc>
        <w:tc>
          <w:tcPr>
            <w:tcW w:w="733" w:type="pct"/>
            <w:vMerge w:val="continue"/>
            <w:vAlign w:val="center"/>
          </w:tcPr>
          <w:p>
            <w:pPr>
              <w:spacing w:line="240" w:lineRule="auto"/>
              <w:ind w:firstLine="0" w:firstLineChars="0"/>
              <w:jc w:val="center"/>
              <w:rPr>
                <w:sz w:val="21"/>
              </w:rPr>
            </w:pPr>
          </w:p>
        </w:tc>
        <w:tc>
          <w:tcPr>
            <w:tcW w:w="1024" w:type="pct"/>
            <w:vAlign w:val="center"/>
          </w:tcPr>
          <w:p>
            <w:pPr>
              <w:spacing w:line="240" w:lineRule="auto"/>
              <w:ind w:firstLine="0" w:firstLineChars="0"/>
              <w:jc w:val="center"/>
              <w:rPr>
                <w:sz w:val="21"/>
              </w:rPr>
            </w:pPr>
            <w:r>
              <w:rPr>
                <w:sz w:val="21"/>
              </w:rPr>
              <w:t>手机</w:t>
            </w:r>
          </w:p>
        </w:tc>
        <w:tc>
          <w:tcPr>
            <w:tcW w:w="443" w:type="pct"/>
            <w:vAlign w:val="center"/>
          </w:tcPr>
          <w:p>
            <w:pPr>
              <w:spacing w:line="240" w:lineRule="auto"/>
              <w:ind w:firstLine="0" w:firstLineChars="0"/>
              <w:jc w:val="center"/>
              <w:rPr>
                <w:sz w:val="21"/>
              </w:rPr>
            </w:pPr>
            <w:r>
              <w:rPr>
                <w:sz w:val="21"/>
              </w:rPr>
              <w:t>部</w:t>
            </w:r>
          </w:p>
        </w:tc>
        <w:tc>
          <w:tcPr>
            <w:tcW w:w="443" w:type="pct"/>
            <w:vAlign w:val="center"/>
          </w:tcPr>
          <w:p>
            <w:pPr>
              <w:spacing w:line="240" w:lineRule="auto"/>
              <w:ind w:firstLine="0" w:firstLineChars="0"/>
              <w:jc w:val="center"/>
              <w:rPr>
                <w:sz w:val="21"/>
              </w:rPr>
            </w:pPr>
            <w:r>
              <w:rPr>
                <w:sz w:val="21"/>
              </w:rPr>
              <w:t>若干</w:t>
            </w:r>
          </w:p>
        </w:tc>
        <w:tc>
          <w:tcPr>
            <w:tcW w:w="736" w:type="pct"/>
            <w:vAlign w:val="center"/>
          </w:tcPr>
          <w:p>
            <w:pPr>
              <w:spacing w:line="240" w:lineRule="auto"/>
              <w:ind w:firstLine="0" w:firstLineChars="0"/>
              <w:jc w:val="center"/>
              <w:rPr>
                <w:sz w:val="21"/>
              </w:rPr>
            </w:pPr>
            <w:r>
              <w:rPr>
                <w:sz w:val="21"/>
              </w:rPr>
              <w:t>现场</w:t>
            </w:r>
          </w:p>
        </w:tc>
        <w:tc>
          <w:tcPr>
            <w:tcW w:w="736" w:type="pct"/>
            <w:vAlign w:val="center"/>
          </w:tcPr>
          <w:p>
            <w:pPr>
              <w:spacing w:line="240" w:lineRule="auto"/>
              <w:ind w:firstLine="0" w:firstLineChars="0"/>
              <w:jc w:val="center"/>
              <w:rPr>
                <w:sz w:val="21"/>
              </w:rPr>
            </w:pPr>
            <w:r>
              <w:rPr>
                <w:sz w:val="21"/>
              </w:rPr>
              <w:t>良好</w:t>
            </w:r>
          </w:p>
        </w:tc>
        <w:tc>
          <w:tcPr>
            <w:tcW w:w="443" w:type="pct"/>
            <w:vAlign w:val="center"/>
          </w:tcPr>
          <w:p>
            <w:pPr>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pPr>
              <w:pStyle w:val="78"/>
              <w:numPr>
                <w:ilvl w:val="0"/>
                <w:numId w:val="100"/>
              </w:numPr>
              <w:spacing w:line="240" w:lineRule="auto"/>
              <w:ind w:firstLineChars="0"/>
              <w:jc w:val="center"/>
              <w:rPr>
                <w:sz w:val="21"/>
              </w:rPr>
            </w:pPr>
          </w:p>
        </w:tc>
        <w:tc>
          <w:tcPr>
            <w:tcW w:w="733" w:type="pct"/>
            <w:vMerge w:val="restart"/>
            <w:vAlign w:val="center"/>
          </w:tcPr>
          <w:p>
            <w:pPr>
              <w:spacing w:line="240" w:lineRule="auto"/>
              <w:ind w:firstLine="0" w:firstLineChars="0"/>
              <w:jc w:val="center"/>
              <w:rPr>
                <w:sz w:val="21"/>
              </w:rPr>
            </w:pPr>
            <w:r>
              <w:rPr>
                <w:sz w:val="21"/>
              </w:rPr>
              <w:t>抢救设备</w:t>
            </w:r>
          </w:p>
        </w:tc>
        <w:tc>
          <w:tcPr>
            <w:tcW w:w="1024" w:type="pct"/>
            <w:vAlign w:val="center"/>
          </w:tcPr>
          <w:p>
            <w:pPr>
              <w:spacing w:line="240" w:lineRule="auto"/>
              <w:ind w:firstLine="0" w:firstLineChars="0"/>
              <w:jc w:val="center"/>
              <w:rPr>
                <w:sz w:val="21"/>
              </w:rPr>
            </w:pPr>
            <w:r>
              <w:rPr>
                <w:sz w:val="21"/>
              </w:rPr>
              <w:t>汽车吊</w:t>
            </w:r>
          </w:p>
        </w:tc>
        <w:tc>
          <w:tcPr>
            <w:tcW w:w="443" w:type="pct"/>
            <w:vAlign w:val="center"/>
          </w:tcPr>
          <w:p>
            <w:pPr>
              <w:spacing w:line="240" w:lineRule="auto"/>
              <w:ind w:firstLine="0" w:firstLineChars="0"/>
              <w:jc w:val="center"/>
              <w:rPr>
                <w:sz w:val="21"/>
              </w:rPr>
            </w:pPr>
            <w:r>
              <w:rPr>
                <w:sz w:val="21"/>
              </w:rPr>
              <w:t>辆</w:t>
            </w:r>
          </w:p>
        </w:tc>
        <w:tc>
          <w:tcPr>
            <w:tcW w:w="443" w:type="pct"/>
            <w:vAlign w:val="center"/>
          </w:tcPr>
          <w:p>
            <w:pPr>
              <w:spacing w:line="240" w:lineRule="auto"/>
              <w:ind w:firstLine="0" w:firstLineChars="0"/>
              <w:jc w:val="center"/>
              <w:rPr>
                <w:sz w:val="21"/>
              </w:rPr>
            </w:pPr>
            <w:r>
              <w:rPr>
                <w:sz w:val="21"/>
              </w:rPr>
              <w:t>1</w:t>
            </w:r>
          </w:p>
        </w:tc>
        <w:tc>
          <w:tcPr>
            <w:tcW w:w="736" w:type="pct"/>
            <w:vAlign w:val="center"/>
          </w:tcPr>
          <w:p>
            <w:pPr>
              <w:spacing w:line="240" w:lineRule="auto"/>
              <w:ind w:firstLine="0" w:firstLineChars="0"/>
              <w:jc w:val="center"/>
              <w:rPr>
                <w:sz w:val="21"/>
              </w:rPr>
            </w:pPr>
            <w:r>
              <w:rPr>
                <w:sz w:val="21"/>
              </w:rPr>
              <w:t>现场仓库</w:t>
            </w:r>
          </w:p>
        </w:tc>
        <w:tc>
          <w:tcPr>
            <w:tcW w:w="736" w:type="pct"/>
            <w:vAlign w:val="center"/>
          </w:tcPr>
          <w:p>
            <w:pPr>
              <w:spacing w:line="240" w:lineRule="auto"/>
              <w:ind w:firstLine="0" w:firstLineChars="0"/>
              <w:jc w:val="center"/>
              <w:rPr>
                <w:sz w:val="21"/>
              </w:rPr>
            </w:pPr>
            <w:r>
              <w:rPr>
                <w:sz w:val="21"/>
              </w:rPr>
              <w:t>良好</w:t>
            </w:r>
          </w:p>
        </w:tc>
        <w:tc>
          <w:tcPr>
            <w:tcW w:w="443" w:type="pct"/>
            <w:vAlign w:val="center"/>
          </w:tcPr>
          <w:p>
            <w:pPr>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pPr>
              <w:pStyle w:val="78"/>
              <w:numPr>
                <w:ilvl w:val="0"/>
                <w:numId w:val="100"/>
              </w:numPr>
              <w:spacing w:line="240" w:lineRule="auto"/>
              <w:ind w:firstLineChars="0"/>
              <w:jc w:val="center"/>
              <w:rPr>
                <w:sz w:val="21"/>
              </w:rPr>
            </w:pPr>
          </w:p>
        </w:tc>
        <w:tc>
          <w:tcPr>
            <w:tcW w:w="733" w:type="pct"/>
            <w:vMerge w:val="continue"/>
            <w:vAlign w:val="center"/>
          </w:tcPr>
          <w:p>
            <w:pPr>
              <w:spacing w:line="240" w:lineRule="auto"/>
              <w:ind w:firstLine="0" w:firstLineChars="0"/>
              <w:jc w:val="center"/>
              <w:rPr>
                <w:sz w:val="21"/>
              </w:rPr>
            </w:pPr>
          </w:p>
        </w:tc>
        <w:tc>
          <w:tcPr>
            <w:tcW w:w="1024" w:type="pct"/>
            <w:vAlign w:val="center"/>
          </w:tcPr>
          <w:p>
            <w:pPr>
              <w:spacing w:line="240" w:lineRule="auto"/>
              <w:ind w:firstLine="0" w:firstLineChars="0"/>
              <w:jc w:val="center"/>
              <w:rPr>
                <w:sz w:val="21"/>
              </w:rPr>
            </w:pPr>
            <w:r>
              <w:rPr>
                <w:sz w:val="21"/>
              </w:rPr>
              <w:t>小车</w:t>
            </w:r>
          </w:p>
        </w:tc>
        <w:tc>
          <w:tcPr>
            <w:tcW w:w="443" w:type="pct"/>
            <w:vAlign w:val="center"/>
          </w:tcPr>
          <w:p>
            <w:pPr>
              <w:spacing w:line="240" w:lineRule="auto"/>
              <w:ind w:firstLine="0" w:firstLineChars="0"/>
              <w:jc w:val="center"/>
              <w:rPr>
                <w:sz w:val="21"/>
              </w:rPr>
            </w:pPr>
            <w:r>
              <w:rPr>
                <w:sz w:val="21"/>
              </w:rPr>
              <w:t>辆</w:t>
            </w:r>
          </w:p>
        </w:tc>
        <w:tc>
          <w:tcPr>
            <w:tcW w:w="443" w:type="pct"/>
            <w:vAlign w:val="center"/>
          </w:tcPr>
          <w:p>
            <w:pPr>
              <w:spacing w:line="240" w:lineRule="auto"/>
              <w:ind w:firstLine="0" w:firstLineChars="0"/>
              <w:jc w:val="center"/>
              <w:rPr>
                <w:sz w:val="21"/>
              </w:rPr>
            </w:pPr>
            <w:r>
              <w:rPr>
                <w:sz w:val="21"/>
              </w:rPr>
              <w:t>1</w:t>
            </w:r>
          </w:p>
        </w:tc>
        <w:tc>
          <w:tcPr>
            <w:tcW w:w="736" w:type="pct"/>
            <w:vAlign w:val="center"/>
          </w:tcPr>
          <w:p>
            <w:pPr>
              <w:spacing w:line="240" w:lineRule="auto"/>
              <w:ind w:firstLine="0" w:firstLineChars="0"/>
              <w:jc w:val="center"/>
              <w:rPr>
                <w:sz w:val="21"/>
              </w:rPr>
            </w:pPr>
            <w:r>
              <w:rPr>
                <w:sz w:val="21"/>
              </w:rPr>
              <w:t>现场仓库</w:t>
            </w:r>
          </w:p>
        </w:tc>
        <w:tc>
          <w:tcPr>
            <w:tcW w:w="736" w:type="pct"/>
            <w:vAlign w:val="center"/>
          </w:tcPr>
          <w:p>
            <w:pPr>
              <w:spacing w:line="240" w:lineRule="auto"/>
              <w:ind w:firstLine="0" w:firstLineChars="0"/>
              <w:jc w:val="center"/>
              <w:rPr>
                <w:sz w:val="21"/>
              </w:rPr>
            </w:pPr>
            <w:r>
              <w:rPr>
                <w:sz w:val="21"/>
              </w:rPr>
              <w:t>良好</w:t>
            </w:r>
          </w:p>
        </w:tc>
        <w:tc>
          <w:tcPr>
            <w:tcW w:w="443" w:type="pct"/>
            <w:vAlign w:val="center"/>
          </w:tcPr>
          <w:p>
            <w:pPr>
              <w:spacing w:line="240" w:lineRule="auto"/>
              <w:ind w:firstLine="0" w:firstLineChars="0"/>
              <w:jc w:val="center"/>
              <w:rPr>
                <w:sz w:val="21"/>
              </w:rPr>
            </w:pPr>
          </w:p>
        </w:tc>
      </w:tr>
    </w:tbl>
    <w:p>
      <w:pPr>
        <w:pStyle w:val="3"/>
      </w:pPr>
      <w:bookmarkStart w:id="221" w:name="_Toc12896"/>
      <w:bookmarkStart w:id="222" w:name="_Toc88642980"/>
      <w:bookmarkStart w:id="223" w:name="_Toc86675429"/>
      <w:bookmarkStart w:id="224" w:name="_Toc40778458"/>
      <w:bookmarkStart w:id="225" w:name="_Toc63185592"/>
      <w:bookmarkStart w:id="226" w:name="_Toc21333"/>
      <w:r>
        <w:rPr>
          <w:rFonts w:hint="eastAsia"/>
        </w:rPr>
        <w:t>应急医院及线路图</w:t>
      </w:r>
      <w:bookmarkEnd w:id="221"/>
      <w:bookmarkEnd w:id="222"/>
      <w:bookmarkEnd w:id="223"/>
      <w:bookmarkEnd w:id="224"/>
      <w:bookmarkEnd w:id="225"/>
      <w:bookmarkEnd w:id="226"/>
    </w:p>
    <w:p>
      <w:pPr>
        <w:pStyle w:val="16"/>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9.5</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t xml:space="preserve"> </w:t>
      </w:r>
      <w:r>
        <w:rPr>
          <w:rFonts w:hint="eastAsia"/>
        </w:rPr>
        <w:t>应急救援通信一览表</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FFFFFF"/>
        <w:tblLayout w:type="autofit"/>
        <w:tblCellMar>
          <w:top w:w="0" w:type="dxa"/>
          <w:left w:w="108" w:type="dxa"/>
          <w:bottom w:w="0" w:type="dxa"/>
          <w:right w:w="108" w:type="dxa"/>
        </w:tblCellMar>
      </w:tblPr>
      <w:tblGrid>
        <w:gridCol w:w="1101"/>
        <w:gridCol w:w="3635"/>
        <w:gridCol w:w="2487"/>
        <w:gridCol w:w="129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227" w:hRule="atLeast"/>
          <w:jc w:val="center"/>
        </w:trPr>
        <w:tc>
          <w:tcPr>
            <w:tcW w:w="646" w:type="pct"/>
            <w:shd w:val="clear" w:color="auto" w:fill="FFFFFF"/>
            <w:vAlign w:val="center"/>
          </w:tcPr>
          <w:p>
            <w:pPr>
              <w:pStyle w:val="17"/>
              <w:rPr>
                <w:b/>
                <w:bCs/>
              </w:rPr>
            </w:pPr>
            <w:r>
              <w:rPr>
                <w:rFonts w:hint="eastAsia"/>
                <w:b/>
                <w:bCs/>
              </w:rPr>
              <w:t>序号</w:t>
            </w:r>
          </w:p>
        </w:tc>
        <w:tc>
          <w:tcPr>
            <w:tcW w:w="2132" w:type="pct"/>
            <w:shd w:val="clear" w:color="auto" w:fill="FFFFFF"/>
            <w:vAlign w:val="center"/>
          </w:tcPr>
          <w:p>
            <w:pPr>
              <w:pStyle w:val="17"/>
              <w:rPr>
                <w:b/>
                <w:bCs/>
              </w:rPr>
            </w:pPr>
            <w:r>
              <w:rPr>
                <w:rFonts w:hint="eastAsia"/>
                <w:b/>
                <w:bCs/>
              </w:rPr>
              <w:t>单位</w:t>
            </w:r>
          </w:p>
        </w:tc>
        <w:tc>
          <w:tcPr>
            <w:tcW w:w="1459" w:type="pct"/>
            <w:shd w:val="clear" w:color="auto" w:fill="FFFFFF"/>
            <w:vAlign w:val="center"/>
          </w:tcPr>
          <w:p>
            <w:pPr>
              <w:pStyle w:val="17"/>
              <w:rPr>
                <w:b/>
                <w:bCs/>
              </w:rPr>
            </w:pPr>
            <w:r>
              <w:rPr>
                <w:rFonts w:hint="eastAsia"/>
                <w:b/>
                <w:bCs/>
              </w:rPr>
              <w:t>联系电话</w:t>
            </w:r>
          </w:p>
        </w:tc>
        <w:tc>
          <w:tcPr>
            <w:tcW w:w="762" w:type="pct"/>
            <w:shd w:val="clear" w:color="auto" w:fill="FFFFFF"/>
            <w:vAlign w:val="center"/>
          </w:tcPr>
          <w:p>
            <w:pPr>
              <w:pStyle w:val="17"/>
              <w:rPr>
                <w:b/>
                <w:bCs/>
              </w:rPr>
            </w:pPr>
            <w:r>
              <w:rPr>
                <w:rFonts w:hint="eastAsia"/>
                <w:b/>
                <w:bCs/>
              </w:rPr>
              <w:t>备注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646" w:type="pct"/>
            <w:shd w:val="clear" w:color="auto" w:fill="FFFFFF"/>
            <w:vAlign w:val="center"/>
          </w:tcPr>
          <w:p>
            <w:pPr>
              <w:pStyle w:val="17"/>
              <w:numPr>
                <w:ilvl w:val="0"/>
                <w:numId w:val="101"/>
              </w:numPr>
            </w:pPr>
          </w:p>
        </w:tc>
        <w:tc>
          <w:tcPr>
            <w:tcW w:w="2132" w:type="pct"/>
            <w:shd w:val="clear" w:color="auto" w:fill="FFFFFF"/>
            <w:vAlign w:val="center"/>
          </w:tcPr>
          <w:p>
            <w:pPr>
              <w:pStyle w:val="17"/>
            </w:pPr>
            <w:r>
              <w:rPr>
                <w:rFonts w:hint="eastAsia"/>
              </w:rPr>
              <w:t>麻栗坡县应急管理</w:t>
            </w:r>
            <w:r>
              <w:t>局</w:t>
            </w:r>
          </w:p>
        </w:tc>
        <w:tc>
          <w:tcPr>
            <w:tcW w:w="1459" w:type="pct"/>
            <w:shd w:val="clear" w:color="auto" w:fill="FFFFFF"/>
            <w:vAlign w:val="center"/>
          </w:tcPr>
          <w:p>
            <w:pPr>
              <w:pStyle w:val="17"/>
            </w:pPr>
            <w:r>
              <w:rPr>
                <w:rFonts w:hint="eastAsia"/>
              </w:rPr>
              <w:t>0</w:t>
            </w:r>
            <w:r>
              <w:t>876-6627199</w:t>
            </w:r>
          </w:p>
        </w:tc>
        <w:tc>
          <w:tcPr>
            <w:tcW w:w="762" w:type="pct"/>
            <w:shd w:val="clear" w:color="auto" w:fill="FFFFFF"/>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646" w:type="pct"/>
            <w:shd w:val="clear" w:color="auto" w:fill="FFFFFF"/>
            <w:vAlign w:val="center"/>
          </w:tcPr>
          <w:p>
            <w:pPr>
              <w:pStyle w:val="17"/>
              <w:numPr>
                <w:ilvl w:val="0"/>
                <w:numId w:val="101"/>
              </w:numPr>
            </w:pPr>
          </w:p>
        </w:tc>
        <w:tc>
          <w:tcPr>
            <w:tcW w:w="2132" w:type="pct"/>
            <w:shd w:val="clear" w:color="auto" w:fill="FFFFFF"/>
            <w:vAlign w:val="center"/>
          </w:tcPr>
          <w:p>
            <w:pPr>
              <w:pStyle w:val="17"/>
            </w:pPr>
            <w:r>
              <w:rPr>
                <w:rFonts w:hint="eastAsia"/>
              </w:rPr>
              <w:t>城子上村卫生院</w:t>
            </w:r>
          </w:p>
        </w:tc>
        <w:tc>
          <w:tcPr>
            <w:tcW w:w="1459" w:type="pct"/>
            <w:shd w:val="clear" w:color="auto" w:fill="FFFFFF"/>
            <w:vAlign w:val="center"/>
          </w:tcPr>
          <w:p>
            <w:pPr>
              <w:pStyle w:val="17"/>
            </w:pPr>
            <w:r>
              <w:rPr>
                <w:rFonts w:hint="eastAsia"/>
              </w:rPr>
              <w:t>0</w:t>
            </w:r>
            <w:r>
              <w:t>876-6550298</w:t>
            </w:r>
          </w:p>
        </w:tc>
        <w:tc>
          <w:tcPr>
            <w:tcW w:w="762" w:type="pct"/>
            <w:shd w:val="clear" w:color="auto" w:fill="FFFFFF"/>
            <w:vAlign w:val="center"/>
          </w:tcPr>
          <w:p>
            <w:pPr>
              <w:pStyle w:val="17"/>
            </w:pPr>
            <w:r>
              <w:rPr>
                <w:rFonts w:hint="eastAsia"/>
              </w:rPr>
              <w:t>1</w:t>
            </w:r>
            <w:r>
              <w:t>0</w:t>
            </w:r>
            <w:r>
              <w:rPr>
                <w:rFonts w:hint="eastAsia"/>
              </w:rPr>
              <w:t>min</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646" w:type="pct"/>
            <w:shd w:val="clear" w:color="auto" w:fill="FFFFFF"/>
            <w:vAlign w:val="center"/>
          </w:tcPr>
          <w:p>
            <w:pPr>
              <w:pStyle w:val="17"/>
              <w:numPr>
                <w:ilvl w:val="0"/>
                <w:numId w:val="101"/>
              </w:numPr>
            </w:pPr>
          </w:p>
        </w:tc>
        <w:tc>
          <w:tcPr>
            <w:tcW w:w="2132" w:type="pct"/>
            <w:shd w:val="clear" w:color="auto" w:fill="FFFFFF"/>
            <w:vAlign w:val="center"/>
          </w:tcPr>
          <w:p>
            <w:pPr>
              <w:pStyle w:val="17"/>
            </w:pPr>
            <w:r>
              <w:rPr>
                <w:rFonts w:hint="eastAsia"/>
              </w:rPr>
              <w:t>麻栗坡县人民医院</w:t>
            </w:r>
          </w:p>
        </w:tc>
        <w:tc>
          <w:tcPr>
            <w:tcW w:w="1459" w:type="pct"/>
            <w:shd w:val="clear" w:color="auto" w:fill="FFFFFF"/>
            <w:vAlign w:val="center"/>
          </w:tcPr>
          <w:p>
            <w:pPr>
              <w:pStyle w:val="17"/>
            </w:pPr>
            <w:r>
              <w:rPr>
                <w:rFonts w:hint="eastAsia"/>
              </w:rPr>
              <w:t>0</w:t>
            </w:r>
            <w:r>
              <w:t>876-6622962</w:t>
            </w:r>
          </w:p>
        </w:tc>
        <w:tc>
          <w:tcPr>
            <w:tcW w:w="762" w:type="pct"/>
            <w:shd w:val="clear" w:color="auto" w:fill="FFFFFF"/>
            <w:vAlign w:val="center"/>
          </w:tcPr>
          <w:p>
            <w:pPr>
              <w:pStyle w:val="17"/>
            </w:pPr>
            <w:r>
              <w:rPr>
                <w:rFonts w:hint="eastAsia"/>
              </w:rPr>
              <w:t>7</w:t>
            </w:r>
            <w:r>
              <w:t>0</w:t>
            </w:r>
            <w:r>
              <w:rPr>
                <w:rFonts w:hint="eastAsia"/>
              </w:rPr>
              <w:t>min</w:t>
            </w:r>
          </w:p>
        </w:tc>
      </w:tr>
    </w:tbl>
    <w:p>
      <w:pPr>
        <w:ind w:firstLine="480"/>
      </w:pPr>
      <w:r>
        <w:rPr>
          <w:rFonts w:hint="eastAsia"/>
        </w:rPr>
        <w:t>如发生人员伤亡事故，应急小组根据伤情及时联络医疗机构并在第一时间将受伤人员经X351县道送往城子上村卫生院进行前期处理，沿途约4.5公里，预计10分钟路程。若伤情较重则经X351县道送往麻栗坡县人民医院，沿途约44.9公里，预计70分钟路程。</w:t>
      </w:r>
      <w:r>
        <w:t>施工现场去往医院线路见</w:t>
      </w:r>
      <w:r>
        <w:fldChar w:fldCharType="begin"/>
      </w:r>
      <w:r>
        <w:instrText xml:space="preserve"> </w:instrText>
      </w:r>
      <w:r>
        <w:rPr>
          <w:rFonts w:hint="eastAsia"/>
        </w:rPr>
        <w:instrText xml:space="preserve">REF _Ref85787898 \h</w:instrText>
      </w:r>
      <w:r>
        <w:instrText xml:space="preserve">  \* MERGEFORMAT </w:instrText>
      </w:r>
      <w:r>
        <w:fldChar w:fldCharType="separate"/>
      </w:r>
      <w:r>
        <w:rPr>
          <w:rFonts w:hint="eastAsia"/>
        </w:rPr>
        <w:t>图</w:t>
      </w:r>
      <w:r>
        <w:t>9.5</w:t>
      </w:r>
      <w:r>
        <w:rPr>
          <w:rFonts w:hint="eastAsia"/>
        </w:rPr>
        <w:t>-</w:t>
      </w:r>
      <w:r>
        <w:t>1</w:t>
      </w:r>
      <w:r>
        <w:fldChar w:fldCharType="end"/>
      </w:r>
      <w:r>
        <w:rPr>
          <w:rFonts w:hint="eastAsia"/>
        </w:rPr>
        <w:t>。</w:t>
      </w:r>
    </w:p>
    <w:p>
      <w:pPr>
        <w:pStyle w:val="117"/>
      </w:pPr>
      <w:r>
        <w:drawing>
          <wp:inline distT="0" distB="0" distL="0" distR="0">
            <wp:extent cx="2886075" cy="1979930"/>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886125" cy="1980000"/>
                    </a:xfrm>
                    <a:prstGeom prst="rect">
                      <a:avLst/>
                    </a:prstGeom>
                    <a:noFill/>
                    <a:ln>
                      <a:noFill/>
                    </a:ln>
                    <a:effectLst/>
                  </pic:spPr>
                </pic:pic>
              </a:graphicData>
            </a:graphic>
          </wp:inline>
        </w:drawing>
      </w:r>
      <w:r>
        <w:rPr>
          <w:rFonts w:hint="eastAsia"/>
        </w:rPr>
        <w:drawing>
          <wp:inline distT="0" distB="0" distL="0" distR="0">
            <wp:extent cx="2287905" cy="1979930"/>
            <wp:effectExtent l="0" t="0" r="0" b="1270"/>
            <wp:docPr id="20" name="图片 20" descr="7]OC0ZC%ZWTOK~3@`A@S]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7]OC0ZC%ZWTOK~3@`A@S]Q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2288000" cy="1980000"/>
                    </a:xfrm>
                    <a:prstGeom prst="rect">
                      <a:avLst/>
                    </a:prstGeom>
                    <a:noFill/>
                    <a:ln>
                      <a:noFill/>
                    </a:ln>
                    <a:effectLst/>
                  </pic:spPr>
                </pic:pic>
              </a:graphicData>
            </a:graphic>
          </wp:inline>
        </w:drawing>
      </w:r>
    </w:p>
    <w:p>
      <w:pPr>
        <w:pStyle w:val="116"/>
      </w:pPr>
      <w:bookmarkStart w:id="227" w:name="_Ref85787898"/>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9.5</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2 </w:instrText>
      </w:r>
      <w:r>
        <w:fldChar w:fldCharType="separate"/>
      </w:r>
      <w:r>
        <w:t>1</w:t>
      </w:r>
      <w:r>
        <w:fldChar w:fldCharType="end"/>
      </w:r>
      <w:bookmarkEnd w:id="227"/>
      <w:r>
        <w:rPr>
          <w:rFonts w:hint="eastAsia"/>
        </w:rPr>
        <w:t xml:space="preserve"> 救援线路图</w:t>
      </w:r>
    </w:p>
    <w:p>
      <w:pPr>
        <w:pStyle w:val="3"/>
        <w:rPr>
          <w:rFonts w:ascii="宋体" w:hAnsi="宋体" w:cs="宋体"/>
          <w:szCs w:val="24"/>
        </w:rPr>
      </w:pPr>
      <w:bookmarkStart w:id="228" w:name="_Toc54792208"/>
      <w:bookmarkStart w:id="229" w:name="_Toc66869784"/>
      <w:bookmarkStart w:id="230" w:name="_Toc69220330"/>
      <w:bookmarkStart w:id="231" w:name="_Toc32474"/>
      <w:r>
        <w:rPr>
          <w:rFonts w:hint="eastAsia"/>
        </w:rPr>
        <w:t>事故善后及恢复生产</w:t>
      </w:r>
      <w:bookmarkEnd w:id="228"/>
      <w:bookmarkEnd w:id="229"/>
      <w:bookmarkEnd w:id="230"/>
      <w:bookmarkEnd w:id="231"/>
    </w:p>
    <w:p>
      <w:pPr>
        <w:ind w:firstLine="480"/>
      </w:pPr>
      <w:r>
        <w:t>应急小组在抢援工作结束后，对发生人员伤亡、机损事故和财产损失等事故的，遵循下列原则进行处理。</w:t>
      </w:r>
    </w:p>
    <w:p>
      <w:pPr>
        <w:numPr>
          <w:ilvl w:val="0"/>
          <w:numId w:val="102"/>
        </w:numPr>
      </w:pPr>
      <w:r>
        <w:t>伤员处理</w:t>
      </w:r>
    </w:p>
    <w:p>
      <w:pPr>
        <w:ind w:firstLine="480"/>
      </w:pPr>
      <w:r>
        <w:t>按国家有关规定，做好事后伤亡家属的接待、安抚和善后处理以及保险赔偿工作。</w:t>
      </w:r>
    </w:p>
    <w:p>
      <w:pPr>
        <w:numPr>
          <w:ilvl w:val="0"/>
          <w:numId w:val="102"/>
        </w:numPr>
      </w:pPr>
      <w:r>
        <w:t>调查分析</w:t>
      </w:r>
    </w:p>
    <w:p>
      <w:pPr>
        <w:ind w:firstLine="480"/>
      </w:pPr>
      <w:r>
        <w:t>对事故原因调查分析，确定责任和应该吸取的教训。</w:t>
      </w:r>
    </w:p>
    <w:p>
      <w:pPr>
        <w:numPr>
          <w:ilvl w:val="0"/>
          <w:numId w:val="102"/>
        </w:numPr>
      </w:pPr>
      <w:r>
        <w:t>事故处理</w:t>
      </w:r>
    </w:p>
    <w:p>
      <w:pPr>
        <w:ind w:firstLine="480"/>
      </w:pPr>
      <w:r>
        <w:t>根据事故调查结果，按“四不放过”原则，认真总结事故经验教训，对发生事故的责任人或责任部门依照相关法律法规，提出事故处理意见。</w:t>
      </w:r>
    </w:p>
    <w:p>
      <w:pPr>
        <w:numPr>
          <w:ilvl w:val="0"/>
          <w:numId w:val="102"/>
        </w:numPr>
      </w:pPr>
      <w:r>
        <w:t>事故总结</w:t>
      </w:r>
    </w:p>
    <w:p>
      <w:pPr>
        <w:ind w:firstLine="480"/>
      </w:pPr>
      <w:r>
        <w:t>事故处理完毕后，认真总结经验教训，完善管理，对事故后的处理过程认真分析总结、防范措施及应急预案进行补充和修改。</w:t>
      </w:r>
    </w:p>
    <w:p>
      <w:pPr>
        <w:numPr>
          <w:ilvl w:val="0"/>
          <w:numId w:val="102"/>
        </w:numPr>
      </w:pPr>
      <w:r>
        <w:t>恢复生产</w:t>
      </w:r>
    </w:p>
    <w:p>
      <w:pPr>
        <w:ind w:firstLine="480"/>
      </w:pPr>
      <w:r>
        <w:t>对现场隐患进行全面排查，整改完毕后报请业主、监理单位审批，同意后方可组织恢复生产工作。</w:t>
      </w:r>
      <w:r>
        <w:rPr>
          <w:color w:val="000000" w:themeColor="text1"/>
          <w14:textFill>
            <w14:solidFill>
              <w14:schemeClr w14:val="tx1"/>
            </w14:solidFill>
          </w14:textFill>
        </w:rPr>
        <w:br w:type="page"/>
      </w:r>
    </w:p>
    <w:p>
      <w:pPr>
        <w:pStyle w:val="2"/>
      </w:pPr>
      <w:bookmarkStart w:id="232" w:name="_Toc128402704"/>
      <w:bookmarkStart w:id="233" w:name="_Toc131174074"/>
      <w:bookmarkStart w:id="234" w:name="_Toc22793"/>
      <w:r>
        <w:rPr>
          <w:rFonts w:hint="eastAsia"/>
        </w:rPr>
        <w:t>计算书及相关图纸</w:t>
      </w:r>
      <w:bookmarkEnd w:id="232"/>
      <w:bookmarkEnd w:id="233"/>
      <w:bookmarkEnd w:id="234"/>
    </w:p>
    <w:p>
      <w:pPr>
        <w:pStyle w:val="3"/>
      </w:pPr>
      <w:bookmarkStart w:id="235" w:name="_Toc131174075"/>
      <w:bookmarkStart w:id="236" w:name="_Toc128402705"/>
      <w:bookmarkStart w:id="237" w:name="_Toc6643"/>
      <w:r>
        <w:rPr>
          <w:rFonts w:hint="eastAsia"/>
        </w:rPr>
        <w:t>地基承载力计算</w:t>
      </w:r>
      <w:bookmarkEnd w:id="235"/>
      <w:bookmarkEnd w:id="236"/>
      <w:bookmarkEnd w:id="237"/>
    </w:p>
    <w:p>
      <w:pPr>
        <w:widowControl w:val="0"/>
        <w:spacing w:after="50" w:afterLines="50" w:line="360" w:lineRule="auto"/>
        <w:ind w:left="0" w:leftChars="0" w:firstLine="480" w:firstLineChars="200"/>
        <w:jc w:val="both"/>
        <w:rPr>
          <w:rFonts w:hint="default" w:ascii="宋体" w:hAnsi="宋体" w:eastAsia="宋体" w:cs="Times New Roman"/>
          <w:kern w:val="2"/>
          <w:sz w:val="24"/>
          <w:szCs w:val="24"/>
          <w:highlight w:val="none"/>
          <w:lang w:val="en-US" w:eastAsia="zh-CN" w:bidi="ar-SA"/>
        </w:rPr>
      </w:pPr>
      <w:bookmarkStart w:id="238" w:name="_Toc128123768"/>
      <w:bookmarkStart w:id="239" w:name="_Toc128402706"/>
      <w:bookmarkStart w:id="240" w:name="_Toc131174076"/>
      <w:r>
        <w:rPr>
          <w:rFonts w:hint="eastAsia" w:ascii="宋体" w:hAnsi="宋体" w:eastAsia="宋体" w:cs="Times New Roman"/>
          <w:kern w:val="2"/>
          <w:sz w:val="24"/>
          <w:szCs w:val="24"/>
          <w:highlight w:val="none"/>
          <w:lang w:val="en-US" w:eastAsia="zh-CN" w:bidi="ar-SA"/>
        </w:rPr>
        <w:t>25t汽车吊支反力计算</w:t>
      </w:r>
    </w:p>
    <w:p>
      <w:pPr>
        <w:widowControl w:val="0"/>
        <w:spacing w:after="50" w:afterLines="50" w:line="360" w:lineRule="auto"/>
        <w:ind w:firstLine="480" w:firstLineChars="200"/>
        <w:jc w:val="both"/>
        <w:rPr>
          <w:rFonts w:hint="default" w:ascii="宋体" w:hAnsi="宋体" w:eastAsia="宋体" w:cs="Times New Roman"/>
          <w:kern w:val="2"/>
          <w:sz w:val="24"/>
          <w:szCs w:val="24"/>
          <w:lang w:val="en-US" w:eastAsia="zh-CN" w:bidi="ar-SA"/>
        </w:rPr>
      </w:pPr>
      <w:r>
        <w:rPr>
          <w:rFonts w:hint="eastAsia" w:ascii="宋体" w:hAnsi="宋体" w:eastAsia="宋体" w:cs="Times New Roman"/>
          <w:kern w:val="2"/>
          <w:sz w:val="24"/>
          <w:szCs w:val="24"/>
          <w:highlight w:val="none"/>
          <w:lang w:val="en-US" w:eastAsia="zh-CN" w:bidi="ar-SA"/>
        </w:rPr>
        <w:t>最重件为平衡臂总成，为5.2t，此时汽车吊的幅度为8m,计</w:t>
      </w:r>
      <w:r>
        <w:rPr>
          <w:rFonts w:hint="eastAsia" w:ascii="宋体" w:hAnsi="宋体" w:eastAsia="宋体" w:cs="Times New Roman"/>
          <w:kern w:val="2"/>
          <w:sz w:val="24"/>
          <w:szCs w:val="24"/>
          <w:lang w:val="en-US" w:eastAsia="zh-CN" w:bidi="ar-SA"/>
        </w:rPr>
        <w:t>算如下:</w:t>
      </w:r>
    </w:p>
    <w:p>
      <w:pPr>
        <w:numPr>
          <w:ilvl w:val="0"/>
          <w:numId w:val="0"/>
        </w:numPr>
        <w:spacing w:after="0" w:afterLines="-2147483648" w:line="240" w:lineRule="auto"/>
        <w:ind w:firstLine="0" w:firstLineChars="0"/>
        <w:jc w:val="both"/>
        <w:rPr>
          <w:rFonts w:hint="eastAsia" w:ascii="Calibri" w:hAnsi="Calibri" w:eastAsia="宋体" w:cs="Times New Roman"/>
          <w:color w:val="auto"/>
          <w:sz w:val="24"/>
          <w:szCs w:val="24"/>
          <w:lang w:val="en-US" w:eastAsia="zh-CN"/>
        </w:rPr>
      </w:pPr>
      <w:r>
        <w:rPr>
          <w:rFonts w:hint="eastAsia" w:ascii="Calibri" w:hAnsi="Calibri" w:eastAsia="宋体" w:cs="Times New Roman"/>
          <w:color w:val="auto"/>
          <w:sz w:val="24"/>
          <w:szCs w:val="24"/>
          <w:lang w:val="en-US" w:eastAsia="zh-CN"/>
        </w:rPr>
        <w:t>汽车吊选型： 25.0 t</w:t>
      </w:r>
    </w:p>
    <w:p>
      <w:pPr>
        <w:numPr>
          <w:ilvl w:val="0"/>
          <w:numId w:val="0"/>
        </w:numPr>
        <w:spacing w:after="0" w:afterLines="-2147483648" w:line="240" w:lineRule="auto"/>
        <w:ind w:firstLine="0" w:firstLineChars="0"/>
        <w:jc w:val="both"/>
        <w:rPr>
          <w:rFonts w:hint="default" w:ascii="Calibri" w:hAnsi="Calibri" w:eastAsia="宋体" w:cs="Times New Roman"/>
          <w:color w:val="auto"/>
          <w:sz w:val="24"/>
          <w:szCs w:val="24"/>
          <w:lang w:val="en-US" w:eastAsia="zh-CN"/>
        </w:rPr>
      </w:pPr>
      <w:r>
        <w:rPr>
          <w:rFonts w:hint="eastAsia" w:ascii="Calibri" w:hAnsi="Calibri" w:eastAsia="宋体" w:cs="Times New Roman"/>
          <w:color w:val="auto"/>
          <w:sz w:val="24"/>
          <w:szCs w:val="24"/>
          <w:lang w:val="en-US" w:eastAsia="zh-CN"/>
        </w:rPr>
        <w:t>汽车吊整机重量（带配重）G：  32.8   t</w:t>
      </w:r>
    </w:p>
    <w:p>
      <w:pPr>
        <w:numPr>
          <w:ilvl w:val="0"/>
          <w:numId w:val="0"/>
        </w:numPr>
        <w:spacing w:after="0" w:afterLines="-2147483648" w:line="240" w:lineRule="auto"/>
        <w:ind w:firstLine="0" w:firstLineChars="0"/>
        <w:jc w:val="both"/>
        <w:rPr>
          <w:rFonts w:hint="default" w:ascii="Calibri" w:hAnsi="Calibri" w:eastAsia="宋体" w:cs="Times New Roman"/>
          <w:color w:val="auto"/>
          <w:sz w:val="24"/>
          <w:szCs w:val="24"/>
          <w:lang w:val="en-US" w:eastAsia="zh-CN"/>
        </w:rPr>
      </w:pPr>
      <w:r>
        <w:rPr>
          <w:rFonts w:hint="eastAsia" w:ascii="Calibri" w:hAnsi="Calibri" w:eastAsia="宋体" w:cs="Times New Roman"/>
          <w:color w:val="auto"/>
          <w:sz w:val="24"/>
          <w:szCs w:val="24"/>
          <w:lang w:val="en-US" w:eastAsia="zh-CN"/>
        </w:rPr>
        <w:t>汽车吊臂长L： 33.5   m</w:t>
      </w:r>
    </w:p>
    <w:p>
      <w:pPr>
        <w:numPr>
          <w:ilvl w:val="0"/>
          <w:numId w:val="0"/>
        </w:numPr>
        <w:spacing w:after="0" w:afterLines="-2147483648" w:line="240" w:lineRule="auto"/>
        <w:ind w:firstLine="0" w:firstLineChars="0"/>
        <w:jc w:val="both"/>
        <w:rPr>
          <w:rFonts w:hint="default" w:ascii="Calibri" w:hAnsi="Calibri" w:eastAsia="宋体" w:cs="Times New Roman"/>
          <w:color w:val="auto"/>
          <w:sz w:val="24"/>
          <w:szCs w:val="24"/>
          <w:lang w:val="en-US" w:eastAsia="zh-CN"/>
        </w:rPr>
      </w:pPr>
      <w:r>
        <w:rPr>
          <w:rFonts w:hint="eastAsia" w:ascii="Calibri" w:hAnsi="Calibri" w:eastAsia="宋体" w:cs="Times New Roman"/>
          <w:color w:val="auto"/>
          <w:sz w:val="24"/>
          <w:szCs w:val="24"/>
          <w:lang w:val="en-US" w:eastAsia="zh-CN"/>
        </w:rPr>
        <w:t>汽车吊支腿间距（l×b，其中b≤l）  6.4   m×  5.18    m</w:t>
      </w:r>
    </w:p>
    <w:p>
      <w:pPr>
        <w:numPr>
          <w:ilvl w:val="0"/>
          <w:numId w:val="0"/>
        </w:numPr>
        <w:spacing w:after="0" w:afterLines="-2147483648" w:line="240" w:lineRule="auto"/>
        <w:ind w:firstLine="0" w:firstLineChars="0"/>
        <w:jc w:val="both"/>
        <w:rPr>
          <w:rFonts w:hint="eastAsia" w:ascii="Calibri" w:hAnsi="Calibri" w:eastAsia="宋体" w:cs="Times New Roman"/>
          <w:color w:val="auto"/>
          <w:sz w:val="24"/>
          <w:szCs w:val="24"/>
          <w:lang w:val="en-US" w:eastAsia="zh-CN"/>
        </w:rPr>
      </w:pPr>
      <w:r>
        <w:rPr>
          <w:rFonts w:hint="eastAsia" w:ascii="Calibri" w:hAnsi="Calibri" w:eastAsia="宋体" w:cs="Times New Roman"/>
          <w:color w:val="auto"/>
          <w:sz w:val="24"/>
          <w:szCs w:val="24"/>
          <w:lang w:val="en-US" w:eastAsia="zh-CN"/>
        </w:rPr>
        <w:t>吊物幅度（R）：  8.0  m</w:t>
      </w:r>
    </w:p>
    <w:p>
      <w:pPr>
        <w:numPr>
          <w:ilvl w:val="0"/>
          <w:numId w:val="0"/>
        </w:numPr>
        <w:spacing w:after="0" w:afterLines="-2147483648" w:line="240" w:lineRule="auto"/>
        <w:ind w:firstLine="0" w:firstLineChars="0"/>
        <w:jc w:val="both"/>
        <w:rPr>
          <w:rFonts w:hint="default" w:ascii="Calibri" w:hAnsi="Calibri" w:eastAsia="宋体" w:cs="Times New Roman"/>
          <w:color w:val="auto"/>
          <w:sz w:val="24"/>
          <w:szCs w:val="24"/>
          <w:lang w:val="en-US" w:eastAsia="zh-CN"/>
        </w:rPr>
      </w:pPr>
      <w:r>
        <w:rPr>
          <w:rFonts w:hint="eastAsia" w:ascii="Calibri" w:hAnsi="Calibri" w:eastAsia="宋体" w:cs="Times New Roman"/>
          <w:color w:val="auto"/>
          <w:sz w:val="24"/>
          <w:szCs w:val="24"/>
          <w:lang w:val="en-US" w:eastAsia="zh-CN"/>
        </w:rPr>
        <w:t>在R幅度下的额定载荷（PQ）：  8.0   t</w:t>
      </w:r>
    </w:p>
    <w:p>
      <w:pPr>
        <w:numPr>
          <w:ilvl w:val="0"/>
          <w:numId w:val="0"/>
        </w:numPr>
        <w:spacing w:after="0" w:afterLines="-2147483648" w:line="240" w:lineRule="auto"/>
        <w:ind w:firstLine="0" w:firstLineChars="0"/>
        <w:jc w:val="both"/>
        <w:rPr>
          <w:rFonts w:hint="eastAsia" w:ascii="Calibri" w:hAnsi="Calibri" w:eastAsia="宋体" w:cs="Times New Roman"/>
          <w:color w:val="auto"/>
          <w:sz w:val="24"/>
          <w:szCs w:val="24"/>
          <w:lang w:val="en-US" w:eastAsia="zh-CN"/>
        </w:rPr>
      </w:pPr>
      <w:r>
        <w:rPr>
          <w:rFonts w:hint="eastAsia" w:ascii="Calibri" w:hAnsi="Calibri" w:eastAsia="宋体" w:cs="Times New Roman"/>
          <w:color w:val="auto"/>
          <w:sz w:val="24"/>
          <w:szCs w:val="24"/>
          <w:lang w:val="en-US" w:eastAsia="zh-CN"/>
        </w:rPr>
        <w:t>吊物重量GP：  5.2   t</w:t>
      </w:r>
    </w:p>
    <w:p>
      <w:pPr>
        <w:numPr>
          <w:ilvl w:val="0"/>
          <w:numId w:val="0"/>
        </w:numPr>
        <w:spacing w:after="0" w:afterLines="-2147483648" w:line="240" w:lineRule="auto"/>
        <w:ind w:firstLine="0" w:firstLineChars="0"/>
        <w:jc w:val="both"/>
        <w:rPr>
          <w:rFonts w:hint="eastAsia" w:ascii="Calibri" w:hAnsi="Calibri" w:eastAsia="宋体" w:cs="Times New Roman"/>
          <w:color w:val="auto"/>
          <w:sz w:val="24"/>
          <w:szCs w:val="24"/>
          <w:u w:val="none"/>
          <w:lang w:val="en-US" w:eastAsia="zh-CN"/>
        </w:rPr>
      </w:pPr>
      <w:r>
        <w:rPr>
          <w:rFonts w:hint="eastAsia" w:ascii="Calibri" w:hAnsi="Calibri" w:eastAsia="宋体" w:cs="Times New Roman"/>
          <w:color w:val="auto"/>
          <w:sz w:val="24"/>
          <w:szCs w:val="24"/>
          <w:lang w:val="en-US" w:eastAsia="zh-CN"/>
        </w:rPr>
        <w:t>作用于起重机上的风力（F）：  3000.0   N（若不确定，则可取0，表示无风）</w:t>
      </w:r>
    </w:p>
    <w:p>
      <w:pPr>
        <w:numPr>
          <w:ilvl w:val="0"/>
          <w:numId w:val="0"/>
        </w:numPr>
        <w:spacing w:after="0" w:afterLines="-2147483648" w:line="240" w:lineRule="auto"/>
        <w:ind w:firstLine="0" w:firstLineChars="0"/>
        <w:jc w:val="both"/>
        <w:rPr>
          <w:rFonts w:hint="default" w:ascii="Calibri" w:hAnsi="Calibri" w:eastAsia="宋体" w:cs="Times New Roman"/>
          <w:color w:val="auto"/>
          <w:sz w:val="24"/>
          <w:szCs w:val="24"/>
          <w:u w:val="none"/>
          <w:lang w:val="en-US" w:eastAsia="zh-CN"/>
        </w:rPr>
      </w:pPr>
      <w:r>
        <w:rPr>
          <w:rFonts w:hint="eastAsia" w:ascii="Calibri" w:hAnsi="Calibri" w:eastAsia="宋体" w:cs="Times New Roman"/>
          <w:color w:val="auto"/>
          <w:sz w:val="24"/>
          <w:szCs w:val="24"/>
          <w:u w:val="none"/>
          <w:lang w:val="en-US" w:eastAsia="zh-CN"/>
        </w:rPr>
        <w:t>若风力F不为0，则需要填写以下信息：</w:t>
      </w:r>
    </w:p>
    <w:p>
      <w:pPr>
        <w:numPr>
          <w:ilvl w:val="0"/>
          <w:numId w:val="0"/>
        </w:numPr>
        <w:spacing w:after="0" w:afterLines="-2147483648" w:line="360" w:lineRule="auto"/>
        <w:ind w:firstLine="0" w:firstLineChars="0"/>
        <w:jc w:val="both"/>
        <w:rPr>
          <w:rFonts w:hint="eastAsia" w:ascii="Calibri" w:hAnsi="Calibri" w:eastAsia="宋体" w:cs="Times New Roman"/>
          <w:color w:val="auto"/>
          <w:sz w:val="24"/>
          <w:szCs w:val="24"/>
          <w:u w:val="none"/>
          <w:lang w:val="en-US" w:eastAsia="zh-CN"/>
        </w:rPr>
      </w:pPr>
      <w:r>
        <w:rPr>
          <w:rFonts w:hint="eastAsia" w:ascii="Calibri" w:hAnsi="Calibri" w:eastAsia="宋体" w:cs="Times New Roman"/>
          <w:color w:val="auto"/>
          <w:sz w:val="24"/>
          <w:szCs w:val="24"/>
          <w:lang w:val="en-US" w:eastAsia="zh-CN"/>
        </w:rPr>
        <w:t>起重机挡风面积的形心高度（h2）， 3.0   m</w:t>
      </w:r>
    </w:p>
    <w:p>
      <w:pPr>
        <w:spacing w:after="0" w:afterLines="-2147483648" w:line="240" w:lineRule="auto"/>
        <w:ind w:firstLine="0" w:firstLineChars="0"/>
        <w:jc w:val="both"/>
        <w:rPr>
          <w:rFonts w:hint="eastAsia" w:ascii="Calibri" w:hAnsi="Calibri" w:eastAsia="宋体" w:cs="Times New Roman"/>
          <w:color w:val="auto"/>
          <w:sz w:val="24"/>
          <w:szCs w:val="24"/>
          <w:u w:val="single"/>
          <w:lang w:val="en-US" w:eastAsia="zh-CN"/>
        </w:rPr>
      </w:pPr>
      <w:r>
        <w:rPr>
          <w:rFonts w:hint="eastAsia" w:ascii="Calibri" w:hAnsi="Calibri" w:eastAsia="宋体" w:cs="Times New Roman"/>
          <w:color w:val="auto"/>
          <w:sz w:val="24"/>
          <w:szCs w:val="24"/>
          <w:lang w:val="en-US" w:eastAsia="zh-CN"/>
        </w:rPr>
        <w:t xml:space="preserve">重物摆动角度（0≤αⅡ≤6），默认为6：   6.0   </w:t>
      </w:r>
    </w:p>
    <w:p>
      <w:pPr>
        <w:numPr>
          <w:ilvl w:val="0"/>
          <w:numId w:val="0"/>
        </w:numPr>
        <w:spacing w:after="0" w:afterLines="-2147483648" w:line="360" w:lineRule="auto"/>
        <w:ind w:firstLine="0" w:firstLineChars="0"/>
        <w:jc w:val="both"/>
        <w:rPr>
          <w:rFonts w:hint="eastAsia" w:ascii="Calibri" w:hAnsi="Calibri" w:eastAsia="宋体" w:cs="Times New Roman"/>
          <w:color w:val="auto"/>
          <w:sz w:val="24"/>
          <w:szCs w:val="24"/>
          <w:u w:val="single"/>
          <w:lang w:val="en-US" w:eastAsia="zh-CN"/>
        </w:rPr>
      </w:pPr>
      <w:r>
        <w:rPr>
          <w:rFonts w:hint="eastAsia" w:ascii="Calibri" w:hAnsi="Calibri" w:eastAsia="宋体" w:cs="Times New Roman"/>
          <w:color w:val="auto"/>
          <w:sz w:val="24"/>
          <w:szCs w:val="24"/>
          <w:lang w:val="en-US" w:eastAsia="zh-CN"/>
        </w:rPr>
        <w:t>起重机的起重臂的端部距地面的距离（h3）: 32.53    m</w:t>
      </w:r>
    </w:p>
    <w:p>
      <w:pPr>
        <w:numPr>
          <w:ilvl w:val="0"/>
          <w:numId w:val="0"/>
        </w:numPr>
        <w:spacing w:after="0" w:afterLines="-2147483648" w:line="240" w:lineRule="auto"/>
        <w:ind w:firstLine="0" w:firstLineChars="0"/>
        <w:jc w:val="both"/>
        <w:rPr>
          <w:rFonts w:hint="eastAsia" w:ascii="Calibri" w:hAnsi="Calibri" w:eastAsia="宋体" w:cs="Times New Roman"/>
          <w:sz w:val="21"/>
          <w:szCs w:val="21"/>
          <w:lang w:val="en-US" w:eastAsia="zh-CN"/>
        </w:rPr>
      </w:pPr>
      <w:r>
        <w:rPr>
          <w:rFonts w:hint="eastAsia" w:ascii="Calibri" w:hAnsi="Calibri" w:eastAsia="宋体" w:cs="Times New Roman"/>
          <w:sz w:val="24"/>
          <w:szCs w:val="24"/>
          <w:lang w:val="en-US" w:eastAsia="zh-CN"/>
        </w:rPr>
        <w:t xml:space="preserve">    </w:t>
      </w:r>
    </w:p>
    <w:p>
      <w:pPr>
        <w:numPr>
          <w:ilvl w:val="0"/>
          <w:numId w:val="103"/>
        </w:numPr>
        <w:spacing w:after="0" w:afterLines="-2147483648" w:line="240" w:lineRule="auto"/>
        <w:ind w:firstLine="0" w:firstLineChars="0"/>
        <w:jc w:val="both"/>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根据起重机性能表，按抗倾覆稳定性反算出起重机的重心</w:t>
      </w:r>
    </w:p>
    <w:p>
      <w:pPr>
        <w:numPr>
          <w:ilvl w:val="0"/>
          <w:numId w:val="0"/>
        </w:numPr>
        <w:spacing w:after="0" w:afterLines="-2147483648" w:line="240" w:lineRule="auto"/>
        <w:ind w:firstLine="0" w:firstLineChars="0"/>
        <w:jc w:val="both"/>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验算工况</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7"/>
        <w:gridCol w:w="5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7" w:type="dxa"/>
            <w:vAlign w:val="center"/>
          </w:tcPr>
          <w:p>
            <w:pPr>
              <w:numPr>
                <w:ilvl w:val="0"/>
                <w:numId w:val="0"/>
              </w:numPr>
              <w:spacing w:after="0" w:afterLines="-2147483648"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验算工况</w:t>
            </w:r>
          </w:p>
        </w:tc>
        <w:tc>
          <w:tcPr>
            <w:tcW w:w="5835" w:type="dxa"/>
            <w:vAlign w:val="center"/>
          </w:tcPr>
          <w:p>
            <w:pPr>
              <w:numPr>
                <w:ilvl w:val="0"/>
                <w:numId w:val="0"/>
              </w:numPr>
              <w:spacing w:after="0" w:afterLines="-2147483648"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工况特征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7" w:type="dxa"/>
            <w:vAlign w:val="center"/>
          </w:tcPr>
          <w:p>
            <w:pPr>
              <w:numPr>
                <w:ilvl w:val="0"/>
                <w:numId w:val="0"/>
              </w:numPr>
              <w:spacing w:after="0" w:afterLines="-2147483648"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1</w:t>
            </w:r>
          </w:p>
        </w:tc>
        <w:tc>
          <w:tcPr>
            <w:tcW w:w="5835" w:type="dxa"/>
            <w:vAlign w:val="center"/>
          </w:tcPr>
          <w:p>
            <w:pPr>
              <w:numPr>
                <w:ilvl w:val="0"/>
                <w:numId w:val="0"/>
              </w:numPr>
              <w:spacing w:after="0" w:afterLines="-2147483648"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无风静载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7" w:type="dxa"/>
            <w:vAlign w:val="center"/>
          </w:tcPr>
          <w:p>
            <w:pPr>
              <w:numPr>
                <w:ilvl w:val="0"/>
                <w:numId w:val="0"/>
              </w:numPr>
              <w:spacing w:after="0" w:afterLines="-2147483648"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2</w:t>
            </w:r>
          </w:p>
        </w:tc>
        <w:tc>
          <w:tcPr>
            <w:tcW w:w="5835" w:type="dxa"/>
            <w:vAlign w:val="center"/>
          </w:tcPr>
          <w:p>
            <w:pPr>
              <w:numPr>
                <w:ilvl w:val="0"/>
                <w:numId w:val="0"/>
              </w:numPr>
              <w:spacing w:after="0" w:afterLines="-2147483648"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有风动载</w:t>
            </w:r>
          </w:p>
        </w:tc>
      </w:tr>
    </w:tbl>
    <w:p>
      <w:pPr>
        <w:numPr>
          <w:ilvl w:val="0"/>
          <w:numId w:val="0"/>
        </w:numPr>
        <w:spacing w:after="0" w:afterLines="-2147483648" w:line="240" w:lineRule="auto"/>
        <w:ind w:firstLine="420" w:firstLineChars="0"/>
        <w:jc w:val="both"/>
        <w:rPr>
          <w:rFonts w:hint="default" w:ascii="Calibri" w:hAnsi="Calibri" w:eastAsia="宋体" w:cs="Times New Roman"/>
          <w:sz w:val="24"/>
          <w:szCs w:val="24"/>
          <w:lang w:val="en-US" w:eastAsia="zh-CN"/>
        </w:rPr>
      </w:pPr>
    </w:p>
    <w:p>
      <w:pPr>
        <w:numPr>
          <w:ilvl w:val="0"/>
          <w:numId w:val="0"/>
        </w:numPr>
        <w:spacing w:after="0" w:afterLines="-2147483648" w:line="240" w:lineRule="auto"/>
        <w:ind w:firstLine="0" w:firstLineChars="0"/>
        <w:jc w:val="both"/>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以上两种工况下载荷系数和载荷组合分别为</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915"/>
        <w:gridCol w:w="2026"/>
        <w:gridCol w:w="1348"/>
        <w:gridCol w:w="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tcPr>
          <w:p>
            <w:pPr>
              <w:numPr>
                <w:ilvl w:val="0"/>
                <w:numId w:val="0"/>
              </w:numPr>
              <w:spacing w:after="0" w:afterLines="-2147483648" w:line="240" w:lineRule="auto"/>
              <w:ind w:firstLine="0" w:firstLineChars="0"/>
              <w:jc w:val="both"/>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验算工况</w:t>
            </w:r>
          </w:p>
        </w:tc>
        <w:tc>
          <w:tcPr>
            <w:tcW w:w="915" w:type="dxa"/>
          </w:tcPr>
          <w:p>
            <w:pPr>
              <w:numPr>
                <w:ilvl w:val="0"/>
                <w:numId w:val="0"/>
              </w:numPr>
              <w:spacing w:after="0" w:afterLines="-2147483648" w:line="240" w:lineRule="auto"/>
              <w:ind w:firstLine="0" w:firstLineChars="0"/>
              <w:jc w:val="both"/>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自重系数K</w:t>
            </w:r>
            <w:r>
              <w:rPr>
                <w:rFonts w:hint="eastAsia" w:ascii="Calibri" w:hAnsi="Calibri" w:eastAsia="宋体" w:cs="Times New Roman"/>
                <w:sz w:val="24"/>
                <w:szCs w:val="24"/>
                <w:vertAlign w:val="subscript"/>
                <w:lang w:val="en-US" w:eastAsia="zh-CN"/>
              </w:rPr>
              <w:t>G</w:t>
            </w:r>
          </w:p>
        </w:tc>
        <w:tc>
          <w:tcPr>
            <w:tcW w:w="2026" w:type="dxa"/>
          </w:tcPr>
          <w:p>
            <w:pPr>
              <w:numPr>
                <w:ilvl w:val="0"/>
                <w:numId w:val="0"/>
              </w:numPr>
              <w:spacing w:after="0" w:afterLines="-2147483648" w:line="240" w:lineRule="auto"/>
              <w:ind w:firstLine="0" w:firstLineChars="0"/>
              <w:jc w:val="both"/>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起升载荷系数K</w:t>
            </w:r>
            <w:r>
              <w:rPr>
                <w:rFonts w:hint="eastAsia" w:ascii="Calibri" w:hAnsi="Calibri" w:eastAsia="宋体" w:cs="Times New Roman"/>
                <w:sz w:val="24"/>
                <w:szCs w:val="24"/>
                <w:vertAlign w:val="subscript"/>
                <w:lang w:val="en-US" w:eastAsia="zh-CN"/>
              </w:rPr>
              <w:t>P</w:t>
            </w:r>
          </w:p>
        </w:tc>
        <w:tc>
          <w:tcPr>
            <w:tcW w:w="1348" w:type="dxa"/>
          </w:tcPr>
          <w:p>
            <w:pPr>
              <w:numPr>
                <w:ilvl w:val="0"/>
                <w:numId w:val="0"/>
              </w:numPr>
              <w:spacing w:after="0" w:afterLines="-2147483648" w:line="240" w:lineRule="auto"/>
              <w:ind w:firstLine="0" w:firstLineChars="0"/>
              <w:jc w:val="both"/>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水平惯性力系数（包括物品K</w:t>
            </w:r>
            <w:r>
              <w:rPr>
                <w:rFonts w:hint="eastAsia" w:ascii="Calibri" w:hAnsi="Calibri" w:eastAsia="宋体" w:cs="Times New Roman"/>
                <w:sz w:val="24"/>
                <w:szCs w:val="24"/>
                <w:vertAlign w:val="subscript"/>
                <w:lang w:val="en-US" w:eastAsia="zh-CN"/>
              </w:rPr>
              <w:t>i</w:t>
            </w:r>
          </w:p>
        </w:tc>
        <w:tc>
          <w:tcPr>
            <w:tcW w:w="879" w:type="dxa"/>
          </w:tcPr>
          <w:p>
            <w:pPr>
              <w:numPr>
                <w:ilvl w:val="0"/>
                <w:numId w:val="0"/>
              </w:numPr>
              <w:spacing w:after="0" w:afterLines="-2147483648" w:line="240" w:lineRule="auto"/>
              <w:ind w:firstLine="0" w:firstLineChars="0"/>
              <w:jc w:val="both"/>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风力系数K</w:t>
            </w:r>
            <w:r>
              <w:rPr>
                <w:rFonts w:hint="eastAsia" w:ascii="Calibri" w:hAnsi="Calibri" w:eastAsia="宋体" w:cs="Times New Roman"/>
                <w:sz w:val="24"/>
                <w:szCs w:val="24"/>
                <w:vertAlign w:val="subscript"/>
                <w:lang w:val="en-US" w:eastAsia="zh-CN"/>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Align w:val="center"/>
          </w:tcPr>
          <w:p>
            <w:pPr>
              <w:numPr>
                <w:ilvl w:val="0"/>
                <w:numId w:val="0"/>
              </w:numPr>
              <w:spacing w:after="0" w:afterLines="-2147483648"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1</w:t>
            </w:r>
          </w:p>
        </w:tc>
        <w:tc>
          <w:tcPr>
            <w:tcW w:w="915" w:type="dxa"/>
            <w:vMerge w:val="restart"/>
            <w:vAlign w:val="center"/>
          </w:tcPr>
          <w:p>
            <w:pPr>
              <w:numPr>
                <w:ilvl w:val="0"/>
                <w:numId w:val="0"/>
              </w:numPr>
              <w:spacing w:after="0" w:afterLines="-2147483648"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1</w:t>
            </w:r>
          </w:p>
        </w:tc>
        <w:tc>
          <w:tcPr>
            <w:tcW w:w="2026" w:type="dxa"/>
            <w:vAlign w:val="center"/>
          </w:tcPr>
          <w:p>
            <w:pPr>
              <w:numPr>
                <w:ilvl w:val="0"/>
                <w:numId w:val="0"/>
              </w:numPr>
              <w:spacing w:after="0" w:afterLines="-2147483648"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K</w:t>
            </w:r>
            <w:r>
              <w:rPr>
                <w:rFonts w:hint="eastAsia" w:ascii="Calibri" w:hAnsi="Calibri" w:eastAsia="宋体" w:cs="Times New Roman"/>
                <w:sz w:val="24"/>
                <w:szCs w:val="24"/>
                <w:vertAlign w:val="subscript"/>
                <w:lang w:val="en-US" w:eastAsia="zh-CN"/>
              </w:rPr>
              <w:t>P1</w:t>
            </w:r>
            <w:r>
              <w:rPr>
                <w:rFonts w:hint="eastAsia" w:ascii="Calibri" w:hAnsi="Calibri" w:eastAsia="宋体" w:cs="Times New Roman"/>
                <w:sz w:val="24"/>
                <w:szCs w:val="24"/>
                <w:vertAlign w:val="baseline"/>
                <w:lang w:val="en-US" w:eastAsia="zh-CN"/>
              </w:rPr>
              <w:t>=1.35</w:t>
            </w:r>
          </w:p>
        </w:tc>
        <w:tc>
          <w:tcPr>
            <w:tcW w:w="1348" w:type="dxa"/>
            <w:vAlign w:val="center"/>
          </w:tcPr>
          <w:p>
            <w:pPr>
              <w:numPr>
                <w:ilvl w:val="0"/>
                <w:numId w:val="0"/>
              </w:numPr>
              <w:spacing w:after="0" w:afterLines="-2147483648"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0</w:t>
            </w:r>
          </w:p>
        </w:tc>
        <w:tc>
          <w:tcPr>
            <w:tcW w:w="879" w:type="dxa"/>
            <w:vAlign w:val="center"/>
          </w:tcPr>
          <w:p>
            <w:pPr>
              <w:numPr>
                <w:ilvl w:val="0"/>
                <w:numId w:val="0"/>
              </w:numPr>
              <w:spacing w:after="0" w:afterLines="-2147483648"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Align w:val="center"/>
          </w:tcPr>
          <w:p>
            <w:pPr>
              <w:numPr>
                <w:ilvl w:val="0"/>
                <w:numId w:val="0"/>
              </w:numPr>
              <w:spacing w:after="0" w:afterLines="-2147483648"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2</w:t>
            </w:r>
          </w:p>
        </w:tc>
        <w:tc>
          <w:tcPr>
            <w:tcW w:w="915" w:type="dxa"/>
            <w:vMerge w:val="continue"/>
            <w:vAlign w:val="center"/>
          </w:tcPr>
          <w:p>
            <w:pPr>
              <w:numPr>
                <w:ilvl w:val="0"/>
                <w:numId w:val="0"/>
              </w:numPr>
              <w:spacing w:after="0" w:afterLines="-2147483648" w:line="240" w:lineRule="auto"/>
              <w:ind w:firstLine="0" w:firstLineChars="0"/>
              <w:jc w:val="center"/>
              <w:rPr>
                <w:rFonts w:hint="default" w:ascii="Calibri" w:hAnsi="Calibri" w:eastAsia="宋体" w:cs="Times New Roman"/>
                <w:sz w:val="24"/>
                <w:szCs w:val="24"/>
                <w:vertAlign w:val="baseline"/>
                <w:lang w:val="en-US" w:eastAsia="zh-CN"/>
              </w:rPr>
            </w:pPr>
          </w:p>
        </w:tc>
        <w:tc>
          <w:tcPr>
            <w:tcW w:w="2026" w:type="dxa"/>
            <w:vAlign w:val="center"/>
          </w:tcPr>
          <w:p>
            <w:pPr>
              <w:numPr>
                <w:ilvl w:val="0"/>
                <w:numId w:val="0"/>
              </w:numPr>
              <w:spacing w:after="0" w:afterLines="-2147483648"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K</w:t>
            </w:r>
            <w:r>
              <w:rPr>
                <w:rFonts w:hint="eastAsia" w:ascii="Calibri" w:hAnsi="Calibri" w:eastAsia="宋体" w:cs="Times New Roman"/>
                <w:sz w:val="24"/>
                <w:szCs w:val="24"/>
                <w:vertAlign w:val="subscript"/>
                <w:lang w:val="en-US" w:eastAsia="zh-CN"/>
              </w:rPr>
              <w:t>P2</w:t>
            </w:r>
            <w:r>
              <w:rPr>
                <w:rFonts w:hint="eastAsia" w:ascii="Calibri" w:hAnsi="Calibri" w:eastAsia="宋体" w:cs="Times New Roman"/>
                <w:sz w:val="24"/>
                <w:szCs w:val="24"/>
                <w:vertAlign w:val="baseline"/>
                <w:lang w:val="en-US" w:eastAsia="zh-CN"/>
              </w:rPr>
              <w:t>=1.15</w:t>
            </w:r>
          </w:p>
        </w:tc>
        <w:tc>
          <w:tcPr>
            <w:tcW w:w="1348" w:type="dxa"/>
            <w:vAlign w:val="center"/>
          </w:tcPr>
          <w:p>
            <w:pPr>
              <w:numPr>
                <w:ilvl w:val="0"/>
                <w:numId w:val="0"/>
              </w:numPr>
              <w:spacing w:after="0" w:afterLines="-2147483648"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1</w:t>
            </w:r>
          </w:p>
        </w:tc>
        <w:tc>
          <w:tcPr>
            <w:tcW w:w="879" w:type="dxa"/>
            <w:vAlign w:val="center"/>
          </w:tcPr>
          <w:p>
            <w:pPr>
              <w:numPr>
                <w:ilvl w:val="0"/>
                <w:numId w:val="0"/>
              </w:numPr>
              <w:spacing w:after="0" w:afterLines="-2147483648"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1</w:t>
            </w:r>
          </w:p>
        </w:tc>
      </w:tr>
    </w:tbl>
    <w:p>
      <w:pPr>
        <w:numPr>
          <w:ilvl w:val="0"/>
          <w:numId w:val="0"/>
        </w:numPr>
        <w:spacing w:after="0" w:afterLines="-2147483648" w:line="240" w:lineRule="auto"/>
        <w:ind w:firstLine="0" w:firstLineChars="0"/>
        <w:jc w:val="both"/>
        <w:rPr>
          <w:rFonts w:hint="default" w:ascii="Calibri" w:hAnsi="Calibri" w:eastAsia="宋体" w:cs="Times New Roman"/>
          <w:sz w:val="24"/>
          <w:szCs w:val="24"/>
          <w:lang w:val="en-US" w:eastAsia="zh-CN"/>
        </w:rPr>
      </w:pPr>
    </w:p>
    <w:p>
      <w:pPr>
        <w:numPr>
          <w:ilvl w:val="0"/>
          <w:numId w:val="0"/>
        </w:numPr>
        <w:spacing w:after="0" w:afterLines="-2147483648" w:line="240" w:lineRule="auto"/>
        <w:ind w:firstLine="0" w:firstLineChars="0"/>
        <w:jc w:val="both"/>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工况一：根据无风静载下抗倾覆稳定性校验计算式反推起重机的重心</w:t>
      </w:r>
    </w:p>
    <w:p>
      <w:pPr>
        <w:keepNext w:val="0"/>
        <w:keepLines w:val="0"/>
        <w:widowControl/>
        <w:suppressLineNumbers w:val="0"/>
        <w:spacing w:after="0" w:afterLines="-2147483648" w:line="240" w:lineRule="auto"/>
        <w:ind w:firstLine="0" w:firstLineChars="0"/>
        <w:jc w:val="center"/>
        <w:rPr>
          <w:rFonts w:hint="eastAsia" w:ascii="Calibri" w:hAnsi="Calibri" w:eastAsia="宋体" w:cs="Times New Roman"/>
          <w:sz w:val="24"/>
          <w:szCs w:val="24"/>
          <w:lang w:eastAsia="zh-CN"/>
        </w:rPr>
      </w:pPr>
      <w:r>
        <w:rPr>
          <w:rFonts w:hint="eastAsia" w:ascii="Calibri" w:hAnsi="Calibri" w:eastAsia="宋体" w:cs="Times New Roman"/>
          <w:sz w:val="24"/>
          <w:szCs w:val="24"/>
          <w:lang w:eastAsia="zh-CN"/>
        </w:rPr>
        <w:drawing>
          <wp:inline distT="0" distB="0" distL="114300" distR="114300">
            <wp:extent cx="3565525" cy="2341880"/>
            <wp:effectExtent l="12700" t="12700" r="18415" b="22860"/>
            <wp:docPr id="3" name="图片 3" descr="16164689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16468986(1)"/>
                    <pic:cNvPicPr>
                      <a:picLocks noChangeAspect="1"/>
                    </pic:cNvPicPr>
                  </pic:nvPicPr>
                  <pic:blipFill>
                    <a:blip r:embed="rId86"/>
                    <a:stretch>
                      <a:fillRect/>
                    </a:stretch>
                  </pic:blipFill>
                  <pic:spPr>
                    <a:xfrm>
                      <a:off x="0" y="0"/>
                      <a:ext cx="3565525" cy="2341880"/>
                    </a:xfrm>
                    <a:prstGeom prst="rect">
                      <a:avLst/>
                    </a:prstGeom>
                    <a:ln w="12700" cmpd="sng">
                      <a:solidFill>
                        <a:srgbClr val="5B9BD5">
                          <a:shade val="50000"/>
                        </a:srgbClr>
                      </a:solidFill>
                      <a:prstDash val="solid"/>
                    </a:ln>
                  </pic:spPr>
                </pic:pic>
              </a:graphicData>
            </a:graphic>
          </wp:inline>
        </w:drawing>
      </w:r>
    </w:p>
    <w:p>
      <w:pPr>
        <w:numPr>
          <w:ilvl w:val="0"/>
          <w:numId w:val="0"/>
        </w:numPr>
        <w:spacing w:after="0" w:afterLines="-2147483648" w:line="240" w:lineRule="auto"/>
        <w:ind w:firstLine="0" w:firstLineChars="0"/>
        <w:jc w:val="center"/>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无风静载工况的抗倾覆稳定性</w:t>
      </w:r>
    </w:p>
    <w:p>
      <w:pPr>
        <w:numPr>
          <w:ilvl w:val="0"/>
          <w:numId w:val="0"/>
        </w:numPr>
        <w:spacing w:after="0" w:afterLines="-2147483648" w:line="240" w:lineRule="auto"/>
        <w:ind w:firstLine="0" w:firstLineChars="0"/>
        <w:jc w:val="both"/>
        <w:rPr>
          <w:rFonts w:hint="eastAsia" w:ascii="Calibri" w:hAnsi="Calibri" w:eastAsia="宋体" w:cs="Times New Roman"/>
          <w:sz w:val="24"/>
          <w:szCs w:val="24"/>
          <w:lang w:val="en-US" w:eastAsia="zh-CN"/>
        </w:rPr>
      </w:pPr>
    </w:p>
    <w:p>
      <w:pPr>
        <w:numPr>
          <w:ilvl w:val="0"/>
          <w:numId w:val="0"/>
        </w:numPr>
        <w:spacing w:after="0" w:afterLines="-2147483648" w:line="240" w:lineRule="auto"/>
        <w:ind w:firstLine="0" w:firstLineChars="0"/>
        <w:jc w:val="both"/>
        <w:rPr>
          <w:rFonts w:hint="default" w:ascii="Calibri" w:hAnsi="Calibri" w:eastAsia="宋体" w:cs="Times New Roman"/>
          <w:color w:val="0000FF"/>
          <w:sz w:val="24"/>
          <w:szCs w:val="24"/>
          <w:lang w:val="en-US" w:eastAsia="zh-CN"/>
        </w:rPr>
      </w:pPr>
      <w:r>
        <w:rPr>
          <w:rFonts w:hint="eastAsia" w:ascii="Calibri" w:hAnsi="Calibri" w:eastAsia="宋体" w:cs="Times New Roman"/>
          <w:sz w:val="24"/>
          <w:szCs w:val="24"/>
          <w:lang w:val="en-US" w:eastAsia="zh-CN"/>
        </w:rPr>
        <w:t>其计算式为：</w:t>
      </w:r>
      <w:r>
        <w:rPr>
          <w:rFonts w:hint="eastAsia" w:ascii="Calibri" w:hAnsi="Calibri" w:eastAsia="宋体" w:cs="Times New Roman"/>
          <w:position w:val="-14"/>
          <w:sz w:val="24"/>
          <w:szCs w:val="24"/>
          <w:lang w:val="en-US" w:eastAsia="zh-CN"/>
        </w:rPr>
        <w:drawing>
          <wp:inline distT="0" distB="0" distL="114300" distR="114300">
            <wp:extent cx="2536190" cy="414655"/>
            <wp:effectExtent l="0" t="0" r="8890" b="12065"/>
            <wp:docPr id="139" name="图片 139" descr="公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公式1"/>
                    <pic:cNvPicPr>
                      <a:picLocks noChangeAspect="1"/>
                    </pic:cNvPicPr>
                  </pic:nvPicPr>
                  <pic:blipFill>
                    <a:blip r:embed="rId87"/>
                    <a:stretch>
                      <a:fillRect/>
                    </a:stretch>
                  </pic:blipFill>
                  <pic:spPr>
                    <a:xfrm>
                      <a:off x="0" y="0"/>
                      <a:ext cx="2536190" cy="414655"/>
                    </a:xfrm>
                    <a:prstGeom prst="rect">
                      <a:avLst/>
                    </a:prstGeom>
                  </pic:spPr>
                </pic:pic>
              </a:graphicData>
            </a:graphic>
          </wp:inline>
        </w:drawing>
      </w:r>
    </w:p>
    <w:p>
      <w:pPr>
        <w:numPr>
          <w:ilvl w:val="0"/>
          <w:numId w:val="0"/>
        </w:numPr>
        <w:spacing w:after="0" w:afterLines="-2147483648" w:line="240" w:lineRule="auto"/>
        <w:ind w:firstLine="0" w:firstLineChars="0"/>
        <w:jc w:val="both"/>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令</w:t>
      </w:r>
      <w:r>
        <w:rPr>
          <w:rFonts w:hint="default" w:ascii="Calibri" w:hAnsi="Calibri" w:eastAsia="宋体" w:cs="Times New Roman"/>
          <w:sz w:val="24"/>
          <w:szCs w:val="24"/>
          <w:lang w:val="en-US" w:eastAsia="zh-CN"/>
        </w:rPr>
        <w:drawing>
          <wp:inline distT="0" distB="0" distL="114300" distR="114300">
            <wp:extent cx="670560" cy="369570"/>
            <wp:effectExtent l="0" t="0" r="0" b="11430"/>
            <wp:docPr id="140" name="图片 140" descr="公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公式2"/>
                    <pic:cNvPicPr>
                      <a:picLocks noChangeAspect="1"/>
                    </pic:cNvPicPr>
                  </pic:nvPicPr>
                  <pic:blipFill>
                    <a:blip r:embed="rId88"/>
                    <a:stretch>
                      <a:fillRect/>
                    </a:stretch>
                  </pic:blipFill>
                  <pic:spPr>
                    <a:xfrm>
                      <a:off x="0" y="0"/>
                      <a:ext cx="670560" cy="369570"/>
                    </a:xfrm>
                    <a:prstGeom prst="rect">
                      <a:avLst/>
                    </a:prstGeom>
                  </pic:spPr>
                </pic:pic>
              </a:graphicData>
            </a:graphic>
          </wp:inline>
        </w:drawing>
      </w:r>
    </w:p>
    <w:p>
      <w:pPr>
        <w:numPr>
          <w:ilvl w:val="0"/>
          <w:numId w:val="0"/>
        </w:numPr>
        <w:spacing w:after="0" w:afterLines="-2147483648" w:line="240" w:lineRule="auto"/>
        <w:ind w:firstLine="0" w:firstLineChars="0"/>
        <w:jc w:val="both"/>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则起重机的重心最小需满足</w:t>
      </w:r>
      <w:r>
        <w:rPr>
          <w:rFonts w:hint="eastAsia" w:ascii="Calibri" w:hAnsi="Calibri" w:eastAsia="宋体" w:cs="Times New Roman"/>
          <w:sz w:val="24"/>
          <w:szCs w:val="24"/>
          <w:lang w:val="en-US" w:eastAsia="zh-CN"/>
        </w:rPr>
        <w:drawing>
          <wp:inline distT="0" distB="0" distL="114300" distR="114300">
            <wp:extent cx="4692015" cy="1020445"/>
            <wp:effectExtent l="0" t="0" r="1905" b="635"/>
            <wp:docPr id="9" name="图片 9" descr="公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公式3"/>
                    <pic:cNvPicPr>
                      <a:picLocks noChangeAspect="1"/>
                    </pic:cNvPicPr>
                  </pic:nvPicPr>
                  <pic:blipFill>
                    <a:blip r:embed="rId89"/>
                    <a:stretch>
                      <a:fillRect/>
                    </a:stretch>
                  </pic:blipFill>
                  <pic:spPr>
                    <a:xfrm>
                      <a:off x="0" y="0"/>
                      <a:ext cx="4692015" cy="1020445"/>
                    </a:xfrm>
                    <a:prstGeom prst="rect">
                      <a:avLst/>
                    </a:prstGeom>
                  </pic:spPr>
                </pic:pic>
              </a:graphicData>
            </a:graphic>
          </wp:inline>
        </w:drawing>
      </w:r>
      <w:r>
        <w:rPr>
          <w:rFonts w:hint="eastAsia" w:ascii="Calibri" w:hAnsi="Calibri" w:eastAsia="宋体" w:cs="Times New Roman"/>
          <w:sz w:val="24"/>
          <w:szCs w:val="24"/>
          <w:lang w:val="en-US" w:eastAsia="zh-CN"/>
        </w:rPr>
        <w:t xml:space="preserve">         </w:t>
      </w:r>
    </w:p>
    <w:p>
      <w:pPr>
        <w:numPr>
          <w:ilvl w:val="0"/>
          <w:numId w:val="0"/>
        </w:numPr>
        <w:spacing w:after="0" w:afterLines="-2147483648" w:line="240" w:lineRule="auto"/>
        <w:ind w:firstLine="0" w:firstLineChars="0"/>
        <w:jc w:val="both"/>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=-0.81  （１）</w:t>
      </w:r>
    </w:p>
    <w:p>
      <w:pPr>
        <w:numPr>
          <w:ilvl w:val="0"/>
          <w:numId w:val="0"/>
        </w:numPr>
        <w:spacing w:after="0" w:afterLines="-2147483648" w:line="240" w:lineRule="auto"/>
        <w:ind w:firstLine="0" w:firstLineChars="0"/>
        <w:jc w:val="both"/>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式中    K</w:t>
      </w:r>
      <w:r>
        <w:rPr>
          <w:rFonts w:hint="eastAsia" w:ascii="Calibri" w:hAnsi="Calibri" w:eastAsia="宋体" w:cs="Times New Roman"/>
          <w:sz w:val="24"/>
          <w:szCs w:val="24"/>
          <w:vertAlign w:val="subscript"/>
          <w:lang w:val="en-US" w:eastAsia="zh-CN"/>
        </w:rPr>
        <w:t>G</w:t>
      </w:r>
      <w:r>
        <w:rPr>
          <w:rFonts w:hint="eastAsia" w:ascii="Calibri" w:hAnsi="Calibri" w:eastAsia="宋体" w:cs="Times New Roman"/>
          <w:sz w:val="24"/>
          <w:szCs w:val="24"/>
          <w:lang w:val="en-US" w:eastAsia="zh-CN"/>
        </w:rPr>
        <w:t>和K</w:t>
      </w:r>
      <w:r>
        <w:rPr>
          <w:rFonts w:hint="eastAsia" w:ascii="Calibri" w:hAnsi="Calibri" w:eastAsia="宋体" w:cs="Times New Roman"/>
          <w:sz w:val="24"/>
          <w:szCs w:val="24"/>
          <w:vertAlign w:val="subscript"/>
          <w:lang w:val="en-US" w:eastAsia="zh-CN"/>
        </w:rPr>
        <w:t>P1</w:t>
      </w:r>
      <w:r>
        <w:rPr>
          <w:rFonts w:hint="eastAsia" w:ascii="Calibri" w:hAnsi="Calibri" w:eastAsia="宋体" w:cs="Times New Roman"/>
          <w:sz w:val="24"/>
          <w:szCs w:val="24"/>
          <w:lang w:val="en-US" w:eastAsia="zh-CN"/>
        </w:rPr>
        <w:t>——分别为起重机自重和起升载荷系数；</w:t>
      </w:r>
    </w:p>
    <w:p>
      <w:pPr>
        <w:numPr>
          <w:ilvl w:val="0"/>
          <w:numId w:val="0"/>
        </w:numPr>
        <w:spacing w:after="0" w:afterLines="-2147483648" w:line="240" w:lineRule="auto"/>
        <w:ind w:firstLine="0" w:firstLineChars="0"/>
        <w:jc w:val="both"/>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 xml:space="preserve">             G——起重机重力（N）</w:t>
      </w:r>
    </w:p>
    <w:p>
      <w:pPr>
        <w:numPr>
          <w:ilvl w:val="0"/>
          <w:numId w:val="0"/>
        </w:numPr>
        <w:spacing w:after="0" w:afterLines="-2147483648" w:line="240" w:lineRule="auto"/>
        <w:ind w:firstLine="0" w:firstLineChars="0"/>
        <w:jc w:val="both"/>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 xml:space="preserve">             b——起重机轨距（对汽车式和轮胎式起重机为两侧车轮间的横向间距），打支腿作业时为支腿的横向间距（m）；</w:t>
      </w:r>
    </w:p>
    <w:p>
      <w:pPr>
        <w:numPr>
          <w:ilvl w:val="0"/>
          <w:numId w:val="0"/>
        </w:numPr>
        <w:spacing w:after="0" w:afterLines="-2147483648" w:line="240" w:lineRule="auto"/>
        <w:ind w:firstLine="0" w:firstLineChars="0"/>
        <w:jc w:val="both"/>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 xml:space="preserve">            c1——起重机重心到回转中心的水平距离（ｍ）；</w:t>
      </w:r>
    </w:p>
    <w:p>
      <w:pPr>
        <w:numPr>
          <w:ilvl w:val="0"/>
          <w:numId w:val="0"/>
        </w:numPr>
        <w:spacing w:after="0" w:afterLines="-2147483648" w:line="240" w:lineRule="auto"/>
        <w:ind w:firstLine="0" w:firstLineChars="0"/>
        <w:jc w:val="both"/>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 xml:space="preserve">            R——起升载荷的幅度（m）</w:t>
      </w:r>
    </w:p>
    <w:p>
      <w:pPr>
        <w:numPr>
          <w:ilvl w:val="0"/>
          <w:numId w:val="0"/>
        </w:numPr>
        <w:spacing w:after="0" w:afterLines="-2147483648" w:line="240" w:lineRule="auto"/>
        <w:ind w:firstLine="1440" w:firstLineChars="600"/>
        <w:jc w:val="both"/>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P</w:t>
      </w:r>
      <w:r>
        <w:rPr>
          <w:rFonts w:hint="eastAsia" w:ascii="Calibri" w:hAnsi="Calibri" w:eastAsia="宋体" w:cs="Times New Roman"/>
          <w:sz w:val="24"/>
          <w:szCs w:val="24"/>
          <w:vertAlign w:val="subscript"/>
          <w:lang w:val="en-US" w:eastAsia="zh-CN"/>
        </w:rPr>
        <w:t>Q</w:t>
      </w:r>
      <w:r>
        <w:rPr>
          <w:rFonts w:hint="eastAsia" w:ascii="Calibri" w:hAnsi="Calibri" w:eastAsia="宋体" w:cs="Times New Roman"/>
          <w:sz w:val="24"/>
          <w:szCs w:val="24"/>
          <w:lang w:val="en-US" w:eastAsia="zh-CN"/>
        </w:rPr>
        <w:t>——幅度R时的额定起升重量（按起重机性能表中取值，即幅度为R时，其吊重为P</w:t>
      </w:r>
      <w:r>
        <w:rPr>
          <w:rFonts w:hint="eastAsia" w:ascii="Calibri" w:hAnsi="Calibri" w:eastAsia="宋体" w:cs="Times New Roman"/>
          <w:sz w:val="24"/>
          <w:szCs w:val="24"/>
          <w:vertAlign w:val="subscript"/>
          <w:lang w:val="en-US" w:eastAsia="zh-CN"/>
        </w:rPr>
        <w:t>Q</w:t>
      </w:r>
      <w:r>
        <w:rPr>
          <w:rFonts w:hint="eastAsia" w:ascii="Calibri" w:hAnsi="Calibri" w:eastAsia="宋体" w:cs="Times New Roman"/>
          <w:sz w:val="24"/>
          <w:szCs w:val="24"/>
          <w:lang w:val="en-US" w:eastAsia="zh-CN"/>
        </w:rPr>
        <w:t>）。</w:t>
      </w:r>
    </w:p>
    <w:p>
      <w:pPr>
        <w:numPr>
          <w:ilvl w:val="0"/>
          <w:numId w:val="0"/>
        </w:numPr>
        <w:spacing w:after="0" w:afterLines="-2147483648" w:line="240" w:lineRule="auto"/>
        <w:ind w:firstLine="0" w:firstLineChars="0"/>
        <w:jc w:val="both"/>
        <w:rPr>
          <w:rFonts w:hint="default" w:ascii="Calibri" w:hAnsi="Calibri" w:eastAsia="宋体" w:cs="Times New Roman"/>
          <w:sz w:val="24"/>
          <w:szCs w:val="24"/>
          <w:lang w:val="en-US" w:eastAsia="zh-CN"/>
        </w:rPr>
      </w:pPr>
    </w:p>
    <w:p>
      <w:pPr>
        <w:numPr>
          <w:ilvl w:val="0"/>
          <w:numId w:val="0"/>
        </w:numPr>
        <w:spacing w:after="0" w:afterLines="-2147483648" w:line="240" w:lineRule="auto"/>
        <w:ind w:firstLine="0" w:firstLineChars="0"/>
        <w:jc w:val="both"/>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工况二：有风动载</w:t>
      </w:r>
    </w:p>
    <w:p>
      <w:pPr>
        <w:numPr>
          <w:ilvl w:val="0"/>
          <w:numId w:val="0"/>
        </w:numPr>
        <w:spacing w:after="0" w:afterLines="-2147483648" w:line="240" w:lineRule="auto"/>
        <w:ind w:firstLine="0" w:firstLineChars="0"/>
        <w:jc w:val="both"/>
        <w:rPr>
          <w:rFonts w:hint="eastAsia" w:ascii="Calibri" w:hAnsi="Calibri" w:eastAsia="宋体" w:cs="Times New Roman"/>
          <w:sz w:val="24"/>
          <w:szCs w:val="24"/>
          <w:lang w:val="en-US" w:eastAsia="zh-CN"/>
        </w:rPr>
      </w:pPr>
    </w:p>
    <w:p>
      <w:pPr>
        <w:keepNext w:val="0"/>
        <w:keepLines w:val="0"/>
        <w:widowControl/>
        <w:suppressLineNumbers w:val="0"/>
        <w:spacing w:after="0" w:afterLines="-2147483648" w:line="240" w:lineRule="auto"/>
        <w:ind w:firstLine="0" w:firstLineChars="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271770" cy="3723640"/>
            <wp:effectExtent l="12700" t="12700" r="19050" b="12700"/>
            <wp:docPr id="1" name="图片 1" descr="1616736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16736004(1)"/>
                    <pic:cNvPicPr>
                      <a:picLocks noChangeAspect="1"/>
                    </pic:cNvPicPr>
                  </pic:nvPicPr>
                  <pic:blipFill>
                    <a:blip r:embed="rId90"/>
                    <a:stretch>
                      <a:fillRect/>
                    </a:stretch>
                  </pic:blipFill>
                  <pic:spPr>
                    <a:xfrm>
                      <a:off x="0" y="0"/>
                      <a:ext cx="5271770" cy="3723640"/>
                    </a:xfrm>
                    <a:prstGeom prst="rect">
                      <a:avLst/>
                    </a:prstGeom>
                    <a:ln w="12700" cmpd="sng">
                      <a:solidFill>
                        <a:srgbClr val="5B9BD5">
                          <a:shade val="50000"/>
                        </a:srgbClr>
                      </a:solidFill>
                      <a:prstDash val="solid"/>
                    </a:ln>
                  </pic:spPr>
                </pic:pic>
              </a:graphicData>
            </a:graphic>
          </wp:inline>
        </w:drawing>
      </w:r>
    </w:p>
    <w:p>
      <w:pPr>
        <w:numPr>
          <w:ilvl w:val="0"/>
          <w:numId w:val="0"/>
        </w:numPr>
        <w:spacing w:after="0" w:afterLines="-2147483648" w:line="240" w:lineRule="auto"/>
        <w:ind w:firstLine="0" w:firstLineChars="0"/>
        <w:jc w:val="center"/>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起重机定置作业时的抗倾覆稳定性（臂架垂直于倾覆线）</w:t>
      </w:r>
    </w:p>
    <w:p>
      <w:pPr>
        <w:numPr>
          <w:ilvl w:val="0"/>
          <w:numId w:val="104"/>
        </w:numPr>
        <w:spacing w:after="0" w:afterLines="-2147483648" w:line="240" w:lineRule="auto"/>
        <w:ind w:firstLine="0" w:firstLineChars="0"/>
        <w:jc w:val="both"/>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臂架垂直于危险倾覆线（假定起重机轨距或两侧车轮间的横向间距小于轴距）其稳定性校核计算式为</w:t>
      </w:r>
    </w:p>
    <w:p>
      <w:pPr>
        <w:numPr>
          <w:ilvl w:val="0"/>
          <w:numId w:val="0"/>
        </w:numPr>
        <w:spacing w:after="0" w:afterLines="-2147483648" w:line="240" w:lineRule="auto"/>
        <w:ind w:firstLine="0" w:firstLineChars="0"/>
        <w:jc w:val="both"/>
        <w:rPr>
          <w:rFonts w:hint="default" w:ascii="Calibri" w:hAnsi="Calibri" w:eastAsia="宋体" w:cs="Times New Roman"/>
          <w:sz w:val="24"/>
          <w:szCs w:val="24"/>
          <w:lang w:val="en-US" w:eastAsia="zh-CN"/>
        </w:rPr>
      </w:pPr>
      <w:r>
        <w:rPr>
          <w:rFonts w:hint="eastAsia" w:ascii="Calibri" w:hAnsi="Calibri" w:eastAsia="宋体" w:cs="Times New Roman"/>
          <w:color w:val="0000FF"/>
          <w:position w:val="-14"/>
          <w:sz w:val="24"/>
          <w:szCs w:val="24"/>
          <w:lang w:val="en-US" w:eastAsia="zh-CN"/>
        </w:rPr>
        <w:drawing>
          <wp:inline distT="0" distB="0" distL="114300" distR="114300">
            <wp:extent cx="5273040" cy="634365"/>
            <wp:effectExtent l="0" t="0" r="0" b="5715"/>
            <wp:docPr id="141" name="图片 141" descr="公式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公式4"/>
                    <pic:cNvPicPr>
                      <a:picLocks noChangeAspect="1"/>
                    </pic:cNvPicPr>
                  </pic:nvPicPr>
                  <pic:blipFill>
                    <a:blip r:embed="rId91"/>
                    <a:stretch>
                      <a:fillRect/>
                    </a:stretch>
                  </pic:blipFill>
                  <pic:spPr>
                    <a:xfrm>
                      <a:off x="0" y="0"/>
                      <a:ext cx="5273040" cy="634365"/>
                    </a:xfrm>
                    <a:prstGeom prst="rect">
                      <a:avLst/>
                    </a:prstGeom>
                  </pic:spPr>
                </pic:pic>
              </a:graphicData>
            </a:graphic>
          </wp:inline>
        </w:drawing>
      </w:r>
    </w:p>
    <w:p>
      <w:pPr>
        <w:numPr>
          <w:ilvl w:val="0"/>
          <w:numId w:val="0"/>
        </w:numPr>
        <w:spacing w:after="0" w:afterLines="-2147483648" w:line="240" w:lineRule="auto"/>
        <w:ind w:firstLine="0" w:firstLineChars="0"/>
        <w:jc w:val="both"/>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令</w:t>
      </w:r>
      <w:r>
        <w:rPr>
          <w:rFonts w:hint="default" w:ascii="Calibri" w:hAnsi="Calibri" w:eastAsia="宋体" w:cs="Times New Roman"/>
          <w:sz w:val="24"/>
          <w:szCs w:val="24"/>
          <w:lang w:val="en-US" w:eastAsia="zh-CN"/>
        </w:rPr>
        <w:drawing>
          <wp:inline distT="0" distB="0" distL="114300" distR="114300">
            <wp:extent cx="706755" cy="389255"/>
            <wp:effectExtent l="0" t="0" r="9525" b="6985"/>
            <wp:docPr id="34" name="图片 34" descr="公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公式2"/>
                    <pic:cNvPicPr>
                      <a:picLocks noChangeAspect="1"/>
                    </pic:cNvPicPr>
                  </pic:nvPicPr>
                  <pic:blipFill>
                    <a:blip r:embed="rId88"/>
                    <a:stretch>
                      <a:fillRect/>
                    </a:stretch>
                  </pic:blipFill>
                  <pic:spPr>
                    <a:xfrm>
                      <a:off x="0" y="0"/>
                      <a:ext cx="706755" cy="389255"/>
                    </a:xfrm>
                    <a:prstGeom prst="rect">
                      <a:avLst/>
                    </a:prstGeom>
                  </pic:spPr>
                </pic:pic>
              </a:graphicData>
            </a:graphic>
          </wp:inline>
        </w:drawing>
      </w:r>
    </w:p>
    <w:p>
      <w:pPr>
        <w:numPr>
          <w:ilvl w:val="0"/>
          <w:numId w:val="0"/>
        </w:numPr>
        <w:spacing w:after="0" w:afterLines="-2147483648" w:line="240" w:lineRule="auto"/>
        <w:ind w:firstLine="0" w:firstLineChars="0"/>
        <w:jc w:val="both"/>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则起重机的重心最小需满足</w:t>
      </w:r>
    </w:p>
    <w:p>
      <w:pPr>
        <w:numPr>
          <w:ilvl w:val="0"/>
          <w:numId w:val="0"/>
        </w:numPr>
        <w:spacing w:after="0" w:afterLines="-2147483648" w:line="240" w:lineRule="auto"/>
        <w:ind w:firstLine="0" w:firstLineChars="0"/>
        <w:jc w:val="both"/>
        <w:rPr>
          <w:rFonts w:hint="eastAsia" w:ascii="Calibri" w:hAnsi="Calibri" w:eastAsia="宋体" w:cs="Times New Roman"/>
          <w:sz w:val="24"/>
          <w:szCs w:val="24"/>
          <w:lang w:val="en-US" w:eastAsia="zh-CN"/>
        </w:rPr>
      </w:pPr>
      <w:r>
        <w:rPr>
          <w:rFonts w:ascii="Calibri" w:hAnsi="Calibri" w:eastAsia="宋体" w:cs="Times New Roman"/>
          <w:sz w:val="21"/>
          <w:szCs w:val="24"/>
        </w:rPr>
        <w:drawing>
          <wp:inline distT="0" distB="0" distL="114300" distR="114300">
            <wp:extent cx="4473575" cy="1563370"/>
            <wp:effectExtent l="0" t="0" r="6985" b="6350"/>
            <wp:docPr id="14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34"/>
                    <pic:cNvPicPr>
                      <a:picLocks noChangeAspect="1"/>
                    </pic:cNvPicPr>
                  </pic:nvPicPr>
                  <pic:blipFill>
                    <a:blip r:embed="rId92"/>
                    <a:stretch>
                      <a:fillRect/>
                    </a:stretch>
                  </pic:blipFill>
                  <pic:spPr>
                    <a:xfrm>
                      <a:off x="0" y="0"/>
                      <a:ext cx="4473575" cy="1563370"/>
                    </a:xfrm>
                    <a:prstGeom prst="rect">
                      <a:avLst/>
                    </a:prstGeom>
                    <a:noFill/>
                    <a:ln>
                      <a:noFill/>
                    </a:ln>
                  </pic:spPr>
                </pic:pic>
              </a:graphicData>
            </a:graphic>
          </wp:inline>
        </w:drawing>
      </w:r>
      <w:r>
        <w:rPr>
          <w:rFonts w:hint="eastAsia" w:ascii="Calibri" w:hAnsi="Calibri" w:eastAsia="宋体" w:cs="Times New Roman"/>
          <w:sz w:val="24"/>
          <w:szCs w:val="24"/>
          <w:lang w:val="en-US" w:eastAsia="zh-CN"/>
        </w:rPr>
        <w:t xml:space="preserve">     </w:t>
      </w:r>
    </w:p>
    <w:p>
      <w:pPr>
        <w:numPr>
          <w:ilvl w:val="0"/>
          <w:numId w:val="0"/>
        </w:numPr>
        <w:spacing w:after="0" w:afterLines="-2147483648" w:line="240" w:lineRule="auto"/>
        <w:ind w:firstLine="240" w:firstLineChars="100"/>
        <w:jc w:val="both"/>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=-0.09 （２）其中——工作状态下吊重绳相对铅垂线的最大偏摆角（°），取0°或3°~6°。</w:t>
      </w:r>
      <w:r>
        <w:rPr>
          <w:rFonts w:hint="eastAsia" w:ascii="Calibri" w:hAnsi="Calibri" w:eastAsia="宋体" w:cs="Times New Roman"/>
          <w:sz w:val="24"/>
          <w:szCs w:val="24"/>
          <w:lang w:val="en-US" w:eastAsia="zh-CN"/>
        </w:rPr>
        <w:object>
          <v:shape id="_x0000_i1027" o:spt="75" type="#_x0000_t75" style="height:17pt;width:17pt;" o:ole="t" filled="f" o:preferrelative="t" stroked="f" coordsize="21600,21600">
            <v:path/>
            <v:fill on="f" focussize="0,0"/>
            <v:stroke on="f"/>
            <v:imagedata r:id="rId94" o:title=""/>
            <o:lock v:ext="edit" aspectratio="t"/>
            <w10:wrap type="none"/>
            <w10:anchorlock/>
          </v:shape>
          <o:OLEObject Type="Embed" ProgID="Equation.KSEE3" ShapeID="_x0000_i1027" DrawAspect="Content" ObjectID="_1468075727" r:id="rId93">
            <o:LockedField>false</o:LockedField>
          </o:OLEObject>
        </w:object>
      </w:r>
    </w:p>
    <w:p>
      <w:pPr>
        <w:numPr>
          <w:ilvl w:val="0"/>
          <w:numId w:val="0"/>
        </w:numPr>
        <w:spacing w:after="0" w:afterLines="-2147483648" w:line="240" w:lineRule="auto"/>
        <w:ind w:firstLine="0" w:firstLineChars="0"/>
        <w:jc w:val="both"/>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 xml:space="preserve">     </w:t>
      </w:r>
      <w:r>
        <w:rPr>
          <w:rFonts w:hint="eastAsia" w:ascii="Calibri" w:hAnsi="Calibri" w:eastAsia="宋体" w:cs="Times New Roman"/>
          <w:sz w:val="24"/>
          <w:szCs w:val="24"/>
          <w:vertAlign w:val="baseline"/>
          <w:lang w:val="en-US" w:eastAsia="zh-CN"/>
        </w:rPr>
        <w:t>K</w:t>
      </w:r>
      <w:r>
        <w:rPr>
          <w:rFonts w:hint="eastAsia" w:ascii="Calibri" w:hAnsi="Calibri" w:eastAsia="宋体" w:cs="Times New Roman"/>
          <w:sz w:val="24"/>
          <w:szCs w:val="24"/>
          <w:vertAlign w:val="subscript"/>
          <w:lang w:val="en-US" w:eastAsia="zh-CN"/>
        </w:rPr>
        <w:t>f</w:t>
      </w:r>
      <w:r>
        <w:rPr>
          <w:rFonts w:hint="eastAsia" w:ascii="Calibri" w:hAnsi="Calibri" w:eastAsia="宋体" w:cs="Times New Roman"/>
          <w:sz w:val="24"/>
          <w:szCs w:val="24"/>
          <w:lang w:val="en-US" w:eastAsia="zh-CN"/>
        </w:rPr>
        <w:t>——风力系数</w:t>
      </w:r>
    </w:p>
    <w:p>
      <w:pPr>
        <w:numPr>
          <w:ilvl w:val="0"/>
          <w:numId w:val="0"/>
        </w:numPr>
        <w:spacing w:after="0" w:afterLines="-2147483648" w:line="240" w:lineRule="auto"/>
        <w:ind w:firstLine="0" w:firstLineChars="0"/>
        <w:jc w:val="both"/>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 xml:space="preserve">     </w:t>
      </w:r>
      <w:r>
        <w:rPr>
          <w:rFonts w:hint="eastAsia" w:ascii="Calibri" w:hAnsi="Calibri" w:eastAsia="宋体" w:cs="Times New Roman"/>
          <w:sz w:val="24"/>
          <w:szCs w:val="24"/>
          <w:vertAlign w:val="baseline"/>
          <w:lang w:val="en-US" w:eastAsia="zh-CN"/>
        </w:rPr>
        <w:t>h</w:t>
      </w:r>
      <w:r>
        <w:rPr>
          <w:rFonts w:hint="eastAsia" w:ascii="Calibri" w:hAnsi="Calibri" w:eastAsia="宋体" w:cs="Times New Roman"/>
          <w:sz w:val="24"/>
          <w:szCs w:val="24"/>
          <w:vertAlign w:val="subscript"/>
          <w:lang w:val="en-US" w:eastAsia="zh-CN"/>
        </w:rPr>
        <w:t>２</w:t>
      </w:r>
      <w:r>
        <w:rPr>
          <w:rFonts w:hint="eastAsia" w:ascii="Calibri" w:hAnsi="Calibri" w:eastAsia="宋体" w:cs="Times New Roman"/>
          <w:sz w:val="24"/>
          <w:szCs w:val="24"/>
          <w:lang w:val="en-US" w:eastAsia="zh-CN"/>
        </w:rPr>
        <w:t>——起重机挡风面积的形心高度（ｍ）</w:t>
      </w:r>
    </w:p>
    <w:p>
      <w:pPr>
        <w:numPr>
          <w:ilvl w:val="0"/>
          <w:numId w:val="0"/>
        </w:numPr>
        <w:spacing w:after="0" w:afterLines="-2147483648" w:line="240" w:lineRule="auto"/>
        <w:ind w:firstLine="0" w:firstLineChars="0"/>
        <w:jc w:val="both"/>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 xml:space="preserve">     </w:t>
      </w:r>
      <w:r>
        <w:rPr>
          <w:rFonts w:hint="eastAsia" w:ascii="Calibri" w:hAnsi="Calibri" w:eastAsia="宋体" w:cs="Times New Roman"/>
          <w:sz w:val="24"/>
          <w:szCs w:val="24"/>
          <w:vertAlign w:val="baseline"/>
          <w:lang w:val="en-US" w:eastAsia="zh-CN"/>
        </w:rPr>
        <w:t>h</w:t>
      </w:r>
      <w:r>
        <w:rPr>
          <w:rFonts w:hint="eastAsia" w:ascii="Calibri" w:hAnsi="Calibri" w:eastAsia="宋体" w:cs="Times New Roman"/>
          <w:sz w:val="24"/>
          <w:szCs w:val="24"/>
          <w:vertAlign w:val="subscript"/>
          <w:lang w:val="en-US" w:eastAsia="zh-CN"/>
        </w:rPr>
        <w:t>３</w:t>
      </w:r>
      <w:r>
        <w:rPr>
          <w:rFonts w:hint="eastAsia" w:ascii="Calibri" w:hAnsi="Calibri" w:eastAsia="宋体" w:cs="Times New Roman"/>
          <w:sz w:val="24"/>
          <w:szCs w:val="24"/>
          <w:lang w:val="en-US" w:eastAsia="zh-CN"/>
        </w:rPr>
        <w:t>——起重机臂架端物品悬吊点的高度</w:t>
      </w:r>
    </w:p>
    <w:p>
      <w:pPr>
        <w:numPr>
          <w:ilvl w:val="0"/>
          <w:numId w:val="0"/>
        </w:numPr>
        <w:spacing w:after="0" w:afterLines="-2147483648" w:line="240" w:lineRule="auto"/>
        <w:ind w:firstLine="720" w:firstLineChars="300"/>
        <w:jc w:val="both"/>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F——作用于起重机上的风力（Ｎ）</w:t>
      </w:r>
    </w:p>
    <w:p>
      <w:pPr>
        <w:widowControl w:val="0"/>
        <w:numPr>
          <w:ilvl w:val="0"/>
          <w:numId w:val="0"/>
        </w:numPr>
        <w:spacing w:after="0" w:afterLines="-2147483648" w:line="240" w:lineRule="auto"/>
        <w:ind w:firstLine="0" w:firstLineChars="0"/>
        <w:jc w:val="both"/>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其余符号与上式同。</w:t>
      </w:r>
    </w:p>
    <w:p>
      <w:pPr>
        <w:widowControl w:val="0"/>
        <w:numPr>
          <w:ilvl w:val="0"/>
          <w:numId w:val="0"/>
        </w:numPr>
        <w:spacing w:after="0" w:afterLines="-2147483648" w:line="240" w:lineRule="auto"/>
        <w:ind w:firstLine="0" w:firstLineChars="0"/>
        <w:jc w:val="both"/>
        <w:rPr>
          <w:rFonts w:hint="default" w:ascii="Calibri" w:hAnsi="Calibri" w:eastAsia="宋体" w:cs="Times New Roman"/>
          <w:sz w:val="24"/>
          <w:szCs w:val="24"/>
          <w:lang w:val="en-US" w:eastAsia="zh-CN"/>
        </w:rPr>
      </w:pPr>
    </w:p>
    <w:p>
      <w:pPr>
        <w:numPr>
          <w:ilvl w:val="0"/>
          <w:numId w:val="104"/>
        </w:numPr>
        <w:spacing w:after="0" w:afterLines="-2147483648" w:line="240" w:lineRule="auto"/>
        <w:ind w:left="0" w:leftChars="0" w:firstLine="0" w:firstLineChars="0"/>
        <w:jc w:val="both"/>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臂架与倾覆线成４５</w:t>
      </w:r>
      <w:r>
        <w:rPr>
          <w:rFonts w:hint="eastAsia" w:ascii="微软雅黑" w:hAnsi="微软雅黑" w:eastAsia="微软雅黑" w:cs="微软雅黑"/>
          <w:sz w:val="24"/>
          <w:szCs w:val="24"/>
          <w:lang w:val="en-US" w:eastAsia="zh-CN"/>
        </w:rPr>
        <w:t>°</w:t>
      </w:r>
      <w:r>
        <w:rPr>
          <w:rFonts w:hint="eastAsia" w:ascii="Calibri" w:hAnsi="Calibri" w:eastAsia="宋体" w:cs="Times New Roman"/>
          <w:sz w:val="24"/>
          <w:szCs w:val="24"/>
          <w:lang w:val="en-US" w:eastAsia="zh-CN"/>
        </w:rPr>
        <w:t>时</w:t>
      </w:r>
    </w:p>
    <w:p>
      <w:pPr>
        <w:keepNext w:val="0"/>
        <w:keepLines w:val="0"/>
        <w:widowControl/>
        <w:suppressLineNumbers w:val="0"/>
        <w:spacing w:after="0" w:afterLines="-2147483648" w:line="240" w:lineRule="auto"/>
        <w:ind w:firstLine="0" w:firstLineChars="0"/>
        <w:jc w:val="center"/>
        <w:rPr>
          <w:rFonts w:hint="eastAsia" w:ascii="Calibri" w:hAnsi="Calibri" w:eastAsia="宋体" w:cs="Times New Roman"/>
          <w:sz w:val="21"/>
          <w:szCs w:val="24"/>
          <w:lang w:eastAsia="zh-CN"/>
        </w:rPr>
      </w:pPr>
      <w:r>
        <w:rPr>
          <w:rFonts w:hint="eastAsia" w:ascii="Calibri" w:hAnsi="Calibri" w:eastAsia="宋体" w:cs="Times New Roman"/>
          <w:sz w:val="21"/>
          <w:szCs w:val="24"/>
          <w:lang w:eastAsia="zh-CN"/>
        </w:rPr>
        <w:drawing>
          <wp:inline distT="0" distB="0" distL="114300" distR="114300">
            <wp:extent cx="5006340" cy="3718560"/>
            <wp:effectExtent l="12700" t="12700" r="25400" b="17780"/>
            <wp:docPr id="38" name="图片 38" descr="16167369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616736993(1)"/>
                    <pic:cNvPicPr>
                      <a:picLocks noChangeAspect="1"/>
                    </pic:cNvPicPr>
                  </pic:nvPicPr>
                  <pic:blipFill>
                    <a:blip r:embed="rId95"/>
                    <a:stretch>
                      <a:fillRect/>
                    </a:stretch>
                  </pic:blipFill>
                  <pic:spPr>
                    <a:xfrm>
                      <a:off x="0" y="0"/>
                      <a:ext cx="5006340" cy="3718560"/>
                    </a:xfrm>
                    <a:prstGeom prst="rect">
                      <a:avLst/>
                    </a:prstGeom>
                    <a:ln w="12700" cmpd="sng">
                      <a:solidFill>
                        <a:srgbClr val="5B9BD5">
                          <a:shade val="50000"/>
                        </a:srgbClr>
                      </a:solidFill>
                      <a:prstDash val="solid"/>
                    </a:ln>
                  </pic:spPr>
                </pic:pic>
              </a:graphicData>
            </a:graphic>
          </wp:inline>
        </w:drawing>
      </w:r>
    </w:p>
    <w:p>
      <w:pPr>
        <w:numPr>
          <w:ilvl w:val="0"/>
          <w:numId w:val="0"/>
        </w:numPr>
        <w:spacing w:after="0" w:afterLines="-2147483648" w:line="240" w:lineRule="auto"/>
        <w:ind w:firstLine="0" w:firstLineChars="0"/>
        <w:jc w:val="center"/>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起重机定置作业时的抗倾覆稳定性（臂架与倾覆线成４５</w:t>
      </w:r>
      <w:r>
        <w:rPr>
          <w:rFonts w:hint="eastAsia" w:ascii="微软雅黑" w:hAnsi="微软雅黑" w:eastAsia="微软雅黑" w:cs="微软雅黑"/>
          <w:sz w:val="24"/>
          <w:szCs w:val="24"/>
          <w:lang w:val="en-US" w:eastAsia="zh-CN"/>
        </w:rPr>
        <w:t>°时</w:t>
      </w:r>
      <w:r>
        <w:rPr>
          <w:rFonts w:hint="eastAsia" w:ascii="Calibri" w:hAnsi="Calibri" w:eastAsia="宋体" w:cs="Times New Roman"/>
          <w:sz w:val="24"/>
          <w:szCs w:val="24"/>
          <w:lang w:val="en-US" w:eastAsia="zh-CN"/>
        </w:rPr>
        <w:t>）</w:t>
      </w:r>
    </w:p>
    <w:p>
      <w:pPr>
        <w:numPr>
          <w:ilvl w:val="0"/>
          <w:numId w:val="0"/>
        </w:numPr>
        <w:spacing w:after="0" w:afterLines="-2147483648" w:line="240" w:lineRule="auto"/>
        <w:ind w:leftChars="0" w:firstLine="0" w:firstLineChars="0"/>
        <w:jc w:val="both"/>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其稳定性校核公式为：</w:t>
      </w:r>
    </w:p>
    <w:p>
      <w:pPr>
        <w:numPr>
          <w:ilvl w:val="0"/>
          <w:numId w:val="0"/>
        </w:numPr>
        <w:spacing w:after="0" w:afterLines="-2147483648" w:line="240" w:lineRule="auto"/>
        <w:ind w:leftChars="0" w:firstLine="0" w:firstLineChars="0"/>
        <w:jc w:val="both"/>
        <w:rPr>
          <w:rFonts w:hint="default" w:ascii="Calibri" w:hAnsi="Calibri" w:eastAsia="宋体" w:cs="Times New Roman"/>
          <w:position w:val="-30"/>
          <w:sz w:val="24"/>
          <w:szCs w:val="24"/>
          <w:lang w:val="en-US" w:eastAsia="zh-CN"/>
        </w:rPr>
      </w:pPr>
      <w:r>
        <w:rPr>
          <w:rFonts w:hint="eastAsia" w:ascii="Calibri" w:hAnsi="Calibri" w:eastAsia="宋体" w:cs="Times New Roman"/>
          <w:sz w:val="24"/>
          <w:szCs w:val="24"/>
          <w:lang w:val="en-US" w:eastAsia="zh-CN"/>
        </w:rPr>
        <w:t xml:space="preserve"> </w:t>
      </w:r>
      <w:r>
        <w:rPr>
          <w:rFonts w:hint="default" w:ascii="Calibri" w:hAnsi="Calibri" w:eastAsia="宋体" w:cs="Times New Roman"/>
          <w:position w:val="-30"/>
          <w:sz w:val="24"/>
          <w:szCs w:val="24"/>
          <w:lang w:val="en-US" w:eastAsia="zh-CN"/>
        </w:rPr>
        <w:drawing>
          <wp:inline distT="0" distB="0" distL="114300" distR="114300">
            <wp:extent cx="5268595" cy="579120"/>
            <wp:effectExtent l="0" t="0" r="4445" b="0"/>
            <wp:docPr id="39" name="图片 39" descr="公式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公式6"/>
                    <pic:cNvPicPr>
                      <a:picLocks noChangeAspect="1"/>
                    </pic:cNvPicPr>
                  </pic:nvPicPr>
                  <pic:blipFill>
                    <a:blip r:embed="rId96"/>
                    <a:stretch>
                      <a:fillRect/>
                    </a:stretch>
                  </pic:blipFill>
                  <pic:spPr>
                    <a:xfrm>
                      <a:off x="0" y="0"/>
                      <a:ext cx="5268595" cy="579120"/>
                    </a:xfrm>
                    <a:prstGeom prst="rect">
                      <a:avLst/>
                    </a:prstGeom>
                  </pic:spPr>
                </pic:pic>
              </a:graphicData>
            </a:graphic>
          </wp:inline>
        </w:drawing>
      </w:r>
    </w:p>
    <w:p>
      <w:pPr>
        <w:numPr>
          <w:ilvl w:val="0"/>
          <w:numId w:val="0"/>
        </w:numPr>
        <w:spacing w:after="0" w:afterLines="-2147483648" w:line="240" w:lineRule="auto"/>
        <w:ind w:firstLine="0" w:firstLineChars="0"/>
        <w:jc w:val="both"/>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令</w:t>
      </w:r>
      <w:r>
        <w:rPr>
          <w:rFonts w:hint="default" w:ascii="Calibri" w:hAnsi="Calibri" w:eastAsia="宋体" w:cs="Times New Roman"/>
          <w:sz w:val="24"/>
          <w:szCs w:val="24"/>
          <w:lang w:val="en-US" w:eastAsia="zh-CN"/>
        </w:rPr>
        <w:drawing>
          <wp:inline distT="0" distB="0" distL="114300" distR="114300">
            <wp:extent cx="689610" cy="379730"/>
            <wp:effectExtent l="0" t="0" r="11430" b="1270"/>
            <wp:docPr id="143" name="图片 143" descr="公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公式2"/>
                    <pic:cNvPicPr>
                      <a:picLocks noChangeAspect="1"/>
                    </pic:cNvPicPr>
                  </pic:nvPicPr>
                  <pic:blipFill>
                    <a:blip r:embed="rId88"/>
                    <a:stretch>
                      <a:fillRect/>
                    </a:stretch>
                  </pic:blipFill>
                  <pic:spPr>
                    <a:xfrm>
                      <a:off x="0" y="0"/>
                      <a:ext cx="689610" cy="379730"/>
                    </a:xfrm>
                    <a:prstGeom prst="rect">
                      <a:avLst/>
                    </a:prstGeom>
                  </pic:spPr>
                </pic:pic>
              </a:graphicData>
            </a:graphic>
          </wp:inline>
        </w:drawing>
      </w:r>
    </w:p>
    <w:p>
      <w:pPr>
        <w:numPr>
          <w:ilvl w:val="0"/>
          <w:numId w:val="0"/>
        </w:numPr>
        <w:spacing w:after="0" w:afterLines="-2147483648" w:line="240" w:lineRule="auto"/>
        <w:ind w:firstLine="0" w:firstLineChars="0"/>
        <w:jc w:val="both"/>
        <w:rPr>
          <w:rFonts w:hint="default" w:ascii="Calibri" w:hAnsi="Calibri" w:eastAsia="宋体" w:cs="Times New Roman"/>
          <w:sz w:val="24"/>
          <w:szCs w:val="24"/>
          <w:lang w:val="en-US" w:eastAsia="zh-CN"/>
        </w:rPr>
      </w:pPr>
    </w:p>
    <w:p>
      <w:pPr>
        <w:numPr>
          <w:ilvl w:val="0"/>
          <w:numId w:val="0"/>
        </w:numPr>
        <w:spacing w:after="0" w:afterLines="-2147483648" w:line="240" w:lineRule="auto"/>
        <w:ind w:firstLine="0" w:firstLineChars="0"/>
        <w:jc w:val="both"/>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则起重机的重心最小需满足</w:t>
      </w:r>
    </w:p>
    <w:p>
      <w:pPr>
        <w:numPr>
          <w:ilvl w:val="0"/>
          <w:numId w:val="0"/>
        </w:numPr>
        <w:spacing w:after="0" w:afterLines="-2147483648" w:line="240" w:lineRule="auto"/>
        <w:ind w:leftChars="0" w:firstLine="0" w:firstLineChars="0"/>
        <w:jc w:val="both"/>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drawing>
          <wp:inline distT="0" distB="0" distL="114300" distR="114300">
            <wp:extent cx="4561205" cy="1590040"/>
            <wp:effectExtent l="0" t="0" r="10795" b="10160"/>
            <wp:docPr id="144" name="图片 144" descr="公式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公式7"/>
                    <pic:cNvPicPr>
                      <a:picLocks noChangeAspect="1"/>
                    </pic:cNvPicPr>
                  </pic:nvPicPr>
                  <pic:blipFill>
                    <a:blip r:embed="rId97"/>
                    <a:stretch>
                      <a:fillRect/>
                    </a:stretch>
                  </pic:blipFill>
                  <pic:spPr>
                    <a:xfrm>
                      <a:off x="0" y="0"/>
                      <a:ext cx="4561205" cy="1590040"/>
                    </a:xfrm>
                    <a:prstGeom prst="rect">
                      <a:avLst/>
                    </a:prstGeom>
                  </pic:spPr>
                </pic:pic>
              </a:graphicData>
            </a:graphic>
          </wp:inline>
        </w:drawing>
      </w:r>
      <w:r>
        <w:rPr>
          <w:rFonts w:hint="eastAsia" w:ascii="Calibri" w:hAnsi="Calibri" w:eastAsia="宋体" w:cs="Times New Roman"/>
          <w:sz w:val="24"/>
          <w:szCs w:val="24"/>
          <w:lang w:val="en-US" w:eastAsia="zh-CN"/>
        </w:rPr>
        <w:t xml:space="preserve">      </w:t>
      </w:r>
    </w:p>
    <w:p>
      <w:pPr>
        <w:numPr>
          <w:ilvl w:val="0"/>
          <w:numId w:val="0"/>
        </w:numPr>
        <w:spacing w:after="0" w:afterLines="-2147483648" w:line="240" w:lineRule="auto"/>
        <w:ind w:leftChars="0" w:firstLine="0" w:firstLineChars="0"/>
        <w:jc w:val="both"/>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=-1.18 （３）</w:t>
      </w:r>
    </w:p>
    <w:p>
      <w:pPr>
        <w:numPr>
          <w:ilvl w:val="0"/>
          <w:numId w:val="0"/>
        </w:numPr>
        <w:spacing w:after="0" w:afterLines="-2147483648" w:line="240" w:lineRule="auto"/>
        <w:ind w:leftChars="0" w:firstLine="0" w:firstLineChars="0"/>
        <w:jc w:val="both"/>
        <w:rPr>
          <w:rFonts w:hint="default" w:ascii="Calibri" w:hAnsi="Calibri" w:eastAsia="宋体" w:cs="Times New Roman"/>
          <w:sz w:val="24"/>
          <w:szCs w:val="24"/>
          <w:lang w:val="en-US" w:eastAsia="zh-CN"/>
        </w:rPr>
      </w:pPr>
    </w:p>
    <w:p>
      <w:pPr>
        <w:numPr>
          <w:ilvl w:val="0"/>
          <w:numId w:val="0"/>
        </w:numPr>
        <w:spacing w:after="0" w:afterLines="-2147483648" w:line="240" w:lineRule="auto"/>
        <w:ind w:leftChars="0" w:firstLine="0" w:firstLineChars="0"/>
        <w:jc w:val="both"/>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二计算起重机支承反力</w:t>
      </w:r>
    </w:p>
    <w:p>
      <w:pPr>
        <w:numPr>
          <w:ilvl w:val="0"/>
          <w:numId w:val="0"/>
        </w:numPr>
        <w:spacing w:after="0" w:afterLines="-2147483648" w:line="240" w:lineRule="auto"/>
        <w:ind w:leftChars="0" w:firstLine="0" w:firstLineChars="0"/>
        <w:jc w:val="both"/>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2.1 四点支承的支腿支反力</w:t>
      </w:r>
    </w:p>
    <w:p>
      <w:pPr>
        <w:numPr>
          <w:ilvl w:val="0"/>
          <w:numId w:val="0"/>
        </w:numPr>
        <w:spacing w:after="0" w:afterLines="-2147483648" w:line="240" w:lineRule="auto"/>
        <w:ind w:leftChars="0" w:firstLine="0" w:firstLineChars="0"/>
        <w:jc w:val="both"/>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取ｃ＝min[c1、c2、c3]= 0.0，可使以下计算偏安全</w:t>
      </w:r>
    </w:p>
    <w:p>
      <w:pPr>
        <w:numPr>
          <w:ilvl w:val="0"/>
          <w:numId w:val="0"/>
        </w:numPr>
        <w:spacing w:after="0" w:afterLines="-2147483648" w:line="240" w:lineRule="auto"/>
        <w:ind w:leftChars="0" w:firstLine="0" w:firstLineChars="0"/>
        <w:jc w:val="both"/>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drawing>
          <wp:inline distT="0" distB="0" distL="114300" distR="114300">
            <wp:extent cx="4529455" cy="4036695"/>
            <wp:effectExtent l="12700" t="12700" r="14605" b="19685"/>
            <wp:docPr id="42" name="图片 42" descr="1616737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616737278(1)"/>
                    <pic:cNvPicPr>
                      <a:picLocks noChangeAspect="1"/>
                    </pic:cNvPicPr>
                  </pic:nvPicPr>
                  <pic:blipFill>
                    <a:blip r:embed="rId98"/>
                    <a:stretch>
                      <a:fillRect/>
                    </a:stretch>
                  </pic:blipFill>
                  <pic:spPr>
                    <a:xfrm>
                      <a:off x="0" y="0"/>
                      <a:ext cx="4529455" cy="4036695"/>
                    </a:xfrm>
                    <a:prstGeom prst="rect">
                      <a:avLst/>
                    </a:prstGeom>
                    <a:ln w="12700" cmpd="sng">
                      <a:solidFill>
                        <a:srgbClr val="5B9BD5">
                          <a:shade val="50000"/>
                        </a:srgbClr>
                      </a:solidFill>
                      <a:prstDash val="solid"/>
                    </a:ln>
                  </pic:spPr>
                </pic:pic>
              </a:graphicData>
            </a:graphic>
          </wp:inline>
        </w:drawing>
      </w:r>
    </w:p>
    <w:p>
      <w:pPr>
        <w:numPr>
          <w:ilvl w:val="0"/>
          <w:numId w:val="0"/>
        </w:numPr>
        <w:spacing w:after="0" w:afterLines="-2147483648" w:line="240" w:lineRule="auto"/>
        <w:ind w:leftChars="0" w:firstLine="0" w:firstLineChars="0"/>
        <w:jc w:val="both"/>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起重机由ABCD四点支承，其重力为G，等效重心为距回转中心的距离为c，夹角为</w:t>
      </w:r>
      <w:r>
        <w:rPr>
          <w:rFonts w:hint="default" w:ascii="Arial" w:hAnsi="Arial" w:eastAsia="宋体" w:cs="Arial"/>
          <w:sz w:val="24"/>
          <w:szCs w:val="24"/>
          <w:lang w:val="en-US" w:eastAsia="zh-CN"/>
        </w:rPr>
        <w:t>β</w:t>
      </w:r>
      <w:r>
        <w:rPr>
          <w:rFonts w:hint="eastAsia" w:ascii="Calibri" w:hAnsi="Calibri" w:eastAsia="宋体" w:cs="Times New Roman"/>
          <w:sz w:val="24"/>
          <w:szCs w:val="24"/>
          <w:lang w:val="en-US" w:eastAsia="zh-CN"/>
        </w:rPr>
        <w:t>，货物的重量为Gp，在幅度为R，夹角为</w:t>
      </w:r>
      <w:r>
        <w:rPr>
          <w:rFonts w:hint="default" w:ascii="Arial" w:hAnsi="Arial" w:eastAsia="宋体" w:cs="Arial"/>
          <w:sz w:val="24"/>
          <w:szCs w:val="24"/>
          <w:lang w:val="en-US" w:eastAsia="zh-CN"/>
        </w:rPr>
        <w:t>β</w:t>
      </w:r>
      <w:r>
        <w:rPr>
          <w:rFonts w:hint="eastAsia" w:ascii="Calibri" w:hAnsi="Calibri" w:eastAsia="宋体" w:cs="Times New Roman"/>
          <w:sz w:val="24"/>
          <w:szCs w:val="24"/>
          <w:lang w:val="en-US" w:eastAsia="zh-CN"/>
        </w:rPr>
        <w:t xml:space="preserve">时，刚性支腿ABCD的垂直反力分别为   </w:t>
      </w:r>
      <w:r>
        <w:rPr>
          <w:rFonts w:hint="eastAsia" w:ascii="Calibri" w:hAnsi="Calibri" w:eastAsia="宋体" w:cs="Times New Roman"/>
          <w:color w:val="0000FF"/>
          <w:sz w:val="24"/>
          <w:szCs w:val="24"/>
          <w:lang w:val="en-US" w:eastAsia="zh-CN"/>
        </w:rPr>
        <w:t xml:space="preserve"> </w:t>
      </w:r>
    </w:p>
    <w:p>
      <w:pPr>
        <w:numPr>
          <w:ilvl w:val="0"/>
          <w:numId w:val="0"/>
        </w:numPr>
        <w:spacing w:after="0" w:afterLines="-2147483648" w:line="240" w:lineRule="auto"/>
        <w:ind w:leftChars="0" w:firstLine="0" w:firstLineChars="0"/>
        <w:jc w:val="both"/>
        <w:rPr>
          <w:rFonts w:ascii="Calibri" w:hAnsi="Calibri" w:eastAsia="宋体" w:cs="Times New Roman"/>
          <w:sz w:val="21"/>
          <w:szCs w:val="24"/>
        </w:rPr>
      </w:pPr>
      <w:r>
        <w:rPr>
          <w:rFonts w:ascii="Calibri" w:hAnsi="Calibri" w:eastAsia="宋体" w:cs="Times New Roman"/>
          <w:sz w:val="21"/>
          <w:szCs w:val="24"/>
        </w:rPr>
        <w:drawing>
          <wp:inline distT="0" distB="0" distL="114300" distR="114300">
            <wp:extent cx="3152140" cy="713105"/>
            <wp:effectExtent l="0" t="0" r="2540" b="317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99"/>
                    <a:stretch>
                      <a:fillRect/>
                    </a:stretch>
                  </pic:blipFill>
                  <pic:spPr>
                    <a:xfrm>
                      <a:off x="0" y="0"/>
                      <a:ext cx="3152140" cy="713105"/>
                    </a:xfrm>
                    <a:prstGeom prst="rect">
                      <a:avLst/>
                    </a:prstGeom>
                    <a:noFill/>
                    <a:ln>
                      <a:noFill/>
                    </a:ln>
                  </pic:spPr>
                </pic:pic>
              </a:graphicData>
            </a:graphic>
          </wp:inline>
        </w:drawing>
      </w:r>
    </w:p>
    <w:p>
      <w:pPr>
        <w:numPr>
          <w:ilvl w:val="0"/>
          <w:numId w:val="0"/>
        </w:numPr>
        <w:spacing w:after="0" w:afterLines="-2147483648" w:line="240" w:lineRule="auto"/>
        <w:ind w:leftChars="0" w:firstLine="0" w:firstLineChars="0"/>
        <w:jc w:val="both"/>
        <w:rPr>
          <w:rFonts w:hint="eastAsia" w:ascii="Calibri" w:hAnsi="Calibri" w:eastAsia="宋体" w:cs="Times New Roman"/>
          <w:sz w:val="21"/>
          <w:szCs w:val="24"/>
          <w:lang w:val="en-US" w:eastAsia="zh-CN"/>
        </w:rPr>
      </w:pPr>
      <w:r>
        <w:rPr>
          <w:rFonts w:hint="eastAsia" w:ascii="Calibri" w:hAnsi="Calibri" w:eastAsia="宋体" w:cs="Times New Roman"/>
          <w:sz w:val="21"/>
          <w:szCs w:val="24"/>
          <w:lang w:val="en-US" w:eastAsia="zh-CN"/>
        </w:rPr>
        <w:t>=84.2KN</w:t>
      </w:r>
    </w:p>
    <w:p>
      <w:pPr>
        <w:numPr>
          <w:ilvl w:val="0"/>
          <w:numId w:val="0"/>
        </w:numPr>
        <w:spacing w:after="0" w:afterLines="-2147483648" w:line="240" w:lineRule="auto"/>
        <w:ind w:leftChars="0" w:firstLine="0" w:firstLineChars="0"/>
        <w:jc w:val="both"/>
        <w:rPr>
          <w:rFonts w:hint="eastAsia" w:ascii="Calibri" w:hAnsi="Calibri" w:eastAsia="宋体" w:cs="Times New Roman"/>
          <w:sz w:val="21"/>
          <w:szCs w:val="24"/>
          <w:lang w:val="en-US" w:eastAsia="zh-CN"/>
        </w:rPr>
      </w:pPr>
    </w:p>
    <w:p>
      <w:pPr>
        <w:numPr>
          <w:ilvl w:val="0"/>
          <w:numId w:val="0"/>
        </w:numPr>
        <w:spacing w:after="0" w:afterLines="-2147483648" w:line="240" w:lineRule="auto"/>
        <w:ind w:leftChars="0" w:firstLine="0" w:firstLineChars="0"/>
        <w:jc w:val="both"/>
        <w:rPr>
          <w:rFonts w:ascii="Calibri" w:hAnsi="Calibri" w:eastAsia="宋体" w:cs="Times New Roman"/>
          <w:sz w:val="21"/>
          <w:szCs w:val="24"/>
        </w:rPr>
      </w:pPr>
      <w:r>
        <w:rPr>
          <w:rFonts w:ascii="Calibri" w:hAnsi="Calibri" w:eastAsia="宋体" w:cs="Times New Roman"/>
          <w:sz w:val="21"/>
          <w:szCs w:val="24"/>
        </w:rPr>
        <w:drawing>
          <wp:inline distT="0" distB="0" distL="114300" distR="114300">
            <wp:extent cx="3132455" cy="671830"/>
            <wp:effectExtent l="0" t="0" r="6985" b="13970"/>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pic:cNvPicPr>
                      <a:picLocks noChangeAspect="1"/>
                    </pic:cNvPicPr>
                  </pic:nvPicPr>
                  <pic:blipFill>
                    <a:blip r:embed="rId100"/>
                    <a:stretch>
                      <a:fillRect/>
                    </a:stretch>
                  </pic:blipFill>
                  <pic:spPr>
                    <a:xfrm>
                      <a:off x="0" y="0"/>
                      <a:ext cx="3132455" cy="671830"/>
                    </a:xfrm>
                    <a:prstGeom prst="rect">
                      <a:avLst/>
                    </a:prstGeom>
                    <a:noFill/>
                    <a:ln>
                      <a:noFill/>
                    </a:ln>
                  </pic:spPr>
                </pic:pic>
              </a:graphicData>
            </a:graphic>
          </wp:inline>
        </w:drawing>
      </w:r>
    </w:p>
    <w:p>
      <w:pPr>
        <w:numPr>
          <w:ilvl w:val="0"/>
          <w:numId w:val="0"/>
        </w:numPr>
        <w:spacing w:after="0" w:afterLines="-2147483648" w:line="240" w:lineRule="auto"/>
        <w:ind w:leftChars="0" w:firstLine="0" w:firstLineChars="0"/>
        <w:jc w:val="both"/>
        <w:rPr>
          <w:rFonts w:hint="eastAsia" w:ascii="Calibri" w:hAnsi="Calibri" w:eastAsia="宋体" w:cs="Times New Roman"/>
          <w:sz w:val="21"/>
          <w:szCs w:val="24"/>
          <w:lang w:val="en-US" w:eastAsia="zh-CN"/>
        </w:rPr>
      </w:pPr>
      <w:r>
        <w:rPr>
          <w:rFonts w:hint="eastAsia" w:ascii="Calibri" w:hAnsi="Calibri" w:eastAsia="宋体" w:cs="Times New Roman"/>
          <w:sz w:val="21"/>
          <w:szCs w:val="24"/>
          <w:lang w:val="en-US" w:eastAsia="zh-CN"/>
        </w:rPr>
        <w:t>=146.7KN</w:t>
      </w:r>
    </w:p>
    <w:p>
      <w:pPr>
        <w:numPr>
          <w:ilvl w:val="0"/>
          <w:numId w:val="0"/>
        </w:numPr>
        <w:spacing w:after="0" w:afterLines="-2147483648" w:line="240" w:lineRule="auto"/>
        <w:ind w:leftChars="0" w:firstLine="0" w:firstLineChars="0"/>
        <w:jc w:val="both"/>
        <w:rPr>
          <w:rFonts w:hint="eastAsia" w:ascii="Calibri" w:hAnsi="Calibri" w:eastAsia="宋体" w:cs="Times New Roman"/>
          <w:sz w:val="21"/>
          <w:szCs w:val="24"/>
          <w:lang w:val="en-US" w:eastAsia="zh-CN"/>
        </w:rPr>
      </w:pPr>
    </w:p>
    <w:p>
      <w:pPr>
        <w:numPr>
          <w:ilvl w:val="0"/>
          <w:numId w:val="0"/>
        </w:numPr>
        <w:spacing w:after="0" w:afterLines="-2147483648" w:line="240" w:lineRule="auto"/>
        <w:ind w:leftChars="0" w:firstLine="0" w:firstLineChars="0"/>
        <w:jc w:val="both"/>
        <w:rPr>
          <w:rFonts w:ascii="Calibri" w:hAnsi="Calibri" w:eastAsia="宋体" w:cs="Times New Roman"/>
          <w:sz w:val="21"/>
          <w:szCs w:val="24"/>
        </w:rPr>
      </w:pPr>
      <w:r>
        <w:rPr>
          <w:rFonts w:ascii="Calibri" w:hAnsi="Calibri" w:eastAsia="宋体" w:cs="Times New Roman"/>
          <w:sz w:val="21"/>
          <w:szCs w:val="24"/>
        </w:rPr>
        <w:drawing>
          <wp:inline distT="0" distB="0" distL="114300" distR="114300">
            <wp:extent cx="3100705" cy="621665"/>
            <wp:effectExtent l="0" t="0" r="8255" b="3175"/>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101"/>
                    <a:stretch>
                      <a:fillRect/>
                    </a:stretch>
                  </pic:blipFill>
                  <pic:spPr>
                    <a:xfrm>
                      <a:off x="0" y="0"/>
                      <a:ext cx="3100705" cy="621665"/>
                    </a:xfrm>
                    <a:prstGeom prst="rect">
                      <a:avLst/>
                    </a:prstGeom>
                    <a:noFill/>
                    <a:ln>
                      <a:noFill/>
                    </a:ln>
                  </pic:spPr>
                </pic:pic>
              </a:graphicData>
            </a:graphic>
          </wp:inline>
        </w:drawing>
      </w:r>
    </w:p>
    <w:p>
      <w:pPr>
        <w:numPr>
          <w:ilvl w:val="0"/>
          <w:numId w:val="0"/>
        </w:numPr>
        <w:spacing w:after="0" w:afterLines="-2147483648" w:line="240" w:lineRule="auto"/>
        <w:ind w:leftChars="0" w:firstLine="0" w:firstLineChars="0"/>
        <w:jc w:val="both"/>
        <w:rPr>
          <w:rFonts w:hint="eastAsia" w:ascii="Calibri" w:hAnsi="Calibri" w:eastAsia="宋体" w:cs="Times New Roman"/>
          <w:sz w:val="21"/>
          <w:szCs w:val="24"/>
          <w:lang w:val="en-US" w:eastAsia="zh-CN"/>
        </w:rPr>
      </w:pPr>
      <w:r>
        <w:rPr>
          <w:rFonts w:hint="eastAsia" w:ascii="Calibri" w:hAnsi="Calibri" w:eastAsia="宋体" w:cs="Times New Roman"/>
          <w:sz w:val="21"/>
          <w:szCs w:val="24"/>
          <w:lang w:val="en-US" w:eastAsia="zh-CN"/>
        </w:rPr>
        <w:t>=105.8KN</w:t>
      </w:r>
    </w:p>
    <w:p>
      <w:pPr>
        <w:numPr>
          <w:ilvl w:val="0"/>
          <w:numId w:val="0"/>
        </w:numPr>
        <w:spacing w:after="0" w:afterLines="-2147483648" w:line="240" w:lineRule="auto"/>
        <w:ind w:leftChars="0" w:firstLine="0" w:firstLineChars="0"/>
        <w:jc w:val="both"/>
        <w:rPr>
          <w:rFonts w:hint="eastAsia" w:ascii="Calibri" w:hAnsi="Calibri" w:eastAsia="宋体" w:cs="Times New Roman"/>
          <w:sz w:val="21"/>
          <w:szCs w:val="24"/>
          <w:lang w:val="en-US" w:eastAsia="zh-CN"/>
        </w:rPr>
      </w:pPr>
    </w:p>
    <w:p>
      <w:pPr>
        <w:numPr>
          <w:ilvl w:val="0"/>
          <w:numId w:val="0"/>
        </w:numPr>
        <w:spacing w:after="0" w:afterLines="-2147483648" w:line="240" w:lineRule="auto"/>
        <w:ind w:leftChars="0" w:firstLine="0" w:firstLineChars="0"/>
        <w:jc w:val="both"/>
        <w:rPr>
          <w:rFonts w:ascii="Calibri" w:hAnsi="Calibri" w:eastAsia="宋体" w:cs="Times New Roman"/>
          <w:sz w:val="21"/>
          <w:szCs w:val="24"/>
        </w:rPr>
      </w:pPr>
      <w:r>
        <w:rPr>
          <w:rFonts w:ascii="Calibri" w:hAnsi="Calibri" w:eastAsia="宋体" w:cs="Times New Roman"/>
          <w:sz w:val="21"/>
          <w:szCs w:val="24"/>
        </w:rPr>
        <w:drawing>
          <wp:inline distT="0" distB="0" distL="114300" distR="114300">
            <wp:extent cx="3021330" cy="669925"/>
            <wp:effectExtent l="0" t="0" r="11430" b="635"/>
            <wp:docPr id="1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8"/>
                    <pic:cNvPicPr>
                      <a:picLocks noChangeAspect="1"/>
                    </pic:cNvPicPr>
                  </pic:nvPicPr>
                  <pic:blipFill>
                    <a:blip r:embed="rId102"/>
                    <a:stretch>
                      <a:fillRect/>
                    </a:stretch>
                  </pic:blipFill>
                  <pic:spPr>
                    <a:xfrm>
                      <a:off x="0" y="0"/>
                      <a:ext cx="3021330" cy="669925"/>
                    </a:xfrm>
                    <a:prstGeom prst="rect">
                      <a:avLst/>
                    </a:prstGeom>
                    <a:noFill/>
                    <a:ln>
                      <a:noFill/>
                    </a:ln>
                  </pic:spPr>
                </pic:pic>
              </a:graphicData>
            </a:graphic>
          </wp:inline>
        </w:drawing>
      </w:r>
    </w:p>
    <w:p>
      <w:pPr>
        <w:numPr>
          <w:ilvl w:val="0"/>
          <w:numId w:val="0"/>
        </w:numPr>
        <w:spacing w:after="0" w:afterLines="-2147483648" w:line="240" w:lineRule="auto"/>
        <w:ind w:leftChars="0" w:firstLine="0" w:firstLineChars="0"/>
        <w:jc w:val="both"/>
        <w:rPr>
          <w:rFonts w:hint="default" w:ascii="Calibri" w:hAnsi="Calibri" w:eastAsia="宋体" w:cs="Times New Roman"/>
          <w:sz w:val="21"/>
          <w:szCs w:val="24"/>
          <w:lang w:val="en-US" w:eastAsia="zh-CN"/>
        </w:rPr>
      </w:pPr>
      <w:r>
        <w:rPr>
          <w:rFonts w:hint="eastAsia" w:ascii="Calibri" w:hAnsi="Calibri" w:eastAsia="宋体" w:cs="Times New Roman"/>
          <w:sz w:val="21"/>
          <w:szCs w:val="24"/>
          <w:lang w:val="en-US" w:eastAsia="zh-CN"/>
        </w:rPr>
        <w:t>=43.3KN</w:t>
      </w:r>
    </w:p>
    <w:p>
      <w:pPr>
        <w:numPr>
          <w:ilvl w:val="0"/>
          <w:numId w:val="0"/>
        </w:numPr>
        <w:spacing w:after="0" w:afterLines="-2147483648" w:line="240" w:lineRule="auto"/>
        <w:ind w:leftChars="0" w:firstLine="0" w:firstLineChars="0"/>
        <w:jc w:val="both"/>
        <w:rPr>
          <w:rFonts w:hint="default" w:ascii="Calibri" w:hAnsi="Calibri" w:eastAsia="宋体" w:cs="Times New Roman"/>
          <w:sz w:val="24"/>
          <w:szCs w:val="24"/>
          <w:lang w:val="en-US" w:eastAsia="zh-CN"/>
        </w:rPr>
      </w:pPr>
    </w:p>
    <w:p>
      <w:pPr>
        <w:numPr>
          <w:ilvl w:val="0"/>
          <w:numId w:val="0"/>
        </w:numPr>
        <w:spacing w:after="0" w:afterLines="-2147483648" w:line="240" w:lineRule="auto"/>
        <w:ind w:leftChars="0" w:firstLine="0" w:firstLineChars="0"/>
        <w:jc w:val="both"/>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其中</w:t>
      </w:r>
      <w:r>
        <w:rPr>
          <w:rFonts w:hint="default" w:ascii="Calibri" w:hAnsi="Calibri" w:eastAsia="宋体" w:cs="Times New Roman"/>
          <w:position w:val="-14"/>
          <w:sz w:val="24"/>
          <w:szCs w:val="24"/>
          <w:lang w:val="en-US" w:eastAsia="zh-CN"/>
        </w:rPr>
        <w:object>
          <v:shape id="_x0000_i1028" o:spt="75" type="#_x0000_t75" style="height:19pt;width:51pt;" o:ole="t" filled="f" o:preferrelative="t" stroked="f" coordsize="21600,21600">
            <v:path/>
            <v:fill on="f" focussize="0,0"/>
            <v:stroke on="f"/>
            <v:imagedata r:id="rId104" o:title=""/>
            <o:lock v:ext="edit" aspectratio="t"/>
            <w10:wrap type="none"/>
            <w10:anchorlock/>
          </v:shape>
          <o:OLEObject Type="Embed" ProgID="Equation.KSEE3" ShapeID="_x0000_i1028" DrawAspect="Content" ObjectID="_1468075728" r:id="rId103">
            <o:LockedField>false</o:LockedField>
          </o:OLEObject>
        </w:object>
      </w:r>
      <w:r>
        <w:rPr>
          <w:rFonts w:hint="eastAsia" w:ascii="Calibri" w:hAnsi="Calibri" w:eastAsia="宋体" w:cs="Times New Roman"/>
          <w:sz w:val="24"/>
          <w:szCs w:val="24"/>
          <w:lang w:val="en-US" w:eastAsia="zh-CN"/>
        </w:rPr>
        <w:t>为货物向旋转中心转化的力矩在x、y方向的分力矩</w:t>
      </w:r>
    </w:p>
    <w:p>
      <w:pPr>
        <w:numPr>
          <w:ilvl w:val="0"/>
          <w:numId w:val="0"/>
        </w:numPr>
        <w:spacing w:after="0" w:afterLines="-2147483648" w:line="240" w:lineRule="auto"/>
        <w:ind w:left="840" w:leftChars="0" w:firstLine="420" w:firstLineChars="0"/>
        <w:jc w:val="both"/>
        <w:rPr>
          <w:rFonts w:ascii="Calibri" w:hAnsi="Calibri" w:eastAsia="宋体" w:cs="Times New Roman"/>
          <w:sz w:val="21"/>
          <w:szCs w:val="24"/>
        </w:rPr>
      </w:pPr>
      <w:r>
        <w:rPr>
          <w:rFonts w:ascii="Calibri" w:hAnsi="Calibri" w:eastAsia="宋体" w:cs="Times New Roman"/>
          <w:sz w:val="21"/>
          <w:szCs w:val="24"/>
        </w:rPr>
        <w:drawing>
          <wp:inline distT="0" distB="0" distL="114300" distR="114300">
            <wp:extent cx="1499870" cy="480060"/>
            <wp:effectExtent l="0" t="0" r="8890" b="7620"/>
            <wp:docPr id="1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9"/>
                    <pic:cNvPicPr>
                      <a:picLocks noChangeAspect="1"/>
                    </pic:cNvPicPr>
                  </pic:nvPicPr>
                  <pic:blipFill>
                    <a:blip r:embed="rId105"/>
                    <a:stretch>
                      <a:fillRect/>
                    </a:stretch>
                  </pic:blipFill>
                  <pic:spPr>
                    <a:xfrm>
                      <a:off x="0" y="0"/>
                      <a:ext cx="1499870" cy="480060"/>
                    </a:xfrm>
                    <a:prstGeom prst="rect">
                      <a:avLst/>
                    </a:prstGeom>
                    <a:noFill/>
                    <a:ln>
                      <a:noFill/>
                    </a:ln>
                  </pic:spPr>
                </pic:pic>
              </a:graphicData>
            </a:graphic>
          </wp:inline>
        </w:drawing>
      </w:r>
    </w:p>
    <w:p>
      <w:pPr>
        <w:numPr>
          <w:ilvl w:val="0"/>
          <w:numId w:val="0"/>
        </w:numPr>
        <w:spacing w:after="0" w:afterLines="-2147483648" w:line="240" w:lineRule="auto"/>
        <w:ind w:left="840" w:leftChars="0" w:firstLine="420" w:firstLineChars="0"/>
        <w:jc w:val="both"/>
        <w:rPr>
          <w:rFonts w:hint="eastAsia" w:ascii="Calibri" w:hAnsi="Calibri" w:eastAsia="宋体" w:cs="Times New Roman"/>
          <w:sz w:val="21"/>
          <w:szCs w:val="24"/>
          <w:lang w:val="en-US" w:eastAsia="zh-CN"/>
        </w:rPr>
      </w:pPr>
      <w:r>
        <w:rPr>
          <w:rFonts w:hint="eastAsia" w:ascii="Calibri" w:hAnsi="Calibri" w:eastAsia="宋体" w:cs="Times New Roman"/>
          <w:sz w:val="21"/>
          <w:szCs w:val="24"/>
          <w:lang w:val="en-US" w:eastAsia="zh-CN"/>
        </w:rPr>
        <w:t>=32.35tm</w:t>
      </w:r>
    </w:p>
    <w:p>
      <w:pPr>
        <w:numPr>
          <w:ilvl w:val="0"/>
          <w:numId w:val="0"/>
        </w:numPr>
        <w:spacing w:after="0" w:afterLines="-2147483648" w:line="240" w:lineRule="auto"/>
        <w:ind w:left="840" w:leftChars="0" w:firstLine="420" w:firstLineChars="0"/>
        <w:jc w:val="both"/>
        <w:rPr>
          <w:rFonts w:hint="eastAsia" w:ascii="Calibri" w:hAnsi="Calibri" w:eastAsia="宋体" w:cs="Times New Roman"/>
          <w:sz w:val="21"/>
          <w:szCs w:val="24"/>
          <w:lang w:val="en-US" w:eastAsia="zh-CN"/>
        </w:rPr>
      </w:pPr>
    </w:p>
    <w:p>
      <w:pPr>
        <w:numPr>
          <w:ilvl w:val="0"/>
          <w:numId w:val="0"/>
        </w:numPr>
        <w:spacing w:after="0" w:afterLines="-2147483648" w:line="240" w:lineRule="auto"/>
        <w:ind w:left="840" w:leftChars="0" w:firstLine="420" w:firstLineChars="0"/>
        <w:jc w:val="both"/>
        <w:rPr>
          <w:rFonts w:ascii="Calibri" w:hAnsi="Calibri" w:eastAsia="宋体" w:cs="Times New Roman"/>
          <w:sz w:val="21"/>
          <w:szCs w:val="24"/>
        </w:rPr>
      </w:pPr>
      <w:r>
        <w:rPr>
          <w:rFonts w:ascii="Calibri" w:hAnsi="Calibri" w:eastAsia="宋体" w:cs="Times New Roman"/>
          <w:sz w:val="21"/>
          <w:szCs w:val="24"/>
        </w:rPr>
        <w:drawing>
          <wp:inline distT="0" distB="0" distL="114300" distR="114300">
            <wp:extent cx="1506855" cy="512445"/>
            <wp:effectExtent l="0" t="0" r="1905" b="5715"/>
            <wp:docPr id="4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0"/>
                    <pic:cNvPicPr>
                      <a:picLocks noChangeAspect="1"/>
                    </pic:cNvPicPr>
                  </pic:nvPicPr>
                  <pic:blipFill>
                    <a:blip r:embed="rId106"/>
                    <a:stretch>
                      <a:fillRect/>
                    </a:stretch>
                  </pic:blipFill>
                  <pic:spPr>
                    <a:xfrm>
                      <a:off x="0" y="0"/>
                      <a:ext cx="1506855" cy="512445"/>
                    </a:xfrm>
                    <a:prstGeom prst="rect">
                      <a:avLst/>
                    </a:prstGeom>
                    <a:noFill/>
                    <a:ln>
                      <a:noFill/>
                    </a:ln>
                  </pic:spPr>
                </pic:pic>
              </a:graphicData>
            </a:graphic>
          </wp:inline>
        </w:drawing>
      </w:r>
    </w:p>
    <w:p>
      <w:pPr>
        <w:numPr>
          <w:ilvl w:val="0"/>
          <w:numId w:val="0"/>
        </w:numPr>
        <w:spacing w:after="0" w:afterLines="-2147483648" w:line="240" w:lineRule="auto"/>
        <w:ind w:left="840" w:leftChars="0" w:firstLine="420" w:firstLineChars="0"/>
        <w:jc w:val="both"/>
        <w:rPr>
          <w:rFonts w:hint="eastAsia" w:ascii="Calibri" w:hAnsi="Calibri" w:eastAsia="宋体" w:cs="Times New Roman"/>
          <w:sz w:val="24"/>
          <w:szCs w:val="24"/>
          <w:lang w:val="en-US" w:eastAsia="zh-CN"/>
        </w:rPr>
      </w:pPr>
      <w:r>
        <w:rPr>
          <w:rFonts w:hint="eastAsia" w:ascii="Calibri" w:hAnsi="Calibri" w:eastAsia="宋体" w:cs="Times New Roman"/>
          <w:sz w:val="21"/>
          <w:szCs w:val="24"/>
          <w:lang w:val="en-US" w:eastAsia="zh-CN"/>
        </w:rPr>
        <w:t>=26.16tm</w:t>
      </w:r>
    </w:p>
    <w:p>
      <w:pPr>
        <w:numPr>
          <w:ilvl w:val="0"/>
          <w:numId w:val="0"/>
        </w:numPr>
        <w:spacing w:after="0" w:afterLines="-2147483648" w:line="240" w:lineRule="auto"/>
        <w:ind w:leftChars="0" w:firstLine="0" w:firstLineChars="0"/>
        <w:jc w:val="both"/>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 xml:space="preserve">  </w:t>
      </w:r>
      <w:r>
        <w:rPr>
          <w:rFonts w:hint="default" w:ascii="Calibri" w:hAnsi="Calibri" w:eastAsia="宋体" w:cs="Times New Roman"/>
          <w:position w:val="-14"/>
          <w:sz w:val="24"/>
          <w:szCs w:val="24"/>
          <w:lang w:val="en-US" w:eastAsia="zh-CN"/>
        </w:rPr>
        <w:object>
          <v:shape id="_x0000_i1029" o:spt="75" type="#_x0000_t75" style="height:19pt;width:54pt;" o:ole="t" filled="f" o:preferrelative="t" stroked="f" coordsize="21600,21600">
            <v:path/>
            <v:fill on="f" focussize="0,0"/>
            <v:stroke on="f"/>
            <v:imagedata r:id="rId108" o:title=""/>
            <o:lock v:ext="edit" aspectratio="t"/>
            <w10:wrap type="none"/>
            <w10:anchorlock/>
          </v:shape>
          <o:OLEObject Type="Embed" ProgID="Equation.KSEE3" ShapeID="_x0000_i1029" DrawAspect="Content" ObjectID="_1468075729" r:id="rId107">
            <o:LockedField>false</o:LockedField>
          </o:OLEObject>
        </w:object>
      </w:r>
      <w:r>
        <w:rPr>
          <w:rFonts w:hint="eastAsia" w:ascii="Calibri" w:hAnsi="Calibri" w:eastAsia="宋体" w:cs="Times New Roman"/>
          <w:sz w:val="24"/>
          <w:szCs w:val="24"/>
          <w:lang w:val="en-US" w:eastAsia="zh-CN"/>
        </w:rPr>
        <w:t>为起重机向旋转中心转化的力矩在x、y方向的分力矩</w:t>
      </w:r>
    </w:p>
    <w:p>
      <w:pPr>
        <w:numPr>
          <w:ilvl w:val="0"/>
          <w:numId w:val="0"/>
        </w:numPr>
        <w:spacing w:after="0" w:afterLines="-2147483648" w:line="240" w:lineRule="auto"/>
        <w:ind w:leftChars="0" w:firstLine="1205" w:firstLineChars="574"/>
        <w:jc w:val="both"/>
        <w:rPr>
          <w:rFonts w:ascii="Calibri" w:hAnsi="Calibri" w:eastAsia="宋体" w:cs="Times New Roman"/>
          <w:sz w:val="21"/>
          <w:szCs w:val="24"/>
        </w:rPr>
      </w:pPr>
      <w:r>
        <w:rPr>
          <w:rFonts w:ascii="Calibri" w:hAnsi="Calibri" w:eastAsia="宋体" w:cs="Times New Roman"/>
          <w:sz w:val="21"/>
          <w:szCs w:val="24"/>
        </w:rPr>
        <w:drawing>
          <wp:inline distT="0" distB="0" distL="114300" distR="114300">
            <wp:extent cx="1550035" cy="433705"/>
            <wp:effectExtent l="0" t="0" r="4445" b="8255"/>
            <wp:docPr id="15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1"/>
                    <pic:cNvPicPr>
                      <a:picLocks noChangeAspect="1"/>
                    </pic:cNvPicPr>
                  </pic:nvPicPr>
                  <pic:blipFill>
                    <a:blip r:embed="rId109"/>
                    <a:stretch>
                      <a:fillRect/>
                    </a:stretch>
                  </pic:blipFill>
                  <pic:spPr>
                    <a:xfrm>
                      <a:off x="0" y="0"/>
                      <a:ext cx="1550035" cy="433705"/>
                    </a:xfrm>
                    <a:prstGeom prst="rect">
                      <a:avLst/>
                    </a:prstGeom>
                    <a:noFill/>
                    <a:ln>
                      <a:noFill/>
                    </a:ln>
                  </pic:spPr>
                </pic:pic>
              </a:graphicData>
            </a:graphic>
          </wp:inline>
        </w:drawing>
      </w:r>
    </w:p>
    <w:p>
      <w:pPr>
        <w:numPr>
          <w:ilvl w:val="0"/>
          <w:numId w:val="0"/>
        </w:numPr>
        <w:spacing w:after="0" w:afterLines="-2147483648" w:line="240" w:lineRule="auto"/>
        <w:ind w:leftChars="0" w:firstLine="1205" w:firstLineChars="574"/>
        <w:jc w:val="both"/>
        <w:rPr>
          <w:rFonts w:hint="eastAsia" w:ascii="Calibri" w:hAnsi="Calibri" w:eastAsia="宋体" w:cs="Times New Roman"/>
          <w:sz w:val="21"/>
          <w:szCs w:val="24"/>
          <w:lang w:val="en-US" w:eastAsia="zh-CN"/>
        </w:rPr>
      </w:pPr>
      <w:r>
        <w:rPr>
          <w:rFonts w:hint="eastAsia" w:ascii="Calibri" w:hAnsi="Calibri" w:eastAsia="宋体" w:cs="Times New Roman"/>
          <w:sz w:val="21"/>
          <w:szCs w:val="24"/>
          <w:lang w:val="en-US" w:eastAsia="zh-CN"/>
        </w:rPr>
        <w:t>=0.0tm</w:t>
      </w:r>
    </w:p>
    <w:p>
      <w:pPr>
        <w:numPr>
          <w:ilvl w:val="0"/>
          <w:numId w:val="0"/>
        </w:numPr>
        <w:spacing w:after="0" w:afterLines="-2147483648" w:line="240" w:lineRule="auto"/>
        <w:ind w:leftChars="0" w:firstLine="1205" w:firstLineChars="574"/>
        <w:jc w:val="both"/>
        <w:rPr>
          <w:rFonts w:ascii="Calibri" w:hAnsi="Calibri" w:eastAsia="宋体" w:cs="Times New Roman"/>
          <w:sz w:val="21"/>
          <w:szCs w:val="24"/>
        </w:rPr>
      </w:pPr>
      <w:r>
        <w:rPr>
          <w:rFonts w:ascii="Calibri" w:hAnsi="Calibri" w:eastAsia="宋体" w:cs="Times New Roman"/>
          <w:sz w:val="21"/>
          <w:szCs w:val="24"/>
        </w:rPr>
        <w:drawing>
          <wp:inline distT="0" distB="0" distL="114300" distR="114300">
            <wp:extent cx="1531620" cy="429260"/>
            <wp:effectExtent l="0" t="0" r="7620" b="12700"/>
            <wp:docPr id="4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
                    <pic:cNvPicPr>
                      <a:picLocks noChangeAspect="1"/>
                    </pic:cNvPicPr>
                  </pic:nvPicPr>
                  <pic:blipFill>
                    <a:blip r:embed="rId110"/>
                    <a:stretch>
                      <a:fillRect/>
                    </a:stretch>
                  </pic:blipFill>
                  <pic:spPr>
                    <a:xfrm>
                      <a:off x="0" y="0"/>
                      <a:ext cx="1531620" cy="429260"/>
                    </a:xfrm>
                    <a:prstGeom prst="rect">
                      <a:avLst/>
                    </a:prstGeom>
                    <a:noFill/>
                    <a:ln>
                      <a:noFill/>
                    </a:ln>
                  </pic:spPr>
                </pic:pic>
              </a:graphicData>
            </a:graphic>
          </wp:inline>
        </w:drawing>
      </w:r>
    </w:p>
    <w:p>
      <w:pPr>
        <w:numPr>
          <w:ilvl w:val="0"/>
          <w:numId w:val="0"/>
        </w:numPr>
        <w:spacing w:after="0" w:afterLines="-2147483648" w:line="240" w:lineRule="auto"/>
        <w:ind w:leftChars="0" w:firstLine="1205" w:firstLineChars="574"/>
        <w:jc w:val="both"/>
        <w:rPr>
          <w:rFonts w:hint="default" w:ascii="Calibri" w:hAnsi="Calibri" w:eastAsia="宋体" w:cs="Times New Roman"/>
          <w:sz w:val="24"/>
          <w:szCs w:val="24"/>
          <w:lang w:val="en-US" w:eastAsia="zh-CN"/>
        </w:rPr>
      </w:pPr>
      <w:r>
        <w:rPr>
          <w:rFonts w:hint="eastAsia" w:ascii="Calibri" w:hAnsi="Calibri" w:eastAsia="宋体" w:cs="Times New Roman"/>
          <w:sz w:val="21"/>
          <w:szCs w:val="24"/>
          <w:lang w:val="en-US" w:eastAsia="zh-CN"/>
        </w:rPr>
        <w:t>=0.0tm</w:t>
      </w:r>
    </w:p>
    <w:p>
      <w:pPr>
        <w:numPr>
          <w:ilvl w:val="0"/>
          <w:numId w:val="0"/>
        </w:numPr>
        <w:spacing w:after="0" w:afterLines="-2147483648" w:line="240" w:lineRule="auto"/>
        <w:ind w:leftChars="0" w:firstLine="960" w:firstLineChars="400"/>
        <w:jc w:val="both"/>
        <w:rPr>
          <w:rFonts w:hint="default" w:ascii="Calibri" w:hAnsi="Calibri" w:eastAsia="宋体" w:cs="Times New Roman"/>
          <w:sz w:val="24"/>
          <w:szCs w:val="24"/>
          <w:lang w:val="en-US" w:eastAsia="zh-CN"/>
        </w:rPr>
      </w:pPr>
    </w:p>
    <w:p>
      <w:pPr>
        <w:numPr>
          <w:ilvl w:val="0"/>
          <w:numId w:val="0"/>
        </w:numPr>
        <w:spacing w:after="0" w:afterLines="-2147483648" w:line="240" w:lineRule="auto"/>
        <w:ind w:firstLine="0" w:firstLineChars="0"/>
        <w:jc w:val="both"/>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当β=β0=arctan(b/l) =0.68度时，即臂架垂直于支承平面的对角线AC时，NB达到最大值，此时ND为最小值。将β0代入工中，即可求出最大支承反力和最小支承反力。最大支承反力为146.7KN，最小支承反力为43.3KN。</w:t>
      </w:r>
    </w:p>
    <w:p>
      <w:pPr>
        <w:spacing w:after="120" w:afterLines="50" w:line="300" w:lineRule="auto"/>
        <w:ind w:firstLine="480"/>
        <w:jc w:val="left"/>
        <w:rPr>
          <w:rFonts w:hint="eastAsia" w:ascii="宋体" w:hAnsi="宋体" w:eastAsia="宋体" w:cs="宋体"/>
          <w:sz w:val="24"/>
          <w:szCs w:val="24"/>
        </w:rPr>
      </w:pPr>
      <w:r>
        <w:rPr>
          <w:rFonts w:hint="eastAsia" w:ascii="宋体" w:hAnsi="宋体" w:eastAsia="宋体" w:cs="宋体"/>
          <w:sz w:val="24"/>
          <w:szCs w:val="24"/>
        </w:rPr>
        <w:t>根据以上计算数据,支立时,每个支腿下方放好2m×2m钢板及枕木。</w:t>
      </w:r>
    </w:p>
    <w:p>
      <w:pPr>
        <w:spacing w:after="120" w:afterLines="50" w:line="300" w:lineRule="auto"/>
        <w:ind w:firstLine="480"/>
        <w:jc w:val="left"/>
        <w:rPr>
          <w:rFonts w:hint="eastAsia" w:ascii="宋体" w:hAnsi="宋体" w:eastAsia="宋体" w:cs="宋体"/>
          <w:sz w:val="24"/>
          <w:szCs w:val="24"/>
        </w:rPr>
      </w:pPr>
      <w:r>
        <w:rPr>
          <w:rFonts w:hint="eastAsia" w:ascii="宋体" w:hAnsi="宋体" w:eastAsia="宋体" w:cs="宋体"/>
          <w:sz w:val="24"/>
          <w:szCs w:val="24"/>
        </w:rPr>
        <w:t>支反力下方：N=F/4=</w:t>
      </w:r>
      <w:r>
        <w:rPr>
          <w:rFonts w:hint="eastAsia" w:ascii="宋体" w:hAnsi="宋体" w:eastAsia="宋体" w:cs="宋体"/>
          <w:sz w:val="24"/>
          <w:szCs w:val="24"/>
          <w:lang w:val="en-US" w:eastAsia="zh-CN"/>
        </w:rPr>
        <w:t>146.7</w:t>
      </w:r>
      <w:r>
        <w:rPr>
          <w:rFonts w:hint="eastAsia" w:ascii="宋体" w:hAnsi="宋体" w:eastAsia="宋体" w:cs="宋体"/>
          <w:sz w:val="24"/>
          <w:szCs w:val="24"/>
        </w:rPr>
        <w:t>/4=</w:t>
      </w:r>
      <w:r>
        <w:rPr>
          <w:rFonts w:hint="eastAsia" w:ascii="宋体" w:hAnsi="宋体" w:eastAsia="宋体" w:cs="宋体"/>
          <w:sz w:val="24"/>
          <w:szCs w:val="24"/>
          <w:lang w:val="en-US" w:eastAsia="zh-CN"/>
        </w:rPr>
        <w:t>36.72</w:t>
      </w:r>
      <w:r>
        <w:rPr>
          <w:rFonts w:hint="eastAsia" w:ascii="宋体" w:hAnsi="宋体" w:eastAsia="宋体" w:cs="宋体"/>
          <w:sz w:val="24"/>
          <w:szCs w:val="24"/>
        </w:rPr>
        <w:t>Kpa，</w:t>
      </w:r>
      <w:r>
        <w:rPr>
          <w:rFonts w:hint="eastAsia" w:ascii="宋体" w:hAnsi="宋体" w:eastAsia="宋体" w:cs="宋体"/>
          <w:sz w:val="24"/>
          <w:szCs w:val="24"/>
          <w:lang w:val="en-US" w:eastAsia="zh-CN"/>
        </w:rPr>
        <w:t>小于地基承载力，故</w:t>
      </w:r>
      <w:r>
        <w:rPr>
          <w:rFonts w:hint="eastAsia" w:ascii="宋体" w:hAnsi="宋体" w:eastAsia="宋体" w:cs="宋体"/>
          <w:sz w:val="24"/>
          <w:szCs w:val="24"/>
        </w:rPr>
        <w:t>满足要求。</w:t>
      </w:r>
    </w:p>
    <w:p>
      <w:pPr>
        <w:pStyle w:val="3"/>
      </w:pPr>
      <w:bookmarkStart w:id="241" w:name="_Toc30657"/>
      <w:r>
        <w:rPr>
          <w:rFonts w:hint="eastAsia"/>
        </w:rPr>
        <w:t>吊索具选型计算</w:t>
      </w:r>
      <w:bookmarkEnd w:id="238"/>
      <w:bookmarkEnd w:id="239"/>
      <w:bookmarkEnd w:id="240"/>
      <w:bookmarkEnd w:id="241"/>
    </w:p>
    <w:p>
      <w:pPr>
        <w:pStyle w:val="4"/>
      </w:pPr>
      <w:r>
        <w:rPr>
          <w:rFonts w:hint="eastAsia"/>
        </w:rPr>
        <w:t>吊索选型计算</w:t>
      </w:r>
    </w:p>
    <w:p>
      <w:pPr>
        <w:pStyle w:val="5"/>
        <w:rPr>
          <w:color w:val="0000FF"/>
        </w:rPr>
      </w:pPr>
      <w:bookmarkStart w:id="242" w:name="_Ref84675456"/>
      <w:r>
        <w:rPr>
          <w:rFonts w:hint="eastAsia"/>
          <w:color w:val="0000FF"/>
        </w:rPr>
        <w:t>工作载荷计算</w:t>
      </w:r>
      <w:bookmarkEnd w:id="242"/>
      <w:r>
        <w:rPr>
          <w:rFonts w:hint="eastAsia"/>
          <w:color w:val="0000FF"/>
        </w:rPr>
        <w:t>方法</w:t>
      </w:r>
    </w:p>
    <w:p>
      <w:pPr>
        <w:spacing w:after="120" w:afterLines="50" w:line="300" w:lineRule="auto"/>
        <w:ind w:firstLine="480"/>
        <w:jc w:val="left"/>
        <w:rPr>
          <w:rFonts w:hint="eastAsia" w:ascii="宋体" w:hAnsi="宋体" w:eastAsia="宋体" w:cs="宋体"/>
          <w:bCs/>
          <w:color w:val="000000"/>
          <w:szCs w:val="24"/>
        </w:rPr>
      </w:pPr>
      <w:bookmarkStart w:id="243" w:name="_Ref128161839"/>
      <w:r>
        <w:rPr>
          <w:rFonts w:hint="eastAsia" w:ascii="宋体" w:hAnsi="宋体" w:eastAsia="宋体" w:cs="宋体"/>
          <w:bCs/>
          <w:color w:val="000000"/>
          <w:szCs w:val="24"/>
        </w:rPr>
        <w:t>选用钢丝绳结构：6×19+FC，公称抗拉强度1700MPa，单位：mm</w:t>
      </w:r>
    </w:p>
    <w:p>
      <w:pPr>
        <w:spacing w:after="0" w:afterLines="0" w:line="30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表</w:t>
      </w:r>
      <w:r>
        <w:rPr>
          <w:rFonts w:hint="eastAsia" w:ascii="宋体" w:hAnsi="宋体" w:cs="宋体"/>
          <w:bCs/>
          <w:color w:val="000000"/>
          <w:szCs w:val="24"/>
          <w:lang w:val="en-US" w:eastAsia="zh-CN"/>
        </w:rPr>
        <w:t>10</w:t>
      </w:r>
      <w:r>
        <w:rPr>
          <w:rFonts w:hint="eastAsia" w:ascii="宋体" w:hAnsi="宋体" w:eastAsia="宋体" w:cs="宋体"/>
          <w:bCs/>
          <w:color w:val="000000"/>
          <w:szCs w:val="24"/>
        </w:rPr>
        <w:t>-1</w:t>
      </w:r>
    </w:p>
    <w:p>
      <w:pPr>
        <w:spacing w:after="120" w:afterLines="50" w:line="30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drawing>
          <wp:inline distT="0" distB="0" distL="114300" distR="114300">
            <wp:extent cx="4899660" cy="4406265"/>
            <wp:effectExtent l="0" t="0" r="7620" b="13335"/>
            <wp:docPr id="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
                    <pic:cNvPicPr>
                      <a:picLocks noChangeAspect="1"/>
                    </pic:cNvPicPr>
                  </pic:nvPicPr>
                  <pic:blipFill>
                    <a:blip r:embed="rId111"/>
                    <a:stretch>
                      <a:fillRect/>
                    </a:stretch>
                  </pic:blipFill>
                  <pic:spPr>
                    <a:xfrm>
                      <a:off x="0" y="0"/>
                      <a:ext cx="4913241" cy="4406265"/>
                    </a:xfrm>
                    <a:prstGeom prst="rect">
                      <a:avLst/>
                    </a:prstGeom>
                    <a:noFill/>
                    <a:ln w="9525">
                      <a:noFill/>
                    </a:ln>
                  </pic:spPr>
                </pic:pic>
              </a:graphicData>
            </a:graphic>
          </wp:inline>
        </w:drawing>
      </w:r>
    </w:p>
    <w:p>
      <w:pPr>
        <w:spacing w:after="120" w:afterLines="50" w:line="300" w:lineRule="auto"/>
        <w:ind w:firstLine="0" w:firstLineChars="0"/>
        <w:jc w:val="left"/>
        <w:rPr>
          <w:rFonts w:hint="eastAsia" w:ascii="宋体" w:hAnsi="宋体" w:eastAsia="宋体" w:cs="宋体"/>
          <w:bCs/>
          <w:color w:val="000000"/>
          <w:szCs w:val="24"/>
        </w:rPr>
      </w:pPr>
      <w:bookmarkStart w:id="244" w:name="_Hlk37180082"/>
      <w:r>
        <w:rPr>
          <w:rFonts w:hint="eastAsia" w:ascii="宋体" w:hAnsi="宋体" w:eastAsia="宋体" w:cs="宋体"/>
          <w:bCs/>
          <w:color w:val="000000"/>
          <w:szCs w:val="24"/>
        </w:rPr>
        <w:t>钢丝绳最小破断拉力见表1</w:t>
      </w:r>
      <w:r>
        <w:rPr>
          <w:rFonts w:hint="eastAsia" w:ascii="宋体" w:hAnsi="宋体" w:cs="宋体"/>
          <w:bCs/>
          <w:color w:val="000000"/>
          <w:szCs w:val="24"/>
          <w:lang w:val="en-US" w:eastAsia="zh-CN"/>
        </w:rPr>
        <w:t>0</w:t>
      </w:r>
      <w:r>
        <w:rPr>
          <w:rFonts w:hint="eastAsia" w:ascii="宋体" w:hAnsi="宋体" w:eastAsia="宋体" w:cs="宋体"/>
          <w:bCs/>
          <w:color w:val="000000"/>
          <w:szCs w:val="24"/>
        </w:rPr>
        <w:t>-2</w:t>
      </w:r>
    </w:p>
    <w:p>
      <w:pPr>
        <w:spacing w:after="0" w:afterLines="0" w:line="300" w:lineRule="auto"/>
        <w:ind w:firstLine="480"/>
        <w:jc w:val="center"/>
        <w:rPr>
          <w:rFonts w:hint="eastAsia" w:ascii="宋体" w:hAnsi="宋体" w:eastAsia="宋体" w:cs="宋体"/>
          <w:bCs/>
          <w:color w:val="000000"/>
          <w:szCs w:val="24"/>
        </w:rPr>
      </w:pPr>
      <w:r>
        <w:rPr>
          <w:rFonts w:hint="eastAsia" w:ascii="宋体" w:hAnsi="宋体" w:eastAsia="宋体" w:cs="宋体"/>
          <w:bCs/>
          <w:color w:val="000000"/>
          <w:szCs w:val="24"/>
        </w:rPr>
        <w:t>表</w:t>
      </w:r>
      <w:r>
        <w:rPr>
          <w:rFonts w:hint="eastAsia" w:ascii="宋体" w:hAnsi="宋体" w:cs="宋体"/>
          <w:bCs/>
          <w:color w:val="000000"/>
          <w:szCs w:val="24"/>
          <w:lang w:val="en-US" w:eastAsia="zh-CN"/>
        </w:rPr>
        <w:t>10</w:t>
      </w:r>
      <w:r>
        <w:rPr>
          <w:rFonts w:hint="eastAsia" w:ascii="宋体" w:hAnsi="宋体" w:eastAsia="宋体" w:cs="宋体"/>
          <w:bCs/>
          <w:color w:val="000000"/>
          <w:szCs w:val="24"/>
        </w:rPr>
        <w:t>-2</w:t>
      </w:r>
    </w:p>
    <w:tbl>
      <w:tblPr>
        <w:tblStyle w:val="41"/>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9"/>
        <w:gridCol w:w="3081"/>
        <w:gridCol w:w="3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079" w:type="dxa"/>
            <w:vAlign w:val="center"/>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直径（mm）</w:t>
            </w:r>
          </w:p>
        </w:tc>
        <w:tc>
          <w:tcPr>
            <w:tcW w:w="3081" w:type="dxa"/>
            <w:vAlign w:val="center"/>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直径φ=16mm</w:t>
            </w:r>
          </w:p>
        </w:tc>
        <w:tc>
          <w:tcPr>
            <w:tcW w:w="3080" w:type="dxa"/>
            <w:vAlign w:val="center"/>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直径φ=24mm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3079" w:type="dxa"/>
            <w:vAlign w:val="center"/>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破断拉力（kN）</w:t>
            </w:r>
          </w:p>
        </w:tc>
        <w:tc>
          <w:tcPr>
            <w:tcW w:w="3081" w:type="dxa"/>
            <w:vAlign w:val="center"/>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S</w:t>
            </w:r>
            <w:r>
              <w:rPr>
                <w:rFonts w:hint="eastAsia" w:ascii="宋体" w:hAnsi="宋体" w:eastAsia="宋体" w:cs="宋体"/>
                <w:bCs/>
                <w:color w:val="000000"/>
                <w:szCs w:val="24"/>
                <w:vertAlign w:val="subscript"/>
              </w:rPr>
              <w:t>p</w:t>
            </w:r>
            <w:r>
              <w:rPr>
                <w:rFonts w:hint="eastAsia" w:ascii="宋体" w:hAnsi="宋体" w:eastAsia="宋体" w:cs="宋体"/>
                <w:bCs/>
                <w:color w:val="000000"/>
                <w:szCs w:val="24"/>
              </w:rPr>
              <w:t>=150</w:t>
            </w:r>
          </w:p>
        </w:tc>
        <w:tc>
          <w:tcPr>
            <w:tcW w:w="3080" w:type="dxa"/>
            <w:vAlign w:val="center"/>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S</w:t>
            </w:r>
            <w:r>
              <w:rPr>
                <w:rFonts w:hint="eastAsia" w:ascii="宋体" w:hAnsi="宋体" w:eastAsia="宋体" w:cs="宋体"/>
                <w:bCs/>
                <w:color w:val="000000"/>
                <w:szCs w:val="24"/>
                <w:vertAlign w:val="subscript"/>
              </w:rPr>
              <w:t>p</w:t>
            </w:r>
            <w:r>
              <w:rPr>
                <w:rFonts w:hint="eastAsia" w:ascii="宋体" w:hAnsi="宋体" w:eastAsia="宋体" w:cs="宋体"/>
                <w:bCs/>
                <w:color w:val="000000"/>
                <w:szCs w:val="24"/>
              </w:rPr>
              <w:t>=336</w:t>
            </w:r>
          </w:p>
        </w:tc>
      </w:tr>
    </w:tbl>
    <w:p>
      <w:pPr>
        <w:spacing w:after="120" w:afterLines="50" w:line="300" w:lineRule="auto"/>
        <w:ind w:firstLine="0" w:firstLineChars="0"/>
        <w:jc w:val="left"/>
        <w:rPr>
          <w:rFonts w:hint="eastAsia" w:ascii="宋体" w:hAnsi="宋体" w:eastAsia="宋体" w:cs="宋体"/>
          <w:bCs/>
          <w:color w:val="000000"/>
          <w:szCs w:val="24"/>
        </w:rPr>
      </w:pPr>
      <w:r>
        <w:rPr>
          <w:rFonts w:hint="eastAsia" w:ascii="宋体" w:hAnsi="宋体" w:eastAsia="宋体" w:cs="宋体"/>
          <w:bCs/>
          <w:color w:val="000000"/>
          <w:szCs w:val="24"/>
        </w:rPr>
        <w:t>安全系数：用于吊索有弯曲：K=</w:t>
      </w:r>
      <w:r>
        <w:rPr>
          <w:rFonts w:hint="eastAsia" w:ascii="宋体" w:hAnsi="宋体" w:eastAsia="宋体" w:cs="宋体"/>
          <w:bCs/>
          <w:color w:val="000000"/>
          <w:szCs w:val="24"/>
          <w:lang w:val="en-US" w:eastAsia="zh-CN"/>
        </w:rPr>
        <w:t>8</w:t>
      </w:r>
      <w:r>
        <w:rPr>
          <w:rFonts w:hint="eastAsia" w:ascii="宋体" w:hAnsi="宋体" w:eastAsia="宋体" w:cs="宋体"/>
          <w:bCs/>
          <w:color w:val="000000"/>
          <w:szCs w:val="24"/>
        </w:rPr>
        <w:t>。</w:t>
      </w:r>
    </w:p>
    <w:p>
      <w:pPr>
        <w:spacing w:after="120" w:afterLines="50" w:line="300" w:lineRule="auto"/>
        <w:ind w:firstLine="0" w:firstLineChars="0"/>
        <w:jc w:val="left"/>
        <w:rPr>
          <w:rFonts w:hint="eastAsia" w:ascii="宋体" w:hAnsi="宋体" w:eastAsia="宋体" w:cs="宋体"/>
          <w:bCs/>
          <w:color w:val="000000"/>
          <w:szCs w:val="24"/>
        </w:rPr>
      </w:pPr>
      <w:r>
        <w:rPr>
          <w:rFonts w:hint="eastAsia" w:ascii="宋体" w:hAnsi="宋体" w:eastAsia="宋体" w:cs="宋体"/>
          <w:bCs/>
          <w:color w:val="000000"/>
          <w:szCs w:val="24"/>
        </w:rPr>
        <w:t>折减系数：对6×19钢丝绳：ψ=0.82。</w:t>
      </w:r>
    </w:p>
    <w:p>
      <w:pPr>
        <w:spacing w:after="120" w:afterLines="50" w:line="300" w:lineRule="auto"/>
        <w:ind w:firstLine="0" w:firstLineChars="0"/>
        <w:jc w:val="left"/>
        <w:rPr>
          <w:rFonts w:hint="eastAsia" w:ascii="宋体" w:hAnsi="宋体" w:eastAsia="宋体" w:cs="宋体"/>
          <w:bCs/>
          <w:color w:val="000000"/>
          <w:szCs w:val="24"/>
        </w:rPr>
      </w:pPr>
      <w:r>
        <w:rPr>
          <w:rFonts w:hint="eastAsia" w:ascii="宋体" w:hAnsi="宋体" w:eastAsia="宋体" w:cs="宋体"/>
          <w:bCs/>
          <w:color w:val="000000"/>
          <w:szCs w:val="24"/>
        </w:rPr>
        <w:t>钢丝绳许用拉力：P=S</w:t>
      </w:r>
      <w:r>
        <w:rPr>
          <w:rFonts w:hint="eastAsia" w:ascii="宋体" w:hAnsi="宋体" w:eastAsia="宋体" w:cs="宋体"/>
          <w:bCs/>
          <w:color w:val="000000"/>
          <w:szCs w:val="24"/>
          <w:vertAlign w:val="subscript"/>
        </w:rPr>
        <w:t>p</w:t>
      </w:r>
      <w:r>
        <w:rPr>
          <w:rFonts w:hint="eastAsia" w:ascii="宋体" w:hAnsi="宋体" w:eastAsia="宋体" w:cs="宋体"/>
          <w:bCs/>
          <w:color w:val="000000"/>
          <w:szCs w:val="24"/>
        </w:rPr>
        <w:t>/K</w:t>
      </w:r>
    </w:p>
    <w:p>
      <w:pPr>
        <w:spacing w:after="0" w:afterLines="0" w:line="300" w:lineRule="auto"/>
        <w:ind w:firstLine="480"/>
        <w:jc w:val="center"/>
        <w:rPr>
          <w:rFonts w:hint="eastAsia" w:ascii="宋体" w:hAnsi="宋体" w:eastAsia="宋体" w:cs="宋体"/>
          <w:bCs/>
          <w:color w:val="000000"/>
          <w:szCs w:val="24"/>
        </w:rPr>
      </w:pPr>
      <w:r>
        <w:rPr>
          <w:rFonts w:hint="eastAsia" w:ascii="宋体" w:hAnsi="宋体" w:eastAsia="宋体" w:cs="宋体"/>
          <w:bCs/>
          <w:color w:val="000000"/>
          <w:szCs w:val="24"/>
        </w:rPr>
        <w:t>表1</w:t>
      </w:r>
      <w:r>
        <w:rPr>
          <w:rFonts w:hint="eastAsia" w:ascii="宋体" w:hAnsi="宋体" w:cs="宋体"/>
          <w:bCs/>
          <w:color w:val="000000"/>
          <w:szCs w:val="24"/>
          <w:lang w:val="en-US" w:eastAsia="zh-CN"/>
        </w:rPr>
        <w:t>0</w:t>
      </w:r>
      <w:r>
        <w:rPr>
          <w:rFonts w:hint="eastAsia" w:ascii="宋体" w:hAnsi="宋体" w:eastAsia="宋体" w:cs="宋体"/>
          <w:bCs/>
          <w:color w:val="000000"/>
          <w:szCs w:val="24"/>
        </w:rPr>
        <w:t>-3</w:t>
      </w:r>
    </w:p>
    <w:tbl>
      <w:tblPr>
        <w:tblStyle w:val="41"/>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9"/>
        <w:gridCol w:w="3081"/>
        <w:gridCol w:w="3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079" w:type="dxa"/>
            <w:vAlign w:val="center"/>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直径（mm）</w:t>
            </w:r>
          </w:p>
        </w:tc>
        <w:tc>
          <w:tcPr>
            <w:tcW w:w="3081" w:type="dxa"/>
            <w:vAlign w:val="center"/>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直径φ=16mm</w:t>
            </w:r>
          </w:p>
        </w:tc>
        <w:tc>
          <w:tcPr>
            <w:tcW w:w="3080" w:type="dxa"/>
            <w:vAlign w:val="center"/>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直径φ=24mm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3079" w:type="dxa"/>
            <w:vAlign w:val="center"/>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破断拉力（kN）</w:t>
            </w:r>
          </w:p>
        </w:tc>
        <w:tc>
          <w:tcPr>
            <w:tcW w:w="3081" w:type="dxa"/>
            <w:vAlign w:val="center"/>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S</w:t>
            </w:r>
            <w:r>
              <w:rPr>
                <w:rFonts w:hint="eastAsia" w:ascii="宋体" w:hAnsi="宋体" w:eastAsia="宋体" w:cs="宋体"/>
                <w:bCs/>
                <w:color w:val="000000"/>
                <w:szCs w:val="24"/>
                <w:vertAlign w:val="subscript"/>
              </w:rPr>
              <w:t>p</w:t>
            </w:r>
            <w:r>
              <w:rPr>
                <w:rFonts w:hint="eastAsia" w:ascii="宋体" w:hAnsi="宋体" w:eastAsia="宋体" w:cs="宋体"/>
                <w:bCs/>
                <w:color w:val="000000"/>
                <w:szCs w:val="24"/>
              </w:rPr>
              <w:t>=25</w:t>
            </w:r>
          </w:p>
        </w:tc>
        <w:tc>
          <w:tcPr>
            <w:tcW w:w="3080" w:type="dxa"/>
            <w:vAlign w:val="center"/>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S</w:t>
            </w:r>
            <w:r>
              <w:rPr>
                <w:rFonts w:hint="eastAsia" w:ascii="宋体" w:hAnsi="宋体" w:eastAsia="宋体" w:cs="宋体"/>
                <w:bCs/>
                <w:color w:val="000000"/>
                <w:szCs w:val="24"/>
                <w:vertAlign w:val="subscript"/>
              </w:rPr>
              <w:t>p</w:t>
            </w:r>
            <w:r>
              <w:rPr>
                <w:rFonts w:hint="eastAsia" w:ascii="宋体" w:hAnsi="宋体" w:eastAsia="宋体" w:cs="宋体"/>
                <w:bCs/>
                <w:color w:val="000000"/>
                <w:szCs w:val="24"/>
              </w:rPr>
              <w:t>=56</w:t>
            </w:r>
          </w:p>
        </w:tc>
      </w:tr>
    </w:tbl>
    <w:p>
      <w:pPr>
        <w:spacing w:after="120" w:afterLines="50" w:line="300" w:lineRule="auto"/>
        <w:ind w:firstLine="0" w:firstLineChars="0"/>
        <w:jc w:val="left"/>
        <w:rPr>
          <w:rFonts w:hint="eastAsia" w:ascii="宋体" w:hAnsi="宋体" w:eastAsia="宋体" w:cs="宋体"/>
          <w:bCs/>
          <w:color w:val="000000"/>
          <w:szCs w:val="24"/>
        </w:rPr>
      </w:pPr>
      <w:r>
        <w:rPr>
          <w:rFonts w:hint="eastAsia" w:ascii="宋体" w:hAnsi="宋体" w:eastAsia="宋体" w:cs="宋体"/>
          <w:bCs/>
          <w:color w:val="000000"/>
          <w:szCs w:val="24"/>
        </w:rPr>
        <w:t>钢丝绳需用吊重：</w:t>
      </w:r>
    </w:p>
    <w:p>
      <w:pPr>
        <w:spacing w:after="0" w:afterLines="0" w:line="300" w:lineRule="auto"/>
        <w:ind w:firstLine="480"/>
        <w:jc w:val="center"/>
        <w:rPr>
          <w:rFonts w:hint="eastAsia" w:ascii="宋体" w:hAnsi="宋体" w:eastAsia="宋体" w:cs="宋体"/>
          <w:bCs/>
          <w:color w:val="000000"/>
          <w:szCs w:val="24"/>
        </w:rPr>
      </w:pPr>
      <w:r>
        <w:rPr>
          <w:rFonts w:hint="eastAsia" w:ascii="宋体" w:hAnsi="宋体" w:eastAsia="宋体" w:cs="宋体"/>
          <w:bCs/>
          <w:color w:val="000000"/>
          <w:szCs w:val="24"/>
        </w:rPr>
        <w:drawing>
          <wp:anchor distT="0" distB="0" distL="114935" distR="114935" simplePos="0" relativeHeight="251666432" behindDoc="0" locked="0" layoutInCell="1" allowOverlap="1">
            <wp:simplePos x="0" y="0"/>
            <wp:positionH relativeFrom="column">
              <wp:posOffset>1417320</wp:posOffset>
            </wp:positionH>
            <wp:positionV relativeFrom="paragraph">
              <wp:posOffset>1128395</wp:posOffset>
            </wp:positionV>
            <wp:extent cx="2715260" cy="3253740"/>
            <wp:effectExtent l="0" t="0" r="12700" b="7620"/>
            <wp:wrapTopAndBottom/>
            <wp:docPr id="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
                    <pic:cNvPicPr>
                      <a:picLocks noChangeAspect="1"/>
                    </pic:cNvPicPr>
                  </pic:nvPicPr>
                  <pic:blipFill>
                    <a:blip r:embed="rId112"/>
                    <a:stretch>
                      <a:fillRect/>
                    </a:stretch>
                  </pic:blipFill>
                  <pic:spPr>
                    <a:xfrm>
                      <a:off x="0" y="0"/>
                      <a:ext cx="2715260" cy="3253740"/>
                    </a:xfrm>
                    <a:prstGeom prst="rect">
                      <a:avLst/>
                    </a:prstGeom>
                    <a:noFill/>
                    <a:ln w="9525">
                      <a:noFill/>
                    </a:ln>
                  </pic:spPr>
                </pic:pic>
              </a:graphicData>
            </a:graphic>
          </wp:anchor>
        </w:drawing>
      </w:r>
      <w:r>
        <w:rPr>
          <w:rFonts w:hint="eastAsia" w:ascii="宋体" w:hAnsi="宋体" w:eastAsia="宋体" w:cs="宋体"/>
          <w:bCs/>
          <w:color w:val="000000"/>
          <w:szCs w:val="24"/>
        </w:rPr>
        <w:t>表1</w:t>
      </w:r>
      <w:r>
        <w:rPr>
          <w:rFonts w:hint="eastAsia" w:ascii="宋体" w:hAnsi="宋体" w:cs="宋体"/>
          <w:bCs/>
          <w:color w:val="000000"/>
          <w:szCs w:val="24"/>
          <w:lang w:val="en-US" w:eastAsia="zh-CN"/>
        </w:rPr>
        <w:t>0</w:t>
      </w:r>
      <w:r>
        <w:rPr>
          <w:rFonts w:hint="eastAsia" w:ascii="宋体" w:hAnsi="宋体" w:eastAsia="宋体" w:cs="宋体"/>
          <w:bCs/>
          <w:color w:val="000000"/>
          <w:szCs w:val="24"/>
        </w:rPr>
        <w:t>-4</w:t>
      </w:r>
    </w:p>
    <w:tbl>
      <w:tblPr>
        <w:tblStyle w:val="41"/>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9"/>
        <w:gridCol w:w="3081"/>
        <w:gridCol w:w="3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079" w:type="dxa"/>
            <w:vAlign w:val="center"/>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直径（mm）</w:t>
            </w:r>
          </w:p>
        </w:tc>
        <w:tc>
          <w:tcPr>
            <w:tcW w:w="3081" w:type="dxa"/>
            <w:vAlign w:val="center"/>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直径φ=16mm</w:t>
            </w:r>
          </w:p>
        </w:tc>
        <w:tc>
          <w:tcPr>
            <w:tcW w:w="3080" w:type="dxa"/>
            <w:vAlign w:val="center"/>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直径φ=24mm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3079" w:type="dxa"/>
            <w:vAlign w:val="center"/>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许用吊重（t）</w:t>
            </w:r>
          </w:p>
        </w:tc>
        <w:tc>
          <w:tcPr>
            <w:tcW w:w="3081" w:type="dxa"/>
            <w:vAlign w:val="center"/>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m=2.5</w:t>
            </w:r>
          </w:p>
        </w:tc>
        <w:tc>
          <w:tcPr>
            <w:tcW w:w="3080" w:type="dxa"/>
            <w:vAlign w:val="center"/>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m=5.6</w:t>
            </w:r>
          </w:p>
        </w:tc>
      </w:tr>
    </w:tbl>
    <w:p>
      <w:pPr>
        <w:spacing w:after="0" w:afterLines="0" w:line="300" w:lineRule="auto"/>
        <w:ind w:firstLine="480"/>
        <w:jc w:val="center"/>
        <w:rPr>
          <w:rFonts w:hint="eastAsia" w:ascii="宋体" w:hAnsi="宋体" w:eastAsia="宋体" w:cs="宋体"/>
          <w:bCs/>
          <w:color w:val="000000"/>
          <w:szCs w:val="24"/>
        </w:rPr>
      </w:pPr>
      <w:r>
        <w:rPr>
          <w:rFonts w:hint="eastAsia" w:ascii="宋体" w:hAnsi="宋体" w:eastAsia="宋体" w:cs="宋体"/>
          <w:bCs/>
          <w:color w:val="000000"/>
          <w:szCs w:val="24"/>
        </w:rPr>
        <w:t>图11-1</w:t>
      </w:r>
    </w:p>
    <w:p>
      <w:pPr>
        <w:spacing w:after="120" w:afterLines="50" w:line="300" w:lineRule="auto"/>
        <w:ind w:firstLine="0" w:firstLineChars="0"/>
        <w:jc w:val="both"/>
        <w:rPr>
          <w:rFonts w:hint="eastAsia" w:ascii="宋体" w:hAnsi="宋体" w:eastAsia="宋体" w:cs="宋体"/>
          <w:bCs/>
          <w:color w:val="000000"/>
          <w:szCs w:val="24"/>
        </w:rPr>
      </w:pPr>
      <w:r>
        <w:rPr>
          <w:rFonts w:hint="eastAsia" w:ascii="宋体" w:hAnsi="宋体" w:eastAsia="宋体" w:cs="宋体"/>
          <w:bCs/>
          <w:color w:val="000000"/>
          <w:szCs w:val="24"/>
        </w:rPr>
        <w:t>不同直径、吊装水平夹角下的吊索许用吊重表</w:t>
      </w:r>
    </w:p>
    <w:p>
      <w:pPr>
        <w:spacing w:after="0" w:afterLines="0" w:line="300" w:lineRule="auto"/>
        <w:ind w:firstLine="480"/>
        <w:jc w:val="center"/>
        <w:rPr>
          <w:rFonts w:hint="eastAsia" w:ascii="宋体" w:hAnsi="宋体" w:eastAsia="宋体" w:cs="宋体"/>
          <w:bCs/>
          <w:color w:val="000000"/>
          <w:szCs w:val="24"/>
        </w:rPr>
      </w:pPr>
      <w:r>
        <w:rPr>
          <w:rFonts w:hint="eastAsia" w:ascii="宋体" w:hAnsi="宋体" w:eastAsia="宋体" w:cs="宋体"/>
          <w:bCs/>
          <w:color w:val="000000"/>
          <w:szCs w:val="24"/>
        </w:rPr>
        <w:t>表1</w:t>
      </w:r>
      <w:r>
        <w:rPr>
          <w:rFonts w:hint="eastAsia" w:ascii="宋体" w:hAnsi="宋体" w:eastAsia="宋体" w:cs="宋体"/>
          <w:bCs/>
          <w:color w:val="000000"/>
          <w:szCs w:val="24"/>
          <w:lang w:val="en-US" w:eastAsia="zh-CN"/>
        </w:rPr>
        <w:t>2</w:t>
      </w:r>
      <w:r>
        <w:rPr>
          <w:rFonts w:hint="eastAsia" w:ascii="宋体" w:hAnsi="宋体" w:eastAsia="宋体" w:cs="宋体"/>
          <w:bCs/>
          <w:color w:val="000000"/>
          <w:szCs w:val="24"/>
        </w:rPr>
        <w:t>-5</w:t>
      </w:r>
    </w:p>
    <w:tbl>
      <w:tblPr>
        <w:tblStyle w:val="41"/>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3786"/>
        <w:gridCol w:w="3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直径（mm）</w:t>
            </w:r>
          </w:p>
        </w:tc>
        <w:tc>
          <w:tcPr>
            <w:tcW w:w="3786" w:type="dxa"/>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φ=16mm</w:t>
            </w:r>
          </w:p>
        </w:tc>
        <w:tc>
          <w:tcPr>
            <w:tcW w:w="3096" w:type="dxa"/>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φ=24mm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吊装角度</w:t>
            </w:r>
          </w:p>
        </w:tc>
        <w:tc>
          <w:tcPr>
            <w:tcW w:w="6882" w:type="dxa"/>
            <w:gridSpan w:val="2"/>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许用吊重（t）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30°</w:t>
            </w:r>
          </w:p>
        </w:tc>
        <w:tc>
          <w:tcPr>
            <w:tcW w:w="3786" w:type="dxa"/>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1.25</w:t>
            </w:r>
          </w:p>
        </w:tc>
        <w:tc>
          <w:tcPr>
            <w:tcW w:w="3096" w:type="dxa"/>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45°</w:t>
            </w:r>
          </w:p>
        </w:tc>
        <w:tc>
          <w:tcPr>
            <w:tcW w:w="3786" w:type="dxa"/>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1.768</w:t>
            </w:r>
          </w:p>
        </w:tc>
        <w:tc>
          <w:tcPr>
            <w:tcW w:w="3096" w:type="dxa"/>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3.960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60°</w:t>
            </w:r>
          </w:p>
        </w:tc>
        <w:tc>
          <w:tcPr>
            <w:tcW w:w="3786" w:type="dxa"/>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2.165</w:t>
            </w:r>
          </w:p>
        </w:tc>
        <w:tc>
          <w:tcPr>
            <w:tcW w:w="3096" w:type="dxa"/>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4.850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75°</w:t>
            </w:r>
          </w:p>
        </w:tc>
        <w:tc>
          <w:tcPr>
            <w:tcW w:w="3786" w:type="dxa"/>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2.415</w:t>
            </w:r>
          </w:p>
        </w:tc>
        <w:tc>
          <w:tcPr>
            <w:tcW w:w="3096" w:type="dxa"/>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5.409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90°</w:t>
            </w:r>
          </w:p>
        </w:tc>
        <w:tc>
          <w:tcPr>
            <w:tcW w:w="3786" w:type="dxa"/>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2.5</w:t>
            </w:r>
          </w:p>
        </w:tc>
        <w:tc>
          <w:tcPr>
            <w:tcW w:w="3096" w:type="dxa"/>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5.6</w:t>
            </w:r>
          </w:p>
        </w:tc>
      </w:tr>
      <w:bookmarkEnd w:id="244"/>
    </w:tbl>
    <w:p>
      <w:pPr>
        <w:spacing w:after="50" w:afterLines="50" w:line="300" w:lineRule="auto"/>
        <w:ind w:firstLine="420"/>
        <w:jc w:val="left"/>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br w:type="page"/>
      </w:r>
    </w:p>
    <w:p>
      <w:pPr>
        <w:pStyle w:val="4"/>
      </w:pPr>
      <w:r>
        <w:rPr>
          <w:rFonts w:hint="eastAsia"/>
        </w:rPr>
        <w:t>卸扣选型计算</w:t>
      </w:r>
      <w:bookmarkEnd w:id="243"/>
    </w:p>
    <w:p>
      <w:pPr>
        <w:pStyle w:val="5"/>
      </w:pPr>
      <w:r>
        <w:rPr>
          <w:rFonts w:hint="eastAsia"/>
        </w:rPr>
        <w:t>选型计算方法</w:t>
      </w:r>
    </w:p>
    <w:p>
      <w:pPr>
        <w:ind w:firstLine="480"/>
      </w:pPr>
      <w:r>
        <w:rPr>
          <w:rFonts w:hint="eastAsia"/>
        </w:rPr>
        <w:t>《一般起重用</w:t>
      </w:r>
      <w:r>
        <w:t>D</w:t>
      </w:r>
      <w:r>
        <w:rPr>
          <w:rFonts w:hint="eastAsia"/>
        </w:rPr>
        <w:t>形和弓形锻造卸扣》（</w:t>
      </w:r>
      <w:r>
        <w:t>GB/T 25854-2010</w:t>
      </w:r>
      <w:r>
        <w:rPr>
          <w:rFonts w:hint="eastAsia"/>
        </w:rPr>
        <w:t>）明确规定了</w:t>
      </w:r>
      <w:r>
        <w:t>4</w:t>
      </w:r>
      <w:r>
        <w:rPr>
          <w:rFonts w:hint="eastAsia"/>
        </w:rPr>
        <w:t>级、</w:t>
      </w:r>
      <w:r>
        <w:t>6</w:t>
      </w:r>
      <w:r>
        <w:rPr>
          <w:rFonts w:hint="eastAsia"/>
        </w:rPr>
        <w:t>级和</w:t>
      </w:r>
      <w:r>
        <w:t>8</w:t>
      </w:r>
      <w:r>
        <w:rPr>
          <w:rFonts w:hint="eastAsia"/>
        </w:rPr>
        <w:t>级</w:t>
      </w:r>
      <w:r>
        <w:t>D</w:t>
      </w:r>
      <w:r>
        <w:rPr>
          <w:rFonts w:hint="eastAsia"/>
        </w:rPr>
        <w:t>形和弓形卸扣性能，适用于极限工作载荷范围为</w:t>
      </w:r>
      <w:r>
        <w:t>0.32t~100t</w:t>
      </w:r>
      <w:r>
        <w:rPr>
          <w:rFonts w:hint="eastAsia"/>
        </w:rPr>
        <w:t>。卸扣作为吊索与结构物连接的连接件，认为其受力与单肢吊索受力相同。因此考虑卸扣极限工作载荷大于单肢吊索工作载荷即可。</w:t>
      </w:r>
    </w:p>
    <w:p>
      <w:pPr>
        <w:pStyle w:val="5"/>
      </w:pPr>
      <w:r>
        <w:rPr>
          <w:rFonts w:hint="eastAsia"/>
        </w:rPr>
        <w:t>极限工况选型计算</w:t>
      </w:r>
    </w:p>
    <w:p>
      <w:pPr>
        <w:ind w:firstLine="480"/>
        <w:rPr>
          <w:rFonts w:hint="eastAsia"/>
          <w:color w:val="0000FF"/>
        </w:rPr>
      </w:pPr>
      <w:r>
        <w:rPr>
          <w:rFonts w:hint="eastAsia"/>
          <w:color w:val="0000FF"/>
        </w:rPr>
        <w:t>单肢吊索极限工作载荷不超过</w:t>
      </w:r>
      <w:r>
        <w:rPr>
          <w:rFonts w:hint="eastAsia"/>
          <w:color w:val="0000FF"/>
          <w:lang w:val="en-US" w:eastAsia="zh-CN"/>
        </w:rPr>
        <w:t>4</w:t>
      </w:r>
      <w:r>
        <w:rPr>
          <w:color w:val="0000FF"/>
        </w:rPr>
        <w:t>t</w:t>
      </w:r>
      <w:r>
        <w:rPr>
          <w:rFonts w:hint="eastAsia"/>
          <w:color w:val="0000FF"/>
        </w:rPr>
        <w:t>，因此根据《一般起重用</w:t>
      </w:r>
      <w:r>
        <w:rPr>
          <w:color w:val="0000FF"/>
        </w:rPr>
        <w:t>D</w:t>
      </w:r>
      <w:r>
        <w:rPr>
          <w:rFonts w:hint="eastAsia"/>
          <w:color w:val="0000FF"/>
        </w:rPr>
        <w:t>形和弓形锻造卸扣》（</w:t>
      </w:r>
      <w:r>
        <w:rPr>
          <w:color w:val="0000FF"/>
        </w:rPr>
        <w:t>GB/T 25854-2010</w:t>
      </w:r>
      <w:r>
        <w:rPr>
          <w:rFonts w:hint="eastAsia"/>
          <w:color w:val="0000FF"/>
        </w:rPr>
        <w:t>）选用型号为</w:t>
      </w:r>
      <w:bookmarkStart w:id="245" w:name="吊装卸扣"/>
      <w:r>
        <w:rPr>
          <w:color w:val="0000FF"/>
        </w:rPr>
        <w:t>GB/T 25854-6-BW</w:t>
      </w:r>
      <w:bookmarkEnd w:id="245"/>
      <w:r>
        <w:rPr>
          <w:rFonts w:hint="eastAsia"/>
          <w:color w:val="0000FF"/>
          <w:lang w:val="en-US" w:eastAsia="zh-CN"/>
        </w:rPr>
        <w:t>5</w:t>
      </w:r>
      <w:r>
        <w:rPr>
          <w:rFonts w:hint="eastAsia"/>
          <w:color w:val="0000FF"/>
        </w:rPr>
        <w:t>的卸扣即可满足要求。</w:t>
      </w:r>
    </w:p>
    <w:p>
      <w:pPr>
        <w:keepNext/>
        <w:keepLines/>
        <w:widowControl w:val="0"/>
        <w:numPr>
          <w:ilvl w:val="1"/>
          <w:numId w:val="1"/>
        </w:numPr>
        <w:spacing w:line="360" w:lineRule="auto"/>
        <w:ind w:firstLine="200" w:firstLineChars="0"/>
        <w:jc w:val="left"/>
        <w:outlineLvl w:val="1"/>
        <w:rPr>
          <w:rFonts w:ascii="Times New Roman" w:hAnsi="Times New Roman" w:eastAsia="宋体" w:cstheme="majorBidi"/>
          <w:b/>
          <w:bCs/>
          <w:kern w:val="2"/>
          <w:sz w:val="28"/>
          <w:szCs w:val="32"/>
          <w:lang w:val="en-US" w:eastAsia="zh-CN" w:bidi="ar-SA"/>
        </w:rPr>
      </w:pPr>
      <w:bookmarkStart w:id="246" w:name="_Toc4070"/>
      <w:r>
        <w:rPr>
          <w:rFonts w:hint="eastAsia" w:ascii="Times New Roman" w:hAnsi="Times New Roman" w:eastAsia="宋体" w:cstheme="majorBidi"/>
          <w:b/>
          <w:bCs/>
          <w:kern w:val="2"/>
          <w:sz w:val="28"/>
          <w:szCs w:val="32"/>
          <w:lang w:val="en-US" w:eastAsia="zh-CN" w:bidi="ar-SA"/>
        </w:rPr>
        <w:t>附着计算</w:t>
      </w:r>
      <w:bookmarkEnd w:id="246"/>
    </w:p>
    <w:p>
      <w:pPr>
        <w:pStyle w:val="4"/>
        <w:bidi w:val="0"/>
        <w:rPr>
          <w:rFonts w:hint="eastAsia"/>
          <w:lang w:val="zh-CN"/>
        </w:rPr>
      </w:pPr>
      <w:r>
        <w:rPr>
          <w:rFonts w:hint="eastAsia"/>
          <w:lang w:val="zh-CN"/>
        </w:rPr>
        <w:t>左8#墩塔机附着验算计算书</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计算依据：</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1、《塔式起重机混凝土基础工程技术标准》JGJ/T187-2019</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2、《钢结构设计标准》GB50017-2017</w:t>
      </w:r>
    </w:p>
    <w:p>
      <w:pPr>
        <w:spacing w:before="0" w:beforeLines="0" w:after="0" w:afterLines="0" w:line="360" w:lineRule="auto"/>
        <w:rPr>
          <w:rFonts w:hint="eastAsia" w:ascii="Times New Roman" w:hAnsi="Times New Roman" w:eastAsia="Times New Roman"/>
          <w:b/>
          <w:color w:val="000000"/>
          <w:sz w:val="28"/>
          <w:szCs w:val="24"/>
          <w:lang w:val="zh-CN"/>
        </w:rPr>
      </w:pPr>
      <w:r>
        <w:rPr>
          <w:rFonts w:hint="eastAsia" w:ascii="Times New Roman" w:hAnsi="Times New Roman" w:eastAsia="Times New Roman"/>
          <w:b/>
          <w:color w:val="000000"/>
          <w:sz w:val="28"/>
          <w:szCs w:val="24"/>
          <w:lang w:val="zh-CN"/>
        </w:rPr>
        <w:t xml:space="preserve"> 一、塔机附着杆参数</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3090"/>
        <w:gridCol w:w="1620"/>
        <w:gridCol w:w="3090"/>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塔机型号</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XGT6515-10S</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塔身桁架结构类型</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角钢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塔机计算高度H(m)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70.65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塔身宽度B(m)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起重臂长度l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57</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平衡臂长度l</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起重臂与平衡臂截面计算高度h(m)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1.06</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工作状态时扭矩标准值T</w:t>
            </w:r>
            <w:r>
              <w:rPr>
                <w:rFonts w:hint="eastAsia" w:ascii="Times New Roman" w:hAnsi="Times New Roman" w:eastAsia="Times New Roman"/>
                <w:color w:val="000000"/>
                <w:sz w:val="24"/>
                <w:szCs w:val="24"/>
                <w:vertAlign w:val="subscript"/>
                <w:lang w:val="zh-CN"/>
              </w:rPr>
              <w:t>k1</w:t>
            </w:r>
            <w:r>
              <w:rPr>
                <w:rFonts w:hint="eastAsia" w:ascii="Times New Roman" w:hAnsi="Times New Roman" w:eastAsia="Times New Roman"/>
                <w:color w:val="000000"/>
                <w:sz w:val="18"/>
                <w:szCs w:val="24"/>
                <w:lang w:val="zh-CN"/>
              </w:rPr>
              <w:t>(包含风荷载扭矩)(kN·m)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422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工作状态下不平衡自重引起的倾覆力矩标准值M</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18"/>
                <w:szCs w:val="24"/>
                <w:lang w:val="zh-CN"/>
              </w:rPr>
              <w:t>(kN·m)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1626.5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非工作状态下不平衡自重引起的倾覆力矩标准值M</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18"/>
                <w:szCs w:val="24"/>
                <w:lang w:val="zh-CN"/>
              </w:rPr>
              <w:t>'(kN*m)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2097.9(反向)</w:t>
            </w:r>
          </w:p>
        </w:tc>
      </w:tr>
    </w:tbl>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3090"/>
        <w:gridCol w:w="1620"/>
        <w:gridCol w:w="3090"/>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附着杆数</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四杆附着</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附墙杆类型</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Ⅴ类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附墙杆截面类型</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格构柱</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塔身锚固环边长C(m)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2.4</w:t>
            </w:r>
          </w:p>
        </w:tc>
      </w:tr>
    </w:tbl>
    <w:p>
      <w:pPr>
        <w:spacing w:before="0" w:beforeLines="0" w:after="0" w:afterLines="0" w:line="360" w:lineRule="auto"/>
        <w:rPr>
          <w:rFonts w:hint="eastAsia" w:ascii="Times New Roman" w:hAnsi="Times New Roman" w:eastAsia="Times New Roman"/>
          <w:b/>
          <w:color w:val="000000"/>
          <w:sz w:val="28"/>
          <w:szCs w:val="24"/>
          <w:lang w:val="zh-CN"/>
        </w:rPr>
      </w:pPr>
      <w:r>
        <w:rPr>
          <w:rFonts w:hint="eastAsia" w:ascii="Times New Roman" w:hAnsi="Times New Roman" w:eastAsia="Times New Roman"/>
          <w:b/>
          <w:color w:val="000000"/>
          <w:sz w:val="28"/>
          <w:szCs w:val="24"/>
          <w:lang w:val="zh-CN"/>
        </w:rPr>
        <w:t xml:space="preserve"> 二、风荷载及附着参数</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3090"/>
        <w:gridCol w:w="1620"/>
        <w:gridCol w:w="3090"/>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附着次数N</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附着点1到塔机的横向距离a</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2.46</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点1到塔机的竖向距离b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附着点2到塔机的横向距离a</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3.77</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点2到塔机的竖向距离b</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附着点3到塔机的横向距离a</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1.63</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点3到塔机的竖向距离b</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6.13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附着点4到塔机的横向距离a</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0.41</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点4到塔机的竖向距离b</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工作状态基本风压ω</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18"/>
                <w:szCs w:val="24"/>
                <w:lang w:val="zh-CN"/>
              </w:rPr>
              <w:t>(kN/m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0.2</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非工作状态基本风压ω</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18"/>
                <w:szCs w:val="24"/>
                <w:lang w:val="zh-CN"/>
              </w:rPr>
              <w:t>'(kN/m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塔身前后片桁架的平均充实率α</w:t>
            </w:r>
            <w:r>
              <w:rPr>
                <w:rFonts w:hint="eastAsia" w:ascii="Times New Roman" w:hAnsi="Times New Roman" w:eastAsia="Times New Roman"/>
                <w:color w:val="000000"/>
                <w:sz w:val="24"/>
                <w:szCs w:val="24"/>
                <w:vertAlign w:val="subscript"/>
                <w:lang w:val="zh-CN"/>
              </w:rPr>
              <w:t>0</w:t>
            </w:r>
          </w:p>
        </w:tc>
        <w:tc>
          <w:tcPr>
            <w:tcW w:w="0" w:type="auto"/>
            <w:gridSpan w:val="3"/>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0.35</w:t>
            </w:r>
          </w:p>
        </w:tc>
      </w:tr>
    </w:tbl>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w:t>
      </w:r>
    </w:p>
    <w:tbl>
      <w:tblPr>
        <w:tblStyle w:val="40"/>
        <w:tblW w:w="1006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990"/>
        <w:gridCol w:w="1020"/>
        <w:gridCol w:w="990"/>
        <w:gridCol w:w="1020"/>
        <w:gridCol w:w="990"/>
        <w:gridCol w:w="1020"/>
        <w:gridCol w:w="990"/>
        <w:gridCol w:w="1020"/>
        <w:gridCol w:w="990"/>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第N次附着</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附着点高度h</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附着点净高h</w:t>
            </w:r>
            <w:r>
              <w:rPr>
                <w:rFonts w:hint="eastAsia" w:ascii="Times New Roman" w:hAnsi="Times New Roman" w:eastAsia="Times New Roman"/>
                <w:color w:val="000000"/>
                <w:sz w:val="24"/>
                <w:szCs w:val="24"/>
                <w:vertAlign w:val="subscript"/>
                <w:lang w:val="zh-CN"/>
              </w:rPr>
              <w:t>01</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风压等效高度变化系数μ</w:t>
            </w:r>
            <w:r>
              <w:rPr>
                <w:rFonts w:hint="eastAsia" w:ascii="Times New Roman" w:hAnsi="Times New Roman" w:eastAsia="Times New Roman"/>
                <w:color w:val="000000"/>
                <w:sz w:val="24"/>
                <w:szCs w:val="24"/>
                <w:vertAlign w:val="subscript"/>
                <w:lang w:val="zh-CN"/>
              </w:rPr>
              <w:t>z</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工作状态风荷载体型系数μ</w:t>
            </w:r>
            <w:r>
              <w:rPr>
                <w:rFonts w:hint="eastAsia" w:ascii="Times New Roman" w:hAnsi="Times New Roman" w:eastAsia="Times New Roman"/>
                <w:color w:val="000000"/>
                <w:sz w:val="24"/>
                <w:szCs w:val="24"/>
                <w:vertAlign w:val="subscript"/>
                <w:lang w:val="zh-CN"/>
              </w:rPr>
              <w:t>s</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非工作状态风荷载体型系数μ</w:t>
            </w:r>
            <w:r>
              <w:rPr>
                <w:rFonts w:hint="eastAsia" w:ascii="Times New Roman" w:hAnsi="Times New Roman" w:eastAsia="Times New Roman"/>
                <w:color w:val="000000"/>
                <w:sz w:val="24"/>
                <w:szCs w:val="24"/>
                <w:vertAlign w:val="subscript"/>
                <w:lang w:val="zh-CN"/>
              </w:rPr>
              <w:t>s</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工作状态风振系数β</w:t>
            </w:r>
            <w:r>
              <w:rPr>
                <w:rFonts w:hint="eastAsia" w:ascii="Times New Roman" w:hAnsi="Times New Roman" w:eastAsia="Times New Roman"/>
                <w:color w:val="000000"/>
                <w:sz w:val="24"/>
                <w:szCs w:val="24"/>
                <w:vertAlign w:val="subscript"/>
                <w:lang w:val="zh-CN"/>
              </w:rPr>
              <w:t>z</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非工作状态风振系数β</w:t>
            </w:r>
            <w:r>
              <w:rPr>
                <w:rFonts w:hint="eastAsia" w:ascii="Times New Roman" w:hAnsi="Times New Roman" w:eastAsia="Times New Roman"/>
                <w:color w:val="000000"/>
                <w:sz w:val="24"/>
                <w:szCs w:val="24"/>
                <w:vertAlign w:val="subscript"/>
                <w:lang w:val="zh-CN"/>
              </w:rPr>
              <w:t>z</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工作状态风压等效均布线荷载标准值q</w:t>
            </w:r>
            <w:r>
              <w:rPr>
                <w:rFonts w:hint="eastAsia" w:ascii="Times New Roman" w:hAnsi="Times New Roman" w:eastAsia="Times New Roman"/>
                <w:color w:val="000000"/>
                <w:sz w:val="24"/>
                <w:szCs w:val="24"/>
                <w:vertAlign w:val="subscript"/>
                <w:lang w:val="zh-CN"/>
              </w:rPr>
              <w:t>sk</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非工作状态风压等效均布线荷载标准值q</w:t>
            </w:r>
            <w:r>
              <w:rPr>
                <w:rFonts w:hint="eastAsia" w:ascii="Times New Roman" w:hAnsi="Times New Roman" w:eastAsia="Times New Roman"/>
                <w:color w:val="000000"/>
                <w:sz w:val="24"/>
                <w:szCs w:val="24"/>
                <w:vertAlign w:val="subscript"/>
                <w:lang w:val="zh-CN"/>
              </w:rPr>
              <w:t>sk</w:t>
            </w:r>
            <w:r>
              <w:rPr>
                <w:rFonts w:hint="eastAsia" w:ascii="Times New Roman" w:hAnsi="Times New Roman" w:eastAsia="Times New Roman"/>
                <w:color w:val="000000"/>
                <w:sz w:val="18"/>
                <w:szCs w:val="24"/>
                <w:lang w:val="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第1次附着</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36.15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36.15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0.803</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1.95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1.95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1.776</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1.931</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0.374</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2.032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悬臂端</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70.65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34.5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1.021</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1.95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1.95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1.733</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1.896</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0.464</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2.537</w:t>
            </w:r>
          </w:p>
        </w:tc>
      </w:tr>
    </w:tbl>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附图如下:</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3105150" cy="4572000"/>
            <wp:effectExtent l="0" t="0" r="3810" b="0"/>
            <wp:docPr id="7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0"/>
                    <pic:cNvPicPr>
                      <a:picLocks noChangeAspect="1"/>
                    </pic:cNvPicPr>
                  </pic:nvPicPr>
                  <pic:blipFill>
                    <a:blip r:embed="rId113"/>
                    <a:stretch>
                      <a:fillRect/>
                    </a:stretch>
                  </pic:blipFill>
                  <pic:spPr>
                    <a:xfrm>
                      <a:off x="0" y="0"/>
                      <a:ext cx="3105150" cy="4572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fldChar w:fldCharType="begin"/>
      </w:r>
      <w:r>
        <w:rPr>
          <w:rFonts w:hint="eastAsia" w:ascii="Times New Roman" w:hAnsi="Times New Roman" w:eastAsia="Times New Roman"/>
          <w:color w:val="000000"/>
          <w:sz w:val="24"/>
          <w:szCs w:val="24"/>
          <w:lang w:val="zh-CN"/>
        </w:rPr>
        <w:instrText xml:space="preserve">HYPERLINK "D:\\品茗建筑云安全计算软件V1.4.2\\OutPut\\塔机附着立面图.dwg"</w:instrText>
      </w:r>
      <w:r>
        <w:rPr>
          <w:rFonts w:hint="eastAsia" w:ascii="Times New Roman" w:hAnsi="Times New Roman" w:eastAsia="Times New Roman"/>
          <w:color w:val="000000"/>
          <w:sz w:val="24"/>
          <w:szCs w:val="24"/>
          <w:lang w:val="zh-CN"/>
        </w:rPr>
        <w:fldChar w:fldCharType="separate"/>
      </w:r>
      <w:r>
        <w:rPr>
          <w:rFonts w:hint="eastAsia" w:ascii="Times New Roman" w:hAnsi="Times New Roman" w:eastAsia="Times New Roman"/>
          <w:color w:val="000080"/>
          <w:sz w:val="24"/>
          <w:szCs w:val="24"/>
          <w:u w:val="single"/>
          <w:lang w:val="zh-CN"/>
        </w:rPr>
        <w:t>塔机附着立面图</w:t>
      </w:r>
      <w:r>
        <w:rPr>
          <w:rFonts w:hint="eastAsia" w:ascii="Times New Roman" w:hAnsi="Times New Roman" w:eastAsia="Times New Roman"/>
          <w:color w:val="000080"/>
          <w:sz w:val="24"/>
          <w:szCs w:val="24"/>
          <w:u w:val="single"/>
          <w:lang w:val="zh-CN"/>
        </w:rPr>
        <w:fldChar w:fldCharType="end"/>
      </w:r>
    </w:p>
    <w:p>
      <w:pPr>
        <w:spacing w:before="0" w:beforeLines="0" w:after="0" w:afterLines="0" w:line="360" w:lineRule="auto"/>
        <w:rPr>
          <w:rFonts w:hint="eastAsia" w:ascii="Times New Roman" w:hAnsi="Times New Roman" w:eastAsia="Times New Roman"/>
          <w:b/>
          <w:color w:val="000000"/>
          <w:sz w:val="28"/>
          <w:szCs w:val="24"/>
          <w:lang w:val="zh-CN"/>
        </w:rPr>
      </w:pPr>
      <w:r>
        <w:rPr>
          <w:rFonts w:hint="eastAsia" w:ascii="Times New Roman" w:hAnsi="Times New Roman" w:eastAsia="Times New Roman"/>
          <w:b/>
          <w:color w:val="000000"/>
          <w:sz w:val="28"/>
          <w:szCs w:val="24"/>
          <w:lang w:val="zh-CN"/>
        </w:rPr>
        <w:t xml:space="preserve"> 三、工作状态下附墙杆内力计算</w:t>
      </w:r>
    </w:p>
    <w:p>
      <w:pPr>
        <w:spacing w:before="0" w:beforeLines="0" w:after="0" w:afterLines="0" w:line="360" w:lineRule="auto"/>
        <w:rPr>
          <w:rFonts w:hint="eastAsia" w:ascii="Times New Roman" w:hAnsi="Times New Roman" w:eastAsia="Times New Roman"/>
          <w:color w:val="000000"/>
          <w:sz w:val="24"/>
          <w:szCs w:val="24"/>
          <w:vertAlign w:val="subscript"/>
          <w:lang w:val="zh-CN"/>
        </w:rPr>
      </w:pPr>
      <w:r>
        <w:rPr>
          <w:rFonts w:hint="eastAsia" w:ascii="Times New Roman" w:hAnsi="Times New Roman" w:eastAsia="Times New Roman"/>
          <w:b/>
          <w:color w:val="000000"/>
          <w:sz w:val="24"/>
          <w:szCs w:val="24"/>
          <w:lang w:val="zh-CN"/>
        </w:rPr>
        <w:t xml:space="preserve">  1、扭矩组合标准值T</w:t>
      </w:r>
      <w:r>
        <w:rPr>
          <w:rFonts w:hint="eastAsia" w:ascii="Times New Roman" w:hAnsi="Times New Roman" w:eastAsia="Times New Roman"/>
          <w:color w:val="000000"/>
          <w:sz w:val="24"/>
          <w:szCs w:val="24"/>
          <w:vertAlign w:val="subscript"/>
          <w:lang w:val="zh-CN"/>
        </w:rPr>
        <w:t>k</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回转惯性力及风荷载产出的扭矩标准值：</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k1</w:t>
      </w:r>
      <w:r>
        <w:rPr>
          <w:rFonts w:hint="eastAsia" w:ascii="Times New Roman" w:hAnsi="Times New Roman" w:eastAsia="Times New Roman"/>
          <w:color w:val="000000"/>
          <w:sz w:val="24"/>
          <w:szCs w:val="24"/>
          <w:lang w:val="zh-CN"/>
        </w:rPr>
        <w:t>=422kN·m</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2、附着支座反力计算</w:t>
      </w:r>
    </w:p>
    <w:p>
      <w:pPr>
        <w:spacing w:before="0" w:beforeLines="0" w:after="0" w:afterLines="0" w:line="360" w:lineRule="auto"/>
        <w:jc w:val="center"/>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drawing>
          <wp:inline distT="0" distB="0" distL="114300" distR="114300">
            <wp:extent cx="5715000" cy="1905000"/>
            <wp:effectExtent l="0" t="0" r="0" b="0"/>
            <wp:docPr id="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1"/>
                    <pic:cNvPicPr>
                      <a:picLocks noChangeAspect="1"/>
                    </pic:cNvPicPr>
                  </pic:nvPicPr>
                  <pic:blipFill>
                    <a:blip r:embed="rId114"/>
                    <a:stretch>
                      <a:fillRect/>
                    </a:stretch>
                  </pic:blipFill>
                  <pic:spPr>
                    <a:xfrm>
                      <a:off x="0" y="0"/>
                      <a:ext cx="5715000" cy="1905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计算简图</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5715000" cy="1905000"/>
            <wp:effectExtent l="0" t="0" r="0" b="0"/>
            <wp:docPr id="6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2"/>
                    <pic:cNvPicPr>
                      <a:picLocks noChangeAspect="1"/>
                    </pic:cNvPicPr>
                  </pic:nvPicPr>
                  <pic:blipFill>
                    <a:blip r:embed="rId115"/>
                    <a:stretch>
                      <a:fillRect/>
                    </a:stretch>
                  </pic:blipFill>
                  <pic:spPr>
                    <a:xfrm>
                      <a:off x="0" y="0"/>
                      <a:ext cx="5715000" cy="1905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剪力图</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得：R</w:t>
      </w:r>
      <w:r>
        <w:rPr>
          <w:rFonts w:hint="eastAsia" w:ascii="Times New Roman" w:hAnsi="Times New Roman" w:eastAsia="Times New Roman"/>
          <w:color w:val="000000"/>
          <w:sz w:val="24"/>
          <w:szCs w:val="24"/>
          <w:vertAlign w:val="subscript"/>
          <w:lang w:val="zh-CN"/>
        </w:rPr>
        <w:t>E</w:t>
      </w:r>
      <w:r>
        <w:rPr>
          <w:rFonts w:hint="eastAsia" w:ascii="Times New Roman" w:hAnsi="Times New Roman" w:eastAsia="Times New Roman"/>
          <w:color w:val="000000"/>
          <w:sz w:val="24"/>
          <w:szCs w:val="24"/>
          <w:lang w:val="zh-CN"/>
        </w:rPr>
        <w:t>=97.751kN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在工作状态下，塔机起重臂位置的不确定性以及风向的随机性，在计算支座2处锚固环截面内力时需考虑塔身承受双向的风荷载和倾覆力矩及扭矩。</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3、附墙杆内力计算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支座2处锚固环的截面扭矩T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（考虑塔机产生的扭矩由支座2处的附墙杆承担）,水平内力N</w:t>
      </w:r>
      <w:r>
        <w:rPr>
          <w:rFonts w:hint="eastAsia" w:ascii="Times New Roman" w:hAnsi="Times New Roman" w:eastAsia="Times New Roman"/>
          <w:color w:val="000000"/>
          <w:sz w:val="24"/>
          <w:szCs w:val="24"/>
          <w:vertAlign w:val="subscript"/>
          <w:lang w:val="zh-CN"/>
        </w:rPr>
        <w:t>w</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R</w:t>
      </w:r>
      <w:r>
        <w:rPr>
          <w:rFonts w:hint="eastAsia" w:ascii="Times New Roman" w:hAnsi="Times New Roman" w:eastAsia="Times New Roman"/>
          <w:color w:val="000000"/>
          <w:sz w:val="24"/>
          <w:szCs w:val="24"/>
          <w:vertAlign w:val="subscript"/>
          <w:lang w:val="zh-CN"/>
        </w:rPr>
        <w:t>E</w:t>
      </w:r>
      <w:r>
        <w:rPr>
          <w:rFonts w:hint="eastAsia" w:ascii="Times New Roman" w:hAnsi="Times New Roman" w:eastAsia="Times New Roman"/>
          <w:color w:val="000000"/>
          <w:sz w:val="24"/>
          <w:szCs w:val="24"/>
          <w:lang w:val="zh-CN"/>
        </w:rPr>
        <w:t>=138.241kN。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计算简图：</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6096000" cy="4410075"/>
            <wp:effectExtent l="0" t="0" r="0" b="9525"/>
            <wp:docPr id="6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3"/>
                    <pic:cNvPicPr>
                      <a:picLocks noChangeAspect="1"/>
                    </pic:cNvPicPr>
                  </pic:nvPicPr>
                  <pic:blipFill>
                    <a:blip r:embed="rId116"/>
                    <a:stretch>
                      <a:fillRect/>
                    </a:stretch>
                  </pic:blipFill>
                  <pic:spPr>
                    <a:xfrm>
                      <a:off x="0" y="0"/>
                      <a:ext cx="6096000" cy="4410075"/>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fldChar w:fldCharType="begin"/>
      </w:r>
      <w:r>
        <w:rPr>
          <w:rFonts w:hint="eastAsia" w:ascii="Times New Roman" w:hAnsi="Times New Roman" w:eastAsia="Times New Roman"/>
          <w:color w:val="000000"/>
          <w:sz w:val="24"/>
          <w:szCs w:val="24"/>
          <w:lang w:val="zh-CN"/>
        </w:rPr>
        <w:instrText xml:space="preserve">HYPERLINK "D:\\品茗建筑云安全计算软件V1.4.2\\OutPut\\塔机附着示意图.dwg"</w:instrText>
      </w:r>
      <w:r>
        <w:rPr>
          <w:rFonts w:hint="eastAsia" w:ascii="Times New Roman" w:hAnsi="Times New Roman" w:eastAsia="Times New Roman"/>
          <w:color w:val="000000"/>
          <w:sz w:val="24"/>
          <w:szCs w:val="24"/>
          <w:lang w:val="zh-CN"/>
        </w:rPr>
        <w:fldChar w:fldCharType="separate"/>
      </w:r>
      <w:r>
        <w:rPr>
          <w:rFonts w:hint="eastAsia" w:ascii="Times New Roman" w:hAnsi="Times New Roman" w:eastAsia="Times New Roman"/>
          <w:color w:val="000080"/>
          <w:sz w:val="24"/>
          <w:szCs w:val="24"/>
          <w:u w:val="single"/>
          <w:lang w:val="zh-CN"/>
        </w:rPr>
        <w:t>塔机附着示意图</w:t>
      </w:r>
      <w:r>
        <w:rPr>
          <w:rFonts w:hint="eastAsia" w:ascii="Times New Roman" w:hAnsi="Times New Roman" w:eastAsia="Times New Roman"/>
          <w:color w:val="000080"/>
          <w:sz w:val="24"/>
          <w:szCs w:val="24"/>
          <w:u w:val="single"/>
          <w:lang w:val="zh-CN"/>
        </w:rPr>
        <w:fldChar w:fldCharType="end"/>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2609850" cy="4572000"/>
            <wp:effectExtent l="0" t="0" r="11430" b="0"/>
            <wp:docPr id="6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pic:cNvPicPr>
                      <a:picLocks noChangeAspect="1"/>
                    </pic:cNvPicPr>
                  </pic:nvPicPr>
                  <pic:blipFill>
                    <a:blip r:embed="rId117"/>
                    <a:stretch>
                      <a:fillRect/>
                    </a:stretch>
                  </pic:blipFill>
                  <pic:spPr>
                    <a:xfrm>
                      <a:off x="0" y="0"/>
                      <a:ext cx="2609850" cy="4572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fldChar w:fldCharType="begin"/>
      </w:r>
      <w:r>
        <w:rPr>
          <w:rFonts w:hint="eastAsia" w:ascii="Times New Roman" w:hAnsi="Times New Roman" w:eastAsia="Times New Roman"/>
          <w:color w:val="000000"/>
          <w:sz w:val="24"/>
          <w:szCs w:val="24"/>
          <w:lang w:val="zh-CN"/>
        </w:rPr>
        <w:instrText xml:space="preserve">HYPERLINK "D:\\品茗建筑云安全计算软件V1.4.2\\OutPut\\塔机附着平面图.dwg"</w:instrText>
      </w:r>
      <w:r>
        <w:rPr>
          <w:rFonts w:hint="eastAsia" w:ascii="Times New Roman" w:hAnsi="Times New Roman" w:eastAsia="Times New Roman"/>
          <w:color w:val="000000"/>
          <w:sz w:val="24"/>
          <w:szCs w:val="24"/>
          <w:lang w:val="zh-CN"/>
        </w:rPr>
        <w:fldChar w:fldCharType="separate"/>
      </w:r>
      <w:r>
        <w:rPr>
          <w:rFonts w:hint="eastAsia" w:ascii="Times New Roman" w:hAnsi="Times New Roman" w:eastAsia="Times New Roman"/>
          <w:color w:val="000080"/>
          <w:sz w:val="24"/>
          <w:szCs w:val="24"/>
          <w:u w:val="single"/>
          <w:lang w:val="zh-CN"/>
        </w:rPr>
        <w:t>塔机附着平面图</w:t>
      </w:r>
      <w:r>
        <w:rPr>
          <w:rFonts w:hint="eastAsia" w:ascii="Times New Roman" w:hAnsi="Times New Roman" w:eastAsia="Times New Roman"/>
          <w:color w:val="000080"/>
          <w:sz w:val="24"/>
          <w:szCs w:val="24"/>
          <w:u w:val="single"/>
          <w:lang w:val="zh-CN"/>
        </w:rPr>
        <w:fldChar w:fldCharType="end"/>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)=77.612°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)=67.272°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)=75.109°</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)=87.172°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β</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c/2))=69.637°</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β</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c/2)/a</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)=70.586°</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β</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c/2)/a</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)=78.236°</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β</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c/2))=75.756°</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四杆附着属于一次超静定结构，用力法计算，切断T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杆并代以相应多余未知力X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=1。</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δ</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 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+Δ</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=1时，各杆件轴力计算：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/sinβ</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21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c/2)/sinβ</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31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c/2)/sinβ</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-1×sin(α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/sinβ</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21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21</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31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31</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×c/2)+1×sinα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×c/2)-1×sinα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×c/2)-1×cosα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当N</w:t>
      </w:r>
      <w:r>
        <w:rPr>
          <w:rFonts w:hint="eastAsia" w:ascii="Times New Roman" w:hAnsi="Times New Roman" w:eastAsia="Times New Roman"/>
          <w:color w:val="000000"/>
          <w:sz w:val="24"/>
          <w:szCs w:val="24"/>
          <w:vertAlign w:val="subscript"/>
          <w:lang w:val="zh-CN"/>
        </w:rPr>
        <w:t>w</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同时存在时，θ由0～360°循环，各杆件轴力计算：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/sinβ</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2p</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c/2)/sinβ</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3p</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c/2)/sinβ</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2p</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2p</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3p</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3p</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×c/2)+N</w:t>
      </w:r>
      <w:r>
        <w:rPr>
          <w:rFonts w:hint="eastAsia" w:ascii="Times New Roman" w:hAnsi="Times New Roman" w:eastAsia="Times New Roman"/>
          <w:color w:val="000000"/>
          <w:sz w:val="24"/>
          <w:szCs w:val="24"/>
          <w:vertAlign w:val="subscript"/>
          <w:lang w:val="zh-CN"/>
        </w:rPr>
        <w:t>w</w:t>
      </w:r>
      <w:r>
        <w:rPr>
          <w:rFonts w:hint="eastAsia" w:ascii="Times New Roman" w:hAnsi="Times New Roman" w:eastAsia="Times New Roman"/>
          <w:color w:val="000000"/>
          <w:sz w:val="24"/>
          <w:szCs w:val="24"/>
          <w:lang w:val="zh-CN"/>
        </w:rPr>
        <w:t>×sinθ×(2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×c/2)+N</w:t>
      </w:r>
      <w:r>
        <w:rPr>
          <w:rFonts w:hint="eastAsia" w:ascii="Times New Roman" w:hAnsi="Times New Roman" w:eastAsia="Times New Roman"/>
          <w:color w:val="000000"/>
          <w:sz w:val="24"/>
          <w:szCs w:val="24"/>
          <w:vertAlign w:val="subscript"/>
          <w:lang w:val="zh-CN"/>
        </w:rPr>
        <w:t>w</w:t>
      </w:r>
      <w:r>
        <w:rPr>
          <w:rFonts w:hint="eastAsia" w:ascii="Times New Roman" w:hAnsi="Times New Roman" w:eastAsia="Times New Roman"/>
          <w:color w:val="000000"/>
          <w:sz w:val="24"/>
          <w:szCs w:val="24"/>
          <w:lang w:val="zh-CN"/>
        </w:rPr>
        <w:t>×cosθ×(2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δ</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=Σ(T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L/(EA))=T</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)/(EA)+T</w:t>
      </w:r>
      <w:r>
        <w:rPr>
          <w:rFonts w:hint="eastAsia" w:ascii="Times New Roman" w:hAnsi="Times New Roman" w:eastAsia="Times New Roman"/>
          <w:color w:val="000000"/>
          <w:sz w:val="24"/>
          <w:szCs w:val="24"/>
          <w:vertAlign w:val="subscript"/>
          <w:lang w:val="zh-CN"/>
        </w:rPr>
        <w:t>21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)/(EA)+T</w:t>
      </w:r>
      <w:r>
        <w:rPr>
          <w:rFonts w:hint="eastAsia" w:ascii="Times New Roman" w:hAnsi="Times New Roman" w:eastAsia="Times New Roman"/>
          <w:color w:val="000000"/>
          <w:sz w:val="24"/>
          <w:szCs w:val="24"/>
          <w:vertAlign w:val="subscript"/>
          <w:lang w:val="zh-CN"/>
        </w:rPr>
        <w:t>31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)/(EA)+1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)/(EA)</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Δ</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=Σ(T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p</w:t>
      </w:r>
      <w:r>
        <w:rPr>
          <w:rFonts w:hint="eastAsia" w:ascii="Times New Roman" w:hAnsi="Times New Roman" w:eastAsia="Times New Roman"/>
          <w:color w:val="000000"/>
          <w:sz w:val="24"/>
          <w:szCs w:val="24"/>
          <w:lang w:val="zh-CN"/>
        </w:rPr>
        <w:t>L/(EA))=T</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)/(EA)+T</w:t>
      </w:r>
      <w:r>
        <w:rPr>
          <w:rFonts w:hint="eastAsia" w:ascii="Times New Roman" w:hAnsi="Times New Roman" w:eastAsia="Times New Roman"/>
          <w:color w:val="000000"/>
          <w:sz w:val="24"/>
          <w:szCs w:val="24"/>
          <w:vertAlign w:val="subscript"/>
          <w:lang w:val="zh-CN"/>
        </w:rPr>
        <w:t>21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2p</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)/(EA)+T</w:t>
      </w:r>
      <w:r>
        <w:rPr>
          <w:rFonts w:hint="eastAsia" w:ascii="Times New Roman" w:hAnsi="Times New Roman" w:eastAsia="Times New Roman"/>
          <w:color w:val="000000"/>
          <w:sz w:val="24"/>
          <w:szCs w:val="24"/>
          <w:vertAlign w:val="subscript"/>
          <w:lang w:val="zh-CN"/>
        </w:rPr>
        <w:t>31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3p</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)/(EA)</w:t>
      </w:r>
    </w:p>
    <w:p>
      <w:pPr>
        <w:spacing w:before="0" w:beforeLines="0" w:after="0" w:afterLines="0" w:line="360" w:lineRule="auto"/>
        <w:rPr>
          <w:rFonts w:hint="eastAsia" w:ascii="Times New Roman" w:hAnsi="Times New Roman" w:eastAsia="Times New Roman"/>
          <w:color w:val="000000"/>
          <w:sz w:val="24"/>
          <w:szCs w:val="24"/>
          <w:vertAlign w:val="subscript"/>
          <w:lang w:val="zh-CN"/>
        </w:rPr>
      </w:pPr>
      <w:r>
        <w:rPr>
          <w:rFonts w:hint="eastAsia" w:ascii="Times New Roman" w:hAnsi="Times New Roman" w:eastAsia="Times New Roman"/>
          <w:color w:val="000000"/>
          <w:sz w:val="24"/>
          <w:szCs w:val="24"/>
          <w:lang w:val="zh-CN"/>
        </w:rPr>
        <w:t xml:space="preserve">    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 -Δ</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/δ</w:t>
      </w:r>
      <w:r>
        <w:rPr>
          <w:rFonts w:hint="eastAsia" w:ascii="Times New Roman" w:hAnsi="Times New Roman" w:eastAsia="Times New Roman"/>
          <w:color w:val="000000"/>
          <w:sz w:val="24"/>
          <w:szCs w:val="24"/>
          <w:vertAlign w:val="subscript"/>
          <w:lang w:val="zh-CN"/>
        </w:rPr>
        <w:t>11</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各杆轴力计算公式如下：</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 T</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 T</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 T</w:t>
      </w:r>
      <w:r>
        <w:rPr>
          <w:rFonts w:hint="eastAsia" w:ascii="Times New Roman" w:hAnsi="Times New Roman" w:eastAsia="Times New Roman"/>
          <w:color w:val="000000"/>
          <w:sz w:val="24"/>
          <w:szCs w:val="24"/>
          <w:vertAlign w:val="subscript"/>
          <w:lang w:val="zh-CN"/>
        </w:rPr>
        <w:t>21</w:t>
      </w:r>
      <w:r>
        <w:rPr>
          <w:rFonts w:hint="eastAsia" w:ascii="Times New Roman" w:hAnsi="Times New Roman" w:eastAsia="Times New Roman"/>
          <w:color w:val="000000"/>
          <w:sz w:val="24"/>
          <w:szCs w:val="24"/>
          <w:lang w:val="zh-CN"/>
        </w:rPr>
        <w:t>×X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2p</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31</w:t>
      </w:r>
      <w:r>
        <w:rPr>
          <w:rFonts w:hint="eastAsia" w:ascii="Times New Roman" w:hAnsi="Times New Roman" w:eastAsia="Times New Roman"/>
          <w:color w:val="000000"/>
          <w:sz w:val="24"/>
          <w:szCs w:val="24"/>
          <w:lang w:val="zh-CN"/>
        </w:rPr>
        <w:t>×X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3p</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 xml:space="preserve"> </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（1）θ由0～360°循环，当T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按图上方向设置时求解各杆最大轴拉力和轴压力：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最大轴压力T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=158.787kN，T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=94.034kN，T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=230.156kN，T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=0kN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最大轴拉力T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=0.705kN，T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=234.971kN，T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=256.271kN，T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=198.132kN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（2）θ由0～360°循环，当T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按图上反方向设置时求解各杆最大轴拉力和轴压力：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最大轴压力T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=0.704kN，T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=234.971kN，T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=256.27kN，T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=198.132kN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最大轴拉力T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=158.788kN，T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=94.035kN，T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=230.156kN，T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=0kN</w:t>
      </w:r>
    </w:p>
    <w:p>
      <w:pPr>
        <w:spacing w:before="0" w:beforeLines="0" w:after="0" w:afterLines="0" w:line="360" w:lineRule="auto"/>
        <w:rPr>
          <w:rFonts w:hint="eastAsia" w:ascii="Times New Roman" w:hAnsi="Times New Roman" w:eastAsia="Times New Roman"/>
          <w:b/>
          <w:color w:val="000000"/>
          <w:sz w:val="28"/>
          <w:szCs w:val="24"/>
          <w:lang w:val="zh-CN"/>
        </w:rPr>
      </w:pPr>
      <w:r>
        <w:rPr>
          <w:rFonts w:hint="eastAsia" w:ascii="Times New Roman" w:hAnsi="Times New Roman" w:eastAsia="Times New Roman"/>
          <w:b/>
          <w:color w:val="000000"/>
          <w:sz w:val="28"/>
          <w:szCs w:val="24"/>
          <w:lang w:val="zh-CN"/>
        </w:rPr>
        <w:t xml:space="preserve"> 四、非工作状态下附墙杆内力计算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此工况下塔机回转机构的制动器完全松开，起重臂能随风转动，故不计风荷载产生的扭转力矩。</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1、附着支座反力计算</w:t>
      </w:r>
    </w:p>
    <w:p>
      <w:pPr>
        <w:spacing w:before="0" w:beforeLines="0" w:after="0" w:afterLines="0" w:line="360" w:lineRule="auto"/>
        <w:jc w:val="center"/>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drawing>
          <wp:inline distT="0" distB="0" distL="114300" distR="114300">
            <wp:extent cx="5715000" cy="1905000"/>
            <wp:effectExtent l="0" t="0" r="0" b="0"/>
            <wp:docPr id="6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pic:cNvPicPr>
                      <a:picLocks noChangeAspect="1"/>
                    </pic:cNvPicPr>
                  </pic:nvPicPr>
                  <pic:blipFill>
                    <a:blip r:embed="rId118"/>
                    <a:stretch>
                      <a:fillRect/>
                    </a:stretch>
                  </pic:blipFill>
                  <pic:spPr>
                    <a:xfrm>
                      <a:off x="0" y="0"/>
                      <a:ext cx="5715000" cy="1905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计算简图</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5715000" cy="1905000"/>
            <wp:effectExtent l="0" t="0" r="0" b="0"/>
            <wp:docPr id="7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6"/>
                    <pic:cNvPicPr>
                      <a:picLocks noChangeAspect="1"/>
                    </pic:cNvPicPr>
                  </pic:nvPicPr>
                  <pic:blipFill>
                    <a:blip r:embed="rId119"/>
                    <a:stretch>
                      <a:fillRect/>
                    </a:stretch>
                  </pic:blipFill>
                  <pic:spPr>
                    <a:xfrm>
                      <a:off x="0" y="0"/>
                      <a:ext cx="5715000" cy="1905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剪力图</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得：R</w:t>
      </w:r>
      <w:r>
        <w:rPr>
          <w:rFonts w:hint="eastAsia" w:ascii="Times New Roman" w:hAnsi="Times New Roman" w:eastAsia="Times New Roman"/>
          <w:color w:val="000000"/>
          <w:sz w:val="24"/>
          <w:szCs w:val="24"/>
          <w:vertAlign w:val="subscript"/>
          <w:lang w:val="zh-CN"/>
        </w:rPr>
        <w:t>E</w:t>
      </w:r>
      <w:r>
        <w:rPr>
          <w:rFonts w:hint="eastAsia" w:ascii="Times New Roman" w:hAnsi="Times New Roman" w:eastAsia="Times New Roman"/>
          <w:color w:val="000000"/>
          <w:sz w:val="24"/>
          <w:szCs w:val="24"/>
          <w:lang w:val="zh-CN"/>
        </w:rPr>
        <w:t>=77.907kN</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2、附墙杆内力计算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支座2处锚固环的水平内力N</w:t>
      </w:r>
      <w:r>
        <w:rPr>
          <w:rFonts w:hint="eastAsia" w:ascii="Times New Roman" w:hAnsi="Times New Roman" w:eastAsia="Times New Roman"/>
          <w:color w:val="000000"/>
          <w:sz w:val="24"/>
          <w:szCs w:val="24"/>
          <w:vertAlign w:val="subscript"/>
          <w:lang w:val="zh-CN"/>
        </w:rPr>
        <w:t>w</w:t>
      </w:r>
      <w:r>
        <w:rPr>
          <w:rFonts w:hint="eastAsia" w:ascii="Times New Roman" w:hAnsi="Times New Roman" w:eastAsia="Times New Roman"/>
          <w:color w:val="000000"/>
          <w:sz w:val="24"/>
          <w:szCs w:val="24"/>
          <w:lang w:val="zh-CN"/>
        </w:rPr>
        <w:t>=R</w:t>
      </w:r>
      <w:r>
        <w:rPr>
          <w:rFonts w:hint="eastAsia" w:ascii="Times New Roman" w:hAnsi="Times New Roman" w:eastAsia="Times New Roman"/>
          <w:color w:val="000000"/>
          <w:sz w:val="24"/>
          <w:szCs w:val="24"/>
          <w:vertAlign w:val="subscript"/>
          <w:lang w:val="zh-CN"/>
        </w:rPr>
        <w:t>E</w:t>
      </w:r>
      <w:r>
        <w:rPr>
          <w:rFonts w:hint="eastAsia" w:ascii="Times New Roman" w:hAnsi="Times New Roman" w:eastAsia="Times New Roman"/>
          <w:color w:val="000000"/>
          <w:sz w:val="24"/>
          <w:szCs w:val="24"/>
          <w:lang w:val="zh-CN"/>
        </w:rPr>
        <w:t>=77.907kN。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根据工作状态方程组Tk=0，θ由0～360°循环，求解各杆最大轴拉力和轴压力：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最大轴压力T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=44.941kN，T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=92.706kN，T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=137.066kN，T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=28.622kN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最大轴拉力T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=44.942kN，T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=92.707kN，T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=137.065kN，T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=28.622kN</w:t>
      </w:r>
    </w:p>
    <w:p>
      <w:pPr>
        <w:spacing w:before="0" w:beforeLines="0" w:after="0" w:afterLines="0" w:line="360" w:lineRule="auto"/>
        <w:rPr>
          <w:rFonts w:hint="eastAsia" w:ascii="Times New Roman" w:hAnsi="Times New Roman" w:eastAsia="Times New Roman"/>
          <w:b/>
          <w:color w:val="000000"/>
          <w:sz w:val="28"/>
          <w:szCs w:val="24"/>
          <w:lang w:val="zh-CN"/>
        </w:rPr>
      </w:pPr>
      <w:r>
        <w:rPr>
          <w:rFonts w:hint="eastAsia" w:ascii="Times New Roman" w:hAnsi="Times New Roman" w:eastAsia="Times New Roman"/>
          <w:b/>
          <w:color w:val="000000"/>
          <w:sz w:val="28"/>
          <w:szCs w:val="24"/>
          <w:lang w:val="zh-CN"/>
        </w:rPr>
        <w:t xml:space="preserve"> 五、附墙杆强度验算</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3090"/>
        <w:gridCol w:w="1620"/>
        <w:gridCol w:w="3090"/>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gridSpan w:val="4"/>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格构柱参数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格构柱截面类型</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四肢</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格构柱缀件形式</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缀条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缀件间净距l</w:t>
            </w:r>
            <w:r>
              <w:rPr>
                <w:rFonts w:hint="eastAsia" w:ascii="Times New Roman" w:hAnsi="Times New Roman" w:eastAsia="Times New Roman"/>
                <w:color w:val="000000"/>
                <w:sz w:val="24"/>
                <w:szCs w:val="24"/>
                <w:vertAlign w:val="subscript"/>
                <w:lang w:val="zh-CN"/>
              </w:rPr>
              <w:t>01</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120</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格构柱截面边长a(mm)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gridSpan w:val="4"/>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格构柱分肢参数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格构柱分肢材料</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L63X6</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分肢材料截面积A</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18"/>
                <w:szCs w:val="24"/>
                <w:lang w:val="zh-CN"/>
              </w:rPr>
              <w:t>(cm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7.29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分肢对最小刚度轴的回转半径i</w:t>
            </w:r>
            <w:r>
              <w:rPr>
                <w:rFonts w:hint="eastAsia" w:ascii="Times New Roman" w:hAnsi="Times New Roman" w:eastAsia="Times New Roman"/>
                <w:color w:val="000000"/>
                <w:sz w:val="24"/>
                <w:szCs w:val="24"/>
                <w:vertAlign w:val="subscript"/>
                <w:lang w:val="zh-CN"/>
              </w:rPr>
              <w:t>y0</w:t>
            </w:r>
            <w:r>
              <w:rPr>
                <w:rFonts w:hint="eastAsia" w:ascii="Times New Roman" w:hAnsi="Times New Roman" w:eastAsia="Times New Roman"/>
                <w:color w:val="000000"/>
                <w:sz w:val="18"/>
                <w:szCs w:val="24"/>
                <w:lang w:val="zh-CN"/>
              </w:rPr>
              <w:t>(cm)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1.24</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分肢平行于对称轴惯性矩I</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18"/>
                <w:szCs w:val="24"/>
                <w:lang w:val="zh-CN"/>
              </w:rPr>
              <w:t>(cm</w:t>
            </w:r>
            <w:r>
              <w:rPr>
                <w:rFonts w:hint="eastAsia" w:ascii="Times New Roman" w:hAnsi="Times New Roman" w:eastAsia="Times New Roman"/>
                <w:color w:val="000000"/>
                <w:sz w:val="24"/>
                <w:szCs w:val="24"/>
                <w:vertAlign w:val="superscript"/>
                <w:lang w:val="zh-CN"/>
              </w:rPr>
              <w:t>4</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分肢形心轴距分肢外边缘距离Z</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18"/>
                <w:szCs w:val="24"/>
                <w:lang w:val="zh-CN"/>
              </w:rPr>
              <w:t>(cm)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1.78</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分肢材料强度设计值f</w:t>
            </w:r>
            <w:r>
              <w:rPr>
                <w:rFonts w:hint="eastAsia" w:ascii="Times New Roman" w:hAnsi="Times New Roman" w:eastAsia="Times New Roman"/>
                <w:color w:val="000000"/>
                <w:sz w:val="24"/>
                <w:szCs w:val="24"/>
                <w:vertAlign w:val="subscript"/>
                <w:lang w:val="zh-CN"/>
              </w:rPr>
              <w:t>y</w:t>
            </w:r>
            <w:r>
              <w:rPr>
                <w:rFonts w:hint="eastAsia" w:ascii="Times New Roman" w:hAnsi="Times New Roman" w:eastAsia="Times New Roman"/>
                <w:color w:val="000000"/>
                <w:sz w:val="18"/>
                <w:szCs w:val="24"/>
                <w:lang w:val="zh-CN"/>
              </w:rPr>
              <w:t>(N/mm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分肢材料抗拉、压强度设计值f(N/mm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gridSpan w:val="3"/>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gridSpan w:val="4"/>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格构柱缀件参数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缀条材料</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L50X5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缀条最小回转半径i</w:t>
            </w:r>
            <w:r>
              <w:rPr>
                <w:rFonts w:hint="eastAsia" w:ascii="Times New Roman" w:hAnsi="Times New Roman" w:eastAsia="Times New Roman"/>
                <w:color w:val="000000"/>
                <w:sz w:val="24"/>
                <w:szCs w:val="24"/>
                <w:vertAlign w:val="subscript"/>
                <w:lang w:val="zh-CN"/>
              </w:rPr>
              <w:t>nim</w:t>
            </w:r>
            <w:r>
              <w:rPr>
                <w:rFonts w:hint="eastAsia" w:ascii="Times New Roman" w:hAnsi="Times New Roman" w:eastAsia="Times New Roman"/>
                <w:color w:val="000000"/>
                <w:sz w:val="18"/>
                <w:szCs w:val="24"/>
                <w:lang w:val="zh-CN"/>
              </w:rPr>
              <w:t>(cm)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缀条截面积A</w:t>
            </w:r>
            <w:r>
              <w:rPr>
                <w:rFonts w:hint="eastAsia" w:ascii="Times New Roman" w:hAnsi="Times New Roman" w:eastAsia="Times New Roman"/>
                <w:color w:val="000000"/>
                <w:sz w:val="24"/>
                <w:szCs w:val="24"/>
                <w:vertAlign w:val="subscript"/>
                <w:lang w:val="zh-CN"/>
              </w:rPr>
              <w:t>z</w:t>
            </w:r>
            <w:r>
              <w:rPr>
                <w:rFonts w:hint="eastAsia" w:ascii="Times New Roman" w:hAnsi="Times New Roman" w:eastAsia="Times New Roman"/>
                <w:color w:val="000000"/>
                <w:sz w:val="18"/>
                <w:szCs w:val="24"/>
                <w:lang w:val="zh-CN"/>
              </w:rPr>
              <w:t>(cm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gridSpan w:val="3"/>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角焊缝焊脚尺寸h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10</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焊缝计算长度l</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焊缝强度设计值f</w:t>
            </w:r>
            <w:r>
              <w:rPr>
                <w:rFonts w:hint="eastAsia" w:ascii="Times New Roman" w:hAnsi="Times New Roman" w:eastAsia="Times New Roman"/>
                <w:color w:val="000000"/>
                <w:sz w:val="24"/>
                <w:szCs w:val="24"/>
                <w:vertAlign w:val="subscript"/>
                <w:lang w:val="zh-CN"/>
              </w:rPr>
              <w:t>fw</w:t>
            </w:r>
            <w:r>
              <w:rPr>
                <w:rFonts w:hint="eastAsia" w:ascii="Times New Roman" w:hAnsi="Times New Roman" w:eastAsia="Times New Roman"/>
                <w:color w:val="000000"/>
                <w:sz w:val="18"/>
                <w:szCs w:val="24"/>
                <w:lang w:val="zh-CN"/>
              </w:rPr>
              <w:t>(N/mm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160</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24"/>
                <w:szCs w:val="24"/>
                <w:lang w:val="zh-CN"/>
              </w:rPr>
            </w:pP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24"/>
                <w:szCs w:val="24"/>
                <w:lang w:val="zh-CN"/>
              </w:rPr>
            </w:pPr>
          </w:p>
        </w:tc>
      </w:tr>
    </w:tbl>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附图如下:</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5000625" cy="4572000"/>
            <wp:effectExtent l="0" t="0" r="13335" b="0"/>
            <wp:docPr id="7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7"/>
                    <pic:cNvPicPr>
                      <a:picLocks noChangeAspect="1"/>
                    </pic:cNvPicPr>
                  </pic:nvPicPr>
                  <pic:blipFill>
                    <a:blip r:embed="rId120"/>
                    <a:stretch>
                      <a:fillRect/>
                    </a:stretch>
                  </pic:blipFill>
                  <pic:spPr>
                    <a:xfrm>
                      <a:off x="0" y="0"/>
                      <a:ext cx="5000625" cy="4572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fldChar w:fldCharType="begin"/>
      </w:r>
      <w:r>
        <w:rPr>
          <w:rFonts w:hint="eastAsia" w:ascii="Times New Roman" w:hAnsi="Times New Roman" w:eastAsia="Times New Roman"/>
          <w:color w:val="000000"/>
          <w:sz w:val="24"/>
          <w:szCs w:val="24"/>
          <w:lang w:val="zh-CN"/>
        </w:rPr>
        <w:instrText xml:space="preserve">HYPERLINK "D:\\品茗建筑云安全计算软件V1.4.2\\OutPut\\塔机附着格构柱截面.dwg"</w:instrText>
      </w:r>
      <w:r>
        <w:rPr>
          <w:rFonts w:hint="eastAsia" w:ascii="Times New Roman" w:hAnsi="Times New Roman" w:eastAsia="Times New Roman"/>
          <w:color w:val="000000"/>
          <w:sz w:val="24"/>
          <w:szCs w:val="24"/>
          <w:lang w:val="zh-CN"/>
        </w:rPr>
        <w:fldChar w:fldCharType="separate"/>
      </w:r>
      <w:r>
        <w:rPr>
          <w:rFonts w:hint="eastAsia" w:ascii="Times New Roman" w:hAnsi="Times New Roman" w:eastAsia="Times New Roman"/>
          <w:color w:val="000080"/>
          <w:sz w:val="24"/>
          <w:szCs w:val="24"/>
          <w:u w:val="single"/>
          <w:lang w:val="zh-CN"/>
        </w:rPr>
        <w:t>塔机附着格构柱截面</w:t>
      </w:r>
      <w:r>
        <w:rPr>
          <w:rFonts w:hint="eastAsia" w:ascii="Times New Roman" w:hAnsi="Times New Roman" w:eastAsia="Times New Roman"/>
          <w:color w:val="000080"/>
          <w:sz w:val="24"/>
          <w:szCs w:val="24"/>
          <w:u w:val="single"/>
          <w:lang w:val="zh-CN"/>
        </w:rPr>
        <w:fldChar w:fldCharType="end"/>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1、杆件轴心受拉强度验算</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A=4A</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=4×7.29×100=2916mm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σ=N/A=256270/2916=87.884N/mm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≤[f]=210N/mm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2、格构式钢柱换算长细比验算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杆件1的计算长度：L0=(a</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=11466.979mm</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整个格构柱截面对X、Y轴惯性矩：</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I</w:t>
      </w:r>
      <w:r>
        <w:rPr>
          <w:rFonts w:hint="eastAsia" w:ascii="Times New Roman" w:hAnsi="Times New Roman" w:eastAsia="Times New Roman"/>
          <w:color w:val="000000"/>
          <w:sz w:val="24"/>
          <w:szCs w:val="24"/>
          <w:vertAlign w:val="subscript"/>
          <w:lang w:val="zh-CN"/>
        </w:rPr>
        <w:t>x</w:t>
      </w:r>
      <w:r>
        <w:rPr>
          <w:rFonts w:hint="eastAsia" w:ascii="Times New Roman" w:hAnsi="Times New Roman" w:eastAsia="Times New Roman"/>
          <w:color w:val="000000"/>
          <w:sz w:val="24"/>
          <w:szCs w:val="24"/>
          <w:lang w:val="zh-CN"/>
        </w:rPr>
        <w:t>=4[I</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(a/2-Z</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]=4×[27.1+7.29×(30/2-1.78)</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]=5204.647cm</w:t>
      </w:r>
      <w:r>
        <w:rPr>
          <w:rFonts w:hint="eastAsia" w:ascii="Times New Roman" w:hAnsi="Times New Roman" w:eastAsia="Times New Roman"/>
          <w:color w:val="000000"/>
          <w:sz w:val="24"/>
          <w:szCs w:val="24"/>
          <w:vertAlign w:val="superscript"/>
          <w:lang w:val="zh-CN"/>
        </w:rPr>
        <w:t>4</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整个构件长细比：λ</w:t>
      </w:r>
      <w:r>
        <w:rPr>
          <w:rFonts w:hint="eastAsia" w:ascii="Times New Roman" w:hAnsi="Times New Roman" w:eastAsia="Times New Roman"/>
          <w:color w:val="000000"/>
          <w:sz w:val="24"/>
          <w:szCs w:val="24"/>
          <w:vertAlign w:val="subscript"/>
          <w:lang w:val="zh-CN"/>
        </w:rPr>
        <w:t>x</w:t>
      </w:r>
      <w:r>
        <w:rPr>
          <w:rFonts w:hint="eastAsia" w:ascii="Times New Roman" w:hAnsi="Times New Roman" w:eastAsia="Times New Roman"/>
          <w:color w:val="000000"/>
          <w:sz w:val="24"/>
          <w:szCs w:val="24"/>
          <w:lang w:val="zh-CN"/>
        </w:rPr>
        <w:t>=λ</w:t>
      </w:r>
      <w:r>
        <w:rPr>
          <w:rFonts w:hint="eastAsia" w:ascii="Times New Roman" w:hAnsi="Times New Roman" w:eastAsia="Times New Roman"/>
          <w:color w:val="000000"/>
          <w:sz w:val="24"/>
          <w:szCs w:val="24"/>
          <w:vertAlign w:val="subscript"/>
          <w:lang w:val="zh-CN"/>
        </w:rPr>
        <w:t>y</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/(I</w:t>
      </w:r>
      <w:r>
        <w:rPr>
          <w:rFonts w:hint="eastAsia" w:ascii="Times New Roman" w:hAnsi="Times New Roman" w:eastAsia="Times New Roman"/>
          <w:color w:val="000000"/>
          <w:sz w:val="24"/>
          <w:szCs w:val="24"/>
          <w:vertAlign w:val="subscript"/>
          <w:lang w:val="zh-CN"/>
        </w:rPr>
        <w:t>x</w:t>
      </w:r>
      <w:r>
        <w:rPr>
          <w:rFonts w:hint="eastAsia" w:ascii="Times New Roman" w:hAnsi="Times New Roman" w:eastAsia="Times New Roman"/>
          <w:color w:val="000000"/>
          <w:sz w:val="24"/>
          <w:szCs w:val="24"/>
          <w:lang w:val="zh-CN"/>
        </w:rPr>
        <w:t>/(4A</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=1146.698/(5204.647/(4×7.29))</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=85.832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分肢长细比：λ</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01</w:t>
      </w:r>
      <w:r>
        <w:rPr>
          <w:rFonts w:hint="eastAsia" w:ascii="Times New Roman" w:hAnsi="Times New Roman" w:eastAsia="Times New Roman"/>
          <w:color w:val="000000"/>
          <w:sz w:val="24"/>
          <w:szCs w:val="24"/>
          <w:lang w:val="zh-CN"/>
        </w:rPr>
        <w:t>/i</w:t>
      </w:r>
      <w:r>
        <w:rPr>
          <w:rFonts w:hint="eastAsia" w:ascii="Times New Roman" w:hAnsi="Times New Roman" w:eastAsia="Times New Roman"/>
          <w:color w:val="000000"/>
          <w:sz w:val="24"/>
          <w:szCs w:val="24"/>
          <w:vertAlign w:val="subscript"/>
          <w:lang w:val="zh-CN"/>
        </w:rPr>
        <w:t>y0</w:t>
      </w:r>
      <w:r>
        <w:rPr>
          <w:rFonts w:hint="eastAsia" w:ascii="Times New Roman" w:hAnsi="Times New Roman" w:eastAsia="Times New Roman"/>
          <w:color w:val="000000"/>
          <w:sz w:val="24"/>
          <w:szCs w:val="24"/>
          <w:lang w:val="zh-CN"/>
        </w:rPr>
        <w:t>=12/1.24=9.677</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分肢毛截面积之和：A=4A</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=4×7.29×100=2916mm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构件截面中垂直于X轴的各斜缀条的毛截面积之和：</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A</w:t>
      </w:r>
      <w:r>
        <w:rPr>
          <w:rFonts w:hint="eastAsia" w:ascii="Times New Roman" w:hAnsi="Times New Roman" w:eastAsia="Times New Roman"/>
          <w:color w:val="000000"/>
          <w:sz w:val="24"/>
          <w:szCs w:val="24"/>
          <w:vertAlign w:val="subscript"/>
          <w:lang w:val="zh-CN"/>
        </w:rPr>
        <w:t>1x</w:t>
      </w:r>
      <w:r>
        <w:rPr>
          <w:rFonts w:hint="eastAsia" w:ascii="Times New Roman" w:hAnsi="Times New Roman" w:eastAsia="Times New Roman"/>
          <w:color w:val="000000"/>
          <w:sz w:val="24"/>
          <w:szCs w:val="24"/>
          <w:lang w:val="zh-CN"/>
        </w:rPr>
        <w:t>=2A</w:t>
      </w:r>
      <w:r>
        <w:rPr>
          <w:rFonts w:hint="eastAsia" w:ascii="Times New Roman" w:hAnsi="Times New Roman" w:eastAsia="Times New Roman"/>
          <w:color w:val="000000"/>
          <w:sz w:val="24"/>
          <w:szCs w:val="24"/>
          <w:vertAlign w:val="subscript"/>
          <w:lang w:val="zh-CN"/>
        </w:rPr>
        <w:t>z</w:t>
      </w:r>
      <w:r>
        <w:rPr>
          <w:rFonts w:hint="eastAsia" w:ascii="Times New Roman" w:hAnsi="Times New Roman" w:eastAsia="Times New Roman"/>
          <w:color w:val="000000"/>
          <w:sz w:val="24"/>
          <w:szCs w:val="24"/>
          <w:lang w:val="zh-CN"/>
        </w:rPr>
        <w:t>=2×480=960mm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格构式钢柱绕两主轴的换算长细比：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0max</w:t>
      </w:r>
      <w:r>
        <w:rPr>
          <w:rFonts w:hint="eastAsia" w:ascii="Times New Roman" w:hAnsi="Times New Roman" w:eastAsia="Times New Roman"/>
          <w:color w:val="000000"/>
          <w:sz w:val="24"/>
          <w:szCs w:val="24"/>
          <w:lang w:val="zh-CN"/>
        </w:rPr>
        <w:t>=(λ</w:t>
      </w:r>
      <w:r>
        <w:rPr>
          <w:rFonts w:hint="eastAsia" w:ascii="Times New Roman" w:hAnsi="Times New Roman" w:eastAsia="Times New Roman"/>
          <w:color w:val="000000"/>
          <w:sz w:val="24"/>
          <w:szCs w:val="24"/>
          <w:vertAlign w:val="subscript"/>
          <w:lang w:val="zh-CN"/>
        </w:rPr>
        <w:t>x</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+40A/A</w:t>
      </w:r>
      <w:r>
        <w:rPr>
          <w:rFonts w:hint="eastAsia" w:ascii="Times New Roman" w:hAnsi="Times New Roman" w:eastAsia="Times New Roman"/>
          <w:color w:val="000000"/>
          <w:sz w:val="24"/>
          <w:szCs w:val="24"/>
          <w:vertAlign w:val="subscript"/>
          <w:lang w:val="zh-CN"/>
        </w:rPr>
        <w:t>1x</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=(85.832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+40×2916/960)</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=86.537</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附墙杆1长细比：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01max</w:t>
      </w:r>
      <w:r>
        <w:rPr>
          <w:rFonts w:hint="eastAsia" w:ascii="Times New Roman" w:hAnsi="Times New Roman" w:eastAsia="Times New Roman"/>
          <w:color w:val="000000"/>
          <w:sz w:val="24"/>
          <w:szCs w:val="24"/>
          <w:lang w:val="zh-CN"/>
        </w:rPr>
        <w:t>=86.537≤[λ]=120，查规范表得：φ</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=0.644</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附墙杆2长细比：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02max</w:t>
      </w:r>
      <w:r>
        <w:rPr>
          <w:rFonts w:hint="eastAsia" w:ascii="Times New Roman" w:hAnsi="Times New Roman" w:eastAsia="Times New Roman"/>
          <w:color w:val="000000"/>
          <w:sz w:val="24"/>
          <w:szCs w:val="24"/>
          <w:lang w:val="zh-CN"/>
        </w:rPr>
        <w:t>=73.865≤[λ]=120，查规范表得：φ</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=0.727</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附墙杆3长细比：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03max</w:t>
      </w:r>
      <w:r>
        <w:rPr>
          <w:rFonts w:hint="eastAsia" w:ascii="Times New Roman" w:hAnsi="Times New Roman" w:eastAsia="Times New Roman"/>
          <w:color w:val="000000"/>
          <w:sz w:val="24"/>
          <w:szCs w:val="24"/>
          <w:lang w:val="zh-CN"/>
        </w:rPr>
        <w:t>=48.741≤[λ]=120，查规范表得：φ</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=0.862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附墙杆4长细比：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04max</w:t>
      </w:r>
      <w:r>
        <w:rPr>
          <w:rFonts w:hint="eastAsia" w:ascii="Times New Roman" w:hAnsi="Times New Roman" w:eastAsia="Times New Roman"/>
          <w:color w:val="000000"/>
          <w:sz w:val="24"/>
          <w:szCs w:val="24"/>
          <w:lang w:val="zh-CN"/>
        </w:rPr>
        <w:t>=63.171≤[λ]=120，查规范表得：φ</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=0.79</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附墙杆1轴心受压稳定验算：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/(φ</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Af)=158788/(0.644×2916×210)=0.403≤1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附墙杆2轴心受压稳定验算：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/(φ</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Af)=234971/(0.727×2916×210)=0.528≤1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附墙杆3轴心受压稳定验算：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/(φ</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Af)=256271/(0.862×2916×210)=0.485≤1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附墙杆4轴心受压稳定验算：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/(φ</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Af)=198132/(0.79×2916×210)=0.41≤1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3、格构式钢柱分肢的长细比验算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附墙杆1钢柱分肢的长细比：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=9.677≤0.7λ</w:t>
      </w:r>
      <w:r>
        <w:rPr>
          <w:rFonts w:hint="eastAsia" w:ascii="Times New Roman" w:hAnsi="Times New Roman" w:eastAsia="Times New Roman"/>
          <w:color w:val="000000"/>
          <w:sz w:val="24"/>
          <w:szCs w:val="24"/>
          <w:vertAlign w:val="subscript"/>
          <w:lang w:val="zh-CN"/>
        </w:rPr>
        <w:t>01max</w:t>
      </w:r>
      <w:r>
        <w:rPr>
          <w:rFonts w:hint="eastAsia" w:ascii="Times New Roman" w:hAnsi="Times New Roman" w:eastAsia="Times New Roman"/>
          <w:color w:val="000000"/>
          <w:sz w:val="24"/>
          <w:szCs w:val="24"/>
          <w:lang w:val="zh-CN"/>
        </w:rPr>
        <w:t>=0.7×86.537=60.576</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附墙杆2钢柱分肢的长细比：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=9.677≤0.7λ</w:t>
      </w:r>
      <w:r>
        <w:rPr>
          <w:rFonts w:hint="eastAsia" w:ascii="Times New Roman" w:hAnsi="Times New Roman" w:eastAsia="Times New Roman"/>
          <w:color w:val="000000"/>
          <w:sz w:val="24"/>
          <w:szCs w:val="24"/>
          <w:vertAlign w:val="subscript"/>
          <w:lang w:val="zh-CN"/>
        </w:rPr>
        <w:t>02max</w:t>
      </w:r>
      <w:r>
        <w:rPr>
          <w:rFonts w:hint="eastAsia" w:ascii="Times New Roman" w:hAnsi="Times New Roman" w:eastAsia="Times New Roman"/>
          <w:color w:val="000000"/>
          <w:sz w:val="24"/>
          <w:szCs w:val="24"/>
          <w:lang w:val="zh-CN"/>
        </w:rPr>
        <w:t>=0.7×73.865=51.705</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附墙杆3钢柱分肢的长细比：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=9.677≤0.7λ</w:t>
      </w:r>
      <w:r>
        <w:rPr>
          <w:rFonts w:hint="eastAsia" w:ascii="Times New Roman" w:hAnsi="Times New Roman" w:eastAsia="Times New Roman"/>
          <w:color w:val="000000"/>
          <w:sz w:val="24"/>
          <w:szCs w:val="24"/>
          <w:vertAlign w:val="subscript"/>
          <w:lang w:val="zh-CN"/>
        </w:rPr>
        <w:t>03max</w:t>
      </w:r>
      <w:r>
        <w:rPr>
          <w:rFonts w:hint="eastAsia" w:ascii="Times New Roman" w:hAnsi="Times New Roman" w:eastAsia="Times New Roman"/>
          <w:color w:val="000000"/>
          <w:sz w:val="24"/>
          <w:szCs w:val="24"/>
          <w:lang w:val="zh-CN"/>
        </w:rPr>
        <w:t>=0.7×50=35</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当λ</w:t>
      </w:r>
      <w:r>
        <w:rPr>
          <w:rFonts w:hint="eastAsia" w:ascii="Times New Roman" w:hAnsi="Times New Roman" w:eastAsia="Times New Roman"/>
          <w:color w:val="000000"/>
          <w:sz w:val="24"/>
          <w:szCs w:val="24"/>
          <w:vertAlign w:val="subscript"/>
          <w:lang w:val="zh-CN"/>
        </w:rPr>
        <w:t>03max</w:t>
      </w:r>
      <w:r>
        <w:rPr>
          <w:rFonts w:hint="eastAsia" w:ascii="Times New Roman" w:hAnsi="Times New Roman" w:eastAsia="Times New Roman"/>
          <w:color w:val="000000"/>
          <w:sz w:val="24"/>
          <w:szCs w:val="24"/>
          <w:lang w:val="zh-CN"/>
        </w:rPr>
        <w:t>小于50时取50</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附墙杆4钢柱分肢的长细比：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=9.677≤0.7λ</w:t>
      </w:r>
      <w:r>
        <w:rPr>
          <w:rFonts w:hint="eastAsia" w:ascii="Times New Roman" w:hAnsi="Times New Roman" w:eastAsia="Times New Roman"/>
          <w:color w:val="000000"/>
          <w:sz w:val="24"/>
          <w:szCs w:val="24"/>
          <w:vertAlign w:val="subscript"/>
          <w:lang w:val="zh-CN"/>
        </w:rPr>
        <w:t>04max</w:t>
      </w:r>
      <w:r>
        <w:rPr>
          <w:rFonts w:hint="eastAsia" w:ascii="Times New Roman" w:hAnsi="Times New Roman" w:eastAsia="Times New Roman"/>
          <w:color w:val="000000"/>
          <w:sz w:val="24"/>
          <w:szCs w:val="24"/>
          <w:lang w:val="zh-CN"/>
        </w:rPr>
        <w:t>=0.7×63.171=44.22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4、缀件验算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缀件所受剪力：V=Af(f</w:t>
      </w:r>
      <w:r>
        <w:rPr>
          <w:rFonts w:hint="eastAsia" w:ascii="Times New Roman" w:hAnsi="Times New Roman" w:eastAsia="Times New Roman"/>
          <w:color w:val="000000"/>
          <w:sz w:val="24"/>
          <w:szCs w:val="24"/>
          <w:vertAlign w:val="subscript"/>
          <w:lang w:val="zh-CN"/>
        </w:rPr>
        <w:t>y</w:t>
      </w:r>
      <w:r>
        <w:rPr>
          <w:rFonts w:hint="eastAsia" w:ascii="Times New Roman" w:hAnsi="Times New Roman" w:eastAsia="Times New Roman"/>
          <w:color w:val="000000"/>
          <w:sz w:val="24"/>
          <w:szCs w:val="24"/>
          <w:lang w:val="zh-CN"/>
        </w:rPr>
        <w:t>/235)</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/85=2916×210.00×10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×(235.00/235)</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/85=7.204kN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格构柱相邻缀板轴线距离：l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01</w:t>
      </w:r>
      <w:r>
        <w:rPr>
          <w:rFonts w:hint="eastAsia" w:ascii="Times New Roman" w:hAnsi="Times New Roman" w:eastAsia="Times New Roman"/>
          <w:color w:val="000000"/>
          <w:sz w:val="24"/>
          <w:szCs w:val="24"/>
          <w:lang w:val="zh-CN"/>
        </w:rPr>
        <w:t>+5=12.00+5=17cm</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作用在一侧缀板上的弯矩：M</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=Vl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/4=7.204×0.17/4=0.306kN·m</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分肢型钢形心轴之间距离：b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=a-2Z</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=0.3-2×0.0178=0.264m</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斜缀条轴向压力值：N</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=V/(2cosα)=V/(2a/(a</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)=7.204/(2×0.3/(0.3</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+0.17</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)=4.14kN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缀条计算长度：l</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=(300.00</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+170</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=344.819mm</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缀条长细比：λ=l</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lang w:val="zh-CN"/>
        </w:rPr>
        <w:t>/i</w:t>
      </w:r>
      <w:r>
        <w:rPr>
          <w:rFonts w:hint="eastAsia" w:ascii="Times New Roman" w:hAnsi="Times New Roman" w:eastAsia="Times New Roman"/>
          <w:color w:val="000000"/>
          <w:sz w:val="24"/>
          <w:szCs w:val="24"/>
          <w:vertAlign w:val="subscript"/>
          <w:lang w:val="zh-CN"/>
        </w:rPr>
        <w:t>min</w:t>
      </w:r>
      <w:r>
        <w:rPr>
          <w:rFonts w:hint="eastAsia" w:ascii="Times New Roman" w:hAnsi="Times New Roman" w:eastAsia="Times New Roman"/>
          <w:color w:val="000000"/>
          <w:sz w:val="24"/>
          <w:szCs w:val="24"/>
          <w:lang w:val="zh-CN"/>
        </w:rPr>
        <w:t>=34.482/0.98=35.186≤80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查表《钢结构设计标准》GB50017-2017附录D：b类截面轴心受压构件的稳定系数：φ=0.918</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等边角钢计算稳定性系数：</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η=min(0.6+0.0015λ，1.0)=min(0.6+0.0015×35.186，1.0)=0.653</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缀条稳定验算：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/(φηA</w:t>
      </w:r>
      <w:r>
        <w:rPr>
          <w:rFonts w:hint="eastAsia" w:ascii="Times New Roman" w:hAnsi="Times New Roman" w:eastAsia="Times New Roman"/>
          <w:color w:val="000000"/>
          <w:sz w:val="24"/>
          <w:szCs w:val="24"/>
          <w:vertAlign w:val="subscript"/>
          <w:lang w:val="zh-CN"/>
        </w:rPr>
        <w:t>z</w:t>
      </w:r>
      <w:r>
        <w:rPr>
          <w:rFonts w:hint="eastAsia" w:ascii="Times New Roman" w:hAnsi="Times New Roman" w:eastAsia="Times New Roman"/>
          <w:color w:val="000000"/>
          <w:sz w:val="24"/>
          <w:szCs w:val="24"/>
          <w:lang w:val="zh-CN"/>
        </w:rPr>
        <w:t>f)=4.14×10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/(0.918×0.653×4.80×10</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×215)=0.067≤1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需要焊缝长度：</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lw</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×0.85f</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vertAlign w:val="superscript"/>
          <w:lang w:val="zh-CN"/>
        </w:rPr>
        <w:t>w</w:t>
      </w:r>
      <w:r>
        <w:rPr>
          <w:rFonts w:hint="eastAsia" w:ascii="Times New Roman" w:hAnsi="Times New Roman" w:eastAsia="Times New Roman"/>
          <w:color w:val="000000"/>
          <w:sz w:val="24"/>
          <w:szCs w:val="24"/>
          <w:lang w:val="zh-CN"/>
        </w:rPr>
        <w:t>)=4.14×10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/(0.7×10×0.85×160)=4mm≤l</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=250mm</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b/>
          <w:color w:val="000000"/>
          <w:sz w:val="28"/>
          <w:szCs w:val="24"/>
          <w:lang w:val="zh-CN"/>
        </w:rPr>
      </w:pPr>
      <w:r>
        <w:rPr>
          <w:rFonts w:hint="eastAsia" w:ascii="Times New Roman" w:hAnsi="Times New Roman" w:eastAsia="Times New Roman"/>
          <w:b/>
          <w:color w:val="000000"/>
          <w:sz w:val="28"/>
          <w:szCs w:val="24"/>
          <w:lang w:val="zh-CN"/>
        </w:rPr>
        <w:t xml:space="preserve"> 六、附着杆与结构连接节点验算</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3090"/>
        <w:gridCol w:w="1620"/>
        <w:gridCol w:w="3090"/>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附着杆与建筑物连接方式</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铰接</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连接钢板厚度dt(mm)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连接钢板强度等级</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Q235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建筑物混凝土强度等级</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C35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连接板固定方式</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锚固螺栓</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连接板耳板排数</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锚固螺栓类型</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摩擦型高强螺栓</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高强螺栓的性能等级</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8.8级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摩擦面抗滑移系数u</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0.45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高强螺栓公称直径</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M30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一个高强螺栓的预拉力P(kN)</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355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高强螺栓传力摩擦面数目n</w:t>
            </w:r>
            <w:r>
              <w:rPr>
                <w:rFonts w:hint="eastAsia" w:ascii="Times New Roman" w:hAnsi="Times New Roman" w:eastAsia="Times New Roman"/>
                <w:color w:val="000000"/>
                <w:sz w:val="24"/>
                <w:szCs w:val="24"/>
                <w:vertAlign w:val="subscript"/>
                <w:lang w:val="zh-CN"/>
              </w:rPr>
              <w:t>f</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gridSpan w:val="4"/>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 xml:space="preserve">                                        双吊耳板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左侧吊耳孔中心至连接板高度L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150</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右侧吊耳孔中心至连接板高度L</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双吊耳板连接钢板垂直方向螺栓排数m</w:t>
            </w:r>
            <w:r>
              <w:rPr>
                <w:rFonts w:hint="eastAsia" w:ascii="Times New Roman" w:hAnsi="Times New Roman" w:eastAsia="Times New Roman"/>
                <w:color w:val="000000"/>
                <w:sz w:val="24"/>
                <w:szCs w:val="24"/>
                <w:vertAlign w:val="subscript"/>
                <w:lang w:val="zh-CN"/>
              </w:rPr>
              <w:t>1</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双吊耳板连接钢板水平方向螺栓排数n</w:t>
            </w:r>
            <w:r>
              <w:rPr>
                <w:rFonts w:hint="eastAsia" w:ascii="Times New Roman" w:hAnsi="Times New Roman" w:eastAsia="Times New Roman"/>
                <w:color w:val="000000"/>
                <w:sz w:val="24"/>
                <w:szCs w:val="24"/>
                <w:vertAlign w:val="subscript"/>
                <w:lang w:val="zh-CN"/>
              </w:rPr>
              <w:t>1</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双吊耳板连接钢板水平方向最外侧螺栓两端中心线距离S</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500</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24"/>
                <w:szCs w:val="24"/>
                <w:lang w:val="zh-CN"/>
              </w:rPr>
            </w:pP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24"/>
                <w:szCs w:val="24"/>
                <w:lang w:val="zh-CN"/>
              </w:rPr>
            </w:pPr>
          </w:p>
        </w:tc>
      </w:tr>
    </w:tbl>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1、附着点荷载计算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各附着杆传给连接节点荷载如下：</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sinα1=158.788×sin77.612°=155.091kN,V</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cosα1=158.788×cos77.612°=34.065kN;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sinα2=234.971×sin67.272°=216.725kN,V</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cosα2=234.971×cos67.272°=90.784kN;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sinα3=256.271×sin75.109°=247.665kN,V</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cosα3=256.271×cos75.109°=65.855kN;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sinα4=198.132×sin87.172°=197.891kN,V</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cosα4=198.132×cos87.172°=9.775kN;</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2、螺栓承载力计算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单个高强螺栓抗剪承载力设计值N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=0.9kn</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uP=0.9×1×1×0.45×355=143.775kN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单个高强螺栓受拉承载力设计值N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=0.8P=0.8×355=284kN</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（1）双吊耳板位置螺栓承载力计算：</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附着杆1、附着杆2连接的双吊耳板：</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分别在工作状态下T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为图中方向(T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为图中相反方向(T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)、非工作状态(T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=0)三种情况下，每种情况中θ由0～360°循环计算，经过分析判断最不利情况如下：</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=-422kN·m，θ=11°， 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=158.532kN，N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=93.544kN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轴向拉力合力为：</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=158.532×sin77.612°+93.544×sin67.272°=241.121kN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水平向剪力合力为：</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V=N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=158.532×cos77.612°+93.544×cos67.272°=70.151kN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计算对螺栓群形心的弯矩：</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M=|N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D/2+N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D/2+N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|=|158.532×sin77.612°×0.35/2+158.532×cos77.612°×0.15-93.544×sin67.272°×0.35/2+93.544×cos67.272°×0.25|=26.135kN·m</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经分析判断，按照小偏心进行计算</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3733800" cy="771525"/>
            <wp:effectExtent l="0" t="0" r="0" b="0"/>
            <wp:docPr id="7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8"/>
                    <pic:cNvPicPr>
                      <a:picLocks noChangeAspect="1"/>
                    </pic:cNvPicPr>
                  </pic:nvPicPr>
                  <pic:blipFill>
                    <a:blip r:embed="rId121"/>
                    <a:stretch>
                      <a:fillRect/>
                    </a:stretch>
                  </pic:blipFill>
                  <pic:spPr>
                    <a:xfrm>
                      <a:off x="0" y="0"/>
                      <a:ext cx="3733800" cy="771525"/>
                    </a:xfrm>
                    <a:prstGeom prst="rect">
                      <a:avLst/>
                    </a:prstGeom>
                    <a:noFill/>
                    <a:ln>
                      <a:noFill/>
                    </a:ln>
                  </pic:spPr>
                </pic:pic>
              </a:graphicData>
            </a:graphic>
          </wp:inline>
        </w:drawing>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=2×[250</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+(250-1×500/4)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+(250-2×500/4)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+(250-3×500/4)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+(250-4×500/4)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]=625000mm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计算弯矩对单个螺栓的附加轴力：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附加</w:t>
      </w:r>
      <w:r>
        <w:rPr>
          <w:rFonts w:hint="eastAsia" w:ascii="Times New Roman" w:hAnsi="Times New Roman" w:eastAsia="Times New Roman"/>
          <w:color w:val="000000"/>
          <w:sz w:val="24"/>
          <w:szCs w:val="24"/>
          <w:lang w:val="zh-CN"/>
        </w:rPr>
        <w:t>=(MS</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/2)/Σx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=(26.135×500/2)/(625000/1000)=10.454kN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计算考虑附加轴力后单个螺栓的最大拉力：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lang w:val="zh-CN"/>
        </w:rPr>
        <w:t>=F/m</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附加</w:t>
      </w:r>
      <w:r>
        <w:rPr>
          <w:rFonts w:hint="eastAsia" w:ascii="Times New Roman" w:hAnsi="Times New Roman" w:eastAsia="Times New Roman"/>
          <w:color w:val="000000"/>
          <w:sz w:val="24"/>
          <w:szCs w:val="24"/>
          <w:lang w:val="zh-CN"/>
        </w:rPr>
        <w:t>=241.121/(2×5)+10.454=34.566kN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计算单个螺栓的最大剪力：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=|V|/m</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=70.151/(2×5)=7.015kN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=7.015/143.775+34.566/284=0.171≤1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螺栓承载力满足要求。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附着杆3、附着杆4连接的双吊耳板：</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分别在工作状态下T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为图中方向(T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为图中相反方向(T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)、非工作状态(T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=0)三种情况下，每种情况中θ由0～360°循环计算，经过分析判断最不利情况如下：</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=422kN·m，θ=152°， 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=253.373kN， 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=198.129kN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轴向拉力合力为：</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=253.373×sin75.109°+198.129×sin87.172°=442.752kN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水平向剪力合力为：</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V=N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=253.373×cos75.109°+198.129×cos87.172°=74.886kN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计算对螺栓群形心的弯矩：</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M=|-N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D/2+N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D/2+N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|=|-253.373×sin75.109°×0.35/2+253.373×cos75.109°×0.15+198.129×sin87.172°×0.35/2+198.129×cos87.172°×0.25|=3.99kN·m</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经分析判断，按照小偏心进行计算</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3733800" cy="771525"/>
            <wp:effectExtent l="0" t="0" r="0" b="0"/>
            <wp:docPr id="7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9"/>
                    <pic:cNvPicPr>
                      <a:picLocks noChangeAspect="1"/>
                    </pic:cNvPicPr>
                  </pic:nvPicPr>
                  <pic:blipFill>
                    <a:blip r:embed="rId121"/>
                    <a:stretch>
                      <a:fillRect/>
                    </a:stretch>
                  </pic:blipFill>
                  <pic:spPr>
                    <a:xfrm>
                      <a:off x="0" y="0"/>
                      <a:ext cx="3733800" cy="771525"/>
                    </a:xfrm>
                    <a:prstGeom prst="rect">
                      <a:avLst/>
                    </a:prstGeom>
                    <a:noFill/>
                    <a:ln>
                      <a:noFill/>
                    </a:ln>
                  </pic:spPr>
                </pic:pic>
              </a:graphicData>
            </a:graphic>
          </wp:inline>
        </w:drawing>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=2×[250</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+(250-1×500/4)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+(250-2×500/4)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+(250-3×500/4)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+(250-4×500/4)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]=625000mm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计算弯矩对单个螺栓的附加轴力：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附加</w:t>
      </w:r>
      <w:r>
        <w:rPr>
          <w:rFonts w:hint="eastAsia" w:ascii="Times New Roman" w:hAnsi="Times New Roman" w:eastAsia="Times New Roman"/>
          <w:color w:val="000000"/>
          <w:sz w:val="24"/>
          <w:szCs w:val="24"/>
          <w:lang w:val="zh-CN"/>
        </w:rPr>
        <w:t>=(MS</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/2)/Σx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=(3.99×500/2)/(625000/1000)=1.596kN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计算考虑附加轴力后单个螺栓的最大拉力：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lang w:val="zh-CN"/>
        </w:rPr>
        <w:t>=F/m</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附加</w:t>
      </w:r>
      <w:r>
        <w:rPr>
          <w:rFonts w:hint="eastAsia" w:ascii="Times New Roman" w:hAnsi="Times New Roman" w:eastAsia="Times New Roman"/>
          <w:color w:val="000000"/>
          <w:sz w:val="24"/>
          <w:szCs w:val="24"/>
          <w:lang w:val="zh-CN"/>
        </w:rPr>
        <w:t>=442.752/(2×5)+1.596=45.871kN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计算单个螺栓的最大剪力：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=|V|/m</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=74.886/(2×5)=7.489kN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=7.489/143.775+45.871/284=0.214≤1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螺栓承载力满足要求。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3、吊耳板计算</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3090"/>
        <w:gridCol w:w="1620"/>
        <w:gridCol w:w="3090"/>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吊耳板厚t(mm)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20</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吊耳板两侧边缘与吊孔边缘净距b(mm):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顺受力方向，吊孔边距板边缘最小距离a(mm):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80</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吊孔直径d</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吊耳板抗拉强度设计值f(N/mm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205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吊耳板抗剪强度设计值fv(N/mm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连接板耳板排数</w:t>
            </w:r>
          </w:p>
        </w:tc>
        <w:tc>
          <w:tcPr>
            <w:tcW w:w="0" w:type="auto"/>
            <w:gridSpan w:val="3"/>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w:t>
            </w:r>
          </w:p>
        </w:tc>
      </w:tr>
    </w:tbl>
    <w:p>
      <w:pPr>
        <w:spacing w:before="0" w:beforeLines="0" w:after="0" w:afterLines="0" w:line="360" w:lineRule="auto"/>
        <w:jc w:val="center"/>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drawing>
          <wp:inline distT="0" distB="0" distL="114300" distR="114300">
            <wp:extent cx="4667250" cy="3048000"/>
            <wp:effectExtent l="0" t="0" r="0" b="0"/>
            <wp:docPr id="7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0"/>
                    <pic:cNvPicPr>
                      <a:picLocks noChangeAspect="1"/>
                    </pic:cNvPicPr>
                  </pic:nvPicPr>
                  <pic:blipFill>
                    <a:blip r:embed="rId122"/>
                    <a:stretch>
                      <a:fillRect/>
                    </a:stretch>
                  </pic:blipFill>
                  <pic:spPr>
                    <a:xfrm>
                      <a:off x="0" y="0"/>
                      <a:ext cx="4667250" cy="3048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fldChar w:fldCharType="begin"/>
      </w:r>
      <w:r>
        <w:rPr>
          <w:rFonts w:hint="eastAsia" w:ascii="Times New Roman" w:hAnsi="Times New Roman" w:eastAsia="Times New Roman"/>
          <w:b/>
          <w:color w:val="000000"/>
          <w:sz w:val="24"/>
          <w:szCs w:val="24"/>
          <w:lang w:val="zh-CN"/>
        </w:rPr>
        <w:instrText xml:space="preserve">HYPERLINK "D:\\品茗建筑云安全计算软件V1.4.2\\pmtd\\Bmp\\Attachment\\双吊耳板.png"</w:instrText>
      </w:r>
      <w:r>
        <w:rPr>
          <w:rFonts w:hint="eastAsia" w:ascii="Times New Roman" w:hAnsi="Times New Roman" w:eastAsia="Times New Roman"/>
          <w:b/>
          <w:color w:val="000000"/>
          <w:sz w:val="24"/>
          <w:szCs w:val="24"/>
          <w:lang w:val="zh-CN"/>
        </w:rPr>
        <w:fldChar w:fldCharType="separate"/>
      </w:r>
      <w:r>
        <w:rPr>
          <w:rFonts w:hint="eastAsia" w:ascii="Times New Roman" w:hAnsi="Times New Roman" w:eastAsia="Times New Roman"/>
          <w:color w:val="000080"/>
          <w:sz w:val="24"/>
          <w:szCs w:val="24"/>
          <w:u w:val="single"/>
          <w:lang w:val="zh-CN"/>
        </w:rPr>
        <w:t>双吊耳板</w:t>
      </w:r>
      <w:r>
        <w:rPr>
          <w:rFonts w:hint="eastAsia" w:ascii="Times New Roman" w:hAnsi="Times New Roman" w:eastAsia="Times New Roman"/>
          <w:color w:val="000080"/>
          <w:sz w:val="24"/>
          <w:szCs w:val="24"/>
          <w:u w:val="single"/>
          <w:lang w:val="zh-CN"/>
        </w:rPr>
        <w:fldChar w:fldCharType="end"/>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参考GB50017-2017，对连接耳板进行如下验算：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吊耳板验算与吊孔中心至连接钢板高度无关，单双吊耳板的a、b、d</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参数均相同，因此单吊耳板与双吊耳板的验算方法相同，取拉力最大值进行计算即可。</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S</w:t>
      </w:r>
      <w:r>
        <w:rPr>
          <w:rFonts w:hint="eastAsia" w:ascii="Times New Roman" w:hAnsi="Times New Roman" w:eastAsia="Times New Roman"/>
          <w:color w:val="000000"/>
          <w:sz w:val="24"/>
          <w:szCs w:val="24"/>
          <w:lang w:val="zh-CN"/>
        </w:rPr>
        <w:t>=max{N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}/2=128.136kN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（1）耳板构造要求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B</w:t>
      </w:r>
      <w:r>
        <w:rPr>
          <w:rFonts w:hint="eastAsia" w:ascii="Times New Roman" w:hAnsi="Times New Roman" w:eastAsia="Times New Roman"/>
          <w:color w:val="000000"/>
          <w:sz w:val="24"/>
          <w:szCs w:val="24"/>
          <w:vertAlign w:val="subscript"/>
          <w:lang w:val="zh-CN"/>
        </w:rPr>
        <w:t>e</w:t>
      </w:r>
      <w:r>
        <w:rPr>
          <w:rFonts w:hint="eastAsia" w:ascii="Times New Roman" w:hAnsi="Times New Roman" w:eastAsia="Times New Roman"/>
          <w:color w:val="000000"/>
          <w:sz w:val="24"/>
          <w:szCs w:val="24"/>
          <w:lang w:val="zh-CN"/>
        </w:rPr>
        <w:t>= 2t+16= 2×20+16=56mm≤b=100mm</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4B</w:t>
      </w:r>
      <w:r>
        <w:rPr>
          <w:rFonts w:hint="eastAsia" w:ascii="Times New Roman" w:hAnsi="Times New Roman" w:eastAsia="Times New Roman"/>
          <w:color w:val="000000"/>
          <w:sz w:val="24"/>
          <w:szCs w:val="24"/>
          <w:vertAlign w:val="subscript"/>
          <w:lang w:val="zh-CN"/>
        </w:rPr>
        <w:t>e</w:t>
      </w:r>
      <w:r>
        <w:rPr>
          <w:rFonts w:hint="eastAsia" w:ascii="Times New Roman" w:hAnsi="Times New Roman" w:eastAsia="Times New Roman"/>
          <w:color w:val="000000"/>
          <w:sz w:val="24"/>
          <w:szCs w:val="24"/>
          <w:lang w:val="zh-CN"/>
        </w:rPr>
        <w:t>/3= 4×56/3=74.667mm≤a=80mm</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（2）耳板孔净截面处的抗拉强度验算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计算宽度:b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 min(2t+16,b-d</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/3)= min(2×20+16,100-60/3)=56mm</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 N</w:t>
      </w:r>
      <w:r>
        <w:rPr>
          <w:rFonts w:hint="eastAsia" w:ascii="Times New Roman" w:hAnsi="Times New Roman" w:eastAsia="Times New Roman"/>
          <w:color w:val="000000"/>
          <w:sz w:val="24"/>
          <w:szCs w:val="24"/>
          <w:vertAlign w:val="subscript"/>
          <w:lang w:val="zh-CN"/>
        </w:rPr>
        <w:t>s</w:t>
      </w:r>
      <w:r>
        <w:rPr>
          <w:rFonts w:hint="eastAsia" w:ascii="Times New Roman" w:hAnsi="Times New Roman" w:eastAsia="Times New Roman"/>
          <w:color w:val="000000"/>
          <w:sz w:val="24"/>
          <w:szCs w:val="24"/>
          <w:lang w:val="zh-CN"/>
        </w:rPr>
        <w:t>/(2tb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 128.136×10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/(2×20×56)=57.203N/mm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≤f=205N/mm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耳板孔净截面处抗拉强度满足要求！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（3）耳板端部截面抗拉（劈开）强度验算</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 N</w:t>
      </w:r>
      <w:r>
        <w:rPr>
          <w:rFonts w:hint="eastAsia" w:ascii="Times New Roman" w:hAnsi="Times New Roman" w:eastAsia="Times New Roman"/>
          <w:color w:val="000000"/>
          <w:sz w:val="24"/>
          <w:szCs w:val="24"/>
          <w:vertAlign w:val="subscript"/>
          <w:lang w:val="zh-CN"/>
        </w:rPr>
        <w:t>s</w:t>
      </w:r>
      <w:r>
        <w:rPr>
          <w:rFonts w:hint="eastAsia" w:ascii="Times New Roman" w:hAnsi="Times New Roman" w:eastAsia="Times New Roman"/>
          <w:color w:val="000000"/>
          <w:sz w:val="24"/>
          <w:szCs w:val="24"/>
          <w:lang w:val="zh-CN"/>
        </w:rPr>
        <w:t>/[2t(a-2d</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/3)]= 128.136×10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/[2×20×(80-2×60/3)]=80.085N/mm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≤f=205N/mm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耳板端部截面抗拉强度满足要求！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（4）耳板抗剪强度验算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耳板端部抗剪截面宽度:</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Z= [(a+d</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-(d</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 [(80+60/2)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-(60/2)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=105.83mm</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τ= N</w:t>
      </w:r>
      <w:r>
        <w:rPr>
          <w:rFonts w:hint="eastAsia" w:ascii="Times New Roman" w:hAnsi="Times New Roman" w:eastAsia="Times New Roman"/>
          <w:color w:val="000000"/>
          <w:sz w:val="24"/>
          <w:szCs w:val="24"/>
          <w:vertAlign w:val="subscript"/>
          <w:lang w:val="zh-CN"/>
        </w:rPr>
        <w:t>s</w:t>
      </w:r>
      <w:r>
        <w:rPr>
          <w:rFonts w:hint="eastAsia" w:ascii="Times New Roman" w:hAnsi="Times New Roman" w:eastAsia="Times New Roman"/>
          <w:color w:val="000000"/>
          <w:sz w:val="24"/>
          <w:szCs w:val="24"/>
          <w:lang w:val="zh-CN"/>
        </w:rPr>
        <w:t>/(2tZ)= 128.136×10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/(2×20×105.83)=30.269N/mm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≤fv=120N/mm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耳板抗剪强度满足要求！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4、销轴计算</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4710"/>
        <w:gridCol w:w="47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销轴直径d</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销轴材料抗剪强度f</w:t>
            </w:r>
            <w:r>
              <w:rPr>
                <w:rFonts w:hint="eastAsia" w:ascii="Times New Roman" w:hAnsi="Times New Roman" w:eastAsia="Times New Roman"/>
                <w:color w:val="000000"/>
                <w:sz w:val="24"/>
                <w:szCs w:val="24"/>
                <w:vertAlign w:val="subscript"/>
                <w:lang w:val="zh-CN"/>
              </w:rPr>
              <w:t>v1</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18"/>
                <w:szCs w:val="24"/>
                <w:lang w:val="zh-CN"/>
              </w:rPr>
              <w:t>(N/mm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346</w:t>
            </w:r>
          </w:p>
        </w:tc>
      </w:tr>
    </w:tbl>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参考GB50017-2017，对销轴进行如下验算：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由附墙杆内力计算章节可知，作用于销轴截面的最大剪力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F=max{N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}=256.271kN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（1）销轴承压强度</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c</w:t>
      </w:r>
      <w:r>
        <w:rPr>
          <w:rFonts w:hint="eastAsia" w:ascii="Times New Roman" w:hAnsi="Times New Roman" w:eastAsia="Times New Roman"/>
          <w:color w:val="000000"/>
          <w:sz w:val="24"/>
          <w:szCs w:val="24"/>
          <w:lang w:val="zh-CN"/>
        </w:rPr>
        <w:t>=F/(d</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t)=256.271×10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/(60×20)=213.559N/mm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≤305N/mm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销轴承压强度满足要求！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（2）销轴抗剪强度</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τ</w:t>
      </w:r>
      <w:r>
        <w:rPr>
          <w:rFonts w:hint="eastAsia" w:ascii="Times New Roman" w:hAnsi="Times New Roman" w:eastAsia="Times New Roman"/>
          <w:color w:val="000000"/>
          <w:sz w:val="24"/>
          <w:szCs w:val="24"/>
          <w:vertAlign w:val="subscript"/>
          <w:lang w:val="zh-CN"/>
        </w:rPr>
        <w:t>b</w:t>
      </w:r>
      <w:r>
        <w:rPr>
          <w:rFonts w:hint="eastAsia" w:ascii="Times New Roman" w:hAnsi="Times New Roman" w:eastAsia="Times New Roman"/>
          <w:color w:val="000000"/>
          <w:sz w:val="24"/>
          <w:szCs w:val="24"/>
          <w:lang w:val="zh-CN"/>
        </w:rPr>
        <w:t>=F/(n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πd</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/4)=256.271×10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/(2×3.142×60</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/4)=45.319N/mm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v1</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=346N/mm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销轴抗剪强度满足要求！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5、连接钢板焊缝计算</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4710"/>
        <w:gridCol w:w="47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连接钢板角焊缝焊脚尺寸h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连接钢板角焊缝强度设计值f</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vertAlign w:val="superscript"/>
                <w:lang w:val="zh-CN"/>
              </w:rPr>
              <w:t>w</w:t>
            </w:r>
            <w:r>
              <w:rPr>
                <w:rFonts w:hint="eastAsia" w:ascii="Times New Roman" w:hAnsi="Times New Roman" w:eastAsia="Times New Roman"/>
                <w:color w:val="000000"/>
                <w:sz w:val="18"/>
                <w:szCs w:val="24"/>
                <w:lang w:val="zh-CN"/>
              </w:rPr>
              <w:t>(N/mm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连接板耳板排数</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双吊耳板底部宽度l</w:t>
            </w:r>
            <w:r>
              <w:rPr>
                <w:rFonts w:hint="eastAsia" w:ascii="Times New Roman" w:hAnsi="Times New Roman" w:eastAsia="Times New Roman"/>
                <w:color w:val="000000"/>
                <w:sz w:val="24"/>
                <w:szCs w:val="24"/>
                <w:vertAlign w:val="subscript"/>
                <w:lang w:val="zh-CN"/>
              </w:rPr>
              <w:t>c1</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400</w:t>
            </w:r>
          </w:p>
        </w:tc>
      </w:tr>
    </w:tbl>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（1）双吊耳板位置焊缝验算：</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附着杆1、附着杆2连接的双吊耳板：</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连接钢板吊耳板排数为2，则：</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计算连接钢板与吊耳板连接位置焊缝应力为：</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N</w:t>
      </w:r>
      <w:r>
        <w:rPr>
          <w:rFonts w:hint="eastAsia" w:ascii="Times New Roman" w:hAnsi="Times New Roman" w:eastAsia="Times New Roman"/>
          <w:color w:val="000000"/>
          <w:sz w:val="24"/>
          <w:szCs w:val="24"/>
          <w:lang w:val="zh-CN"/>
        </w:rPr>
        <w:t>=(|F|/2)/[2×0.7h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c1</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)]=(|241.121|×10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/2)/[2×0.7×8×(400-2×8)]=28.032N/mm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τ</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=(|V|/2)/[2×0.7h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c1</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)]=(|70.151|×10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/2)/[2×0.7×8×(400-2×8)]=8.156N/mm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M</w:t>
      </w:r>
      <w:r>
        <w:rPr>
          <w:rFonts w:hint="eastAsia" w:ascii="Times New Roman" w:hAnsi="Times New Roman" w:eastAsia="Times New Roman"/>
          <w:color w:val="000000"/>
          <w:sz w:val="24"/>
          <w:szCs w:val="24"/>
          <w:lang w:val="zh-CN"/>
        </w:rPr>
        <w:t>=M/W=(M/2)/[2×0.7h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c1</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/6]=(26.135×10</w:t>
      </w:r>
      <w:r>
        <w:rPr>
          <w:rFonts w:hint="eastAsia" w:ascii="Times New Roman" w:hAnsi="Times New Roman" w:eastAsia="Times New Roman"/>
          <w:color w:val="000000"/>
          <w:sz w:val="24"/>
          <w:szCs w:val="24"/>
          <w:vertAlign w:val="superscript"/>
          <w:lang w:val="zh-CN"/>
        </w:rPr>
        <w:t>6</w:t>
      </w:r>
      <w:r>
        <w:rPr>
          <w:rFonts w:hint="eastAsia" w:ascii="Times New Roman" w:hAnsi="Times New Roman" w:eastAsia="Times New Roman"/>
          <w:color w:val="000000"/>
          <w:sz w:val="24"/>
          <w:szCs w:val="24"/>
          <w:lang w:val="zh-CN"/>
        </w:rPr>
        <w:t>/2)/[2×0.7×8×(400-2×8)</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/6]=47.475N/mm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N</w:t>
      </w:r>
      <w:r>
        <w:rPr>
          <w:rFonts w:hint="eastAsia" w:ascii="Times New Roman" w:hAnsi="Times New Roman" w:eastAsia="Times New Roman"/>
          <w:color w:val="000000"/>
          <w:sz w:val="24"/>
          <w:szCs w:val="24"/>
          <w:lang w:val="zh-CN"/>
        </w:rPr>
        <w:t>+σ</w:t>
      </w:r>
      <w:r>
        <w:rPr>
          <w:rFonts w:hint="eastAsia" w:ascii="Times New Roman" w:hAnsi="Times New Roman" w:eastAsia="Times New Roman"/>
          <w:color w:val="000000"/>
          <w:sz w:val="24"/>
          <w:szCs w:val="24"/>
          <w:vertAlign w:val="subscript"/>
          <w:lang w:val="zh-CN"/>
        </w:rPr>
        <w:t>M</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+τ</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=[((28.032+47.475)/1.22)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+8.156</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=62.426N/mm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vertAlign w:val="superscript"/>
          <w:lang w:val="zh-CN"/>
        </w:rPr>
        <w:t>w</w:t>
      </w:r>
      <w:r>
        <w:rPr>
          <w:rFonts w:hint="eastAsia" w:ascii="Times New Roman" w:hAnsi="Times New Roman" w:eastAsia="Times New Roman"/>
          <w:color w:val="000000"/>
          <w:sz w:val="24"/>
          <w:szCs w:val="24"/>
          <w:lang w:val="zh-CN"/>
        </w:rPr>
        <w:t>=160N/mm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附着杆1、附着杆2连接的双吊耳板：连接钢板焊缝强度满足要求！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附着杆3、附着杆4连接的双吊耳板：</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连接钢板吊耳板排数为2，则：</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计算连接钢板与吊耳板连接位置焊缝应力为：</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N</w:t>
      </w:r>
      <w:r>
        <w:rPr>
          <w:rFonts w:hint="eastAsia" w:ascii="Times New Roman" w:hAnsi="Times New Roman" w:eastAsia="Times New Roman"/>
          <w:color w:val="000000"/>
          <w:sz w:val="24"/>
          <w:szCs w:val="24"/>
          <w:lang w:val="zh-CN"/>
        </w:rPr>
        <w:t>=(|F|/2)/[2×0.7h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c1</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)]=(|442.752|×10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/2)/[2×0.7×8×(400-2×8)]=51.473N/mm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τ</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=(|V|/2)/[2×0.7h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c1</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)]=(|74.886|×10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/2)/[2×0.7×8×(400-2×8)]=8.706N/mm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M</w:t>
      </w:r>
      <w:r>
        <w:rPr>
          <w:rFonts w:hint="eastAsia" w:ascii="Times New Roman" w:hAnsi="Times New Roman" w:eastAsia="Times New Roman"/>
          <w:color w:val="000000"/>
          <w:sz w:val="24"/>
          <w:szCs w:val="24"/>
          <w:lang w:val="zh-CN"/>
        </w:rPr>
        <w:t>=M/W=(M/2)/[2×0.7h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c1</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/6]=(3.99×10</w:t>
      </w:r>
      <w:r>
        <w:rPr>
          <w:rFonts w:hint="eastAsia" w:ascii="Times New Roman" w:hAnsi="Times New Roman" w:eastAsia="Times New Roman"/>
          <w:color w:val="000000"/>
          <w:sz w:val="24"/>
          <w:szCs w:val="24"/>
          <w:vertAlign w:val="superscript"/>
          <w:lang w:val="zh-CN"/>
        </w:rPr>
        <w:t>6</w:t>
      </w:r>
      <w:r>
        <w:rPr>
          <w:rFonts w:hint="eastAsia" w:ascii="Times New Roman" w:hAnsi="Times New Roman" w:eastAsia="Times New Roman"/>
          <w:color w:val="000000"/>
          <w:sz w:val="24"/>
          <w:szCs w:val="24"/>
          <w:lang w:val="zh-CN"/>
        </w:rPr>
        <w:t>/2)/[2×0.7×8×(400-2×8)</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/6]=7.247N/mm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N</w:t>
      </w:r>
      <w:r>
        <w:rPr>
          <w:rFonts w:hint="eastAsia" w:ascii="Times New Roman" w:hAnsi="Times New Roman" w:eastAsia="Times New Roman"/>
          <w:color w:val="000000"/>
          <w:sz w:val="24"/>
          <w:szCs w:val="24"/>
          <w:lang w:val="zh-CN"/>
        </w:rPr>
        <w:t>+σ</w:t>
      </w:r>
      <w:r>
        <w:rPr>
          <w:rFonts w:hint="eastAsia" w:ascii="Times New Roman" w:hAnsi="Times New Roman" w:eastAsia="Times New Roman"/>
          <w:color w:val="000000"/>
          <w:sz w:val="24"/>
          <w:szCs w:val="24"/>
          <w:vertAlign w:val="subscript"/>
          <w:lang w:val="zh-CN"/>
        </w:rPr>
        <w:t>M</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+τ</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=[((51.473+7.247)/1.22)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+8.706</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=48.912N/mm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vertAlign w:val="superscript"/>
          <w:lang w:val="zh-CN"/>
        </w:rPr>
        <w:t>w</w:t>
      </w:r>
      <w:r>
        <w:rPr>
          <w:rFonts w:hint="eastAsia" w:ascii="Times New Roman" w:hAnsi="Times New Roman" w:eastAsia="Times New Roman"/>
          <w:color w:val="000000"/>
          <w:sz w:val="24"/>
          <w:szCs w:val="24"/>
          <w:lang w:val="zh-CN"/>
        </w:rPr>
        <w:t>=160N/mm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附着杆3、附着杆4连接的双吊耳板：连接钢板焊缝强度满足要求！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附图如下：</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6096000" cy="3886200"/>
            <wp:effectExtent l="0" t="0" r="0" b="0"/>
            <wp:docPr id="7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1"/>
                    <pic:cNvPicPr>
                      <a:picLocks noChangeAspect="1"/>
                    </pic:cNvPicPr>
                  </pic:nvPicPr>
                  <pic:blipFill>
                    <a:blip r:embed="rId123"/>
                    <a:stretch>
                      <a:fillRect/>
                    </a:stretch>
                  </pic:blipFill>
                  <pic:spPr>
                    <a:xfrm>
                      <a:off x="0" y="0"/>
                      <a:ext cx="6096000" cy="38862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fldChar w:fldCharType="begin"/>
      </w:r>
      <w:r>
        <w:rPr>
          <w:rFonts w:hint="eastAsia" w:ascii="Times New Roman" w:hAnsi="Times New Roman" w:eastAsia="Times New Roman"/>
          <w:color w:val="000000"/>
          <w:sz w:val="24"/>
          <w:szCs w:val="24"/>
          <w:lang w:val="zh-CN"/>
        </w:rPr>
        <w:instrText xml:space="preserve">HYPERLINK "D:\\品茗建筑云安全计算软件V1.4.2\\OutPut\\塔机附着节点详图-双吊耳板.dwg"</w:instrText>
      </w:r>
      <w:r>
        <w:rPr>
          <w:rFonts w:hint="eastAsia" w:ascii="Times New Roman" w:hAnsi="Times New Roman" w:eastAsia="Times New Roman"/>
          <w:color w:val="000000"/>
          <w:sz w:val="24"/>
          <w:szCs w:val="24"/>
          <w:lang w:val="zh-CN"/>
        </w:rPr>
        <w:fldChar w:fldCharType="separate"/>
      </w:r>
      <w:r>
        <w:rPr>
          <w:rFonts w:hint="eastAsia" w:ascii="Times New Roman" w:hAnsi="Times New Roman" w:eastAsia="Times New Roman"/>
          <w:color w:val="000080"/>
          <w:sz w:val="24"/>
          <w:szCs w:val="24"/>
          <w:u w:val="single"/>
          <w:lang w:val="zh-CN"/>
        </w:rPr>
        <w:t>塔机附着节点详图-双吊耳板</w:t>
      </w:r>
      <w:r>
        <w:rPr>
          <w:rFonts w:hint="eastAsia" w:ascii="Times New Roman" w:hAnsi="Times New Roman" w:eastAsia="Times New Roman"/>
          <w:color w:val="000080"/>
          <w:sz w:val="24"/>
          <w:szCs w:val="24"/>
          <w:u w:val="single"/>
          <w:lang w:val="zh-CN"/>
        </w:rPr>
        <w:fldChar w:fldCharType="end"/>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5362575" cy="4572000"/>
            <wp:effectExtent l="0" t="0" r="1905" b="0"/>
            <wp:docPr id="7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2"/>
                    <pic:cNvPicPr>
                      <a:picLocks noChangeAspect="1"/>
                    </pic:cNvPicPr>
                  </pic:nvPicPr>
                  <pic:blipFill>
                    <a:blip r:embed="rId124"/>
                    <a:stretch>
                      <a:fillRect/>
                    </a:stretch>
                  </pic:blipFill>
                  <pic:spPr>
                    <a:xfrm>
                      <a:off x="0" y="0"/>
                      <a:ext cx="5362575" cy="4572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80"/>
          <w:sz w:val="24"/>
          <w:szCs w:val="24"/>
          <w:u w:val="single"/>
          <w:lang w:val="zh-CN"/>
        </w:rPr>
      </w:pPr>
      <w:r>
        <w:rPr>
          <w:rFonts w:hint="eastAsia" w:ascii="Times New Roman" w:hAnsi="Times New Roman" w:eastAsia="Times New Roman"/>
          <w:color w:val="000000"/>
          <w:sz w:val="24"/>
          <w:szCs w:val="24"/>
          <w:lang w:val="zh-CN"/>
        </w:rPr>
        <w:fldChar w:fldCharType="begin"/>
      </w:r>
      <w:r>
        <w:rPr>
          <w:rFonts w:hint="eastAsia" w:ascii="Times New Roman" w:hAnsi="Times New Roman" w:eastAsia="Times New Roman"/>
          <w:color w:val="000000"/>
          <w:sz w:val="24"/>
          <w:szCs w:val="24"/>
          <w:lang w:val="zh-CN"/>
        </w:rPr>
        <w:instrText xml:space="preserve">HYPERLINK "D:\\品茗建筑云安全计算软件V1.4.2\\OutPut\\塔机附着节点剖面图-双吊耳板.dwg"</w:instrText>
      </w:r>
      <w:r>
        <w:rPr>
          <w:rFonts w:hint="eastAsia" w:ascii="Times New Roman" w:hAnsi="Times New Roman" w:eastAsia="Times New Roman"/>
          <w:color w:val="000000"/>
          <w:sz w:val="24"/>
          <w:szCs w:val="24"/>
          <w:lang w:val="zh-CN"/>
        </w:rPr>
        <w:fldChar w:fldCharType="separate"/>
      </w:r>
      <w:r>
        <w:rPr>
          <w:rFonts w:hint="eastAsia" w:ascii="Times New Roman" w:hAnsi="Times New Roman" w:eastAsia="Times New Roman"/>
          <w:color w:val="000080"/>
          <w:sz w:val="24"/>
          <w:szCs w:val="24"/>
          <w:u w:val="single"/>
          <w:lang w:val="zh-CN"/>
        </w:rPr>
        <w:t>塔机附着节点剖面图-双吊耳板</w:t>
      </w:r>
      <w:r>
        <w:rPr>
          <w:rFonts w:hint="eastAsia" w:ascii="Times New Roman" w:hAnsi="Times New Roman" w:eastAsia="Times New Roman"/>
          <w:color w:val="000080"/>
          <w:sz w:val="24"/>
          <w:szCs w:val="24"/>
          <w:u w:val="single"/>
          <w:lang w:val="zh-CN"/>
        </w:rPr>
        <w:fldChar w:fldCharType="end"/>
      </w:r>
    </w:p>
    <w:p>
      <w:pPr>
        <w:rPr>
          <w:rFonts w:hint="eastAsia" w:ascii="Times New Roman" w:hAnsi="Times New Roman" w:eastAsia="Times New Roman"/>
          <w:color w:val="000080"/>
          <w:sz w:val="24"/>
          <w:szCs w:val="24"/>
          <w:u w:val="single"/>
          <w:lang w:val="zh-CN"/>
        </w:rPr>
      </w:pPr>
      <w:r>
        <w:rPr>
          <w:rFonts w:hint="eastAsia" w:ascii="Times New Roman" w:hAnsi="Times New Roman" w:eastAsia="Times New Roman"/>
          <w:color w:val="000080"/>
          <w:sz w:val="24"/>
          <w:szCs w:val="24"/>
          <w:u w:val="single"/>
          <w:lang w:val="zh-CN"/>
        </w:rPr>
        <w:br w:type="page"/>
      </w:r>
    </w:p>
    <w:p>
      <w:pPr>
        <w:pStyle w:val="4"/>
        <w:bidi w:val="0"/>
        <w:rPr>
          <w:rFonts w:hint="eastAsia"/>
          <w:lang w:val="zh-CN"/>
        </w:rPr>
      </w:pPr>
      <w:r>
        <w:rPr>
          <w:rFonts w:hint="eastAsia"/>
          <w:lang w:val="zh-CN"/>
        </w:rPr>
        <w:t>右</w:t>
      </w:r>
      <w:r>
        <w:rPr>
          <w:rFonts w:hint="eastAsia"/>
          <w:lang w:val="en-US" w:eastAsia="zh-CN"/>
        </w:rPr>
        <w:t>10</w:t>
      </w:r>
      <w:r>
        <w:rPr>
          <w:rFonts w:hint="eastAsia"/>
          <w:lang w:val="zh-CN"/>
        </w:rPr>
        <w:t>#墩塔机附着验算计算书</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计算依据：</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1、《塔式起重机混凝土基础工程技术标准》JGJ/T187-2019</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2、《钢结构设计标准》GB50017-2017</w:t>
      </w:r>
    </w:p>
    <w:p>
      <w:pPr>
        <w:spacing w:before="0" w:beforeLines="0" w:after="0" w:afterLines="0" w:line="360" w:lineRule="auto"/>
        <w:rPr>
          <w:rFonts w:hint="eastAsia" w:ascii="Times New Roman" w:hAnsi="Times New Roman" w:eastAsia="Times New Roman"/>
          <w:b/>
          <w:color w:val="000000"/>
          <w:sz w:val="28"/>
          <w:szCs w:val="24"/>
          <w:lang w:val="zh-CN"/>
        </w:rPr>
      </w:pPr>
      <w:r>
        <w:rPr>
          <w:rFonts w:hint="eastAsia" w:ascii="Times New Roman" w:hAnsi="Times New Roman" w:eastAsia="Times New Roman"/>
          <w:b/>
          <w:color w:val="000000"/>
          <w:sz w:val="28"/>
          <w:szCs w:val="24"/>
          <w:lang w:val="zh-CN"/>
        </w:rPr>
        <w:t xml:space="preserve"> 一、塔机附着杆参数</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3090"/>
        <w:gridCol w:w="1620"/>
        <w:gridCol w:w="3090"/>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塔机型号</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XGT6515-10S</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塔身桁架结构类型</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角钢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塔机计算高度H(m)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67.65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塔身宽度B(m)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起重臂长度l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57</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平衡臂长度l</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起重臂与平衡臂截面计算高度h(m)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1.06</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工作状态时扭矩标准值T</w:t>
            </w:r>
            <w:r>
              <w:rPr>
                <w:rFonts w:hint="eastAsia" w:ascii="Times New Roman" w:hAnsi="Times New Roman" w:eastAsia="Times New Roman"/>
                <w:color w:val="000000"/>
                <w:sz w:val="24"/>
                <w:szCs w:val="24"/>
                <w:vertAlign w:val="subscript"/>
                <w:lang w:val="zh-CN"/>
              </w:rPr>
              <w:t>k1</w:t>
            </w:r>
            <w:r>
              <w:rPr>
                <w:rFonts w:hint="eastAsia" w:ascii="Times New Roman" w:hAnsi="Times New Roman" w:eastAsia="Times New Roman"/>
                <w:color w:val="000000"/>
                <w:sz w:val="18"/>
                <w:szCs w:val="24"/>
                <w:lang w:val="zh-CN"/>
              </w:rPr>
              <w:t>(包含风荷载扭矩)(kN·m)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422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工作状态下不平衡自重引起的倾覆力矩标准值M</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18"/>
                <w:szCs w:val="24"/>
                <w:lang w:val="zh-CN"/>
              </w:rPr>
              <w:t>(kN·m)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1626.5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非工作状态下不平衡自重引起的倾覆力矩标准值M</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18"/>
                <w:szCs w:val="24"/>
                <w:lang w:val="zh-CN"/>
              </w:rPr>
              <w:t>'(kN*m)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2097.9(反向)</w:t>
            </w:r>
          </w:p>
        </w:tc>
      </w:tr>
    </w:tbl>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3090"/>
        <w:gridCol w:w="1620"/>
        <w:gridCol w:w="3090"/>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附着杆数</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四杆附着</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附墙杆类型</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Ⅴ类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附墙杆截面类型</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格构柱</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塔身锚固环边长C(m)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2.4</w:t>
            </w:r>
          </w:p>
        </w:tc>
      </w:tr>
    </w:tbl>
    <w:p>
      <w:pPr>
        <w:spacing w:before="0" w:beforeLines="0" w:after="0" w:afterLines="0" w:line="360" w:lineRule="auto"/>
        <w:rPr>
          <w:rFonts w:hint="eastAsia" w:ascii="Times New Roman" w:hAnsi="Times New Roman" w:eastAsia="Times New Roman"/>
          <w:b/>
          <w:color w:val="000000"/>
          <w:sz w:val="28"/>
          <w:szCs w:val="24"/>
          <w:lang w:val="zh-CN"/>
        </w:rPr>
      </w:pPr>
      <w:r>
        <w:rPr>
          <w:rFonts w:hint="eastAsia" w:ascii="Times New Roman" w:hAnsi="Times New Roman" w:eastAsia="Times New Roman"/>
          <w:b/>
          <w:color w:val="000000"/>
          <w:sz w:val="28"/>
          <w:szCs w:val="24"/>
          <w:lang w:val="zh-CN"/>
        </w:rPr>
        <w:t xml:space="preserve"> 二、风荷载及附着参数</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3090"/>
        <w:gridCol w:w="1620"/>
        <w:gridCol w:w="3090"/>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附着次数N</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附着点1到塔机的横向距离a</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1.77</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点1到塔机的竖向距离b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7.57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附着点2到塔机的横向距离a</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3.05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点2到塔机的竖向距离b</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6.34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附着点3到塔机的横向距离a</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2.05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点3到塔机的竖向距离b</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9.18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附着点4到塔机的横向距离a</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1.06</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点4到塔机的竖向距离b</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工作状态基本风压ω</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18"/>
                <w:szCs w:val="24"/>
                <w:lang w:val="zh-CN"/>
              </w:rPr>
              <w:t>(kN/m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0.2</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非工作状态基本风压ω</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18"/>
                <w:szCs w:val="24"/>
                <w:lang w:val="zh-CN"/>
              </w:rPr>
              <w:t>'(kN/m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塔身前后片桁架的平均充实率α</w:t>
            </w:r>
            <w:r>
              <w:rPr>
                <w:rFonts w:hint="eastAsia" w:ascii="Times New Roman" w:hAnsi="Times New Roman" w:eastAsia="Times New Roman"/>
                <w:color w:val="000000"/>
                <w:sz w:val="24"/>
                <w:szCs w:val="24"/>
                <w:vertAlign w:val="subscript"/>
                <w:lang w:val="zh-CN"/>
              </w:rPr>
              <w:t>0</w:t>
            </w:r>
          </w:p>
        </w:tc>
        <w:tc>
          <w:tcPr>
            <w:tcW w:w="0" w:type="auto"/>
            <w:gridSpan w:val="3"/>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0.35</w:t>
            </w:r>
          </w:p>
        </w:tc>
      </w:tr>
    </w:tbl>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w:t>
      </w:r>
    </w:p>
    <w:tbl>
      <w:tblPr>
        <w:tblStyle w:val="40"/>
        <w:tblW w:w="1006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990"/>
        <w:gridCol w:w="1020"/>
        <w:gridCol w:w="990"/>
        <w:gridCol w:w="1020"/>
        <w:gridCol w:w="990"/>
        <w:gridCol w:w="1020"/>
        <w:gridCol w:w="990"/>
        <w:gridCol w:w="1020"/>
        <w:gridCol w:w="990"/>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第N次附着</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附着点高度h</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附着点净高h</w:t>
            </w:r>
            <w:r>
              <w:rPr>
                <w:rFonts w:hint="eastAsia" w:ascii="Times New Roman" w:hAnsi="Times New Roman" w:eastAsia="Times New Roman"/>
                <w:color w:val="000000"/>
                <w:sz w:val="24"/>
                <w:szCs w:val="24"/>
                <w:vertAlign w:val="subscript"/>
                <w:lang w:val="zh-CN"/>
              </w:rPr>
              <w:t>01</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风压等效高度变化系数μ</w:t>
            </w:r>
            <w:r>
              <w:rPr>
                <w:rFonts w:hint="eastAsia" w:ascii="Times New Roman" w:hAnsi="Times New Roman" w:eastAsia="Times New Roman"/>
                <w:color w:val="000000"/>
                <w:sz w:val="24"/>
                <w:szCs w:val="24"/>
                <w:vertAlign w:val="subscript"/>
                <w:lang w:val="zh-CN"/>
              </w:rPr>
              <w:t>z</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工作状态风荷载体型系数μ</w:t>
            </w:r>
            <w:r>
              <w:rPr>
                <w:rFonts w:hint="eastAsia" w:ascii="Times New Roman" w:hAnsi="Times New Roman" w:eastAsia="Times New Roman"/>
                <w:color w:val="000000"/>
                <w:sz w:val="24"/>
                <w:szCs w:val="24"/>
                <w:vertAlign w:val="subscript"/>
                <w:lang w:val="zh-CN"/>
              </w:rPr>
              <w:t>s</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非工作状态风荷载体型系数μ</w:t>
            </w:r>
            <w:r>
              <w:rPr>
                <w:rFonts w:hint="eastAsia" w:ascii="Times New Roman" w:hAnsi="Times New Roman" w:eastAsia="Times New Roman"/>
                <w:color w:val="000000"/>
                <w:sz w:val="24"/>
                <w:szCs w:val="24"/>
                <w:vertAlign w:val="subscript"/>
                <w:lang w:val="zh-CN"/>
              </w:rPr>
              <w:t>s</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工作状态风振系数β</w:t>
            </w:r>
            <w:r>
              <w:rPr>
                <w:rFonts w:hint="eastAsia" w:ascii="Times New Roman" w:hAnsi="Times New Roman" w:eastAsia="Times New Roman"/>
                <w:color w:val="000000"/>
                <w:sz w:val="24"/>
                <w:szCs w:val="24"/>
                <w:vertAlign w:val="subscript"/>
                <w:lang w:val="zh-CN"/>
              </w:rPr>
              <w:t>z</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非工作状态风振系数β</w:t>
            </w:r>
            <w:r>
              <w:rPr>
                <w:rFonts w:hint="eastAsia" w:ascii="Times New Roman" w:hAnsi="Times New Roman" w:eastAsia="Times New Roman"/>
                <w:color w:val="000000"/>
                <w:sz w:val="24"/>
                <w:szCs w:val="24"/>
                <w:vertAlign w:val="subscript"/>
                <w:lang w:val="zh-CN"/>
              </w:rPr>
              <w:t>z</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工作状态风压等效均布线荷载标准值q</w:t>
            </w:r>
            <w:r>
              <w:rPr>
                <w:rFonts w:hint="eastAsia" w:ascii="Times New Roman" w:hAnsi="Times New Roman" w:eastAsia="Times New Roman"/>
                <w:color w:val="000000"/>
                <w:sz w:val="24"/>
                <w:szCs w:val="24"/>
                <w:vertAlign w:val="subscript"/>
                <w:lang w:val="zh-CN"/>
              </w:rPr>
              <w:t>sk</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非工作状态风压等效均布线荷载标准值q</w:t>
            </w:r>
            <w:r>
              <w:rPr>
                <w:rFonts w:hint="eastAsia" w:ascii="Times New Roman" w:hAnsi="Times New Roman" w:eastAsia="Times New Roman"/>
                <w:color w:val="000000"/>
                <w:sz w:val="24"/>
                <w:szCs w:val="24"/>
                <w:vertAlign w:val="subscript"/>
                <w:lang w:val="zh-CN"/>
              </w:rPr>
              <w:t>sk</w:t>
            </w:r>
            <w:r>
              <w:rPr>
                <w:rFonts w:hint="eastAsia" w:ascii="Times New Roman" w:hAnsi="Times New Roman" w:eastAsia="Times New Roman"/>
                <w:color w:val="000000"/>
                <w:sz w:val="18"/>
                <w:szCs w:val="24"/>
                <w:lang w:val="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第1次附着</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36.15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36.15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0.803</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1.95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1.95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1.776</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1.931</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0.374</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2.032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悬臂端</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67.65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31.5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1.005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1.95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1.95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1.737</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1.902</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0.458</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2.505</w:t>
            </w:r>
          </w:p>
        </w:tc>
      </w:tr>
    </w:tbl>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附图如下:</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3105150" cy="4572000"/>
            <wp:effectExtent l="0" t="0" r="3810" b="0"/>
            <wp:docPr id="10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2"/>
                    <pic:cNvPicPr>
                      <a:picLocks noChangeAspect="1"/>
                    </pic:cNvPicPr>
                  </pic:nvPicPr>
                  <pic:blipFill>
                    <a:blip r:embed="rId113"/>
                    <a:stretch>
                      <a:fillRect/>
                    </a:stretch>
                  </pic:blipFill>
                  <pic:spPr>
                    <a:xfrm>
                      <a:off x="0" y="0"/>
                      <a:ext cx="3105150" cy="4572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fldChar w:fldCharType="begin"/>
      </w:r>
      <w:r>
        <w:rPr>
          <w:rFonts w:hint="eastAsia" w:ascii="Times New Roman" w:hAnsi="Times New Roman" w:eastAsia="Times New Roman"/>
          <w:color w:val="000000"/>
          <w:sz w:val="24"/>
          <w:szCs w:val="24"/>
          <w:lang w:val="zh-CN"/>
        </w:rPr>
        <w:instrText xml:space="preserve">HYPERLINK "D:\\品茗建筑云安全计算软件V1.4.2\\OutPut\\塔机附着立面图.dwg"</w:instrText>
      </w:r>
      <w:r>
        <w:rPr>
          <w:rFonts w:hint="eastAsia" w:ascii="Times New Roman" w:hAnsi="Times New Roman" w:eastAsia="Times New Roman"/>
          <w:color w:val="000000"/>
          <w:sz w:val="24"/>
          <w:szCs w:val="24"/>
          <w:lang w:val="zh-CN"/>
        </w:rPr>
        <w:fldChar w:fldCharType="separate"/>
      </w:r>
      <w:r>
        <w:rPr>
          <w:rFonts w:hint="eastAsia" w:ascii="Times New Roman" w:hAnsi="Times New Roman" w:eastAsia="Times New Roman"/>
          <w:color w:val="000080"/>
          <w:sz w:val="24"/>
          <w:szCs w:val="24"/>
          <w:u w:val="single"/>
          <w:lang w:val="zh-CN"/>
        </w:rPr>
        <w:t>塔机附着立面图</w:t>
      </w:r>
      <w:r>
        <w:rPr>
          <w:rFonts w:hint="eastAsia" w:ascii="Times New Roman" w:hAnsi="Times New Roman" w:eastAsia="Times New Roman"/>
          <w:color w:val="000080"/>
          <w:sz w:val="24"/>
          <w:szCs w:val="24"/>
          <w:u w:val="single"/>
          <w:lang w:val="zh-CN"/>
        </w:rPr>
        <w:fldChar w:fldCharType="end"/>
      </w:r>
    </w:p>
    <w:p>
      <w:pPr>
        <w:spacing w:before="0" w:beforeLines="0" w:after="0" w:afterLines="0" w:line="360" w:lineRule="auto"/>
        <w:rPr>
          <w:rFonts w:hint="eastAsia" w:ascii="Times New Roman" w:hAnsi="Times New Roman" w:eastAsia="Times New Roman"/>
          <w:b/>
          <w:color w:val="000000"/>
          <w:sz w:val="28"/>
          <w:szCs w:val="24"/>
          <w:lang w:val="zh-CN"/>
        </w:rPr>
      </w:pPr>
      <w:r>
        <w:rPr>
          <w:rFonts w:hint="eastAsia" w:ascii="Times New Roman" w:hAnsi="Times New Roman" w:eastAsia="Times New Roman"/>
          <w:b/>
          <w:color w:val="000000"/>
          <w:sz w:val="28"/>
          <w:szCs w:val="24"/>
          <w:lang w:val="zh-CN"/>
        </w:rPr>
        <w:t xml:space="preserve"> 三、工作状态下附墙杆内力计算</w:t>
      </w:r>
    </w:p>
    <w:p>
      <w:pPr>
        <w:spacing w:before="0" w:beforeLines="0" w:after="0" w:afterLines="0" w:line="360" w:lineRule="auto"/>
        <w:rPr>
          <w:rFonts w:hint="eastAsia" w:ascii="Times New Roman" w:hAnsi="Times New Roman" w:eastAsia="Times New Roman"/>
          <w:color w:val="000000"/>
          <w:sz w:val="24"/>
          <w:szCs w:val="24"/>
          <w:vertAlign w:val="subscript"/>
          <w:lang w:val="zh-CN"/>
        </w:rPr>
      </w:pPr>
      <w:r>
        <w:rPr>
          <w:rFonts w:hint="eastAsia" w:ascii="Times New Roman" w:hAnsi="Times New Roman" w:eastAsia="Times New Roman"/>
          <w:b/>
          <w:color w:val="000000"/>
          <w:sz w:val="24"/>
          <w:szCs w:val="24"/>
          <w:lang w:val="zh-CN"/>
        </w:rPr>
        <w:t xml:space="preserve">  1、扭矩组合标准值T</w:t>
      </w:r>
      <w:r>
        <w:rPr>
          <w:rFonts w:hint="eastAsia" w:ascii="Times New Roman" w:hAnsi="Times New Roman" w:eastAsia="Times New Roman"/>
          <w:color w:val="000000"/>
          <w:sz w:val="24"/>
          <w:szCs w:val="24"/>
          <w:vertAlign w:val="subscript"/>
          <w:lang w:val="zh-CN"/>
        </w:rPr>
        <w:t>k</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回转惯性力及风荷载产出的扭矩标准值：</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k1</w:t>
      </w:r>
      <w:r>
        <w:rPr>
          <w:rFonts w:hint="eastAsia" w:ascii="Times New Roman" w:hAnsi="Times New Roman" w:eastAsia="Times New Roman"/>
          <w:color w:val="000000"/>
          <w:sz w:val="24"/>
          <w:szCs w:val="24"/>
          <w:lang w:val="zh-CN"/>
        </w:rPr>
        <w:t>=422kN·m</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2、附着支座反力计算</w:t>
      </w:r>
    </w:p>
    <w:p>
      <w:pPr>
        <w:spacing w:before="0" w:beforeLines="0" w:after="0" w:afterLines="0" w:line="360" w:lineRule="auto"/>
        <w:jc w:val="center"/>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drawing>
          <wp:inline distT="0" distB="0" distL="114300" distR="114300">
            <wp:extent cx="5715000" cy="1905000"/>
            <wp:effectExtent l="0" t="0" r="0" b="0"/>
            <wp:docPr id="10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3"/>
                    <pic:cNvPicPr>
                      <a:picLocks noChangeAspect="1"/>
                    </pic:cNvPicPr>
                  </pic:nvPicPr>
                  <pic:blipFill>
                    <a:blip r:embed="rId125"/>
                    <a:stretch>
                      <a:fillRect/>
                    </a:stretch>
                  </pic:blipFill>
                  <pic:spPr>
                    <a:xfrm>
                      <a:off x="0" y="0"/>
                      <a:ext cx="5715000" cy="1905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计算简图</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5715000" cy="1905000"/>
            <wp:effectExtent l="0" t="0" r="0" b="0"/>
            <wp:docPr id="10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4"/>
                    <pic:cNvPicPr>
                      <a:picLocks noChangeAspect="1"/>
                    </pic:cNvPicPr>
                  </pic:nvPicPr>
                  <pic:blipFill>
                    <a:blip r:embed="rId126"/>
                    <a:stretch>
                      <a:fillRect/>
                    </a:stretch>
                  </pic:blipFill>
                  <pic:spPr>
                    <a:xfrm>
                      <a:off x="0" y="0"/>
                      <a:ext cx="5715000" cy="1905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剪力图</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得：R</w:t>
      </w:r>
      <w:r>
        <w:rPr>
          <w:rFonts w:hint="eastAsia" w:ascii="Times New Roman" w:hAnsi="Times New Roman" w:eastAsia="Times New Roman"/>
          <w:color w:val="000000"/>
          <w:sz w:val="24"/>
          <w:szCs w:val="24"/>
          <w:vertAlign w:val="subscript"/>
          <w:lang w:val="zh-CN"/>
        </w:rPr>
        <w:t>E</w:t>
      </w:r>
      <w:r>
        <w:rPr>
          <w:rFonts w:hint="eastAsia" w:ascii="Times New Roman" w:hAnsi="Times New Roman" w:eastAsia="Times New Roman"/>
          <w:color w:val="000000"/>
          <w:sz w:val="24"/>
          <w:szCs w:val="24"/>
          <w:lang w:val="zh-CN"/>
        </w:rPr>
        <w:t>=94.53kN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在工作状态下，塔机起重臂位置的不确定性以及风向的随机性，在计算支座2处锚固环截面内力时需考虑塔身承受双向的风荷载和倾覆力矩及扭矩。</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3、附墙杆内力计算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支座2处锚固环的截面扭矩T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（考虑塔机产生的扭矩由支座2处的附墙杆承担）,水平内力N</w:t>
      </w:r>
      <w:r>
        <w:rPr>
          <w:rFonts w:hint="eastAsia" w:ascii="Times New Roman" w:hAnsi="Times New Roman" w:eastAsia="Times New Roman"/>
          <w:color w:val="000000"/>
          <w:sz w:val="24"/>
          <w:szCs w:val="24"/>
          <w:vertAlign w:val="subscript"/>
          <w:lang w:val="zh-CN"/>
        </w:rPr>
        <w:t>w</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R</w:t>
      </w:r>
      <w:r>
        <w:rPr>
          <w:rFonts w:hint="eastAsia" w:ascii="Times New Roman" w:hAnsi="Times New Roman" w:eastAsia="Times New Roman"/>
          <w:color w:val="000000"/>
          <w:sz w:val="24"/>
          <w:szCs w:val="24"/>
          <w:vertAlign w:val="subscript"/>
          <w:lang w:val="zh-CN"/>
        </w:rPr>
        <w:t>E</w:t>
      </w:r>
      <w:r>
        <w:rPr>
          <w:rFonts w:hint="eastAsia" w:ascii="Times New Roman" w:hAnsi="Times New Roman" w:eastAsia="Times New Roman"/>
          <w:color w:val="000000"/>
          <w:sz w:val="24"/>
          <w:szCs w:val="24"/>
          <w:lang w:val="zh-CN"/>
        </w:rPr>
        <w:t>=133.686kN。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计算简图：</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4932045" cy="3568065"/>
            <wp:effectExtent l="0" t="0" r="5715" b="13335"/>
            <wp:docPr id="10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5"/>
                    <pic:cNvPicPr>
                      <a:picLocks noChangeAspect="1"/>
                    </pic:cNvPicPr>
                  </pic:nvPicPr>
                  <pic:blipFill>
                    <a:blip r:embed="rId116"/>
                    <a:stretch>
                      <a:fillRect/>
                    </a:stretch>
                  </pic:blipFill>
                  <pic:spPr>
                    <a:xfrm>
                      <a:off x="0" y="0"/>
                      <a:ext cx="4932045" cy="3568065"/>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fldChar w:fldCharType="begin"/>
      </w:r>
      <w:r>
        <w:rPr>
          <w:rFonts w:hint="eastAsia" w:ascii="Times New Roman" w:hAnsi="Times New Roman" w:eastAsia="Times New Roman"/>
          <w:color w:val="000000"/>
          <w:sz w:val="24"/>
          <w:szCs w:val="24"/>
          <w:lang w:val="zh-CN"/>
        </w:rPr>
        <w:instrText xml:space="preserve">HYPERLINK "D:\\品茗建筑云安全计算软件V1.4.2\\OutPut\\塔机附着示意图.dwg"</w:instrText>
      </w:r>
      <w:r>
        <w:rPr>
          <w:rFonts w:hint="eastAsia" w:ascii="Times New Roman" w:hAnsi="Times New Roman" w:eastAsia="Times New Roman"/>
          <w:color w:val="000000"/>
          <w:sz w:val="24"/>
          <w:szCs w:val="24"/>
          <w:lang w:val="zh-CN"/>
        </w:rPr>
        <w:fldChar w:fldCharType="separate"/>
      </w:r>
      <w:r>
        <w:rPr>
          <w:rFonts w:hint="eastAsia" w:ascii="Times New Roman" w:hAnsi="Times New Roman" w:eastAsia="Times New Roman"/>
          <w:color w:val="000080"/>
          <w:sz w:val="24"/>
          <w:szCs w:val="24"/>
          <w:u w:val="single"/>
          <w:lang w:val="zh-CN"/>
        </w:rPr>
        <w:t>塔机附着示意图</w:t>
      </w:r>
      <w:r>
        <w:rPr>
          <w:rFonts w:hint="eastAsia" w:ascii="Times New Roman" w:hAnsi="Times New Roman" w:eastAsia="Times New Roman"/>
          <w:color w:val="000080"/>
          <w:sz w:val="24"/>
          <w:szCs w:val="24"/>
          <w:u w:val="single"/>
          <w:lang w:val="zh-CN"/>
        </w:rPr>
        <w:fldChar w:fldCharType="end"/>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2552700" cy="4572000"/>
            <wp:effectExtent l="0" t="0" r="7620" b="0"/>
            <wp:docPr id="11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6"/>
                    <pic:cNvPicPr>
                      <a:picLocks noChangeAspect="1"/>
                    </pic:cNvPicPr>
                  </pic:nvPicPr>
                  <pic:blipFill>
                    <a:blip r:embed="rId127"/>
                    <a:stretch>
                      <a:fillRect/>
                    </a:stretch>
                  </pic:blipFill>
                  <pic:spPr>
                    <a:xfrm>
                      <a:off x="0" y="0"/>
                      <a:ext cx="2552700" cy="4572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fldChar w:fldCharType="begin"/>
      </w:r>
      <w:r>
        <w:rPr>
          <w:rFonts w:hint="eastAsia" w:ascii="Times New Roman" w:hAnsi="Times New Roman" w:eastAsia="Times New Roman"/>
          <w:color w:val="000000"/>
          <w:sz w:val="24"/>
          <w:szCs w:val="24"/>
          <w:lang w:val="zh-CN"/>
        </w:rPr>
        <w:instrText xml:space="preserve">HYPERLINK "D:\\品茗建筑云安全计算软件V1.4.2\\OutPut\\塔机附着平面图.dwg"</w:instrText>
      </w:r>
      <w:r>
        <w:rPr>
          <w:rFonts w:hint="eastAsia" w:ascii="Times New Roman" w:hAnsi="Times New Roman" w:eastAsia="Times New Roman"/>
          <w:color w:val="000000"/>
          <w:sz w:val="24"/>
          <w:szCs w:val="24"/>
          <w:lang w:val="zh-CN"/>
        </w:rPr>
        <w:fldChar w:fldCharType="separate"/>
      </w:r>
      <w:r>
        <w:rPr>
          <w:rFonts w:hint="eastAsia" w:ascii="Times New Roman" w:hAnsi="Times New Roman" w:eastAsia="Times New Roman"/>
          <w:color w:val="000080"/>
          <w:sz w:val="24"/>
          <w:szCs w:val="24"/>
          <w:u w:val="single"/>
          <w:lang w:val="zh-CN"/>
        </w:rPr>
        <w:t>塔机附着平面图</w:t>
      </w:r>
      <w:r>
        <w:rPr>
          <w:rFonts w:hint="eastAsia" w:ascii="Times New Roman" w:hAnsi="Times New Roman" w:eastAsia="Times New Roman"/>
          <w:color w:val="000080"/>
          <w:sz w:val="24"/>
          <w:szCs w:val="24"/>
          <w:u w:val="single"/>
          <w:lang w:val="zh-CN"/>
        </w:rPr>
        <w:fldChar w:fldCharType="end"/>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)=76.84°</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)=64.309°</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)=77.412°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)=84.688°</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β</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c/2))=65.392°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β</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c/2)/a</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)=69.219°</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β</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c/2)/a</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)=79.327°</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β</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c/2))=76.404°</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四杆附着属于一次超静定结构，用力法计算，切断T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杆并代以相应多余未知力X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=1。</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δ</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 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+Δ</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=1时，各杆件轴力计算：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/sinβ</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21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c/2)/sinβ</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31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c/2)/sinβ</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-1×sin(α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/sinβ</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21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21</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31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31</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×c/2)+1×sinα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×c/2)-1×sinα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×c/2)-1×cosα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当N</w:t>
      </w:r>
      <w:r>
        <w:rPr>
          <w:rFonts w:hint="eastAsia" w:ascii="Times New Roman" w:hAnsi="Times New Roman" w:eastAsia="Times New Roman"/>
          <w:color w:val="000000"/>
          <w:sz w:val="24"/>
          <w:szCs w:val="24"/>
          <w:vertAlign w:val="subscript"/>
          <w:lang w:val="zh-CN"/>
        </w:rPr>
        <w:t>w</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同时存在时，θ由0～360°循环，各杆件轴力计算：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/sinβ</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2p</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c/2)/sinβ</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3p</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c/2)/sinβ</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2p</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2p</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3p</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3p</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×c/2)+N</w:t>
      </w:r>
      <w:r>
        <w:rPr>
          <w:rFonts w:hint="eastAsia" w:ascii="Times New Roman" w:hAnsi="Times New Roman" w:eastAsia="Times New Roman"/>
          <w:color w:val="000000"/>
          <w:sz w:val="24"/>
          <w:szCs w:val="24"/>
          <w:vertAlign w:val="subscript"/>
          <w:lang w:val="zh-CN"/>
        </w:rPr>
        <w:t>w</w:t>
      </w:r>
      <w:r>
        <w:rPr>
          <w:rFonts w:hint="eastAsia" w:ascii="Times New Roman" w:hAnsi="Times New Roman" w:eastAsia="Times New Roman"/>
          <w:color w:val="000000"/>
          <w:sz w:val="24"/>
          <w:szCs w:val="24"/>
          <w:lang w:val="zh-CN"/>
        </w:rPr>
        <w:t>×sinθ×(2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×c/2)+N</w:t>
      </w:r>
      <w:r>
        <w:rPr>
          <w:rFonts w:hint="eastAsia" w:ascii="Times New Roman" w:hAnsi="Times New Roman" w:eastAsia="Times New Roman"/>
          <w:color w:val="000000"/>
          <w:sz w:val="24"/>
          <w:szCs w:val="24"/>
          <w:vertAlign w:val="subscript"/>
          <w:lang w:val="zh-CN"/>
        </w:rPr>
        <w:t>w</w:t>
      </w:r>
      <w:r>
        <w:rPr>
          <w:rFonts w:hint="eastAsia" w:ascii="Times New Roman" w:hAnsi="Times New Roman" w:eastAsia="Times New Roman"/>
          <w:color w:val="000000"/>
          <w:sz w:val="24"/>
          <w:szCs w:val="24"/>
          <w:lang w:val="zh-CN"/>
        </w:rPr>
        <w:t>×cosθ×(2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δ</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=Σ(T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L/(EA))=T</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)/(EA)+T</w:t>
      </w:r>
      <w:r>
        <w:rPr>
          <w:rFonts w:hint="eastAsia" w:ascii="Times New Roman" w:hAnsi="Times New Roman" w:eastAsia="Times New Roman"/>
          <w:color w:val="000000"/>
          <w:sz w:val="24"/>
          <w:szCs w:val="24"/>
          <w:vertAlign w:val="subscript"/>
          <w:lang w:val="zh-CN"/>
        </w:rPr>
        <w:t>21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)/(EA)+T</w:t>
      </w:r>
      <w:r>
        <w:rPr>
          <w:rFonts w:hint="eastAsia" w:ascii="Times New Roman" w:hAnsi="Times New Roman" w:eastAsia="Times New Roman"/>
          <w:color w:val="000000"/>
          <w:sz w:val="24"/>
          <w:szCs w:val="24"/>
          <w:vertAlign w:val="subscript"/>
          <w:lang w:val="zh-CN"/>
        </w:rPr>
        <w:t>31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)/(EA)+1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)/(EA)</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Δ</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=Σ(T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p</w:t>
      </w:r>
      <w:r>
        <w:rPr>
          <w:rFonts w:hint="eastAsia" w:ascii="Times New Roman" w:hAnsi="Times New Roman" w:eastAsia="Times New Roman"/>
          <w:color w:val="000000"/>
          <w:sz w:val="24"/>
          <w:szCs w:val="24"/>
          <w:lang w:val="zh-CN"/>
        </w:rPr>
        <w:t>L/(EA))=T</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)/(EA)+T</w:t>
      </w:r>
      <w:r>
        <w:rPr>
          <w:rFonts w:hint="eastAsia" w:ascii="Times New Roman" w:hAnsi="Times New Roman" w:eastAsia="Times New Roman"/>
          <w:color w:val="000000"/>
          <w:sz w:val="24"/>
          <w:szCs w:val="24"/>
          <w:vertAlign w:val="subscript"/>
          <w:lang w:val="zh-CN"/>
        </w:rPr>
        <w:t>21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2p</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)/(EA)+T</w:t>
      </w:r>
      <w:r>
        <w:rPr>
          <w:rFonts w:hint="eastAsia" w:ascii="Times New Roman" w:hAnsi="Times New Roman" w:eastAsia="Times New Roman"/>
          <w:color w:val="000000"/>
          <w:sz w:val="24"/>
          <w:szCs w:val="24"/>
          <w:vertAlign w:val="subscript"/>
          <w:lang w:val="zh-CN"/>
        </w:rPr>
        <w:t>31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3p</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)/(EA)</w:t>
      </w:r>
    </w:p>
    <w:p>
      <w:pPr>
        <w:spacing w:before="0" w:beforeLines="0" w:after="0" w:afterLines="0" w:line="360" w:lineRule="auto"/>
        <w:rPr>
          <w:rFonts w:hint="eastAsia" w:ascii="Times New Roman" w:hAnsi="Times New Roman" w:eastAsia="Times New Roman"/>
          <w:color w:val="000000"/>
          <w:sz w:val="24"/>
          <w:szCs w:val="24"/>
          <w:vertAlign w:val="subscript"/>
          <w:lang w:val="zh-CN"/>
        </w:rPr>
      </w:pPr>
      <w:r>
        <w:rPr>
          <w:rFonts w:hint="eastAsia" w:ascii="Times New Roman" w:hAnsi="Times New Roman" w:eastAsia="Times New Roman"/>
          <w:color w:val="000000"/>
          <w:sz w:val="24"/>
          <w:szCs w:val="24"/>
          <w:lang w:val="zh-CN"/>
        </w:rPr>
        <w:t xml:space="preserve">    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 -Δ</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/δ</w:t>
      </w:r>
      <w:r>
        <w:rPr>
          <w:rFonts w:hint="eastAsia" w:ascii="Times New Roman" w:hAnsi="Times New Roman" w:eastAsia="Times New Roman"/>
          <w:color w:val="000000"/>
          <w:sz w:val="24"/>
          <w:szCs w:val="24"/>
          <w:vertAlign w:val="subscript"/>
          <w:lang w:val="zh-CN"/>
        </w:rPr>
        <w:t>11</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各杆轴力计算公式如下：</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 T</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 T</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 T</w:t>
      </w:r>
      <w:r>
        <w:rPr>
          <w:rFonts w:hint="eastAsia" w:ascii="Times New Roman" w:hAnsi="Times New Roman" w:eastAsia="Times New Roman"/>
          <w:color w:val="000000"/>
          <w:sz w:val="24"/>
          <w:szCs w:val="24"/>
          <w:vertAlign w:val="subscript"/>
          <w:lang w:val="zh-CN"/>
        </w:rPr>
        <w:t>21</w:t>
      </w:r>
      <w:r>
        <w:rPr>
          <w:rFonts w:hint="eastAsia" w:ascii="Times New Roman" w:hAnsi="Times New Roman" w:eastAsia="Times New Roman"/>
          <w:color w:val="000000"/>
          <w:sz w:val="24"/>
          <w:szCs w:val="24"/>
          <w:lang w:val="zh-CN"/>
        </w:rPr>
        <w:t>×X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2p</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31</w:t>
      </w:r>
      <w:r>
        <w:rPr>
          <w:rFonts w:hint="eastAsia" w:ascii="Times New Roman" w:hAnsi="Times New Roman" w:eastAsia="Times New Roman"/>
          <w:color w:val="000000"/>
          <w:sz w:val="24"/>
          <w:szCs w:val="24"/>
          <w:lang w:val="zh-CN"/>
        </w:rPr>
        <w:t>×X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3p</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 xml:space="preserve"> </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（1）θ由0～360°循环，当T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按图上方向设置时求解各杆最大轴拉力和轴压力：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最大轴压力T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=171.137kN，T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=72.032kN，T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=195.245kN，T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=0kN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最大轴拉力T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=0kN，T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=259.679kN，T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=243.386kN，T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=173.09kN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（2）θ由0～360°循环，当T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按图上反方向设置时求解各杆最大轴拉力和轴压力：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最大轴压力T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=0kN，T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=259.68kN，T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=243.386kN，T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=173.09kN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最大轴拉力T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=171.137kN，T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=72.033kN，T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=195.245kN，T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=0kN</w:t>
      </w:r>
    </w:p>
    <w:p>
      <w:pPr>
        <w:spacing w:before="0" w:beforeLines="0" w:after="0" w:afterLines="0" w:line="360" w:lineRule="auto"/>
        <w:rPr>
          <w:rFonts w:hint="eastAsia" w:ascii="Times New Roman" w:hAnsi="Times New Roman" w:eastAsia="Times New Roman"/>
          <w:b/>
          <w:color w:val="000000"/>
          <w:sz w:val="28"/>
          <w:szCs w:val="24"/>
          <w:lang w:val="zh-CN"/>
        </w:rPr>
      </w:pPr>
      <w:r>
        <w:rPr>
          <w:rFonts w:hint="eastAsia" w:ascii="Times New Roman" w:hAnsi="Times New Roman" w:eastAsia="Times New Roman"/>
          <w:b/>
          <w:color w:val="000000"/>
          <w:sz w:val="28"/>
          <w:szCs w:val="24"/>
          <w:lang w:val="zh-CN"/>
        </w:rPr>
        <w:t xml:space="preserve"> 四、非工作状态下附墙杆内力计算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此工况下塔机回转机构的制动器完全松开，起重臂能随风转动，故不计风荷载产生的扭转力矩。</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1、附着支座反力计算</w:t>
      </w:r>
    </w:p>
    <w:p>
      <w:pPr>
        <w:spacing w:before="0" w:beforeLines="0" w:after="0" w:afterLines="0" w:line="360" w:lineRule="auto"/>
        <w:jc w:val="center"/>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drawing>
          <wp:inline distT="0" distB="0" distL="114300" distR="114300">
            <wp:extent cx="5715000" cy="1905000"/>
            <wp:effectExtent l="0" t="0" r="0" b="0"/>
            <wp:docPr id="10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7"/>
                    <pic:cNvPicPr>
                      <a:picLocks noChangeAspect="1"/>
                    </pic:cNvPicPr>
                  </pic:nvPicPr>
                  <pic:blipFill>
                    <a:blip r:embed="rId128"/>
                    <a:stretch>
                      <a:fillRect/>
                    </a:stretch>
                  </pic:blipFill>
                  <pic:spPr>
                    <a:xfrm>
                      <a:off x="0" y="0"/>
                      <a:ext cx="5715000" cy="1905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计算简图</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5715000" cy="1905000"/>
            <wp:effectExtent l="0" t="0" r="0" b="0"/>
            <wp:docPr id="11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8"/>
                    <pic:cNvPicPr>
                      <a:picLocks noChangeAspect="1"/>
                    </pic:cNvPicPr>
                  </pic:nvPicPr>
                  <pic:blipFill>
                    <a:blip r:embed="rId129"/>
                    <a:stretch>
                      <a:fillRect/>
                    </a:stretch>
                  </pic:blipFill>
                  <pic:spPr>
                    <a:xfrm>
                      <a:off x="0" y="0"/>
                      <a:ext cx="5715000" cy="1905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剪力图</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得：R</w:t>
      </w:r>
      <w:r>
        <w:rPr>
          <w:rFonts w:hint="eastAsia" w:ascii="Times New Roman" w:hAnsi="Times New Roman" w:eastAsia="Times New Roman"/>
          <w:color w:val="000000"/>
          <w:sz w:val="24"/>
          <w:szCs w:val="24"/>
          <w:vertAlign w:val="subscript"/>
          <w:lang w:val="zh-CN"/>
        </w:rPr>
        <w:t>E</w:t>
      </w:r>
      <w:r>
        <w:rPr>
          <w:rFonts w:hint="eastAsia" w:ascii="Times New Roman" w:hAnsi="Times New Roman" w:eastAsia="Times New Roman"/>
          <w:color w:val="000000"/>
          <w:sz w:val="24"/>
          <w:szCs w:val="24"/>
          <w:lang w:val="zh-CN"/>
        </w:rPr>
        <w:t>=84.557kN</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2、附墙杆内力计算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支座2处锚固环的水平内力N</w:t>
      </w:r>
      <w:r>
        <w:rPr>
          <w:rFonts w:hint="eastAsia" w:ascii="Times New Roman" w:hAnsi="Times New Roman" w:eastAsia="Times New Roman"/>
          <w:color w:val="000000"/>
          <w:sz w:val="24"/>
          <w:szCs w:val="24"/>
          <w:vertAlign w:val="subscript"/>
          <w:lang w:val="zh-CN"/>
        </w:rPr>
        <w:t>w</w:t>
      </w:r>
      <w:r>
        <w:rPr>
          <w:rFonts w:hint="eastAsia" w:ascii="Times New Roman" w:hAnsi="Times New Roman" w:eastAsia="Times New Roman"/>
          <w:color w:val="000000"/>
          <w:sz w:val="24"/>
          <w:szCs w:val="24"/>
          <w:lang w:val="zh-CN"/>
        </w:rPr>
        <w:t>=R</w:t>
      </w:r>
      <w:r>
        <w:rPr>
          <w:rFonts w:hint="eastAsia" w:ascii="Times New Roman" w:hAnsi="Times New Roman" w:eastAsia="Times New Roman"/>
          <w:color w:val="000000"/>
          <w:sz w:val="24"/>
          <w:szCs w:val="24"/>
          <w:vertAlign w:val="subscript"/>
          <w:lang w:val="zh-CN"/>
        </w:rPr>
        <w:t>E</w:t>
      </w:r>
      <w:r>
        <w:rPr>
          <w:rFonts w:hint="eastAsia" w:ascii="Times New Roman" w:hAnsi="Times New Roman" w:eastAsia="Times New Roman"/>
          <w:color w:val="000000"/>
          <w:sz w:val="24"/>
          <w:szCs w:val="24"/>
          <w:lang w:val="zh-CN"/>
        </w:rPr>
        <w:t>=84.557kN。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根据工作状态方程组Tk=0，θ由0～360°循环，求解各杆最大轴拉力和轴压力：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最大轴压力T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=37.839kN，T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=104.905kN，T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=138.718kN，T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=42.704kN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最大轴拉力T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=37.84kN，T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=104.904kN，T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=138.718kN，T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=42.704kN</w:t>
      </w:r>
    </w:p>
    <w:p>
      <w:pPr>
        <w:spacing w:before="0" w:beforeLines="0" w:after="0" w:afterLines="0" w:line="360" w:lineRule="auto"/>
        <w:rPr>
          <w:rFonts w:hint="eastAsia" w:ascii="Times New Roman" w:hAnsi="Times New Roman" w:eastAsia="Times New Roman"/>
          <w:b/>
          <w:color w:val="000000"/>
          <w:sz w:val="28"/>
          <w:szCs w:val="24"/>
          <w:lang w:val="zh-CN"/>
        </w:rPr>
      </w:pPr>
      <w:r>
        <w:rPr>
          <w:rFonts w:hint="eastAsia" w:ascii="Times New Roman" w:hAnsi="Times New Roman" w:eastAsia="Times New Roman"/>
          <w:b/>
          <w:color w:val="000000"/>
          <w:sz w:val="28"/>
          <w:szCs w:val="24"/>
          <w:lang w:val="zh-CN"/>
        </w:rPr>
        <w:t xml:space="preserve"> 五、附墙杆强度验算</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3090"/>
        <w:gridCol w:w="1620"/>
        <w:gridCol w:w="3090"/>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gridSpan w:val="4"/>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格构柱参数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格构柱截面类型</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四肢</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格构柱缀件形式</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缀条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缀件间净距l</w:t>
            </w:r>
            <w:r>
              <w:rPr>
                <w:rFonts w:hint="eastAsia" w:ascii="Times New Roman" w:hAnsi="Times New Roman" w:eastAsia="Times New Roman"/>
                <w:color w:val="000000"/>
                <w:sz w:val="24"/>
                <w:szCs w:val="24"/>
                <w:vertAlign w:val="subscript"/>
                <w:lang w:val="zh-CN"/>
              </w:rPr>
              <w:t>01</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120</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格构柱截面边长a(mm)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gridSpan w:val="4"/>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格构柱分肢参数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格构柱分肢材料</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L63X6</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分肢材料截面积A</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18"/>
                <w:szCs w:val="24"/>
                <w:lang w:val="zh-CN"/>
              </w:rPr>
              <w:t>(cm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7.29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分肢对最小刚度轴的回转半径i</w:t>
            </w:r>
            <w:r>
              <w:rPr>
                <w:rFonts w:hint="eastAsia" w:ascii="Times New Roman" w:hAnsi="Times New Roman" w:eastAsia="Times New Roman"/>
                <w:color w:val="000000"/>
                <w:sz w:val="24"/>
                <w:szCs w:val="24"/>
                <w:vertAlign w:val="subscript"/>
                <w:lang w:val="zh-CN"/>
              </w:rPr>
              <w:t>y0</w:t>
            </w:r>
            <w:r>
              <w:rPr>
                <w:rFonts w:hint="eastAsia" w:ascii="Times New Roman" w:hAnsi="Times New Roman" w:eastAsia="Times New Roman"/>
                <w:color w:val="000000"/>
                <w:sz w:val="18"/>
                <w:szCs w:val="24"/>
                <w:lang w:val="zh-CN"/>
              </w:rPr>
              <w:t>(cm)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1.24</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分肢平行于对称轴惯性矩I</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18"/>
                <w:szCs w:val="24"/>
                <w:lang w:val="zh-CN"/>
              </w:rPr>
              <w:t>(cm</w:t>
            </w:r>
            <w:r>
              <w:rPr>
                <w:rFonts w:hint="eastAsia" w:ascii="Times New Roman" w:hAnsi="Times New Roman" w:eastAsia="Times New Roman"/>
                <w:color w:val="000000"/>
                <w:sz w:val="24"/>
                <w:szCs w:val="24"/>
                <w:vertAlign w:val="superscript"/>
                <w:lang w:val="zh-CN"/>
              </w:rPr>
              <w:t>4</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分肢形心轴距分肢外边缘距离Z</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18"/>
                <w:szCs w:val="24"/>
                <w:lang w:val="zh-CN"/>
              </w:rPr>
              <w:t>(cm)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1.78</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分肢材料强度设计值f</w:t>
            </w:r>
            <w:r>
              <w:rPr>
                <w:rFonts w:hint="eastAsia" w:ascii="Times New Roman" w:hAnsi="Times New Roman" w:eastAsia="Times New Roman"/>
                <w:color w:val="000000"/>
                <w:sz w:val="24"/>
                <w:szCs w:val="24"/>
                <w:vertAlign w:val="subscript"/>
                <w:lang w:val="zh-CN"/>
              </w:rPr>
              <w:t>y</w:t>
            </w:r>
            <w:r>
              <w:rPr>
                <w:rFonts w:hint="eastAsia" w:ascii="Times New Roman" w:hAnsi="Times New Roman" w:eastAsia="Times New Roman"/>
                <w:color w:val="000000"/>
                <w:sz w:val="18"/>
                <w:szCs w:val="24"/>
                <w:lang w:val="zh-CN"/>
              </w:rPr>
              <w:t>(N/mm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分肢材料抗拉、压强度设计值f(N/mm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gridSpan w:val="3"/>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gridSpan w:val="4"/>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格构柱缀件参数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缀条材料</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L50X5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缀条最小回转半径i</w:t>
            </w:r>
            <w:r>
              <w:rPr>
                <w:rFonts w:hint="eastAsia" w:ascii="Times New Roman" w:hAnsi="Times New Roman" w:eastAsia="Times New Roman"/>
                <w:color w:val="000000"/>
                <w:sz w:val="24"/>
                <w:szCs w:val="24"/>
                <w:vertAlign w:val="subscript"/>
                <w:lang w:val="zh-CN"/>
              </w:rPr>
              <w:t>nim</w:t>
            </w:r>
            <w:r>
              <w:rPr>
                <w:rFonts w:hint="eastAsia" w:ascii="Times New Roman" w:hAnsi="Times New Roman" w:eastAsia="Times New Roman"/>
                <w:color w:val="000000"/>
                <w:sz w:val="18"/>
                <w:szCs w:val="24"/>
                <w:lang w:val="zh-CN"/>
              </w:rPr>
              <w:t>(cm)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缀条截面积A</w:t>
            </w:r>
            <w:r>
              <w:rPr>
                <w:rFonts w:hint="eastAsia" w:ascii="Times New Roman" w:hAnsi="Times New Roman" w:eastAsia="Times New Roman"/>
                <w:color w:val="000000"/>
                <w:sz w:val="24"/>
                <w:szCs w:val="24"/>
                <w:vertAlign w:val="subscript"/>
                <w:lang w:val="zh-CN"/>
              </w:rPr>
              <w:t>z</w:t>
            </w:r>
            <w:r>
              <w:rPr>
                <w:rFonts w:hint="eastAsia" w:ascii="Times New Roman" w:hAnsi="Times New Roman" w:eastAsia="Times New Roman"/>
                <w:color w:val="000000"/>
                <w:sz w:val="18"/>
                <w:szCs w:val="24"/>
                <w:lang w:val="zh-CN"/>
              </w:rPr>
              <w:t>(cm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gridSpan w:val="3"/>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角焊缝焊脚尺寸h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10</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焊缝计算长度l</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焊缝强度设计值f</w:t>
            </w:r>
            <w:r>
              <w:rPr>
                <w:rFonts w:hint="eastAsia" w:ascii="Times New Roman" w:hAnsi="Times New Roman" w:eastAsia="Times New Roman"/>
                <w:color w:val="000000"/>
                <w:sz w:val="24"/>
                <w:szCs w:val="24"/>
                <w:vertAlign w:val="subscript"/>
                <w:lang w:val="zh-CN"/>
              </w:rPr>
              <w:t>fw</w:t>
            </w:r>
            <w:r>
              <w:rPr>
                <w:rFonts w:hint="eastAsia" w:ascii="Times New Roman" w:hAnsi="Times New Roman" w:eastAsia="Times New Roman"/>
                <w:color w:val="000000"/>
                <w:sz w:val="18"/>
                <w:szCs w:val="24"/>
                <w:lang w:val="zh-CN"/>
              </w:rPr>
              <w:t>(N/mm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160</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24"/>
                <w:szCs w:val="24"/>
                <w:lang w:val="zh-CN"/>
              </w:rPr>
            </w:pP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24"/>
                <w:szCs w:val="24"/>
                <w:lang w:val="zh-CN"/>
              </w:rPr>
            </w:pPr>
          </w:p>
        </w:tc>
      </w:tr>
    </w:tbl>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附图如下:</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5000625" cy="4572000"/>
            <wp:effectExtent l="0" t="0" r="13335" b="0"/>
            <wp:docPr id="10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9"/>
                    <pic:cNvPicPr>
                      <a:picLocks noChangeAspect="1"/>
                    </pic:cNvPicPr>
                  </pic:nvPicPr>
                  <pic:blipFill>
                    <a:blip r:embed="rId120"/>
                    <a:stretch>
                      <a:fillRect/>
                    </a:stretch>
                  </pic:blipFill>
                  <pic:spPr>
                    <a:xfrm>
                      <a:off x="0" y="0"/>
                      <a:ext cx="5000625" cy="4572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fldChar w:fldCharType="begin"/>
      </w:r>
      <w:r>
        <w:rPr>
          <w:rFonts w:hint="eastAsia" w:ascii="Times New Roman" w:hAnsi="Times New Roman" w:eastAsia="Times New Roman"/>
          <w:color w:val="000000"/>
          <w:sz w:val="24"/>
          <w:szCs w:val="24"/>
          <w:lang w:val="zh-CN"/>
        </w:rPr>
        <w:instrText xml:space="preserve">HYPERLINK "D:\\品茗建筑云安全计算软件V1.4.2\\OutPut\\塔机附着格构柱截面.dwg"</w:instrText>
      </w:r>
      <w:r>
        <w:rPr>
          <w:rFonts w:hint="eastAsia" w:ascii="Times New Roman" w:hAnsi="Times New Roman" w:eastAsia="Times New Roman"/>
          <w:color w:val="000000"/>
          <w:sz w:val="24"/>
          <w:szCs w:val="24"/>
          <w:lang w:val="zh-CN"/>
        </w:rPr>
        <w:fldChar w:fldCharType="separate"/>
      </w:r>
      <w:r>
        <w:rPr>
          <w:rFonts w:hint="eastAsia" w:ascii="Times New Roman" w:hAnsi="Times New Roman" w:eastAsia="Times New Roman"/>
          <w:color w:val="000080"/>
          <w:sz w:val="24"/>
          <w:szCs w:val="24"/>
          <w:u w:val="single"/>
          <w:lang w:val="zh-CN"/>
        </w:rPr>
        <w:t>塔机附着格构柱截面</w:t>
      </w:r>
      <w:r>
        <w:rPr>
          <w:rFonts w:hint="eastAsia" w:ascii="Times New Roman" w:hAnsi="Times New Roman" w:eastAsia="Times New Roman"/>
          <w:color w:val="000080"/>
          <w:sz w:val="24"/>
          <w:szCs w:val="24"/>
          <w:u w:val="single"/>
          <w:lang w:val="zh-CN"/>
        </w:rPr>
        <w:fldChar w:fldCharType="end"/>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1、杆件轴心受拉强度验算</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A=4A</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=4×7.29×100=2916mm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σ=N/A=259680/2916=89.053N/mm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≤[f]=210N/mm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2、格构式钢柱换算长细比验算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杆件1的计算长度：L0=(a</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=7774.175mm</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整个格构柱截面对X、Y轴惯性矩：</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I</w:t>
      </w:r>
      <w:r>
        <w:rPr>
          <w:rFonts w:hint="eastAsia" w:ascii="Times New Roman" w:hAnsi="Times New Roman" w:eastAsia="Times New Roman"/>
          <w:color w:val="000000"/>
          <w:sz w:val="24"/>
          <w:szCs w:val="24"/>
          <w:vertAlign w:val="subscript"/>
          <w:lang w:val="zh-CN"/>
        </w:rPr>
        <w:t>x</w:t>
      </w:r>
      <w:r>
        <w:rPr>
          <w:rFonts w:hint="eastAsia" w:ascii="Times New Roman" w:hAnsi="Times New Roman" w:eastAsia="Times New Roman"/>
          <w:color w:val="000000"/>
          <w:sz w:val="24"/>
          <w:szCs w:val="24"/>
          <w:lang w:val="zh-CN"/>
        </w:rPr>
        <w:t>=4[I</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(a/2-Z</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]=4×[27.1+7.29×(30/2-1.78)</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]=5204.647cm</w:t>
      </w:r>
      <w:r>
        <w:rPr>
          <w:rFonts w:hint="eastAsia" w:ascii="Times New Roman" w:hAnsi="Times New Roman" w:eastAsia="Times New Roman"/>
          <w:color w:val="000000"/>
          <w:sz w:val="24"/>
          <w:szCs w:val="24"/>
          <w:vertAlign w:val="superscript"/>
          <w:lang w:val="zh-CN"/>
        </w:rPr>
        <w:t>4</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整个构件长细比：λ</w:t>
      </w:r>
      <w:r>
        <w:rPr>
          <w:rFonts w:hint="eastAsia" w:ascii="Times New Roman" w:hAnsi="Times New Roman" w:eastAsia="Times New Roman"/>
          <w:color w:val="000000"/>
          <w:sz w:val="24"/>
          <w:szCs w:val="24"/>
          <w:vertAlign w:val="subscript"/>
          <w:lang w:val="zh-CN"/>
        </w:rPr>
        <w:t>x</w:t>
      </w:r>
      <w:r>
        <w:rPr>
          <w:rFonts w:hint="eastAsia" w:ascii="Times New Roman" w:hAnsi="Times New Roman" w:eastAsia="Times New Roman"/>
          <w:color w:val="000000"/>
          <w:sz w:val="24"/>
          <w:szCs w:val="24"/>
          <w:lang w:val="zh-CN"/>
        </w:rPr>
        <w:t>=λ</w:t>
      </w:r>
      <w:r>
        <w:rPr>
          <w:rFonts w:hint="eastAsia" w:ascii="Times New Roman" w:hAnsi="Times New Roman" w:eastAsia="Times New Roman"/>
          <w:color w:val="000000"/>
          <w:sz w:val="24"/>
          <w:szCs w:val="24"/>
          <w:vertAlign w:val="subscript"/>
          <w:lang w:val="zh-CN"/>
        </w:rPr>
        <w:t>y</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/(I</w:t>
      </w:r>
      <w:r>
        <w:rPr>
          <w:rFonts w:hint="eastAsia" w:ascii="Times New Roman" w:hAnsi="Times New Roman" w:eastAsia="Times New Roman"/>
          <w:color w:val="000000"/>
          <w:sz w:val="24"/>
          <w:szCs w:val="24"/>
          <w:vertAlign w:val="subscript"/>
          <w:lang w:val="zh-CN"/>
        </w:rPr>
        <w:t>x</w:t>
      </w:r>
      <w:r>
        <w:rPr>
          <w:rFonts w:hint="eastAsia" w:ascii="Times New Roman" w:hAnsi="Times New Roman" w:eastAsia="Times New Roman"/>
          <w:color w:val="000000"/>
          <w:sz w:val="24"/>
          <w:szCs w:val="24"/>
          <w:lang w:val="zh-CN"/>
        </w:rPr>
        <w:t>/(4A</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=777.418/(5204.647/(4×7.29))</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=58.191</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分肢长细比：λ</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01</w:t>
      </w:r>
      <w:r>
        <w:rPr>
          <w:rFonts w:hint="eastAsia" w:ascii="Times New Roman" w:hAnsi="Times New Roman" w:eastAsia="Times New Roman"/>
          <w:color w:val="000000"/>
          <w:sz w:val="24"/>
          <w:szCs w:val="24"/>
          <w:lang w:val="zh-CN"/>
        </w:rPr>
        <w:t>/i</w:t>
      </w:r>
      <w:r>
        <w:rPr>
          <w:rFonts w:hint="eastAsia" w:ascii="Times New Roman" w:hAnsi="Times New Roman" w:eastAsia="Times New Roman"/>
          <w:color w:val="000000"/>
          <w:sz w:val="24"/>
          <w:szCs w:val="24"/>
          <w:vertAlign w:val="subscript"/>
          <w:lang w:val="zh-CN"/>
        </w:rPr>
        <w:t>y0</w:t>
      </w:r>
      <w:r>
        <w:rPr>
          <w:rFonts w:hint="eastAsia" w:ascii="Times New Roman" w:hAnsi="Times New Roman" w:eastAsia="Times New Roman"/>
          <w:color w:val="000000"/>
          <w:sz w:val="24"/>
          <w:szCs w:val="24"/>
          <w:lang w:val="zh-CN"/>
        </w:rPr>
        <w:t>=12/1.24=9.677</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分肢毛截面积之和：A=4A</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=4×7.29×100=2916mm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构件截面中垂直于X轴的各斜缀条的毛截面积之和：</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A</w:t>
      </w:r>
      <w:r>
        <w:rPr>
          <w:rFonts w:hint="eastAsia" w:ascii="Times New Roman" w:hAnsi="Times New Roman" w:eastAsia="Times New Roman"/>
          <w:color w:val="000000"/>
          <w:sz w:val="24"/>
          <w:szCs w:val="24"/>
          <w:vertAlign w:val="subscript"/>
          <w:lang w:val="zh-CN"/>
        </w:rPr>
        <w:t>1x</w:t>
      </w:r>
      <w:r>
        <w:rPr>
          <w:rFonts w:hint="eastAsia" w:ascii="Times New Roman" w:hAnsi="Times New Roman" w:eastAsia="Times New Roman"/>
          <w:color w:val="000000"/>
          <w:sz w:val="24"/>
          <w:szCs w:val="24"/>
          <w:lang w:val="zh-CN"/>
        </w:rPr>
        <w:t>=2A</w:t>
      </w:r>
      <w:r>
        <w:rPr>
          <w:rFonts w:hint="eastAsia" w:ascii="Times New Roman" w:hAnsi="Times New Roman" w:eastAsia="Times New Roman"/>
          <w:color w:val="000000"/>
          <w:sz w:val="24"/>
          <w:szCs w:val="24"/>
          <w:vertAlign w:val="subscript"/>
          <w:lang w:val="zh-CN"/>
        </w:rPr>
        <w:t>z</w:t>
      </w:r>
      <w:r>
        <w:rPr>
          <w:rFonts w:hint="eastAsia" w:ascii="Times New Roman" w:hAnsi="Times New Roman" w:eastAsia="Times New Roman"/>
          <w:color w:val="000000"/>
          <w:sz w:val="24"/>
          <w:szCs w:val="24"/>
          <w:lang w:val="zh-CN"/>
        </w:rPr>
        <w:t>=2×480=960mm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格构式钢柱绕两主轴的换算长细比：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0max</w:t>
      </w:r>
      <w:r>
        <w:rPr>
          <w:rFonts w:hint="eastAsia" w:ascii="Times New Roman" w:hAnsi="Times New Roman" w:eastAsia="Times New Roman"/>
          <w:color w:val="000000"/>
          <w:sz w:val="24"/>
          <w:szCs w:val="24"/>
          <w:lang w:val="zh-CN"/>
        </w:rPr>
        <w:t>=(λ</w:t>
      </w:r>
      <w:r>
        <w:rPr>
          <w:rFonts w:hint="eastAsia" w:ascii="Times New Roman" w:hAnsi="Times New Roman" w:eastAsia="Times New Roman"/>
          <w:color w:val="000000"/>
          <w:sz w:val="24"/>
          <w:szCs w:val="24"/>
          <w:vertAlign w:val="subscript"/>
          <w:lang w:val="zh-CN"/>
        </w:rPr>
        <w:t>x</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+40A/A</w:t>
      </w:r>
      <w:r>
        <w:rPr>
          <w:rFonts w:hint="eastAsia" w:ascii="Times New Roman" w:hAnsi="Times New Roman" w:eastAsia="Times New Roman"/>
          <w:color w:val="000000"/>
          <w:sz w:val="24"/>
          <w:szCs w:val="24"/>
          <w:vertAlign w:val="subscript"/>
          <w:lang w:val="zh-CN"/>
        </w:rPr>
        <w:t>1x</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=(58.191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+40×2916/960)</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=59.226</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附墙杆1长细比：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01max</w:t>
      </w:r>
      <w:r>
        <w:rPr>
          <w:rFonts w:hint="eastAsia" w:ascii="Times New Roman" w:hAnsi="Times New Roman" w:eastAsia="Times New Roman"/>
          <w:color w:val="000000"/>
          <w:sz w:val="24"/>
          <w:szCs w:val="24"/>
          <w:lang w:val="zh-CN"/>
        </w:rPr>
        <w:t>=59.226≤[λ]=120，查规范表得：φ</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=0.811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附墙杆2长细比：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02max</w:t>
      </w:r>
      <w:r>
        <w:rPr>
          <w:rFonts w:hint="eastAsia" w:ascii="Times New Roman" w:hAnsi="Times New Roman" w:eastAsia="Times New Roman"/>
          <w:color w:val="000000"/>
          <w:sz w:val="24"/>
          <w:szCs w:val="24"/>
          <w:lang w:val="zh-CN"/>
        </w:rPr>
        <w:t>=53.802≤[λ]=120，查规范表得：φ</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=0.839</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附墙杆3长细比：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03max</w:t>
      </w:r>
      <w:r>
        <w:rPr>
          <w:rFonts w:hint="eastAsia" w:ascii="Times New Roman" w:hAnsi="Times New Roman" w:eastAsia="Times New Roman"/>
          <w:color w:val="000000"/>
          <w:sz w:val="24"/>
          <w:szCs w:val="24"/>
          <w:lang w:val="zh-CN"/>
        </w:rPr>
        <w:t>=71.264≤[λ]=120，查规范表得：φ</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=0.743</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附墙杆4长细比：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04max</w:t>
      </w:r>
      <w:r>
        <w:rPr>
          <w:rFonts w:hint="eastAsia" w:ascii="Times New Roman" w:hAnsi="Times New Roman" w:eastAsia="Times New Roman"/>
          <w:color w:val="000000"/>
          <w:sz w:val="24"/>
          <w:szCs w:val="24"/>
          <w:lang w:val="zh-CN"/>
        </w:rPr>
        <w:t>=86.404≤[λ]=120，查规范表得：φ</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=0.645</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附墙杆1轴心受压稳定验算：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/(φ</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Af)=171137/(0.811×2916×210)=0.345≤1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附墙杆2轴心受压稳定验算：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/(φ</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Af)=259679/(0.839×2916×210)=0.505≤1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附墙杆3轴心受压稳定验算：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/(φ</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Af)=243386/(0.743×2916×210)=0.535≤1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附墙杆4轴心受压稳定验算：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/(φ</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Af)=173090/(0.645×2916×210)=0.438≤1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3、格构式钢柱分肢的长细比验算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附墙杆1钢柱分肢的长细比：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=9.677≤0.7λ</w:t>
      </w:r>
      <w:r>
        <w:rPr>
          <w:rFonts w:hint="eastAsia" w:ascii="Times New Roman" w:hAnsi="Times New Roman" w:eastAsia="Times New Roman"/>
          <w:color w:val="000000"/>
          <w:sz w:val="24"/>
          <w:szCs w:val="24"/>
          <w:vertAlign w:val="subscript"/>
          <w:lang w:val="zh-CN"/>
        </w:rPr>
        <w:t>01max</w:t>
      </w:r>
      <w:r>
        <w:rPr>
          <w:rFonts w:hint="eastAsia" w:ascii="Times New Roman" w:hAnsi="Times New Roman" w:eastAsia="Times New Roman"/>
          <w:color w:val="000000"/>
          <w:sz w:val="24"/>
          <w:szCs w:val="24"/>
          <w:lang w:val="zh-CN"/>
        </w:rPr>
        <w:t>=0.7×59.226=41.458</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附墙杆2钢柱分肢的长细比：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=9.677≤0.7λ</w:t>
      </w:r>
      <w:r>
        <w:rPr>
          <w:rFonts w:hint="eastAsia" w:ascii="Times New Roman" w:hAnsi="Times New Roman" w:eastAsia="Times New Roman"/>
          <w:color w:val="000000"/>
          <w:sz w:val="24"/>
          <w:szCs w:val="24"/>
          <w:vertAlign w:val="subscript"/>
          <w:lang w:val="zh-CN"/>
        </w:rPr>
        <w:t>02max</w:t>
      </w:r>
      <w:r>
        <w:rPr>
          <w:rFonts w:hint="eastAsia" w:ascii="Times New Roman" w:hAnsi="Times New Roman" w:eastAsia="Times New Roman"/>
          <w:color w:val="000000"/>
          <w:sz w:val="24"/>
          <w:szCs w:val="24"/>
          <w:lang w:val="zh-CN"/>
        </w:rPr>
        <w:t>=0.7×53.802=37.661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附墙杆3钢柱分肢的长细比：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=9.677≤0.7λ</w:t>
      </w:r>
      <w:r>
        <w:rPr>
          <w:rFonts w:hint="eastAsia" w:ascii="Times New Roman" w:hAnsi="Times New Roman" w:eastAsia="Times New Roman"/>
          <w:color w:val="000000"/>
          <w:sz w:val="24"/>
          <w:szCs w:val="24"/>
          <w:vertAlign w:val="subscript"/>
          <w:lang w:val="zh-CN"/>
        </w:rPr>
        <w:t>03max</w:t>
      </w:r>
      <w:r>
        <w:rPr>
          <w:rFonts w:hint="eastAsia" w:ascii="Times New Roman" w:hAnsi="Times New Roman" w:eastAsia="Times New Roman"/>
          <w:color w:val="000000"/>
          <w:sz w:val="24"/>
          <w:szCs w:val="24"/>
          <w:lang w:val="zh-CN"/>
        </w:rPr>
        <w:t>=0.7×71.264=49.885</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附墙杆4钢柱分肢的长细比：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=9.677≤0.7λ</w:t>
      </w:r>
      <w:r>
        <w:rPr>
          <w:rFonts w:hint="eastAsia" w:ascii="Times New Roman" w:hAnsi="Times New Roman" w:eastAsia="Times New Roman"/>
          <w:color w:val="000000"/>
          <w:sz w:val="24"/>
          <w:szCs w:val="24"/>
          <w:vertAlign w:val="subscript"/>
          <w:lang w:val="zh-CN"/>
        </w:rPr>
        <w:t>04max</w:t>
      </w:r>
      <w:r>
        <w:rPr>
          <w:rFonts w:hint="eastAsia" w:ascii="Times New Roman" w:hAnsi="Times New Roman" w:eastAsia="Times New Roman"/>
          <w:color w:val="000000"/>
          <w:sz w:val="24"/>
          <w:szCs w:val="24"/>
          <w:lang w:val="zh-CN"/>
        </w:rPr>
        <w:t>=0.7×86.404=60.483</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4、缀件验算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缀件所受剪力：V=Af(f</w:t>
      </w:r>
      <w:r>
        <w:rPr>
          <w:rFonts w:hint="eastAsia" w:ascii="Times New Roman" w:hAnsi="Times New Roman" w:eastAsia="Times New Roman"/>
          <w:color w:val="000000"/>
          <w:sz w:val="24"/>
          <w:szCs w:val="24"/>
          <w:vertAlign w:val="subscript"/>
          <w:lang w:val="zh-CN"/>
        </w:rPr>
        <w:t>y</w:t>
      </w:r>
      <w:r>
        <w:rPr>
          <w:rFonts w:hint="eastAsia" w:ascii="Times New Roman" w:hAnsi="Times New Roman" w:eastAsia="Times New Roman"/>
          <w:color w:val="000000"/>
          <w:sz w:val="24"/>
          <w:szCs w:val="24"/>
          <w:lang w:val="zh-CN"/>
        </w:rPr>
        <w:t>/235)</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/85=2916×210.00×10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×(235.00/235)</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/85=7.204kN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格构柱相邻缀板轴线距离：l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01</w:t>
      </w:r>
      <w:r>
        <w:rPr>
          <w:rFonts w:hint="eastAsia" w:ascii="Times New Roman" w:hAnsi="Times New Roman" w:eastAsia="Times New Roman"/>
          <w:color w:val="000000"/>
          <w:sz w:val="24"/>
          <w:szCs w:val="24"/>
          <w:lang w:val="zh-CN"/>
        </w:rPr>
        <w:t>+5=12.00+5=17cm</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作用在一侧缀板上的弯矩：M</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=Vl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/4=7.204×0.17/4=0.306kN·m</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分肢型钢形心轴之间距离：b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=a-2Z</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=0.3-2×0.0178=0.264m</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斜缀条轴向压力值：N</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=V/(2cosα)=V/(2a/(a</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)=7.204/(2×0.3/(0.3</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+0.17</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)=4.14kN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缀条计算长度：l</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=(300.00</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+170</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=344.819mm</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缀条长细比：λ=l</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lang w:val="zh-CN"/>
        </w:rPr>
        <w:t>/i</w:t>
      </w:r>
      <w:r>
        <w:rPr>
          <w:rFonts w:hint="eastAsia" w:ascii="Times New Roman" w:hAnsi="Times New Roman" w:eastAsia="Times New Roman"/>
          <w:color w:val="000000"/>
          <w:sz w:val="24"/>
          <w:szCs w:val="24"/>
          <w:vertAlign w:val="subscript"/>
          <w:lang w:val="zh-CN"/>
        </w:rPr>
        <w:t>min</w:t>
      </w:r>
      <w:r>
        <w:rPr>
          <w:rFonts w:hint="eastAsia" w:ascii="Times New Roman" w:hAnsi="Times New Roman" w:eastAsia="Times New Roman"/>
          <w:color w:val="000000"/>
          <w:sz w:val="24"/>
          <w:szCs w:val="24"/>
          <w:lang w:val="zh-CN"/>
        </w:rPr>
        <w:t>=34.482/0.98=35.186≤80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查表《钢结构设计标准》GB50017-2017附录D：b类截面轴心受压构件的稳定系数：φ=0.918</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等边角钢计算稳定性系数：</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η=min(0.6+0.0015λ，1.0)=min(0.6+0.0015×35.186，1.0)=0.653</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缀条稳定验算：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/(φηA</w:t>
      </w:r>
      <w:r>
        <w:rPr>
          <w:rFonts w:hint="eastAsia" w:ascii="Times New Roman" w:hAnsi="Times New Roman" w:eastAsia="Times New Roman"/>
          <w:color w:val="000000"/>
          <w:sz w:val="24"/>
          <w:szCs w:val="24"/>
          <w:vertAlign w:val="subscript"/>
          <w:lang w:val="zh-CN"/>
        </w:rPr>
        <w:t>z</w:t>
      </w:r>
      <w:r>
        <w:rPr>
          <w:rFonts w:hint="eastAsia" w:ascii="Times New Roman" w:hAnsi="Times New Roman" w:eastAsia="Times New Roman"/>
          <w:color w:val="000000"/>
          <w:sz w:val="24"/>
          <w:szCs w:val="24"/>
          <w:lang w:val="zh-CN"/>
        </w:rPr>
        <w:t>f)=4.14×10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/(0.918×0.653×4.80×10</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×215)=0.067≤1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需要焊缝长度：</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lw</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×0.85f</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vertAlign w:val="superscript"/>
          <w:lang w:val="zh-CN"/>
        </w:rPr>
        <w:t>w</w:t>
      </w:r>
      <w:r>
        <w:rPr>
          <w:rFonts w:hint="eastAsia" w:ascii="Times New Roman" w:hAnsi="Times New Roman" w:eastAsia="Times New Roman"/>
          <w:color w:val="000000"/>
          <w:sz w:val="24"/>
          <w:szCs w:val="24"/>
          <w:lang w:val="zh-CN"/>
        </w:rPr>
        <w:t>)=4.14×10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/(0.7×10×0.85×160)=4mm≤l</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=250mm</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b/>
          <w:color w:val="000000"/>
          <w:sz w:val="28"/>
          <w:szCs w:val="24"/>
          <w:lang w:val="zh-CN"/>
        </w:rPr>
      </w:pPr>
      <w:r>
        <w:rPr>
          <w:rFonts w:hint="eastAsia" w:ascii="Times New Roman" w:hAnsi="Times New Roman" w:eastAsia="Times New Roman"/>
          <w:b/>
          <w:color w:val="000000"/>
          <w:sz w:val="28"/>
          <w:szCs w:val="24"/>
          <w:lang w:val="zh-CN"/>
        </w:rPr>
        <w:t xml:space="preserve"> 六、附着杆与结构连接节点验算</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3090"/>
        <w:gridCol w:w="1620"/>
        <w:gridCol w:w="3090"/>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附着杆与建筑物连接方式</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铰接</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连接钢板厚度dt(mm)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连接钢板强度等级</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Q235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建筑物混凝土强度等级</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C35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连接板固定方式</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锚固螺栓</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连接板耳板排数</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锚固螺栓类型</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摩擦型高强螺栓</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高强螺栓的性能等级</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8.8级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摩擦面抗滑移系数u</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0.45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高强螺栓公称直径</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M30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一个高强螺栓的预拉力P(kN)</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355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高强螺栓传力摩擦面数目n</w:t>
            </w:r>
            <w:r>
              <w:rPr>
                <w:rFonts w:hint="eastAsia" w:ascii="Times New Roman" w:hAnsi="Times New Roman" w:eastAsia="Times New Roman"/>
                <w:color w:val="000000"/>
                <w:sz w:val="24"/>
                <w:szCs w:val="24"/>
                <w:vertAlign w:val="subscript"/>
                <w:lang w:val="zh-CN"/>
              </w:rPr>
              <w:t>f</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gridSpan w:val="4"/>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 xml:space="preserve">                                        双吊耳板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左侧吊耳孔中心至连接板高度L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150</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右侧吊耳孔中心至连接板高度L</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双吊耳板连接钢板垂直方向螺栓排数m</w:t>
            </w:r>
            <w:r>
              <w:rPr>
                <w:rFonts w:hint="eastAsia" w:ascii="Times New Roman" w:hAnsi="Times New Roman" w:eastAsia="Times New Roman"/>
                <w:color w:val="000000"/>
                <w:sz w:val="24"/>
                <w:szCs w:val="24"/>
                <w:vertAlign w:val="subscript"/>
                <w:lang w:val="zh-CN"/>
              </w:rPr>
              <w:t>1</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双吊耳板连接钢板水平方向螺栓排数n</w:t>
            </w:r>
            <w:r>
              <w:rPr>
                <w:rFonts w:hint="eastAsia" w:ascii="Times New Roman" w:hAnsi="Times New Roman" w:eastAsia="Times New Roman"/>
                <w:color w:val="000000"/>
                <w:sz w:val="24"/>
                <w:szCs w:val="24"/>
                <w:vertAlign w:val="subscript"/>
                <w:lang w:val="zh-CN"/>
              </w:rPr>
              <w:t>1</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双吊耳板连接钢板水平方向最外侧螺栓两端中心线距离S</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500</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24"/>
                <w:szCs w:val="24"/>
                <w:lang w:val="zh-CN"/>
              </w:rPr>
            </w:pP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24"/>
                <w:szCs w:val="24"/>
                <w:lang w:val="zh-CN"/>
              </w:rPr>
            </w:pPr>
          </w:p>
        </w:tc>
      </w:tr>
    </w:tbl>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1、附着点荷载计算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各附着杆传给连接节点荷载如下：</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sinα1=171.137×sin76.84°=166.642kN,V</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cosα1=171.137×cos76.84°=38.964kN;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sinα2=259.679×sin64.309°=234.009kN,V</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cosα2=259.679×cos64.309°=112.575kN;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sinα3=243.386×sin77.412°=237.535kN,V</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cosα3=243.386×cos77.412°=53.044kN;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sinα4=173.09×sin84.688°=172.347kN,V</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cosα4=173.09×cos84.688°=16.025kN;</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2、螺栓承载力计算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单个高强螺栓抗剪承载力设计值N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=0.9kn</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uP=0.9×1×1×0.45×355=143.775kN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单个高强螺栓受拉承载力设计值N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=0.8P=0.8×355=284kN</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（1）双吊耳板位置螺栓承载力计算：</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附着杆1、附着杆2连接的双吊耳板：</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分别在工作状态下T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为图中方向(T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为图中相反方向(T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)、非工作状态(T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=0)三种情况下，每种情况中θ由0～360°循环计算，经过分析判断最不利情况如下：</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=-422kN·m，θ=77°， 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=146.814kN，N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=-23.581kN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轴向拉力合力为：</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=146.814×sin76.84°+(-23.581)×sin64.309°=121.708kN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水平向剪力合力为：</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V=N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=146.814×cos76.84°+(-23.581)×cos64.309°=23.203kN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计算对螺栓群形心的弯矩：</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M=|N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D/2+N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D/2+N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|=|146.814×sin76.84°×0.35/2+146.814×cos76.84°×0.15-(-23.581)×sin64.309°×0.35/2+(-23.581)×cos64.309°×0.25|=31.195kN·m</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经分析判断，应按照大偏心进行计算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计算对弯矩指向最外侧螺栓中心的弯矩：</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M</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(S</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+D)/2+N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(S</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-D)/2+N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|=|146.814×sin76.84°×(0.5+0.35)/2+146.814×cos76.84°×0.15+(-23.581)×sin64.309°×(0.5-0.35)/2+(-23.581)×cos64.309°×0.25|=61.622kN·m</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3019425" cy="752475"/>
            <wp:effectExtent l="0" t="0" r="0" b="0"/>
            <wp:docPr id="11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0"/>
                    <pic:cNvPicPr>
                      <a:picLocks noChangeAspect="1"/>
                    </pic:cNvPicPr>
                  </pic:nvPicPr>
                  <pic:blipFill>
                    <a:blip r:embed="rId130"/>
                    <a:stretch>
                      <a:fillRect/>
                    </a:stretch>
                  </pic:blipFill>
                  <pic:spPr>
                    <a:xfrm>
                      <a:off x="0" y="0"/>
                      <a:ext cx="3019425" cy="752475"/>
                    </a:xfrm>
                    <a:prstGeom prst="rect">
                      <a:avLst/>
                    </a:prstGeom>
                    <a:noFill/>
                    <a:ln>
                      <a:noFill/>
                    </a:ln>
                  </pic:spPr>
                </pic:pic>
              </a:graphicData>
            </a:graphic>
          </wp:inline>
        </w:drawing>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Σy</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=2×[(1×500/4)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+(2×500/4)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+(3×500/4)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+(4×500/4)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]=937500mm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计算弯矩对单个螺栓的附加轴力：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附加</w:t>
      </w:r>
      <w:r>
        <w:rPr>
          <w:rFonts w:hint="eastAsia" w:ascii="Times New Roman" w:hAnsi="Times New Roman" w:eastAsia="Times New Roman"/>
          <w:color w:val="000000"/>
          <w:sz w:val="24"/>
          <w:szCs w:val="24"/>
          <w:lang w:val="zh-CN"/>
        </w:rPr>
        <w:t>=M</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S</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/Σy</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=61.622×500/937.5=32.865kN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计算考虑附加轴力后单个螺栓的最大拉力：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lang w:val="zh-CN"/>
        </w:rPr>
        <w:t>=F/m</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附加</w:t>
      </w:r>
      <w:r>
        <w:rPr>
          <w:rFonts w:hint="eastAsia" w:ascii="Times New Roman" w:hAnsi="Times New Roman" w:eastAsia="Times New Roman"/>
          <w:color w:val="000000"/>
          <w:sz w:val="24"/>
          <w:szCs w:val="24"/>
          <w:lang w:val="zh-CN"/>
        </w:rPr>
        <w:t>=121.708/(2×5)+32.865=45.036kN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计算单个螺栓的最大剪力：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=|V|/m</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=23.203/(2×5)=2.32kN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=2.32/143.775+45.036/284=0.175≤1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螺栓承载力满足要求。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附着杆3、附着杆4连接的双吊耳板：</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分别在工作状态下T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为图中方向(T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为图中相反方向(T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)、非工作状态(T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=0)三种情况下，每种情况中θ由0～360°循环计算，经过分析判断最不利情况如下：</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=422kN·m，θ=152°， 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=242.043kN， 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=172.82kN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轴向拉力合力为：</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=242.043×sin77.412°+172.82×sin84.688°=408.302kN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水平向剪力合力为：</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V=N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=242.043×cos77.412°+172.82×cos84.688°=68.752kN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计算对螺栓群形心的弯矩：</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M=|-N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D/2+N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D/2+N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|=|-242.043×sin77.412°×0.35/2+242.043×cos77.412°×0.15+172.82×sin84.688°×0.35/2+172.82×cos84.688°×0.25|=0.687kN·m</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经分析判断，按照小偏心进行计算</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3733800" cy="771525"/>
            <wp:effectExtent l="0" t="0" r="0" b="0"/>
            <wp:docPr id="11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1"/>
                    <pic:cNvPicPr>
                      <a:picLocks noChangeAspect="1"/>
                    </pic:cNvPicPr>
                  </pic:nvPicPr>
                  <pic:blipFill>
                    <a:blip r:embed="rId131"/>
                    <a:stretch>
                      <a:fillRect/>
                    </a:stretch>
                  </pic:blipFill>
                  <pic:spPr>
                    <a:xfrm>
                      <a:off x="0" y="0"/>
                      <a:ext cx="3733800" cy="771525"/>
                    </a:xfrm>
                    <a:prstGeom prst="rect">
                      <a:avLst/>
                    </a:prstGeom>
                    <a:noFill/>
                    <a:ln>
                      <a:noFill/>
                    </a:ln>
                  </pic:spPr>
                </pic:pic>
              </a:graphicData>
            </a:graphic>
          </wp:inline>
        </w:drawing>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=2×[250</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+(250-1×500/4)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+(250-2×500/4)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+(250-3×500/4)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+(250-4×500/4)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]=625000mm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计算弯矩对单个螺栓的附加轴力：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附加</w:t>
      </w:r>
      <w:r>
        <w:rPr>
          <w:rFonts w:hint="eastAsia" w:ascii="Times New Roman" w:hAnsi="Times New Roman" w:eastAsia="Times New Roman"/>
          <w:color w:val="000000"/>
          <w:sz w:val="24"/>
          <w:szCs w:val="24"/>
          <w:lang w:val="zh-CN"/>
        </w:rPr>
        <w:t>=(MS</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/2)/Σx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=(0.687×500/2)/(625000/1000)=0.275kN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计算考虑附加轴力后单个螺栓的最大拉力：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lang w:val="zh-CN"/>
        </w:rPr>
        <w:t>=F/m</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附加</w:t>
      </w:r>
      <w:r>
        <w:rPr>
          <w:rFonts w:hint="eastAsia" w:ascii="Times New Roman" w:hAnsi="Times New Roman" w:eastAsia="Times New Roman"/>
          <w:color w:val="000000"/>
          <w:sz w:val="24"/>
          <w:szCs w:val="24"/>
          <w:lang w:val="zh-CN"/>
        </w:rPr>
        <w:t>=408.302/(2×5)+0.275=41.105kN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计算单个螺栓的最大剪力：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=|V|/m</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=68.752/(2×5)=6.875kN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=6.875/143.775+41.105/284=0.193≤1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螺栓承载力满足要求。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3、吊耳板计算</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3090"/>
        <w:gridCol w:w="1620"/>
        <w:gridCol w:w="3090"/>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吊耳板厚t(mm)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20</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吊耳板两侧边缘与吊孔边缘净距b(mm):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顺受力方向，吊孔边距板边缘最小距离a(mm):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80</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吊孔直径d</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吊耳板抗拉强度设计值f(N/mm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205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吊耳板抗剪强度设计值fv(N/mm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连接板耳板排数</w:t>
            </w:r>
          </w:p>
        </w:tc>
        <w:tc>
          <w:tcPr>
            <w:tcW w:w="0" w:type="auto"/>
            <w:gridSpan w:val="3"/>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w:t>
            </w:r>
          </w:p>
        </w:tc>
      </w:tr>
    </w:tbl>
    <w:p>
      <w:pPr>
        <w:spacing w:before="0" w:beforeLines="0" w:after="0" w:afterLines="0" w:line="360" w:lineRule="auto"/>
        <w:jc w:val="center"/>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drawing>
          <wp:inline distT="0" distB="0" distL="114300" distR="114300">
            <wp:extent cx="4667250" cy="3048000"/>
            <wp:effectExtent l="0" t="0" r="0" b="0"/>
            <wp:docPr id="10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2"/>
                    <pic:cNvPicPr>
                      <a:picLocks noChangeAspect="1"/>
                    </pic:cNvPicPr>
                  </pic:nvPicPr>
                  <pic:blipFill>
                    <a:blip r:embed="rId132"/>
                    <a:stretch>
                      <a:fillRect/>
                    </a:stretch>
                  </pic:blipFill>
                  <pic:spPr>
                    <a:xfrm>
                      <a:off x="0" y="0"/>
                      <a:ext cx="4667250" cy="3048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fldChar w:fldCharType="begin"/>
      </w:r>
      <w:r>
        <w:rPr>
          <w:rFonts w:hint="eastAsia" w:ascii="Times New Roman" w:hAnsi="Times New Roman" w:eastAsia="Times New Roman"/>
          <w:b/>
          <w:color w:val="000000"/>
          <w:sz w:val="24"/>
          <w:szCs w:val="24"/>
          <w:lang w:val="zh-CN"/>
        </w:rPr>
        <w:instrText xml:space="preserve">HYPERLINK "D:\\品茗建筑云安全计算软件V1.4.2\\pmtd\\Bmp\\Attachment\\双吊耳板.png"</w:instrText>
      </w:r>
      <w:r>
        <w:rPr>
          <w:rFonts w:hint="eastAsia" w:ascii="Times New Roman" w:hAnsi="Times New Roman" w:eastAsia="Times New Roman"/>
          <w:b/>
          <w:color w:val="000000"/>
          <w:sz w:val="24"/>
          <w:szCs w:val="24"/>
          <w:lang w:val="zh-CN"/>
        </w:rPr>
        <w:fldChar w:fldCharType="separate"/>
      </w:r>
      <w:r>
        <w:rPr>
          <w:rFonts w:hint="eastAsia" w:ascii="Times New Roman" w:hAnsi="Times New Roman" w:eastAsia="Times New Roman"/>
          <w:color w:val="000080"/>
          <w:sz w:val="24"/>
          <w:szCs w:val="24"/>
          <w:u w:val="single"/>
          <w:lang w:val="zh-CN"/>
        </w:rPr>
        <w:t>双吊耳板</w:t>
      </w:r>
      <w:r>
        <w:rPr>
          <w:rFonts w:hint="eastAsia" w:ascii="Times New Roman" w:hAnsi="Times New Roman" w:eastAsia="Times New Roman"/>
          <w:color w:val="000080"/>
          <w:sz w:val="24"/>
          <w:szCs w:val="24"/>
          <w:u w:val="single"/>
          <w:lang w:val="zh-CN"/>
        </w:rPr>
        <w:fldChar w:fldCharType="end"/>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参考GB50017-2017，对连接耳板进行如下验算：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吊耳板验算与吊孔中心至连接钢板高度无关，单双吊耳板的a、b、d</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参数均相同，因此单吊耳板与双吊耳板的验算方法相同，取拉力最大值进行计算即可。</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S</w:t>
      </w:r>
      <w:r>
        <w:rPr>
          <w:rFonts w:hint="eastAsia" w:ascii="Times New Roman" w:hAnsi="Times New Roman" w:eastAsia="Times New Roman"/>
          <w:color w:val="000000"/>
          <w:sz w:val="24"/>
          <w:szCs w:val="24"/>
          <w:lang w:val="zh-CN"/>
        </w:rPr>
        <w:t>=max{N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}/2=129.839kN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（1）耳板构造要求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B</w:t>
      </w:r>
      <w:r>
        <w:rPr>
          <w:rFonts w:hint="eastAsia" w:ascii="Times New Roman" w:hAnsi="Times New Roman" w:eastAsia="Times New Roman"/>
          <w:color w:val="000000"/>
          <w:sz w:val="24"/>
          <w:szCs w:val="24"/>
          <w:vertAlign w:val="subscript"/>
          <w:lang w:val="zh-CN"/>
        </w:rPr>
        <w:t>e</w:t>
      </w:r>
      <w:r>
        <w:rPr>
          <w:rFonts w:hint="eastAsia" w:ascii="Times New Roman" w:hAnsi="Times New Roman" w:eastAsia="Times New Roman"/>
          <w:color w:val="000000"/>
          <w:sz w:val="24"/>
          <w:szCs w:val="24"/>
          <w:lang w:val="zh-CN"/>
        </w:rPr>
        <w:t>= 2t+16= 2×20+16=56mm≤b=100mm</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4B</w:t>
      </w:r>
      <w:r>
        <w:rPr>
          <w:rFonts w:hint="eastAsia" w:ascii="Times New Roman" w:hAnsi="Times New Roman" w:eastAsia="Times New Roman"/>
          <w:color w:val="000000"/>
          <w:sz w:val="24"/>
          <w:szCs w:val="24"/>
          <w:vertAlign w:val="subscript"/>
          <w:lang w:val="zh-CN"/>
        </w:rPr>
        <w:t>e</w:t>
      </w:r>
      <w:r>
        <w:rPr>
          <w:rFonts w:hint="eastAsia" w:ascii="Times New Roman" w:hAnsi="Times New Roman" w:eastAsia="Times New Roman"/>
          <w:color w:val="000000"/>
          <w:sz w:val="24"/>
          <w:szCs w:val="24"/>
          <w:lang w:val="zh-CN"/>
        </w:rPr>
        <w:t>/3= 4×56/3=74.667mm≤a=80mm</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（2）耳板孔净截面处的抗拉强度验算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计算宽度:b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 min(2t+16,b-d</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/3)= min(2×20+16,100-60/3)=56mm</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 N</w:t>
      </w:r>
      <w:r>
        <w:rPr>
          <w:rFonts w:hint="eastAsia" w:ascii="Times New Roman" w:hAnsi="Times New Roman" w:eastAsia="Times New Roman"/>
          <w:color w:val="000000"/>
          <w:sz w:val="24"/>
          <w:szCs w:val="24"/>
          <w:vertAlign w:val="subscript"/>
          <w:lang w:val="zh-CN"/>
        </w:rPr>
        <w:t>s</w:t>
      </w:r>
      <w:r>
        <w:rPr>
          <w:rFonts w:hint="eastAsia" w:ascii="Times New Roman" w:hAnsi="Times New Roman" w:eastAsia="Times New Roman"/>
          <w:color w:val="000000"/>
          <w:sz w:val="24"/>
          <w:szCs w:val="24"/>
          <w:lang w:val="zh-CN"/>
        </w:rPr>
        <w:t>/(2tb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 129.839×10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/(2×20×56)=57.964N/mm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≤f=205N/mm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耳板孔净截面处抗拉强度满足要求！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（3）耳板端部截面抗拉（劈开）强度验算</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 N</w:t>
      </w:r>
      <w:r>
        <w:rPr>
          <w:rFonts w:hint="eastAsia" w:ascii="Times New Roman" w:hAnsi="Times New Roman" w:eastAsia="Times New Roman"/>
          <w:color w:val="000000"/>
          <w:sz w:val="24"/>
          <w:szCs w:val="24"/>
          <w:vertAlign w:val="subscript"/>
          <w:lang w:val="zh-CN"/>
        </w:rPr>
        <w:t>s</w:t>
      </w:r>
      <w:r>
        <w:rPr>
          <w:rFonts w:hint="eastAsia" w:ascii="Times New Roman" w:hAnsi="Times New Roman" w:eastAsia="Times New Roman"/>
          <w:color w:val="000000"/>
          <w:sz w:val="24"/>
          <w:szCs w:val="24"/>
          <w:lang w:val="zh-CN"/>
        </w:rPr>
        <w:t>/[2t(a-2d</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/3)]= 129.839×10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/[2×20×(80-2×60/3)]=81.15N/mm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≤f=205N/mm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耳板端部截面抗拉强度满足要求！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（4）耳板抗剪强度验算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耳板端部抗剪截面宽度:</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Z= [(a+d</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-(d</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 [(80+60/2)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-(60/2)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=105.83mm</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τ= N</w:t>
      </w:r>
      <w:r>
        <w:rPr>
          <w:rFonts w:hint="eastAsia" w:ascii="Times New Roman" w:hAnsi="Times New Roman" w:eastAsia="Times New Roman"/>
          <w:color w:val="000000"/>
          <w:sz w:val="24"/>
          <w:szCs w:val="24"/>
          <w:vertAlign w:val="subscript"/>
          <w:lang w:val="zh-CN"/>
        </w:rPr>
        <w:t>s</w:t>
      </w:r>
      <w:r>
        <w:rPr>
          <w:rFonts w:hint="eastAsia" w:ascii="Times New Roman" w:hAnsi="Times New Roman" w:eastAsia="Times New Roman"/>
          <w:color w:val="000000"/>
          <w:sz w:val="24"/>
          <w:szCs w:val="24"/>
          <w:lang w:val="zh-CN"/>
        </w:rPr>
        <w:t>/(2tZ)= 129.839×10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/(2×20×105.83)=30.672N/mm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≤fv=120N/mm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耳板抗剪强度满足要求！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4、销轴计算</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4710"/>
        <w:gridCol w:w="47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销轴直径d</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销轴材料抗剪强度f</w:t>
            </w:r>
            <w:r>
              <w:rPr>
                <w:rFonts w:hint="eastAsia" w:ascii="Times New Roman" w:hAnsi="Times New Roman" w:eastAsia="Times New Roman"/>
                <w:color w:val="000000"/>
                <w:sz w:val="24"/>
                <w:szCs w:val="24"/>
                <w:vertAlign w:val="subscript"/>
                <w:lang w:val="zh-CN"/>
              </w:rPr>
              <w:t>v1</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18"/>
                <w:szCs w:val="24"/>
                <w:lang w:val="zh-CN"/>
              </w:rPr>
              <w:t>(N/mm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346</w:t>
            </w:r>
          </w:p>
        </w:tc>
      </w:tr>
    </w:tbl>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参考GB50017-2017，对销轴进行如下验算：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由附墙杆内力计算章节可知，作用于销轴截面的最大剪力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F=max{N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}=259.679kN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（1）销轴承压强度</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c</w:t>
      </w:r>
      <w:r>
        <w:rPr>
          <w:rFonts w:hint="eastAsia" w:ascii="Times New Roman" w:hAnsi="Times New Roman" w:eastAsia="Times New Roman"/>
          <w:color w:val="000000"/>
          <w:sz w:val="24"/>
          <w:szCs w:val="24"/>
          <w:lang w:val="zh-CN"/>
        </w:rPr>
        <w:t>=F/(d</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t)=259.679×10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/(60×20)=216.399N/mm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≤305N/mm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销轴承压强度满足要求！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（2）销轴抗剪强度</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τ</w:t>
      </w:r>
      <w:r>
        <w:rPr>
          <w:rFonts w:hint="eastAsia" w:ascii="Times New Roman" w:hAnsi="Times New Roman" w:eastAsia="Times New Roman"/>
          <w:color w:val="000000"/>
          <w:sz w:val="24"/>
          <w:szCs w:val="24"/>
          <w:vertAlign w:val="subscript"/>
          <w:lang w:val="zh-CN"/>
        </w:rPr>
        <w:t>b</w:t>
      </w:r>
      <w:r>
        <w:rPr>
          <w:rFonts w:hint="eastAsia" w:ascii="Times New Roman" w:hAnsi="Times New Roman" w:eastAsia="Times New Roman"/>
          <w:color w:val="000000"/>
          <w:sz w:val="24"/>
          <w:szCs w:val="24"/>
          <w:lang w:val="zh-CN"/>
        </w:rPr>
        <w:t>=F/(n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πd</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/4)=259.679×10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/(2×3.142×60</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/4)=45.921N/mm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v1</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=346N/mm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销轴抗剪强度满足要求！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5、连接钢板焊缝计算</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4710"/>
        <w:gridCol w:w="47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连接钢板角焊缝焊脚尺寸h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连接钢板角焊缝强度设计值f</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vertAlign w:val="superscript"/>
                <w:lang w:val="zh-CN"/>
              </w:rPr>
              <w:t>w</w:t>
            </w:r>
            <w:r>
              <w:rPr>
                <w:rFonts w:hint="eastAsia" w:ascii="Times New Roman" w:hAnsi="Times New Roman" w:eastAsia="Times New Roman"/>
                <w:color w:val="000000"/>
                <w:sz w:val="18"/>
                <w:szCs w:val="24"/>
                <w:lang w:val="zh-CN"/>
              </w:rPr>
              <w:t>(N/mm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连接板耳板排数</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双吊耳板底部宽度l</w:t>
            </w:r>
            <w:r>
              <w:rPr>
                <w:rFonts w:hint="eastAsia" w:ascii="Times New Roman" w:hAnsi="Times New Roman" w:eastAsia="Times New Roman"/>
                <w:color w:val="000000"/>
                <w:sz w:val="24"/>
                <w:szCs w:val="24"/>
                <w:vertAlign w:val="subscript"/>
                <w:lang w:val="zh-CN"/>
              </w:rPr>
              <w:t>c1</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400</w:t>
            </w:r>
          </w:p>
        </w:tc>
      </w:tr>
    </w:tbl>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（1）双吊耳板位置焊缝验算：</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附着杆1、附着杆2连接的双吊耳板：</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连接钢板吊耳板排数为2，则：</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计算连接钢板与吊耳板连接位置焊缝应力为：</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N</w:t>
      </w:r>
      <w:r>
        <w:rPr>
          <w:rFonts w:hint="eastAsia" w:ascii="Times New Roman" w:hAnsi="Times New Roman" w:eastAsia="Times New Roman"/>
          <w:color w:val="000000"/>
          <w:sz w:val="24"/>
          <w:szCs w:val="24"/>
          <w:lang w:val="zh-CN"/>
        </w:rPr>
        <w:t>=(|F|/2)/[2×0.7h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c1</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)]=(|121.708|×10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/2)/[2×0.7×8×(400-2×8)]=14.149N/mm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τ</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=(|V|/2)/[2×0.7h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c1</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)]=(|23.203|×10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/2)/[2×0.7×8×(400-2×8)]=2.698N/mm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M</w:t>
      </w:r>
      <w:r>
        <w:rPr>
          <w:rFonts w:hint="eastAsia" w:ascii="Times New Roman" w:hAnsi="Times New Roman" w:eastAsia="Times New Roman"/>
          <w:color w:val="000000"/>
          <w:sz w:val="24"/>
          <w:szCs w:val="24"/>
          <w:lang w:val="zh-CN"/>
        </w:rPr>
        <w:t>=M/W=(M/2)/[2×0.7h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c1</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/6]=(31.195×10</w:t>
      </w:r>
      <w:r>
        <w:rPr>
          <w:rFonts w:hint="eastAsia" w:ascii="Times New Roman" w:hAnsi="Times New Roman" w:eastAsia="Times New Roman"/>
          <w:color w:val="000000"/>
          <w:sz w:val="24"/>
          <w:szCs w:val="24"/>
          <w:vertAlign w:val="superscript"/>
          <w:lang w:val="zh-CN"/>
        </w:rPr>
        <w:t>6</w:t>
      </w:r>
      <w:r>
        <w:rPr>
          <w:rFonts w:hint="eastAsia" w:ascii="Times New Roman" w:hAnsi="Times New Roman" w:eastAsia="Times New Roman"/>
          <w:color w:val="000000"/>
          <w:sz w:val="24"/>
          <w:szCs w:val="24"/>
          <w:lang w:val="zh-CN"/>
        </w:rPr>
        <w:t>/2)/[2×0.7×8×(400-2×8)</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/6]=56.666N/mm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N</w:t>
      </w:r>
      <w:r>
        <w:rPr>
          <w:rFonts w:hint="eastAsia" w:ascii="Times New Roman" w:hAnsi="Times New Roman" w:eastAsia="Times New Roman"/>
          <w:color w:val="000000"/>
          <w:sz w:val="24"/>
          <w:szCs w:val="24"/>
          <w:lang w:val="zh-CN"/>
        </w:rPr>
        <w:t>+σ</w:t>
      </w:r>
      <w:r>
        <w:rPr>
          <w:rFonts w:hint="eastAsia" w:ascii="Times New Roman" w:hAnsi="Times New Roman" w:eastAsia="Times New Roman"/>
          <w:color w:val="000000"/>
          <w:sz w:val="24"/>
          <w:szCs w:val="24"/>
          <w:vertAlign w:val="subscript"/>
          <w:lang w:val="zh-CN"/>
        </w:rPr>
        <w:t>M</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+τ</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=[((14.149+56.666)/1.22)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+2.698</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=58.108N/mm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vertAlign w:val="superscript"/>
          <w:lang w:val="zh-CN"/>
        </w:rPr>
        <w:t>w</w:t>
      </w:r>
      <w:r>
        <w:rPr>
          <w:rFonts w:hint="eastAsia" w:ascii="Times New Roman" w:hAnsi="Times New Roman" w:eastAsia="Times New Roman"/>
          <w:color w:val="000000"/>
          <w:sz w:val="24"/>
          <w:szCs w:val="24"/>
          <w:lang w:val="zh-CN"/>
        </w:rPr>
        <w:t>=160N/mm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附着杆1、附着杆2连接的双吊耳板：连接钢板焊缝强度满足要求！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附着杆3、附着杆4连接的双吊耳板：</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连接钢板吊耳板排数为2，则：</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计算连接钢板与吊耳板连接位置焊缝应力为：</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N</w:t>
      </w:r>
      <w:r>
        <w:rPr>
          <w:rFonts w:hint="eastAsia" w:ascii="Times New Roman" w:hAnsi="Times New Roman" w:eastAsia="Times New Roman"/>
          <w:color w:val="000000"/>
          <w:sz w:val="24"/>
          <w:szCs w:val="24"/>
          <w:lang w:val="zh-CN"/>
        </w:rPr>
        <w:t>=(|F|/2)/[2×0.7h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c1</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)]=(|408.302|×10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/2)/[2×0.7×8×(400-2×8)]=47.468N/mm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τ</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=(|V|/2)/[2×0.7h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c1</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)]=(|68.752|×10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/2)/[2×0.7×8×(400-2×8)]=7.993N/mm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M</w:t>
      </w:r>
      <w:r>
        <w:rPr>
          <w:rFonts w:hint="eastAsia" w:ascii="Times New Roman" w:hAnsi="Times New Roman" w:eastAsia="Times New Roman"/>
          <w:color w:val="000000"/>
          <w:sz w:val="24"/>
          <w:szCs w:val="24"/>
          <w:lang w:val="zh-CN"/>
        </w:rPr>
        <w:t>=M/W=(M/2)/[2×0.7h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c1</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/6]=(0.687×10</w:t>
      </w:r>
      <w:r>
        <w:rPr>
          <w:rFonts w:hint="eastAsia" w:ascii="Times New Roman" w:hAnsi="Times New Roman" w:eastAsia="Times New Roman"/>
          <w:color w:val="000000"/>
          <w:sz w:val="24"/>
          <w:szCs w:val="24"/>
          <w:vertAlign w:val="superscript"/>
          <w:lang w:val="zh-CN"/>
        </w:rPr>
        <w:t>6</w:t>
      </w:r>
      <w:r>
        <w:rPr>
          <w:rFonts w:hint="eastAsia" w:ascii="Times New Roman" w:hAnsi="Times New Roman" w:eastAsia="Times New Roman"/>
          <w:color w:val="000000"/>
          <w:sz w:val="24"/>
          <w:szCs w:val="24"/>
          <w:lang w:val="zh-CN"/>
        </w:rPr>
        <w:t>/2)/[2×0.7×8×(400-2×8)</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/6]=1.248N/mm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N</w:t>
      </w:r>
      <w:r>
        <w:rPr>
          <w:rFonts w:hint="eastAsia" w:ascii="Times New Roman" w:hAnsi="Times New Roman" w:eastAsia="Times New Roman"/>
          <w:color w:val="000000"/>
          <w:sz w:val="24"/>
          <w:szCs w:val="24"/>
          <w:lang w:val="zh-CN"/>
        </w:rPr>
        <w:t>+σ</w:t>
      </w:r>
      <w:r>
        <w:rPr>
          <w:rFonts w:hint="eastAsia" w:ascii="Times New Roman" w:hAnsi="Times New Roman" w:eastAsia="Times New Roman"/>
          <w:color w:val="000000"/>
          <w:sz w:val="24"/>
          <w:szCs w:val="24"/>
          <w:vertAlign w:val="subscript"/>
          <w:lang w:val="zh-CN"/>
        </w:rPr>
        <w:t>M</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+τ</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=[((47.468+1.248)/1.22)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+7.993</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=40.723N/mm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vertAlign w:val="superscript"/>
          <w:lang w:val="zh-CN"/>
        </w:rPr>
        <w:t>w</w:t>
      </w:r>
      <w:r>
        <w:rPr>
          <w:rFonts w:hint="eastAsia" w:ascii="Times New Roman" w:hAnsi="Times New Roman" w:eastAsia="Times New Roman"/>
          <w:color w:val="000000"/>
          <w:sz w:val="24"/>
          <w:szCs w:val="24"/>
          <w:lang w:val="zh-CN"/>
        </w:rPr>
        <w:t>=160N/mm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附着杆3、附着杆4连接的双吊耳板：连接钢板焊缝强度满足要求！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附图如下：</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6096000" cy="3886200"/>
            <wp:effectExtent l="0" t="0" r="0" b="0"/>
            <wp:docPr id="10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3"/>
                    <pic:cNvPicPr>
                      <a:picLocks noChangeAspect="1"/>
                    </pic:cNvPicPr>
                  </pic:nvPicPr>
                  <pic:blipFill>
                    <a:blip r:embed="rId123"/>
                    <a:stretch>
                      <a:fillRect/>
                    </a:stretch>
                  </pic:blipFill>
                  <pic:spPr>
                    <a:xfrm>
                      <a:off x="0" y="0"/>
                      <a:ext cx="6096000" cy="38862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fldChar w:fldCharType="begin"/>
      </w:r>
      <w:r>
        <w:rPr>
          <w:rFonts w:hint="eastAsia" w:ascii="Times New Roman" w:hAnsi="Times New Roman" w:eastAsia="Times New Roman"/>
          <w:color w:val="000000"/>
          <w:sz w:val="24"/>
          <w:szCs w:val="24"/>
          <w:lang w:val="zh-CN"/>
        </w:rPr>
        <w:instrText xml:space="preserve">HYPERLINK "D:\\品茗建筑云安全计算软件V1.4.2\\OutPut\\塔机附着节点详图-双吊耳板.dwg"</w:instrText>
      </w:r>
      <w:r>
        <w:rPr>
          <w:rFonts w:hint="eastAsia" w:ascii="Times New Roman" w:hAnsi="Times New Roman" w:eastAsia="Times New Roman"/>
          <w:color w:val="000000"/>
          <w:sz w:val="24"/>
          <w:szCs w:val="24"/>
          <w:lang w:val="zh-CN"/>
        </w:rPr>
        <w:fldChar w:fldCharType="separate"/>
      </w:r>
      <w:r>
        <w:rPr>
          <w:rFonts w:hint="eastAsia" w:ascii="Times New Roman" w:hAnsi="Times New Roman" w:eastAsia="Times New Roman"/>
          <w:color w:val="000080"/>
          <w:sz w:val="24"/>
          <w:szCs w:val="24"/>
          <w:u w:val="single"/>
          <w:lang w:val="zh-CN"/>
        </w:rPr>
        <w:t>塔机附着节点详图-双吊耳板</w:t>
      </w:r>
      <w:r>
        <w:rPr>
          <w:rFonts w:hint="eastAsia" w:ascii="Times New Roman" w:hAnsi="Times New Roman" w:eastAsia="Times New Roman"/>
          <w:color w:val="000080"/>
          <w:sz w:val="24"/>
          <w:szCs w:val="24"/>
          <w:u w:val="single"/>
          <w:lang w:val="zh-CN"/>
        </w:rPr>
        <w:fldChar w:fldCharType="end"/>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5362575" cy="4572000"/>
            <wp:effectExtent l="0" t="0" r="1905" b="0"/>
            <wp:docPr id="10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4"/>
                    <pic:cNvPicPr>
                      <a:picLocks noChangeAspect="1"/>
                    </pic:cNvPicPr>
                  </pic:nvPicPr>
                  <pic:blipFill>
                    <a:blip r:embed="rId124"/>
                    <a:stretch>
                      <a:fillRect/>
                    </a:stretch>
                  </pic:blipFill>
                  <pic:spPr>
                    <a:xfrm>
                      <a:off x="0" y="0"/>
                      <a:ext cx="5362575" cy="4572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fldChar w:fldCharType="begin"/>
      </w:r>
      <w:r>
        <w:rPr>
          <w:rFonts w:hint="eastAsia" w:ascii="Times New Roman" w:hAnsi="Times New Roman" w:eastAsia="Times New Roman"/>
          <w:color w:val="000000"/>
          <w:sz w:val="24"/>
          <w:szCs w:val="24"/>
          <w:lang w:val="zh-CN"/>
        </w:rPr>
        <w:instrText xml:space="preserve">HYPERLINK "D:\\品茗建筑云安全计算软件V1.4.2\\OutPut\\塔机附着节点剖面图-双吊耳板.dwg"</w:instrText>
      </w:r>
      <w:r>
        <w:rPr>
          <w:rFonts w:hint="eastAsia" w:ascii="Times New Roman" w:hAnsi="Times New Roman" w:eastAsia="Times New Roman"/>
          <w:color w:val="000000"/>
          <w:sz w:val="24"/>
          <w:szCs w:val="24"/>
          <w:lang w:val="zh-CN"/>
        </w:rPr>
        <w:fldChar w:fldCharType="separate"/>
      </w:r>
      <w:r>
        <w:rPr>
          <w:rFonts w:hint="eastAsia" w:ascii="Times New Roman" w:hAnsi="Times New Roman" w:eastAsia="Times New Roman"/>
          <w:color w:val="000080"/>
          <w:sz w:val="24"/>
          <w:szCs w:val="24"/>
          <w:u w:val="single"/>
          <w:lang w:val="zh-CN"/>
        </w:rPr>
        <w:t>塔机附着节点剖面图-双吊耳板</w:t>
      </w:r>
      <w:r>
        <w:rPr>
          <w:rFonts w:hint="eastAsia" w:ascii="Times New Roman" w:hAnsi="Times New Roman" w:eastAsia="Times New Roman"/>
          <w:color w:val="000080"/>
          <w:sz w:val="24"/>
          <w:szCs w:val="24"/>
          <w:u w:val="single"/>
          <w:lang w:val="zh-CN"/>
        </w:rPr>
        <w:fldChar w:fldCharType="end"/>
      </w:r>
    </w:p>
    <w:p>
      <w:pPr>
        <w:rPr>
          <w:rFonts w:hint="eastAsia"/>
          <w:lang w:val="en-US" w:eastAsia="zh-CN"/>
        </w:rPr>
      </w:pPr>
      <w:r>
        <w:rPr>
          <w:rFonts w:hint="eastAsia"/>
          <w:lang w:val="en-US" w:eastAsia="zh-CN"/>
        </w:rPr>
        <w:br w:type="page"/>
      </w:r>
    </w:p>
    <w:p>
      <w:pPr>
        <w:pStyle w:val="4"/>
        <w:bidi w:val="0"/>
        <w:rPr>
          <w:rFonts w:hint="eastAsia"/>
          <w:lang w:val="zh-CN"/>
        </w:rPr>
      </w:pPr>
      <w:r>
        <w:rPr>
          <w:rFonts w:hint="eastAsia"/>
          <w:lang w:val="en-US" w:eastAsia="zh-CN"/>
        </w:rPr>
        <w:t>左10</w:t>
      </w:r>
      <w:r>
        <w:rPr>
          <w:rFonts w:hint="eastAsia"/>
          <w:lang w:val="zh-CN"/>
        </w:rPr>
        <w:t>#墩塔机附着验算计算书</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计算依据：</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1、《塔式起重机混凝土基础工程技术标准》JGJ/T187-2019</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2、《钢结构设计标准》GB50017-2017</w:t>
      </w:r>
    </w:p>
    <w:p>
      <w:pPr>
        <w:spacing w:before="0" w:beforeLines="0" w:after="0" w:afterLines="0" w:line="360" w:lineRule="auto"/>
        <w:rPr>
          <w:rFonts w:hint="eastAsia" w:ascii="Times New Roman" w:hAnsi="Times New Roman" w:eastAsia="Times New Roman"/>
          <w:b/>
          <w:color w:val="000000"/>
          <w:sz w:val="28"/>
          <w:szCs w:val="24"/>
          <w:lang w:val="zh-CN"/>
        </w:rPr>
      </w:pPr>
      <w:r>
        <w:rPr>
          <w:rFonts w:hint="eastAsia" w:ascii="Times New Roman" w:hAnsi="Times New Roman" w:eastAsia="Times New Roman"/>
          <w:b/>
          <w:color w:val="000000"/>
          <w:sz w:val="28"/>
          <w:szCs w:val="24"/>
          <w:lang w:val="zh-CN"/>
        </w:rPr>
        <w:t xml:space="preserve"> 一、塔机附着杆参数</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3090"/>
        <w:gridCol w:w="1620"/>
        <w:gridCol w:w="3090"/>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塔机型号</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XGT6515-10S</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塔身桁架结构类型</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角钢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塔机计算高度H(m)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58.65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塔身宽度B(m)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起重臂长度l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57</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平衡臂长度l</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起重臂与平衡臂截面计算高度h(m)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1.06</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工作状态时扭矩标准值T</w:t>
            </w:r>
            <w:r>
              <w:rPr>
                <w:rFonts w:hint="eastAsia" w:ascii="Times New Roman" w:hAnsi="Times New Roman" w:eastAsia="Times New Roman"/>
                <w:color w:val="000000"/>
                <w:sz w:val="24"/>
                <w:szCs w:val="24"/>
                <w:vertAlign w:val="subscript"/>
                <w:lang w:val="zh-CN"/>
              </w:rPr>
              <w:t>k1</w:t>
            </w:r>
            <w:r>
              <w:rPr>
                <w:rFonts w:hint="eastAsia" w:ascii="Times New Roman" w:hAnsi="Times New Roman" w:eastAsia="Times New Roman"/>
                <w:color w:val="000000"/>
                <w:sz w:val="18"/>
                <w:szCs w:val="24"/>
                <w:lang w:val="zh-CN"/>
              </w:rPr>
              <w:t>(包含风荷载扭矩)(kN·m)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422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工作状态下不平衡自重引起的倾覆力矩标准值M</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18"/>
                <w:szCs w:val="24"/>
                <w:lang w:val="zh-CN"/>
              </w:rPr>
              <w:t>(kN·m)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1626.5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非工作状态下不平衡自重引起的倾覆力矩标准值M</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18"/>
                <w:szCs w:val="24"/>
                <w:lang w:val="zh-CN"/>
              </w:rPr>
              <w:t>'(kN*m)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2097.9(反向)</w:t>
            </w:r>
          </w:p>
        </w:tc>
      </w:tr>
    </w:tbl>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3090"/>
        <w:gridCol w:w="1620"/>
        <w:gridCol w:w="3090"/>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附着杆数</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四杆附着</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附墙杆类型</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Ⅶ类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附墙杆截面类型</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方钢管</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塔身锚固环边长C(m)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2.4</w:t>
            </w:r>
          </w:p>
        </w:tc>
      </w:tr>
    </w:tbl>
    <w:p>
      <w:pPr>
        <w:spacing w:before="0" w:beforeLines="0" w:after="0" w:afterLines="0" w:line="360" w:lineRule="auto"/>
        <w:rPr>
          <w:rFonts w:hint="eastAsia" w:ascii="Times New Roman" w:hAnsi="Times New Roman" w:eastAsia="Times New Roman"/>
          <w:b/>
          <w:color w:val="000000"/>
          <w:sz w:val="28"/>
          <w:szCs w:val="24"/>
          <w:lang w:val="zh-CN"/>
        </w:rPr>
      </w:pPr>
      <w:r>
        <w:rPr>
          <w:rFonts w:hint="eastAsia" w:ascii="Times New Roman" w:hAnsi="Times New Roman" w:eastAsia="Times New Roman"/>
          <w:b/>
          <w:color w:val="000000"/>
          <w:sz w:val="28"/>
          <w:szCs w:val="24"/>
          <w:lang w:val="zh-CN"/>
        </w:rPr>
        <w:t xml:space="preserve"> 二、风荷载及附着参数</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3090"/>
        <w:gridCol w:w="1620"/>
        <w:gridCol w:w="3090"/>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附着次数N</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附着点1到塔机的横向距离a</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0.14</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点1到塔机的竖向距离b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附着点2到塔机的横向距离a</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1.89</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点2到塔机的竖向距离b</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附着点3到塔机的横向距离a</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2.63</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点3到塔机的竖向距离b</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附着点4到塔机的横向距离a</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3.19</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点4到塔机的竖向距离b</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5.24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工作状态基本风压ω</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18"/>
                <w:szCs w:val="24"/>
                <w:lang w:val="zh-CN"/>
              </w:rPr>
              <w:t>(kN/m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0.2</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非工作状态基本风压ω</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18"/>
                <w:szCs w:val="24"/>
                <w:lang w:val="zh-CN"/>
              </w:rPr>
              <w:t>'(kN/m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塔身前后片桁架的平均充实率α</w:t>
            </w:r>
            <w:r>
              <w:rPr>
                <w:rFonts w:hint="eastAsia" w:ascii="Times New Roman" w:hAnsi="Times New Roman" w:eastAsia="Times New Roman"/>
                <w:color w:val="000000"/>
                <w:sz w:val="24"/>
                <w:szCs w:val="24"/>
                <w:vertAlign w:val="subscript"/>
                <w:lang w:val="zh-CN"/>
              </w:rPr>
              <w:t>0</w:t>
            </w:r>
          </w:p>
        </w:tc>
        <w:tc>
          <w:tcPr>
            <w:tcW w:w="0" w:type="auto"/>
            <w:gridSpan w:val="3"/>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0.35</w:t>
            </w:r>
          </w:p>
        </w:tc>
      </w:tr>
    </w:tbl>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w:t>
      </w:r>
    </w:p>
    <w:tbl>
      <w:tblPr>
        <w:tblStyle w:val="40"/>
        <w:tblW w:w="1006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990"/>
        <w:gridCol w:w="1020"/>
        <w:gridCol w:w="990"/>
        <w:gridCol w:w="1020"/>
        <w:gridCol w:w="990"/>
        <w:gridCol w:w="1020"/>
        <w:gridCol w:w="990"/>
        <w:gridCol w:w="1020"/>
        <w:gridCol w:w="990"/>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第N次附着</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附着点高度h</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附着点净高h</w:t>
            </w:r>
            <w:r>
              <w:rPr>
                <w:rFonts w:hint="eastAsia" w:ascii="Times New Roman" w:hAnsi="Times New Roman" w:eastAsia="Times New Roman"/>
                <w:color w:val="000000"/>
                <w:sz w:val="24"/>
                <w:szCs w:val="24"/>
                <w:vertAlign w:val="subscript"/>
                <w:lang w:val="zh-CN"/>
              </w:rPr>
              <w:t>01</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风压等效高度变化系数μ</w:t>
            </w:r>
            <w:r>
              <w:rPr>
                <w:rFonts w:hint="eastAsia" w:ascii="Times New Roman" w:hAnsi="Times New Roman" w:eastAsia="Times New Roman"/>
                <w:color w:val="000000"/>
                <w:sz w:val="24"/>
                <w:szCs w:val="24"/>
                <w:vertAlign w:val="subscript"/>
                <w:lang w:val="zh-CN"/>
              </w:rPr>
              <w:t>z</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工作状态风荷载体型系数μ</w:t>
            </w:r>
            <w:r>
              <w:rPr>
                <w:rFonts w:hint="eastAsia" w:ascii="Times New Roman" w:hAnsi="Times New Roman" w:eastAsia="Times New Roman"/>
                <w:color w:val="000000"/>
                <w:sz w:val="24"/>
                <w:szCs w:val="24"/>
                <w:vertAlign w:val="subscript"/>
                <w:lang w:val="zh-CN"/>
              </w:rPr>
              <w:t>s</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非工作状态风荷载体型系数μ</w:t>
            </w:r>
            <w:r>
              <w:rPr>
                <w:rFonts w:hint="eastAsia" w:ascii="Times New Roman" w:hAnsi="Times New Roman" w:eastAsia="Times New Roman"/>
                <w:color w:val="000000"/>
                <w:sz w:val="24"/>
                <w:szCs w:val="24"/>
                <w:vertAlign w:val="subscript"/>
                <w:lang w:val="zh-CN"/>
              </w:rPr>
              <w:t>s</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工作状态风振系数β</w:t>
            </w:r>
            <w:r>
              <w:rPr>
                <w:rFonts w:hint="eastAsia" w:ascii="Times New Roman" w:hAnsi="Times New Roman" w:eastAsia="Times New Roman"/>
                <w:color w:val="000000"/>
                <w:sz w:val="24"/>
                <w:szCs w:val="24"/>
                <w:vertAlign w:val="subscript"/>
                <w:lang w:val="zh-CN"/>
              </w:rPr>
              <w:t>z</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非工作状态风振系数β</w:t>
            </w:r>
            <w:r>
              <w:rPr>
                <w:rFonts w:hint="eastAsia" w:ascii="Times New Roman" w:hAnsi="Times New Roman" w:eastAsia="Times New Roman"/>
                <w:color w:val="000000"/>
                <w:sz w:val="24"/>
                <w:szCs w:val="24"/>
                <w:vertAlign w:val="subscript"/>
                <w:lang w:val="zh-CN"/>
              </w:rPr>
              <w:t>z</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工作状态风压等效均布线荷载标准值q</w:t>
            </w:r>
            <w:r>
              <w:rPr>
                <w:rFonts w:hint="eastAsia" w:ascii="Times New Roman" w:hAnsi="Times New Roman" w:eastAsia="Times New Roman"/>
                <w:color w:val="000000"/>
                <w:sz w:val="24"/>
                <w:szCs w:val="24"/>
                <w:vertAlign w:val="subscript"/>
                <w:lang w:val="zh-CN"/>
              </w:rPr>
              <w:t>sk</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非工作状态风压等效均布线荷载标准值q</w:t>
            </w:r>
            <w:r>
              <w:rPr>
                <w:rFonts w:hint="eastAsia" w:ascii="Times New Roman" w:hAnsi="Times New Roman" w:eastAsia="Times New Roman"/>
                <w:color w:val="000000"/>
                <w:sz w:val="24"/>
                <w:szCs w:val="24"/>
                <w:vertAlign w:val="subscript"/>
                <w:lang w:val="zh-CN"/>
              </w:rPr>
              <w:t>sk</w:t>
            </w:r>
            <w:r>
              <w:rPr>
                <w:rFonts w:hint="eastAsia" w:ascii="Times New Roman" w:hAnsi="Times New Roman" w:eastAsia="Times New Roman"/>
                <w:color w:val="000000"/>
                <w:sz w:val="18"/>
                <w:szCs w:val="24"/>
                <w:lang w:val="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第1次附着</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30.2</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30.2</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0.766</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1.95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1.95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1.79</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1.945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0.359</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1.952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悬臂端</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58.65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28.45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0.954</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1.95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1.95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1.749</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1.907</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0.437</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2.384</w:t>
            </w:r>
          </w:p>
        </w:tc>
      </w:tr>
    </w:tbl>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附图如下:</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3105150" cy="4572000"/>
            <wp:effectExtent l="0" t="0" r="3810" b="0"/>
            <wp:docPr id="11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5"/>
                    <pic:cNvPicPr>
                      <a:picLocks noChangeAspect="1"/>
                    </pic:cNvPicPr>
                  </pic:nvPicPr>
                  <pic:blipFill>
                    <a:blip r:embed="rId113"/>
                    <a:stretch>
                      <a:fillRect/>
                    </a:stretch>
                  </pic:blipFill>
                  <pic:spPr>
                    <a:xfrm>
                      <a:off x="0" y="0"/>
                      <a:ext cx="3105150" cy="4572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fldChar w:fldCharType="begin"/>
      </w:r>
      <w:r>
        <w:rPr>
          <w:rFonts w:hint="eastAsia" w:ascii="Times New Roman" w:hAnsi="Times New Roman" w:eastAsia="Times New Roman"/>
          <w:color w:val="000000"/>
          <w:sz w:val="24"/>
          <w:szCs w:val="24"/>
          <w:lang w:val="zh-CN"/>
        </w:rPr>
        <w:instrText xml:space="preserve">HYPERLINK "D:\\品茗建筑云安全计算软件V1.4.2\\OutPut\\塔机附着立面图.dwg"</w:instrText>
      </w:r>
      <w:r>
        <w:rPr>
          <w:rFonts w:hint="eastAsia" w:ascii="Times New Roman" w:hAnsi="Times New Roman" w:eastAsia="Times New Roman"/>
          <w:color w:val="000000"/>
          <w:sz w:val="24"/>
          <w:szCs w:val="24"/>
          <w:lang w:val="zh-CN"/>
        </w:rPr>
        <w:fldChar w:fldCharType="separate"/>
      </w:r>
      <w:r>
        <w:rPr>
          <w:rFonts w:hint="eastAsia" w:ascii="Times New Roman" w:hAnsi="Times New Roman" w:eastAsia="Times New Roman"/>
          <w:color w:val="000080"/>
          <w:sz w:val="24"/>
          <w:szCs w:val="24"/>
          <w:u w:val="single"/>
          <w:lang w:val="zh-CN"/>
        </w:rPr>
        <w:t>塔机附着立面图</w:t>
      </w:r>
      <w:r>
        <w:rPr>
          <w:rFonts w:hint="eastAsia" w:ascii="Times New Roman" w:hAnsi="Times New Roman" w:eastAsia="Times New Roman"/>
          <w:color w:val="000080"/>
          <w:sz w:val="24"/>
          <w:szCs w:val="24"/>
          <w:u w:val="single"/>
          <w:lang w:val="zh-CN"/>
        </w:rPr>
        <w:fldChar w:fldCharType="end"/>
      </w:r>
    </w:p>
    <w:p>
      <w:pPr>
        <w:spacing w:before="0" w:beforeLines="0" w:after="0" w:afterLines="0" w:line="360" w:lineRule="auto"/>
        <w:rPr>
          <w:rFonts w:hint="eastAsia" w:ascii="Times New Roman" w:hAnsi="Times New Roman" w:eastAsia="Times New Roman"/>
          <w:b/>
          <w:color w:val="000000"/>
          <w:sz w:val="28"/>
          <w:szCs w:val="24"/>
          <w:lang w:val="zh-CN"/>
        </w:rPr>
      </w:pPr>
      <w:r>
        <w:rPr>
          <w:rFonts w:hint="eastAsia" w:ascii="Times New Roman" w:hAnsi="Times New Roman" w:eastAsia="Times New Roman"/>
          <w:b/>
          <w:color w:val="000000"/>
          <w:sz w:val="28"/>
          <w:szCs w:val="24"/>
          <w:lang w:val="zh-CN"/>
        </w:rPr>
        <w:t xml:space="preserve"> 三、工作状态下附墙杆内力计算</w:t>
      </w:r>
    </w:p>
    <w:p>
      <w:pPr>
        <w:spacing w:before="0" w:beforeLines="0" w:after="0" w:afterLines="0" w:line="360" w:lineRule="auto"/>
        <w:rPr>
          <w:rFonts w:hint="eastAsia" w:ascii="Times New Roman" w:hAnsi="Times New Roman" w:eastAsia="Times New Roman"/>
          <w:color w:val="000000"/>
          <w:sz w:val="24"/>
          <w:szCs w:val="24"/>
          <w:vertAlign w:val="subscript"/>
          <w:lang w:val="zh-CN"/>
        </w:rPr>
      </w:pPr>
      <w:r>
        <w:rPr>
          <w:rFonts w:hint="eastAsia" w:ascii="Times New Roman" w:hAnsi="Times New Roman" w:eastAsia="Times New Roman"/>
          <w:b/>
          <w:color w:val="000000"/>
          <w:sz w:val="24"/>
          <w:szCs w:val="24"/>
          <w:lang w:val="zh-CN"/>
        </w:rPr>
        <w:t xml:space="preserve">  1、扭矩组合标准值T</w:t>
      </w:r>
      <w:r>
        <w:rPr>
          <w:rFonts w:hint="eastAsia" w:ascii="Times New Roman" w:hAnsi="Times New Roman" w:eastAsia="Times New Roman"/>
          <w:color w:val="000000"/>
          <w:sz w:val="24"/>
          <w:szCs w:val="24"/>
          <w:vertAlign w:val="subscript"/>
          <w:lang w:val="zh-CN"/>
        </w:rPr>
        <w:t>k</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回转惯性力及风荷载产出的扭矩标准值：</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k1</w:t>
      </w:r>
      <w:r>
        <w:rPr>
          <w:rFonts w:hint="eastAsia" w:ascii="Times New Roman" w:hAnsi="Times New Roman" w:eastAsia="Times New Roman"/>
          <w:color w:val="000000"/>
          <w:sz w:val="24"/>
          <w:szCs w:val="24"/>
          <w:lang w:val="zh-CN"/>
        </w:rPr>
        <w:t>=422kN·m</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2、附着支座反力计算</w:t>
      </w:r>
    </w:p>
    <w:p>
      <w:pPr>
        <w:spacing w:before="0" w:beforeLines="0" w:after="0" w:afterLines="0" w:line="360" w:lineRule="auto"/>
        <w:jc w:val="center"/>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drawing>
          <wp:inline distT="0" distB="0" distL="114300" distR="114300">
            <wp:extent cx="5715000" cy="1905000"/>
            <wp:effectExtent l="0" t="0" r="0" b="0"/>
            <wp:docPr id="11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6"/>
                    <pic:cNvPicPr>
                      <a:picLocks noChangeAspect="1"/>
                    </pic:cNvPicPr>
                  </pic:nvPicPr>
                  <pic:blipFill>
                    <a:blip r:embed="rId133"/>
                    <a:stretch>
                      <a:fillRect/>
                    </a:stretch>
                  </pic:blipFill>
                  <pic:spPr>
                    <a:xfrm>
                      <a:off x="0" y="0"/>
                      <a:ext cx="5715000" cy="1905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计算简图</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5715000" cy="1905000"/>
            <wp:effectExtent l="0" t="0" r="0" b="0"/>
            <wp:docPr id="11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7"/>
                    <pic:cNvPicPr>
                      <a:picLocks noChangeAspect="1"/>
                    </pic:cNvPicPr>
                  </pic:nvPicPr>
                  <pic:blipFill>
                    <a:blip r:embed="rId134"/>
                    <a:stretch>
                      <a:fillRect/>
                    </a:stretch>
                  </pic:blipFill>
                  <pic:spPr>
                    <a:xfrm>
                      <a:off x="0" y="0"/>
                      <a:ext cx="5715000" cy="1905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剪力图</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得：R</w:t>
      </w:r>
      <w:r>
        <w:rPr>
          <w:rFonts w:hint="eastAsia" w:ascii="Times New Roman" w:hAnsi="Times New Roman" w:eastAsia="Times New Roman"/>
          <w:color w:val="000000"/>
          <w:sz w:val="24"/>
          <w:szCs w:val="24"/>
          <w:vertAlign w:val="subscript"/>
          <w:lang w:val="zh-CN"/>
        </w:rPr>
        <w:t>E</w:t>
      </w:r>
      <w:r>
        <w:rPr>
          <w:rFonts w:hint="eastAsia" w:ascii="Times New Roman" w:hAnsi="Times New Roman" w:eastAsia="Times New Roman"/>
          <w:color w:val="000000"/>
          <w:sz w:val="24"/>
          <w:szCs w:val="24"/>
          <w:lang w:val="zh-CN"/>
        </w:rPr>
        <w:t>=104.45kN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在工作状态下，塔机起重臂位置的不确定性以及风向的随机性，在计算支座2处锚固环截面内力时需考虑塔身承受双向的风荷载和倾覆力矩及扭矩。</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3、附墙杆内力计算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支座2处锚固环的截面扭矩T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（考虑塔机产生的扭矩由支座2处的附墙杆承担）,水平内力N</w:t>
      </w:r>
      <w:r>
        <w:rPr>
          <w:rFonts w:hint="eastAsia" w:ascii="Times New Roman" w:hAnsi="Times New Roman" w:eastAsia="Times New Roman"/>
          <w:color w:val="000000"/>
          <w:sz w:val="24"/>
          <w:szCs w:val="24"/>
          <w:vertAlign w:val="subscript"/>
          <w:lang w:val="zh-CN"/>
        </w:rPr>
        <w:t>w</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R</w:t>
      </w:r>
      <w:r>
        <w:rPr>
          <w:rFonts w:hint="eastAsia" w:ascii="Times New Roman" w:hAnsi="Times New Roman" w:eastAsia="Times New Roman"/>
          <w:color w:val="000000"/>
          <w:sz w:val="24"/>
          <w:szCs w:val="24"/>
          <w:vertAlign w:val="subscript"/>
          <w:lang w:val="zh-CN"/>
        </w:rPr>
        <w:t>E</w:t>
      </w:r>
      <w:r>
        <w:rPr>
          <w:rFonts w:hint="eastAsia" w:ascii="Times New Roman" w:hAnsi="Times New Roman" w:eastAsia="Times New Roman"/>
          <w:color w:val="000000"/>
          <w:sz w:val="24"/>
          <w:szCs w:val="24"/>
          <w:lang w:val="zh-CN"/>
        </w:rPr>
        <w:t>=147.715kN。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计算简图：</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6096000" cy="3581400"/>
            <wp:effectExtent l="0" t="0" r="0" b="0"/>
            <wp:docPr id="12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8"/>
                    <pic:cNvPicPr>
                      <a:picLocks noChangeAspect="1"/>
                    </pic:cNvPicPr>
                  </pic:nvPicPr>
                  <pic:blipFill>
                    <a:blip r:embed="rId135"/>
                    <a:stretch>
                      <a:fillRect/>
                    </a:stretch>
                  </pic:blipFill>
                  <pic:spPr>
                    <a:xfrm>
                      <a:off x="0" y="0"/>
                      <a:ext cx="6096000" cy="35814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fldChar w:fldCharType="begin"/>
      </w:r>
      <w:r>
        <w:rPr>
          <w:rFonts w:hint="eastAsia" w:ascii="Times New Roman" w:hAnsi="Times New Roman" w:eastAsia="Times New Roman"/>
          <w:color w:val="000000"/>
          <w:sz w:val="24"/>
          <w:szCs w:val="24"/>
          <w:lang w:val="zh-CN"/>
        </w:rPr>
        <w:instrText xml:space="preserve">HYPERLINK "D:\\品茗建筑云安全计算软件V1.4.2\\OutPut\\塔机附着示意图.dwg"</w:instrText>
      </w:r>
      <w:r>
        <w:rPr>
          <w:rFonts w:hint="eastAsia" w:ascii="Times New Roman" w:hAnsi="Times New Roman" w:eastAsia="Times New Roman"/>
          <w:color w:val="000000"/>
          <w:sz w:val="24"/>
          <w:szCs w:val="24"/>
          <w:lang w:val="zh-CN"/>
        </w:rPr>
        <w:fldChar w:fldCharType="separate"/>
      </w:r>
      <w:r>
        <w:rPr>
          <w:rFonts w:hint="eastAsia" w:ascii="Times New Roman" w:hAnsi="Times New Roman" w:eastAsia="Times New Roman"/>
          <w:color w:val="000080"/>
          <w:sz w:val="24"/>
          <w:szCs w:val="24"/>
          <w:u w:val="single"/>
          <w:lang w:val="zh-CN"/>
        </w:rPr>
        <w:t>塔机附着示意图</w:t>
      </w:r>
      <w:r>
        <w:rPr>
          <w:rFonts w:hint="eastAsia" w:ascii="Times New Roman" w:hAnsi="Times New Roman" w:eastAsia="Times New Roman"/>
          <w:color w:val="000080"/>
          <w:sz w:val="24"/>
          <w:szCs w:val="24"/>
          <w:u w:val="single"/>
          <w:lang w:val="zh-CN"/>
        </w:rPr>
        <w:fldChar w:fldCharType="end"/>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5076825" cy="4562475"/>
            <wp:effectExtent l="0" t="0" r="13335" b="9525"/>
            <wp:docPr id="12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9"/>
                    <pic:cNvPicPr>
                      <a:picLocks noChangeAspect="1"/>
                    </pic:cNvPicPr>
                  </pic:nvPicPr>
                  <pic:blipFill>
                    <a:blip r:embed="rId136"/>
                    <a:stretch>
                      <a:fillRect/>
                    </a:stretch>
                  </pic:blipFill>
                  <pic:spPr>
                    <a:xfrm>
                      <a:off x="0" y="0"/>
                      <a:ext cx="5076825" cy="4562475"/>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fldChar w:fldCharType="begin"/>
      </w:r>
      <w:r>
        <w:rPr>
          <w:rFonts w:hint="eastAsia" w:ascii="Times New Roman" w:hAnsi="Times New Roman" w:eastAsia="Times New Roman"/>
          <w:color w:val="000000"/>
          <w:sz w:val="24"/>
          <w:szCs w:val="24"/>
          <w:lang w:val="zh-CN"/>
        </w:rPr>
        <w:instrText xml:space="preserve">HYPERLINK "D:\\品茗建筑云安全计算软件V1.4.2\\OutPut\\塔机附着平面图.dwg"</w:instrText>
      </w:r>
      <w:r>
        <w:rPr>
          <w:rFonts w:hint="eastAsia" w:ascii="Times New Roman" w:hAnsi="Times New Roman" w:eastAsia="Times New Roman"/>
          <w:color w:val="000000"/>
          <w:sz w:val="24"/>
          <w:szCs w:val="24"/>
          <w:lang w:val="zh-CN"/>
        </w:rPr>
        <w:fldChar w:fldCharType="separate"/>
      </w:r>
      <w:r>
        <w:rPr>
          <w:rFonts w:hint="eastAsia" w:ascii="Times New Roman" w:hAnsi="Times New Roman" w:eastAsia="Times New Roman"/>
          <w:color w:val="000080"/>
          <w:sz w:val="24"/>
          <w:szCs w:val="24"/>
          <w:u w:val="single"/>
          <w:lang w:val="zh-CN"/>
        </w:rPr>
        <w:t>塔机附着平面图</w:t>
      </w:r>
      <w:r>
        <w:rPr>
          <w:rFonts w:hint="eastAsia" w:ascii="Times New Roman" w:hAnsi="Times New Roman" w:eastAsia="Times New Roman"/>
          <w:color w:val="000080"/>
          <w:sz w:val="24"/>
          <w:szCs w:val="24"/>
          <w:u w:val="single"/>
          <w:lang w:val="zh-CN"/>
        </w:rPr>
        <w:fldChar w:fldCharType="end"/>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)=87.188°</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)=57.789°</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)=48.76°</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)=58.668°</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β</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+c/2)/(a</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+c/2))=71.692°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β</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+c/2)/(a</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-c/2))=80.67°</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β</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+c/2)/(a</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+c/2))=47.638°</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β</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-c/2)/(a</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+c/2))=42.623°</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四杆附着属于一次超静定结构，用力法计算，切断T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杆并代以相应多余未知力X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=1。</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δ</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 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+Δ</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=1时，各杆件轴力计算：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+c/2)/sinβ</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21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+c/2)/sinβ</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31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+c/2)/sinβ</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-1×sin(α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+c/2)/cosβ</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21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×c+T</w:t>
      </w:r>
      <w:r>
        <w:rPr>
          <w:rFonts w:hint="eastAsia" w:ascii="Times New Roman" w:hAnsi="Times New Roman" w:eastAsia="Times New Roman"/>
          <w:color w:val="000000"/>
          <w:sz w:val="24"/>
          <w:szCs w:val="24"/>
          <w:vertAlign w:val="subscript"/>
          <w:lang w:val="zh-CN"/>
        </w:rPr>
        <w:t>31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×c+1×cosα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×c+1×sinα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×c=0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×c-1×cosα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×c=0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当N</w:t>
      </w:r>
      <w:r>
        <w:rPr>
          <w:rFonts w:hint="eastAsia" w:ascii="Times New Roman" w:hAnsi="Times New Roman" w:eastAsia="Times New Roman"/>
          <w:color w:val="000000"/>
          <w:sz w:val="24"/>
          <w:szCs w:val="24"/>
          <w:vertAlign w:val="subscript"/>
          <w:lang w:val="zh-CN"/>
        </w:rPr>
        <w:t>w</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同时存在时，θ由0～360°循环，各杆件轴力计算：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+c/2)/sinβ</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2p</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+c/2)/sinβ</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3p</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+c/2)/sinβ</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2p</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×c+T</w:t>
      </w:r>
      <w:r>
        <w:rPr>
          <w:rFonts w:hint="eastAsia" w:ascii="Times New Roman" w:hAnsi="Times New Roman" w:eastAsia="Times New Roman"/>
          <w:color w:val="000000"/>
          <w:sz w:val="24"/>
          <w:szCs w:val="24"/>
          <w:vertAlign w:val="subscript"/>
          <w:lang w:val="zh-CN"/>
        </w:rPr>
        <w:t>3p</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×c+N</w:t>
      </w:r>
      <w:r>
        <w:rPr>
          <w:rFonts w:hint="eastAsia" w:ascii="Times New Roman" w:hAnsi="Times New Roman" w:eastAsia="Times New Roman"/>
          <w:color w:val="000000"/>
          <w:sz w:val="24"/>
          <w:szCs w:val="24"/>
          <w:vertAlign w:val="subscript"/>
          <w:lang w:val="zh-CN"/>
        </w:rPr>
        <w:t>w</w:t>
      </w:r>
      <w:r>
        <w:rPr>
          <w:rFonts w:hint="eastAsia" w:ascii="Times New Roman" w:hAnsi="Times New Roman" w:eastAsia="Times New Roman"/>
          <w:color w:val="000000"/>
          <w:sz w:val="24"/>
          <w:szCs w:val="24"/>
          <w:lang w:val="zh-CN"/>
        </w:rPr>
        <w:t>×sinθ×c/2-N</w:t>
      </w:r>
      <w:r>
        <w:rPr>
          <w:rFonts w:hint="eastAsia" w:ascii="Times New Roman" w:hAnsi="Times New Roman" w:eastAsia="Times New Roman"/>
          <w:color w:val="000000"/>
          <w:sz w:val="24"/>
          <w:szCs w:val="24"/>
          <w:vertAlign w:val="subscript"/>
          <w:lang w:val="zh-CN"/>
        </w:rPr>
        <w:t>w</w:t>
      </w:r>
      <w:r>
        <w:rPr>
          <w:rFonts w:hint="eastAsia" w:ascii="Times New Roman" w:hAnsi="Times New Roman" w:eastAsia="Times New Roman"/>
          <w:color w:val="000000"/>
          <w:sz w:val="24"/>
          <w:szCs w:val="24"/>
          <w:lang w:val="zh-CN"/>
        </w:rPr>
        <w:t>×cosθ×c/2+T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×c+N</w:t>
      </w:r>
      <w:r>
        <w:rPr>
          <w:rFonts w:hint="eastAsia" w:ascii="Times New Roman" w:hAnsi="Times New Roman" w:eastAsia="Times New Roman"/>
          <w:color w:val="000000"/>
          <w:sz w:val="24"/>
          <w:szCs w:val="24"/>
          <w:vertAlign w:val="subscript"/>
          <w:lang w:val="zh-CN"/>
        </w:rPr>
        <w:t>w</w:t>
      </w:r>
      <w:r>
        <w:rPr>
          <w:rFonts w:hint="eastAsia" w:ascii="Times New Roman" w:hAnsi="Times New Roman" w:eastAsia="Times New Roman"/>
          <w:color w:val="000000"/>
          <w:sz w:val="24"/>
          <w:szCs w:val="24"/>
          <w:lang w:val="zh-CN"/>
        </w:rPr>
        <w:t>×sinθ×c/2+N</w:t>
      </w:r>
      <w:r>
        <w:rPr>
          <w:rFonts w:hint="eastAsia" w:ascii="Times New Roman" w:hAnsi="Times New Roman" w:eastAsia="Times New Roman"/>
          <w:color w:val="000000"/>
          <w:sz w:val="24"/>
          <w:szCs w:val="24"/>
          <w:vertAlign w:val="subscript"/>
          <w:lang w:val="zh-CN"/>
        </w:rPr>
        <w:t>w</w:t>
      </w:r>
      <w:r>
        <w:rPr>
          <w:rFonts w:hint="eastAsia" w:ascii="Times New Roman" w:hAnsi="Times New Roman" w:eastAsia="Times New Roman"/>
          <w:color w:val="000000"/>
          <w:sz w:val="24"/>
          <w:szCs w:val="24"/>
          <w:lang w:val="zh-CN"/>
        </w:rPr>
        <w:t>×cosθ×c/2-T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δ</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=Σ(T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L/(EA))=T</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)/(EA)+T</w:t>
      </w:r>
      <w:r>
        <w:rPr>
          <w:rFonts w:hint="eastAsia" w:ascii="Times New Roman" w:hAnsi="Times New Roman" w:eastAsia="Times New Roman"/>
          <w:color w:val="000000"/>
          <w:sz w:val="24"/>
          <w:szCs w:val="24"/>
          <w:vertAlign w:val="subscript"/>
          <w:lang w:val="zh-CN"/>
        </w:rPr>
        <w:t>21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)/(EA)+T</w:t>
      </w:r>
      <w:r>
        <w:rPr>
          <w:rFonts w:hint="eastAsia" w:ascii="Times New Roman" w:hAnsi="Times New Roman" w:eastAsia="Times New Roman"/>
          <w:color w:val="000000"/>
          <w:sz w:val="24"/>
          <w:szCs w:val="24"/>
          <w:vertAlign w:val="subscript"/>
          <w:lang w:val="zh-CN"/>
        </w:rPr>
        <w:t>31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)/(EA)+1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)/(EA)</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Δ</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=Σ(T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p</w:t>
      </w:r>
      <w:r>
        <w:rPr>
          <w:rFonts w:hint="eastAsia" w:ascii="Times New Roman" w:hAnsi="Times New Roman" w:eastAsia="Times New Roman"/>
          <w:color w:val="000000"/>
          <w:sz w:val="24"/>
          <w:szCs w:val="24"/>
          <w:lang w:val="zh-CN"/>
        </w:rPr>
        <w:t>L/(EA))=T</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)/(EA)+T</w:t>
      </w:r>
      <w:r>
        <w:rPr>
          <w:rFonts w:hint="eastAsia" w:ascii="Times New Roman" w:hAnsi="Times New Roman" w:eastAsia="Times New Roman"/>
          <w:color w:val="000000"/>
          <w:sz w:val="24"/>
          <w:szCs w:val="24"/>
          <w:vertAlign w:val="subscript"/>
          <w:lang w:val="zh-CN"/>
        </w:rPr>
        <w:t>21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2p</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)/(EA)+T</w:t>
      </w:r>
      <w:r>
        <w:rPr>
          <w:rFonts w:hint="eastAsia" w:ascii="Times New Roman" w:hAnsi="Times New Roman" w:eastAsia="Times New Roman"/>
          <w:color w:val="000000"/>
          <w:sz w:val="24"/>
          <w:szCs w:val="24"/>
          <w:vertAlign w:val="subscript"/>
          <w:lang w:val="zh-CN"/>
        </w:rPr>
        <w:t>31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3p</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)/(EA)</w:t>
      </w:r>
    </w:p>
    <w:p>
      <w:pPr>
        <w:spacing w:before="0" w:beforeLines="0" w:after="0" w:afterLines="0" w:line="360" w:lineRule="auto"/>
        <w:rPr>
          <w:rFonts w:hint="eastAsia" w:ascii="Times New Roman" w:hAnsi="Times New Roman" w:eastAsia="Times New Roman"/>
          <w:color w:val="000000"/>
          <w:sz w:val="24"/>
          <w:szCs w:val="24"/>
          <w:vertAlign w:val="subscript"/>
          <w:lang w:val="zh-CN"/>
        </w:rPr>
      </w:pPr>
      <w:r>
        <w:rPr>
          <w:rFonts w:hint="eastAsia" w:ascii="Times New Roman" w:hAnsi="Times New Roman" w:eastAsia="Times New Roman"/>
          <w:color w:val="000000"/>
          <w:sz w:val="24"/>
          <w:szCs w:val="24"/>
          <w:lang w:val="zh-CN"/>
        </w:rPr>
        <w:t xml:space="preserve">    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 -Δ</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/δ</w:t>
      </w:r>
      <w:r>
        <w:rPr>
          <w:rFonts w:hint="eastAsia" w:ascii="Times New Roman" w:hAnsi="Times New Roman" w:eastAsia="Times New Roman"/>
          <w:color w:val="000000"/>
          <w:sz w:val="24"/>
          <w:szCs w:val="24"/>
          <w:vertAlign w:val="subscript"/>
          <w:lang w:val="zh-CN"/>
        </w:rPr>
        <w:t>11</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各杆轴力计算公式如下：</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 T</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 T</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 T</w:t>
      </w:r>
      <w:r>
        <w:rPr>
          <w:rFonts w:hint="eastAsia" w:ascii="Times New Roman" w:hAnsi="Times New Roman" w:eastAsia="Times New Roman"/>
          <w:color w:val="000000"/>
          <w:sz w:val="24"/>
          <w:szCs w:val="24"/>
          <w:vertAlign w:val="subscript"/>
          <w:lang w:val="zh-CN"/>
        </w:rPr>
        <w:t>21</w:t>
      </w:r>
      <w:r>
        <w:rPr>
          <w:rFonts w:hint="eastAsia" w:ascii="Times New Roman" w:hAnsi="Times New Roman" w:eastAsia="Times New Roman"/>
          <w:color w:val="000000"/>
          <w:sz w:val="24"/>
          <w:szCs w:val="24"/>
          <w:lang w:val="zh-CN"/>
        </w:rPr>
        <w:t>×X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2p</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31</w:t>
      </w:r>
      <w:r>
        <w:rPr>
          <w:rFonts w:hint="eastAsia" w:ascii="Times New Roman" w:hAnsi="Times New Roman" w:eastAsia="Times New Roman"/>
          <w:color w:val="000000"/>
          <w:sz w:val="24"/>
          <w:szCs w:val="24"/>
          <w:lang w:val="zh-CN"/>
        </w:rPr>
        <w:t>×X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3p</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 xml:space="preserve"> </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（1）θ由0～360°循环，当T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按图上方向设置时求解各杆最大轴拉力和轴压力：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最大轴压力T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=237.661kN，T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=48.758kN，T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=116.03kN，T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=0kN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最大轴拉力T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=0kN，T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=139.354kN，T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=198.287kN，T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=105.883kN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（2）θ由0～360°循环，当T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按图上反方向设置时求解各杆最大轴拉力和轴压力：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最大轴压力T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=0kN，T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=139.355kN，T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=198.286kN，T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=105.884kN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最大轴拉力T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=237.661kN，T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=48.758kN，T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=116.03kN，T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=0kN</w:t>
      </w:r>
    </w:p>
    <w:p>
      <w:pPr>
        <w:spacing w:before="0" w:beforeLines="0" w:after="0" w:afterLines="0" w:line="360" w:lineRule="auto"/>
        <w:rPr>
          <w:rFonts w:hint="eastAsia" w:ascii="Times New Roman" w:hAnsi="Times New Roman" w:eastAsia="Times New Roman"/>
          <w:b/>
          <w:color w:val="000000"/>
          <w:sz w:val="28"/>
          <w:szCs w:val="24"/>
          <w:lang w:val="zh-CN"/>
        </w:rPr>
      </w:pPr>
      <w:r>
        <w:rPr>
          <w:rFonts w:hint="eastAsia" w:ascii="Times New Roman" w:hAnsi="Times New Roman" w:eastAsia="Times New Roman"/>
          <w:b/>
          <w:color w:val="000000"/>
          <w:sz w:val="28"/>
          <w:szCs w:val="24"/>
          <w:lang w:val="zh-CN"/>
        </w:rPr>
        <w:t xml:space="preserve"> 四、非工作状态下附墙杆内力计算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此工况下塔机回转机构的制动器完全松开，起重臂能随风转动，故不计风荷载产生的扭转力矩。</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1、附着支座反力计算</w:t>
      </w:r>
    </w:p>
    <w:p>
      <w:pPr>
        <w:spacing w:before="0" w:beforeLines="0" w:after="0" w:afterLines="0" w:line="360" w:lineRule="auto"/>
        <w:jc w:val="center"/>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drawing>
          <wp:inline distT="0" distB="0" distL="114300" distR="114300">
            <wp:extent cx="5715000" cy="1905000"/>
            <wp:effectExtent l="0" t="0" r="0" b="0"/>
            <wp:docPr id="12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30"/>
                    <pic:cNvPicPr>
                      <a:picLocks noChangeAspect="1"/>
                    </pic:cNvPicPr>
                  </pic:nvPicPr>
                  <pic:blipFill>
                    <a:blip r:embed="rId137"/>
                    <a:stretch>
                      <a:fillRect/>
                    </a:stretch>
                  </pic:blipFill>
                  <pic:spPr>
                    <a:xfrm>
                      <a:off x="0" y="0"/>
                      <a:ext cx="5715000" cy="1905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计算简图</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5715000" cy="1905000"/>
            <wp:effectExtent l="0" t="0" r="0" b="0"/>
            <wp:docPr id="12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31"/>
                    <pic:cNvPicPr>
                      <a:picLocks noChangeAspect="1"/>
                    </pic:cNvPicPr>
                  </pic:nvPicPr>
                  <pic:blipFill>
                    <a:blip r:embed="rId138"/>
                    <a:stretch>
                      <a:fillRect/>
                    </a:stretch>
                  </pic:blipFill>
                  <pic:spPr>
                    <a:xfrm>
                      <a:off x="0" y="0"/>
                      <a:ext cx="5715000" cy="1905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剪力图</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得：R</w:t>
      </w:r>
      <w:r>
        <w:rPr>
          <w:rFonts w:hint="eastAsia" w:ascii="Times New Roman" w:hAnsi="Times New Roman" w:eastAsia="Times New Roman"/>
          <w:color w:val="000000"/>
          <w:sz w:val="24"/>
          <w:szCs w:val="24"/>
          <w:vertAlign w:val="subscript"/>
          <w:lang w:val="zh-CN"/>
        </w:rPr>
        <w:t>E</w:t>
      </w:r>
      <w:r>
        <w:rPr>
          <w:rFonts w:hint="eastAsia" w:ascii="Times New Roman" w:hAnsi="Times New Roman" w:eastAsia="Times New Roman"/>
          <w:color w:val="000000"/>
          <w:sz w:val="24"/>
          <w:szCs w:val="24"/>
          <w:lang w:val="zh-CN"/>
        </w:rPr>
        <w:t>=95.946kN</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2、附墙杆内力计算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支座2处锚固环的水平内力N</w:t>
      </w:r>
      <w:r>
        <w:rPr>
          <w:rFonts w:hint="eastAsia" w:ascii="Times New Roman" w:hAnsi="Times New Roman" w:eastAsia="Times New Roman"/>
          <w:color w:val="000000"/>
          <w:sz w:val="24"/>
          <w:szCs w:val="24"/>
          <w:vertAlign w:val="subscript"/>
          <w:lang w:val="zh-CN"/>
        </w:rPr>
        <w:t>w</w:t>
      </w:r>
      <w:r>
        <w:rPr>
          <w:rFonts w:hint="eastAsia" w:ascii="Times New Roman" w:hAnsi="Times New Roman" w:eastAsia="Times New Roman"/>
          <w:color w:val="000000"/>
          <w:sz w:val="24"/>
          <w:szCs w:val="24"/>
          <w:lang w:val="zh-CN"/>
        </w:rPr>
        <w:t>=R</w:t>
      </w:r>
      <w:r>
        <w:rPr>
          <w:rFonts w:hint="eastAsia" w:ascii="Times New Roman" w:hAnsi="Times New Roman" w:eastAsia="Times New Roman"/>
          <w:color w:val="000000"/>
          <w:sz w:val="24"/>
          <w:szCs w:val="24"/>
          <w:vertAlign w:val="subscript"/>
          <w:lang w:val="zh-CN"/>
        </w:rPr>
        <w:t>E</w:t>
      </w:r>
      <w:r>
        <w:rPr>
          <w:rFonts w:hint="eastAsia" w:ascii="Times New Roman" w:hAnsi="Times New Roman" w:eastAsia="Times New Roman"/>
          <w:color w:val="000000"/>
          <w:sz w:val="24"/>
          <w:szCs w:val="24"/>
          <w:lang w:val="zh-CN"/>
        </w:rPr>
        <w:t>=95.946kN。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根据工作状态方程组Tk=0，θ由0～360°循环，求解各杆最大轴拉力和轴压力：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最大轴压力T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=66.27kN，T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=61.092kN，T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=102.08kN，T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=18.385kN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最大轴拉力T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=66.27kN，T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=61.093kN，T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=102.08kN，T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=18.385kN</w:t>
      </w:r>
    </w:p>
    <w:p>
      <w:pPr>
        <w:spacing w:before="0" w:beforeLines="0" w:after="0" w:afterLines="0" w:line="360" w:lineRule="auto"/>
        <w:rPr>
          <w:rFonts w:hint="eastAsia" w:ascii="Times New Roman" w:hAnsi="Times New Roman" w:eastAsia="Times New Roman"/>
          <w:b/>
          <w:color w:val="000000"/>
          <w:sz w:val="28"/>
          <w:szCs w:val="24"/>
          <w:lang w:val="zh-CN"/>
        </w:rPr>
      </w:pPr>
      <w:r>
        <w:rPr>
          <w:rFonts w:hint="eastAsia" w:ascii="Times New Roman" w:hAnsi="Times New Roman" w:eastAsia="Times New Roman"/>
          <w:b/>
          <w:color w:val="000000"/>
          <w:sz w:val="28"/>
          <w:szCs w:val="24"/>
          <w:lang w:val="zh-CN"/>
        </w:rPr>
        <w:t xml:space="preserve"> 五、附墙杆强度验算</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3090"/>
        <w:gridCol w:w="1620"/>
        <w:gridCol w:w="3090"/>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附墙杆型钢型号</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□160×160×8</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附墙杆截面面积A(mm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4644.25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附墙杆截面回转半径i(mm)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61.2</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附墙杆强度设计值[f](N/mm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附墙杆允许长细比[λ]</w:t>
            </w:r>
          </w:p>
        </w:tc>
        <w:tc>
          <w:tcPr>
            <w:tcW w:w="0" w:type="auto"/>
            <w:gridSpan w:val="3"/>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120</w:t>
            </w:r>
          </w:p>
        </w:tc>
      </w:tr>
    </w:tbl>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1、杆件轴心受拉强度验算</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σ=N/A=237661/4644.25=51.173N/mm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≤[f]=205N/mm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2、杆件轴心受压强度验算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附墙杆1长细比：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/i=(a</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/i=(140</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+2850</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/61.2=46.625≤[λ]=120，查规范表得：φ</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=0.871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附墙杆2长细比：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/i=(a</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/i=(1890</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+3000</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/61.2=57.937≤[λ]=120，查规范表得：φ</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=0.818</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附墙杆3长细比：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/i=(a</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/i=(2630</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+3000</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/61.2=65.19≤[λ]=120，查规范表得：φ</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=0.779</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附墙杆4长细比：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/i=(a</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/i=(3190</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+5240</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/61.2=100.239≤[λ]=120，查规范表得：φ</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=0.553</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附墙杆1轴心受压稳定验算：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/(φ</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Af)=237661/(0.871×4644.25×205)=0.287≤1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附墙杆2轴心受压稳定验算：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/(φ</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Af)=139354/(0.818×4644.25×205)=0.179≤1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附墙杆3轴心受压稳定验算：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/(φ</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Af)=198287/(0.779×4644.25×205)=0.267≤1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附墙杆4轴心受压稳定验算：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/(φ</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Af)=105883/(0.553×4644.25×205)=0.201≤1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b/>
          <w:color w:val="000000"/>
          <w:sz w:val="28"/>
          <w:szCs w:val="24"/>
          <w:lang w:val="zh-CN"/>
        </w:rPr>
      </w:pPr>
      <w:r>
        <w:rPr>
          <w:rFonts w:hint="eastAsia" w:ascii="Times New Roman" w:hAnsi="Times New Roman" w:eastAsia="Times New Roman"/>
          <w:b/>
          <w:color w:val="000000"/>
          <w:sz w:val="28"/>
          <w:szCs w:val="24"/>
          <w:lang w:val="zh-CN"/>
        </w:rPr>
        <w:t xml:space="preserve"> 六、附着杆与结构连接节点验算</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3090"/>
        <w:gridCol w:w="1620"/>
        <w:gridCol w:w="3090"/>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附着杆与建筑物连接方式</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铰接</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连接钢板厚度dt(mm)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连接钢板强度等级</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Q235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建筑物混凝土强度等级</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C35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连接板固定方式</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锚固螺栓</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连接板耳板排数</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锚固螺栓类型</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摩擦型高强螺栓</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高强螺栓的性能等级</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8.8级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摩擦面抗滑移系数u</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0.45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高强螺栓公称直径</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M30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一个高强螺栓的预拉力P(kN)</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355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高强螺栓传力摩擦面数目n</w:t>
            </w:r>
            <w:r>
              <w:rPr>
                <w:rFonts w:hint="eastAsia" w:ascii="Times New Roman" w:hAnsi="Times New Roman" w:eastAsia="Times New Roman"/>
                <w:color w:val="000000"/>
                <w:sz w:val="24"/>
                <w:szCs w:val="24"/>
                <w:vertAlign w:val="subscript"/>
                <w:lang w:val="zh-CN"/>
              </w:rPr>
              <w:t>f</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单吊耳板吊耳孔中心至连接钢板高度L(mm)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150</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单吊耳板连接钢板垂直方向螺栓排数m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单吊耳板连接钢板水平方向螺栓排数n</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单吊耳板连接钢板水平方向最外侧螺栓两端中心线距离S(mm)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300</w:t>
            </w:r>
          </w:p>
        </w:tc>
      </w:tr>
    </w:tbl>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1、附着点荷载计算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各附着杆传给连接节点荷载如下：</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sinα1=237.661×sin87.188°=237.375kN,V</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cosα1=237.661×cos87.188°=11.661kN;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sinα2=139.354×sin57.789°=117.906kN,V</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cosα2=139.354×cos57.789°=74.281kN;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sinα3=198.287×sin48.76°=149.103kN,V</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cosα3=198.287×cos48.76°=130.714kN;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sinα4=105.883×sin58.668°=90.442kN,V</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cosα4=105.883×cos58.668°=55.059kN;</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2、螺栓承载力计算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单个高强螺栓抗剪承载力设计值N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=0.9kn</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uP=0.9×1×1×0.45×355=143.775kN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单个高强螺栓受拉承载力设计值N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=0.8P=0.8×355=284kN</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（1）单吊耳板位置螺栓承载力计算：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经分析判断，计算弯矩对螺栓产生的附加轴力时，按小偏心进行计算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X</w:t>
      </w:r>
      <w:r>
        <w:rPr>
          <w:rFonts w:hint="eastAsia" w:ascii="Times New Roman" w:hAnsi="Times New Roman" w:eastAsia="Times New Roman"/>
          <w:color w:val="000000"/>
          <w:sz w:val="24"/>
          <w:szCs w:val="24"/>
          <w:vertAlign w:val="subscript"/>
          <w:lang w:val="zh-CN"/>
        </w:rPr>
        <w:t>max</w:t>
      </w:r>
      <w:r>
        <w:rPr>
          <w:rFonts w:hint="eastAsia" w:ascii="Times New Roman" w:hAnsi="Times New Roman" w:eastAsia="Times New Roman"/>
          <w:color w:val="000000"/>
          <w:sz w:val="24"/>
          <w:szCs w:val="24"/>
          <w:lang w:val="zh-CN"/>
        </w:rPr>
        <w:t>=S/2=300/2=150mm</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3352800" cy="657225"/>
            <wp:effectExtent l="0" t="0" r="0" b="0"/>
            <wp:docPr id="11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32"/>
                    <pic:cNvPicPr>
                      <a:picLocks noChangeAspect="1"/>
                    </pic:cNvPicPr>
                  </pic:nvPicPr>
                  <pic:blipFill>
                    <a:blip r:embed="rId139"/>
                    <a:stretch>
                      <a:fillRect/>
                    </a:stretch>
                  </pic:blipFill>
                  <pic:spPr>
                    <a:xfrm>
                      <a:off x="0" y="0"/>
                      <a:ext cx="3352800" cy="657225"/>
                    </a:xfrm>
                    <a:prstGeom prst="rect">
                      <a:avLst/>
                    </a:prstGeom>
                    <a:noFill/>
                    <a:ln>
                      <a:noFill/>
                    </a:ln>
                  </pic:spPr>
                </pic:pic>
              </a:graphicData>
            </a:graphic>
          </wp:inline>
        </w:drawing>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Σx</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=2×[(300/2)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+(300/2-1×300/2)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+(300/2-2×300/2)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]=90000mm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附着点1：</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计算弯矩对单个螺栓的最大附加轴力：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附加</w:t>
      </w:r>
      <w:r>
        <w:rPr>
          <w:rFonts w:hint="eastAsia" w:ascii="Times New Roman" w:hAnsi="Times New Roman" w:eastAsia="Times New Roman"/>
          <w:color w:val="000000"/>
          <w:sz w:val="24"/>
          <w:szCs w:val="24"/>
          <w:lang w:val="zh-CN"/>
        </w:rPr>
        <w:t>=(V</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L•X</w:t>
      </w:r>
      <w:r>
        <w:rPr>
          <w:rFonts w:hint="eastAsia" w:ascii="Times New Roman" w:hAnsi="Times New Roman" w:eastAsia="Times New Roman"/>
          <w:color w:val="000000"/>
          <w:sz w:val="24"/>
          <w:szCs w:val="24"/>
          <w:vertAlign w:val="subscript"/>
          <w:lang w:val="zh-CN"/>
        </w:rPr>
        <w:t>max</w:t>
      </w:r>
      <w:r>
        <w:rPr>
          <w:rFonts w:hint="eastAsia" w:ascii="Times New Roman" w:hAnsi="Times New Roman" w:eastAsia="Times New Roman"/>
          <w:color w:val="000000"/>
          <w:sz w:val="24"/>
          <w:szCs w:val="24"/>
          <w:lang w:val="zh-CN"/>
        </w:rPr>
        <w:t>)/Σx</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=11.661×0.15×150/90=2.915kN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计算考虑附加轴力后单个螺栓的最大拉力：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/mn+N</w:t>
      </w:r>
      <w:r>
        <w:rPr>
          <w:rFonts w:hint="eastAsia" w:ascii="Times New Roman" w:hAnsi="Times New Roman" w:eastAsia="Times New Roman"/>
          <w:color w:val="000000"/>
          <w:sz w:val="24"/>
          <w:szCs w:val="24"/>
          <w:vertAlign w:val="subscript"/>
          <w:lang w:val="zh-CN"/>
        </w:rPr>
        <w:t>附加</w:t>
      </w:r>
      <w:r>
        <w:rPr>
          <w:rFonts w:hint="eastAsia" w:ascii="Times New Roman" w:hAnsi="Times New Roman" w:eastAsia="Times New Roman"/>
          <w:color w:val="000000"/>
          <w:sz w:val="24"/>
          <w:szCs w:val="24"/>
          <w:lang w:val="zh-CN"/>
        </w:rPr>
        <w:t>=237.375/(2×3)+2.915=42.477kN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计算单个螺栓的最大剪力：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=V</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/mn=11.661/(2×3)=1.943kN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验算单个螺栓承载力：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=1.943/143.775+42.477/284=0.163≤1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螺栓承载力满足要求。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附着点2：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计算弯矩对单个螺栓的最大附加轴力：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附加</w:t>
      </w:r>
      <w:r>
        <w:rPr>
          <w:rFonts w:hint="eastAsia" w:ascii="Times New Roman" w:hAnsi="Times New Roman" w:eastAsia="Times New Roman"/>
          <w:color w:val="000000"/>
          <w:sz w:val="24"/>
          <w:szCs w:val="24"/>
          <w:lang w:val="zh-CN"/>
        </w:rPr>
        <w:t>=(V</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L•X</w:t>
      </w:r>
      <w:r>
        <w:rPr>
          <w:rFonts w:hint="eastAsia" w:ascii="Times New Roman" w:hAnsi="Times New Roman" w:eastAsia="Times New Roman"/>
          <w:color w:val="000000"/>
          <w:sz w:val="24"/>
          <w:szCs w:val="24"/>
          <w:vertAlign w:val="subscript"/>
          <w:lang w:val="zh-CN"/>
        </w:rPr>
        <w:t>max</w:t>
      </w:r>
      <w:r>
        <w:rPr>
          <w:rFonts w:hint="eastAsia" w:ascii="Times New Roman" w:hAnsi="Times New Roman" w:eastAsia="Times New Roman"/>
          <w:color w:val="000000"/>
          <w:sz w:val="24"/>
          <w:szCs w:val="24"/>
          <w:lang w:val="zh-CN"/>
        </w:rPr>
        <w:t>)/Σx</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=74.281×0.15×150/90=18.57kN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计算考虑附加轴力后单个螺栓的最大拉力：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/mn+N</w:t>
      </w:r>
      <w:r>
        <w:rPr>
          <w:rFonts w:hint="eastAsia" w:ascii="Times New Roman" w:hAnsi="Times New Roman" w:eastAsia="Times New Roman"/>
          <w:color w:val="000000"/>
          <w:sz w:val="24"/>
          <w:szCs w:val="24"/>
          <w:vertAlign w:val="subscript"/>
          <w:lang w:val="zh-CN"/>
        </w:rPr>
        <w:t>附加</w:t>
      </w:r>
      <w:r>
        <w:rPr>
          <w:rFonts w:hint="eastAsia" w:ascii="Times New Roman" w:hAnsi="Times New Roman" w:eastAsia="Times New Roman"/>
          <w:color w:val="000000"/>
          <w:sz w:val="24"/>
          <w:szCs w:val="24"/>
          <w:lang w:val="zh-CN"/>
        </w:rPr>
        <w:t>=117.906/(2×3)+18.57=38.221kN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计算单个螺栓的最大剪力：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=V</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/mn=74.281/(2×3)=12.38kN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验算单个螺栓承载力：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=12.38/143.775+38.221/284=0.221≤1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螺栓承载力满足要求。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附着点3：</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计算弯矩对单个螺栓的最大附加轴力：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附加</w:t>
      </w:r>
      <w:r>
        <w:rPr>
          <w:rFonts w:hint="eastAsia" w:ascii="Times New Roman" w:hAnsi="Times New Roman" w:eastAsia="Times New Roman"/>
          <w:color w:val="000000"/>
          <w:sz w:val="24"/>
          <w:szCs w:val="24"/>
          <w:lang w:val="zh-CN"/>
        </w:rPr>
        <w:t>=(V</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L•X</w:t>
      </w:r>
      <w:r>
        <w:rPr>
          <w:rFonts w:hint="eastAsia" w:ascii="Times New Roman" w:hAnsi="Times New Roman" w:eastAsia="Times New Roman"/>
          <w:color w:val="000000"/>
          <w:sz w:val="24"/>
          <w:szCs w:val="24"/>
          <w:vertAlign w:val="subscript"/>
          <w:lang w:val="zh-CN"/>
        </w:rPr>
        <w:t>max</w:t>
      </w:r>
      <w:r>
        <w:rPr>
          <w:rFonts w:hint="eastAsia" w:ascii="Times New Roman" w:hAnsi="Times New Roman" w:eastAsia="Times New Roman"/>
          <w:color w:val="000000"/>
          <w:sz w:val="24"/>
          <w:szCs w:val="24"/>
          <w:lang w:val="zh-CN"/>
        </w:rPr>
        <w:t>)/Σx</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=130.714×0.15×150/90=32.678kN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计算考虑附加轴力后单个螺栓的最大拉力：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/mn+N</w:t>
      </w:r>
      <w:r>
        <w:rPr>
          <w:rFonts w:hint="eastAsia" w:ascii="Times New Roman" w:hAnsi="Times New Roman" w:eastAsia="Times New Roman"/>
          <w:color w:val="000000"/>
          <w:sz w:val="24"/>
          <w:szCs w:val="24"/>
          <w:vertAlign w:val="subscript"/>
          <w:lang w:val="zh-CN"/>
        </w:rPr>
        <w:t>附加</w:t>
      </w:r>
      <w:r>
        <w:rPr>
          <w:rFonts w:hint="eastAsia" w:ascii="Times New Roman" w:hAnsi="Times New Roman" w:eastAsia="Times New Roman"/>
          <w:color w:val="000000"/>
          <w:sz w:val="24"/>
          <w:szCs w:val="24"/>
          <w:lang w:val="zh-CN"/>
        </w:rPr>
        <w:t>=149.103/(2×3)+32.678=57.528kN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计算单个螺栓的最大剪力：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=V</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/mn=130.714/(2×3)=21.786kN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验算单个螺栓承载力：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=21.786/143.775+57.528/284=0.354≤1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螺栓承载力满足要求。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附着点4：</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计算弯矩对单个螺栓的最大附加轴力：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附加</w:t>
      </w:r>
      <w:r>
        <w:rPr>
          <w:rFonts w:hint="eastAsia" w:ascii="Times New Roman" w:hAnsi="Times New Roman" w:eastAsia="Times New Roman"/>
          <w:color w:val="000000"/>
          <w:sz w:val="24"/>
          <w:szCs w:val="24"/>
          <w:lang w:val="zh-CN"/>
        </w:rPr>
        <w:t>=(V</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L•X</w:t>
      </w:r>
      <w:r>
        <w:rPr>
          <w:rFonts w:hint="eastAsia" w:ascii="Times New Roman" w:hAnsi="Times New Roman" w:eastAsia="Times New Roman"/>
          <w:color w:val="000000"/>
          <w:sz w:val="24"/>
          <w:szCs w:val="24"/>
          <w:vertAlign w:val="subscript"/>
          <w:lang w:val="zh-CN"/>
        </w:rPr>
        <w:t>max</w:t>
      </w:r>
      <w:r>
        <w:rPr>
          <w:rFonts w:hint="eastAsia" w:ascii="Times New Roman" w:hAnsi="Times New Roman" w:eastAsia="Times New Roman"/>
          <w:color w:val="000000"/>
          <w:sz w:val="24"/>
          <w:szCs w:val="24"/>
          <w:lang w:val="zh-CN"/>
        </w:rPr>
        <w:t>)/Σx</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=55.059×0.15×150/90=13.765kN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计算考虑附加轴力后单个螺栓的最大拉力：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/mn+N</w:t>
      </w:r>
      <w:r>
        <w:rPr>
          <w:rFonts w:hint="eastAsia" w:ascii="Times New Roman" w:hAnsi="Times New Roman" w:eastAsia="Times New Roman"/>
          <w:color w:val="000000"/>
          <w:sz w:val="24"/>
          <w:szCs w:val="24"/>
          <w:vertAlign w:val="subscript"/>
          <w:lang w:val="zh-CN"/>
        </w:rPr>
        <w:t>附加</w:t>
      </w:r>
      <w:r>
        <w:rPr>
          <w:rFonts w:hint="eastAsia" w:ascii="Times New Roman" w:hAnsi="Times New Roman" w:eastAsia="Times New Roman"/>
          <w:color w:val="000000"/>
          <w:sz w:val="24"/>
          <w:szCs w:val="24"/>
          <w:lang w:val="zh-CN"/>
        </w:rPr>
        <w:t>=90.442/(2×3)+13.765=28.839kN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计算单个螺栓的最大剪力：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=V</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/mn=55.059/(2×3)=9.177kN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验算单个螺栓承载力：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=9.177/143.775+28.839/284=0.165≤1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螺栓承载力满足要求。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3、吊耳板计算</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3090"/>
        <w:gridCol w:w="1620"/>
        <w:gridCol w:w="3090"/>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吊耳板厚t(mm)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20</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吊耳板两侧边缘与吊孔边缘净距b(mm):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顺受力方向，吊孔边距板边缘最小距离a(mm):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80</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吊孔直径d</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吊耳板抗拉强度设计值f(N/mm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205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吊耳板抗剪强度设计值fv(N/mm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连接板耳板排数</w:t>
            </w:r>
          </w:p>
        </w:tc>
        <w:tc>
          <w:tcPr>
            <w:tcW w:w="0" w:type="auto"/>
            <w:gridSpan w:val="3"/>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w:t>
            </w:r>
          </w:p>
        </w:tc>
      </w:tr>
    </w:tbl>
    <w:p>
      <w:pPr>
        <w:spacing w:before="0" w:beforeLines="0" w:after="0" w:afterLines="0" w:line="360" w:lineRule="auto"/>
        <w:jc w:val="center"/>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drawing>
          <wp:inline distT="0" distB="0" distL="114300" distR="114300">
            <wp:extent cx="2876550" cy="2552700"/>
            <wp:effectExtent l="0" t="0" r="0" b="0"/>
            <wp:docPr id="11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33"/>
                    <pic:cNvPicPr>
                      <a:picLocks noChangeAspect="1"/>
                    </pic:cNvPicPr>
                  </pic:nvPicPr>
                  <pic:blipFill>
                    <a:blip r:embed="rId140"/>
                    <a:stretch>
                      <a:fillRect/>
                    </a:stretch>
                  </pic:blipFill>
                  <pic:spPr>
                    <a:xfrm>
                      <a:off x="0" y="0"/>
                      <a:ext cx="2876550" cy="25527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fldChar w:fldCharType="begin"/>
      </w:r>
      <w:r>
        <w:rPr>
          <w:rFonts w:hint="eastAsia" w:ascii="Times New Roman" w:hAnsi="Times New Roman" w:eastAsia="Times New Roman"/>
          <w:b/>
          <w:color w:val="000000"/>
          <w:sz w:val="24"/>
          <w:szCs w:val="24"/>
          <w:lang w:val="zh-CN"/>
        </w:rPr>
        <w:instrText xml:space="preserve">HYPERLINK "D:\\品茗建筑云安全计算软件V1.4.2\\pmtd\\Bmp\\Attachment\\单吊耳板.png"</w:instrText>
      </w:r>
      <w:r>
        <w:rPr>
          <w:rFonts w:hint="eastAsia" w:ascii="Times New Roman" w:hAnsi="Times New Roman" w:eastAsia="Times New Roman"/>
          <w:b/>
          <w:color w:val="000000"/>
          <w:sz w:val="24"/>
          <w:szCs w:val="24"/>
          <w:lang w:val="zh-CN"/>
        </w:rPr>
        <w:fldChar w:fldCharType="separate"/>
      </w:r>
      <w:r>
        <w:rPr>
          <w:rFonts w:hint="eastAsia" w:ascii="Times New Roman" w:hAnsi="Times New Roman" w:eastAsia="Times New Roman"/>
          <w:color w:val="000080"/>
          <w:sz w:val="24"/>
          <w:szCs w:val="24"/>
          <w:u w:val="single"/>
          <w:lang w:val="zh-CN"/>
        </w:rPr>
        <w:t>单吊耳板</w:t>
      </w:r>
      <w:r>
        <w:rPr>
          <w:rFonts w:hint="eastAsia" w:ascii="Times New Roman" w:hAnsi="Times New Roman" w:eastAsia="Times New Roman"/>
          <w:color w:val="000080"/>
          <w:sz w:val="24"/>
          <w:szCs w:val="24"/>
          <w:u w:val="single"/>
          <w:lang w:val="zh-CN"/>
        </w:rPr>
        <w:fldChar w:fldCharType="end"/>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参考GB50017-2017，对连接耳板进行如下验算：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S</w:t>
      </w:r>
      <w:r>
        <w:rPr>
          <w:rFonts w:hint="eastAsia" w:ascii="Times New Roman" w:hAnsi="Times New Roman" w:eastAsia="Times New Roman"/>
          <w:color w:val="000000"/>
          <w:sz w:val="24"/>
          <w:szCs w:val="24"/>
          <w:lang w:val="zh-CN"/>
        </w:rPr>
        <w:t>=max{N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}/2=118.831kN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（1）耳板构造要求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B</w:t>
      </w:r>
      <w:r>
        <w:rPr>
          <w:rFonts w:hint="eastAsia" w:ascii="Times New Roman" w:hAnsi="Times New Roman" w:eastAsia="Times New Roman"/>
          <w:color w:val="000000"/>
          <w:sz w:val="24"/>
          <w:szCs w:val="24"/>
          <w:vertAlign w:val="subscript"/>
          <w:lang w:val="zh-CN"/>
        </w:rPr>
        <w:t>e</w:t>
      </w:r>
      <w:r>
        <w:rPr>
          <w:rFonts w:hint="eastAsia" w:ascii="Times New Roman" w:hAnsi="Times New Roman" w:eastAsia="Times New Roman"/>
          <w:color w:val="000000"/>
          <w:sz w:val="24"/>
          <w:szCs w:val="24"/>
          <w:lang w:val="zh-CN"/>
        </w:rPr>
        <w:t>= 2t+16= 2×20+16=56mm≤b=100mm</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4B</w:t>
      </w:r>
      <w:r>
        <w:rPr>
          <w:rFonts w:hint="eastAsia" w:ascii="Times New Roman" w:hAnsi="Times New Roman" w:eastAsia="Times New Roman"/>
          <w:color w:val="000000"/>
          <w:sz w:val="24"/>
          <w:szCs w:val="24"/>
          <w:vertAlign w:val="subscript"/>
          <w:lang w:val="zh-CN"/>
        </w:rPr>
        <w:t>e</w:t>
      </w:r>
      <w:r>
        <w:rPr>
          <w:rFonts w:hint="eastAsia" w:ascii="Times New Roman" w:hAnsi="Times New Roman" w:eastAsia="Times New Roman"/>
          <w:color w:val="000000"/>
          <w:sz w:val="24"/>
          <w:szCs w:val="24"/>
          <w:lang w:val="zh-CN"/>
        </w:rPr>
        <w:t>/3= 4×56/3=74.667mm≤a=80mm</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（2）耳板孔净截面处的抗拉强度验算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计算宽度:b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 min(2t+16,b-d</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/3)= min(2×20+16,100-60/3)=56mm</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 N</w:t>
      </w:r>
      <w:r>
        <w:rPr>
          <w:rFonts w:hint="eastAsia" w:ascii="Times New Roman" w:hAnsi="Times New Roman" w:eastAsia="Times New Roman"/>
          <w:color w:val="000000"/>
          <w:sz w:val="24"/>
          <w:szCs w:val="24"/>
          <w:vertAlign w:val="subscript"/>
          <w:lang w:val="zh-CN"/>
        </w:rPr>
        <w:t>s</w:t>
      </w:r>
      <w:r>
        <w:rPr>
          <w:rFonts w:hint="eastAsia" w:ascii="Times New Roman" w:hAnsi="Times New Roman" w:eastAsia="Times New Roman"/>
          <w:color w:val="000000"/>
          <w:sz w:val="24"/>
          <w:szCs w:val="24"/>
          <w:lang w:val="zh-CN"/>
        </w:rPr>
        <w:t>/(2tb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 118.831×10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/(2×20×56)=53.049N/mm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≤f=205N/mm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耳板孔净截面处抗拉强度满足要求！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（3）耳板端部截面抗拉（劈开）强度验算</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 N</w:t>
      </w:r>
      <w:r>
        <w:rPr>
          <w:rFonts w:hint="eastAsia" w:ascii="Times New Roman" w:hAnsi="Times New Roman" w:eastAsia="Times New Roman"/>
          <w:color w:val="000000"/>
          <w:sz w:val="24"/>
          <w:szCs w:val="24"/>
          <w:vertAlign w:val="subscript"/>
          <w:lang w:val="zh-CN"/>
        </w:rPr>
        <w:t>s</w:t>
      </w:r>
      <w:r>
        <w:rPr>
          <w:rFonts w:hint="eastAsia" w:ascii="Times New Roman" w:hAnsi="Times New Roman" w:eastAsia="Times New Roman"/>
          <w:color w:val="000000"/>
          <w:sz w:val="24"/>
          <w:szCs w:val="24"/>
          <w:lang w:val="zh-CN"/>
        </w:rPr>
        <w:t>/[2t(a-2d</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/3)]= 118.831×10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/[2×20×(80-2×60/3)]=74.269N/mm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≤f=205N/mm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耳板端部截面抗拉强度满足要求！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（4）耳板抗剪强度验算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耳板端部抗剪截面宽度:</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Z= [(a+d</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-(d</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 [(80+60/2)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-(60/2)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=105.83mm</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τ= N</w:t>
      </w:r>
      <w:r>
        <w:rPr>
          <w:rFonts w:hint="eastAsia" w:ascii="Times New Roman" w:hAnsi="Times New Roman" w:eastAsia="Times New Roman"/>
          <w:color w:val="000000"/>
          <w:sz w:val="24"/>
          <w:szCs w:val="24"/>
          <w:vertAlign w:val="subscript"/>
          <w:lang w:val="zh-CN"/>
        </w:rPr>
        <w:t>s</w:t>
      </w:r>
      <w:r>
        <w:rPr>
          <w:rFonts w:hint="eastAsia" w:ascii="Times New Roman" w:hAnsi="Times New Roman" w:eastAsia="Times New Roman"/>
          <w:color w:val="000000"/>
          <w:sz w:val="24"/>
          <w:szCs w:val="24"/>
          <w:lang w:val="zh-CN"/>
        </w:rPr>
        <w:t>/(2tZ)= 118.831×10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/(2×20×105.83)=28.071N/mm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≤fv=120N/mm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耳板抗剪强度满足要求！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4、销轴计算</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4710"/>
        <w:gridCol w:w="47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销轴直径d</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销轴材料抗剪强度f</w:t>
            </w:r>
            <w:r>
              <w:rPr>
                <w:rFonts w:hint="eastAsia" w:ascii="Times New Roman" w:hAnsi="Times New Roman" w:eastAsia="Times New Roman"/>
                <w:color w:val="000000"/>
                <w:sz w:val="24"/>
                <w:szCs w:val="24"/>
                <w:vertAlign w:val="subscript"/>
                <w:lang w:val="zh-CN"/>
              </w:rPr>
              <w:t>v1</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18"/>
                <w:szCs w:val="24"/>
                <w:lang w:val="zh-CN"/>
              </w:rPr>
              <w:t>(N/mm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346</w:t>
            </w:r>
          </w:p>
        </w:tc>
      </w:tr>
    </w:tbl>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参考GB50017-2017，对销轴进行如下验算：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由附墙杆内力计算章节可知，作用于销轴截面的最大剪力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F=max{N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}=237.661kN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（1）销轴承压强度</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c</w:t>
      </w:r>
      <w:r>
        <w:rPr>
          <w:rFonts w:hint="eastAsia" w:ascii="Times New Roman" w:hAnsi="Times New Roman" w:eastAsia="Times New Roman"/>
          <w:color w:val="000000"/>
          <w:sz w:val="24"/>
          <w:szCs w:val="24"/>
          <w:lang w:val="zh-CN"/>
        </w:rPr>
        <w:t>=F/(d</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t)=237.661×10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/(60×20)=198.051N/mm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≤305N/mm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销轴承压强度满足要求！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（2）销轴抗剪强度</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τ</w:t>
      </w:r>
      <w:r>
        <w:rPr>
          <w:rFonts w:hint="eastAsia" w:ascii="Times New Roman" w:hAnsi="Times New Roman" w:eastAsia="Times New Roman"/>
          <w:color w:val="000000"/>
          <w:sz w:val="24"/>
          <w:szCs w:val="24"/>
          <w:vertAlign w:val="subscript"/>
          <w:lang w:val="zh-CN"/>
        </w:rPr>
        <w:t>b</w:t>
      </w:r>
      <w:r>
        <w:rPr>
          <w:rFonts w:hint="eastAsia" w:ascii="Times New Roman" w:hAnsi="Times New Roman" w:eastAsia="Times New Roman"/>
          <w:color w:val="000000"/>
          <w:sz w:val="24"/>
          <w:szCs w:val="24"/>
          <w:lang w:val="zh-CN"/>
        </w:rPr>
        <w:t>=F/(n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πd</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/4)=237.661×10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/(2×3.142×60</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/4)=42.028N/mm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v1</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=346N/mm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销轴抗剪强度满足要求！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5、连接钢板焊缝计算</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4710"/>
        <w:gridCol w:w="47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连接钢板角焊缝焊脚尺寸h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连接钢板角焊缝强度设计值f</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vertAlign w:val="superscript"/>
                <w:lang w:val="zh-CN"/>
              </w:rPr>
              <w:t>w</w:t>
            </w:r>
            <w:r>
              <w:rPr>
                <w:rFonts w:hint="eastAsia" w:ascii="Times New Roman" w:hAnsi="Times New Roman" w:eastAsia="Times New Roman"/>
                <w:color w:val="000000"/>
                <w:sz w:val="18"/>
                <w:szCs w:val="24"/>
                <w:lang w:val="zh-CN"/>
              </w:rPr>
              <w:t>(N/mm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连接板耳板排数</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单吊耳板底部宽度l</w:t>
            </w:r>
            <w:r>
              <w:rPr>
                <w:rFonts w:hint="eastAsia" w:ascii="Times New Roman" w:hAnsi="Times New Roman" w:eastAsia="Times New Roman"/>
                <w:color w:val="000000"/>
                <w:sz w:val="24"/>
                <w:szCs w:val="24"/>
                <w:vertAlign w:val="subscript"/>
                <w:lang w:val="zh-CN"/>
              </w:rPr>
              <w:t>c</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250</w:t>
            </w:r>
          </w:p>
        </w:tc>
      </w:tr>
    </w:tbl>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（1）单吊耳板位置焊缝验算：</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附着点1：</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连接钢板吊耳板排数为2，则</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计算连接钢板与吊耳板连接位置焊缝应力为:</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N</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)]=(237.661×10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/2)/[2×0.7×8×(250-2×8)]=45.341N/mm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τ</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=(V</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)]=(11.661×10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/2)/[2×0.7×8×(250-2×8)]=2.225N/mm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M</w:t>
      </w:r>
      <w:r>
        <w:rPr>
          <w:rFonts w:hint="eastAsia" w:ascii="Times New Roman" w:hAnsi="Times New Roman" w:eastAsia="Times New Roman"/>
          <w:color w:val="000000"/>
          <w:sz w:val="24"/>
          <w:szCs w:val="24"/>
          <w:lang w:val="zh-CN"/>
        </w:rPr>
        <w:t>=M/W=(V</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L/2)/[2×0.7h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/6]=(11.661×10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×150/2)/[2×0.7×8×(250-2×8)</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/6]=8.556N/mm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连接钢板与吊耳板连接位置焊缝的应力验算：</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N</w:t>
      </w:r>
      <w:r>
        <w:rPr>
          <w:rFonts w:hint="eastAsia" w:ascii="Times New Roman" w:hAnsi="Times New Roman" w:eastAsia="Times New Roman"/>
          <w:color w:val="000000"/>
          <w:sz w:val="24"/>
          <w:szCs w:val="24"/>
          <w:lang w:val="zh-CN"/>
        </w:rPr>
        <w:t>+σ</w:t>
      </w:r>
      <w:r>
        <w:rPr>
          <w:rFonts w:hint="eastAsia" w:ascii="Times New Roman" w:hAnsi="Times New Roman" w:eastAsia="Times New Roman"/>
          <w:color w:val="000000"/>
          <w:sz w:val="24"/>
          <w:szCs w:val="24"/>
          <w:vertAlign w:val="subscript"/>
          <w:lang w:val="zh-CN"/>
        </w:rPr>
        <w:t>M</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+τ</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=[((45.341+8.556)/1.22)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+2.225</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=44.234N/mm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vertAlign w:val="superscript"/>
          <w:lang w:val="zh-CN"/>
        </w:rPr>
        <w:t>w</w:t>
      </w:r>
      <w:r>
        <w:rPr>
          <w:rFonts w:hint="eastAsia" w:ascii="Times New Roman" w:hAnsi="Times New Roman" w:eastAsia="Times New Roman"/>
          <w:color w:val="000000"/>
          <w:sz w:val="24"/>
          <w:szCs w:val="24"/>
          <w:lang w:val="zh-CN"/>
        </w:rPr>
        <w:t>=160N/mm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附着点1：连接钢板焊缝强度满足要求！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附着点2：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连接钢板吊耳板排数为2，则</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计算连接钢板与吊耳板连接位置焊缝应力为:</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N</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)]=(139.354×10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/2)/[2×0.7×8×(250-2×8)]=26.586N/mm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τ</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=(V</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)]=(74.281×10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/2)/[2×0.7×8×(250-2×8)]=14.171N/mm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M</w:t>
      </w:r>
      <w:r>
        <w:rPr>
          <w:rFonts w:hint="eastAsia" w:ascii="Times New Roman" w:hAnsi="Times New Roman" w:eastAsia="Times New Roman"/>
          <w:color w:val="000000"/>
          <w:sz w:val="24"/>
          <w:szCs w:val="24"/>
          <w:lang w:val="zh-CN"/>
        </w:rPr>
        <w:t>=M/W=(V</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L/2)/[2×0.7h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/6]=(74.281×10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×150/2)/[2×0.7×8×(250-2×8)</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/6]=54.505N/mm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连接钢板与吊耳板连接位置焊缝的应力验算：</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N</w:t>
      </w:r>
      <w:r>
        <w:rPr>
          <w:rFonts w:hint="eastAsia" w:ascii="Times New Roman" w:hAnsi="Times New Roman" w:eastAsia="Times New Roman"/>
          <w:color w:val="000000"/>
          <w:sz w:val="24"/>
          <w:szCs w:val="24"/>
          <w:lang w:val="zh-CN"/>
        </w:rPr>
        <w:t>+σ</w:t>
      </w:r>
      <w:r>
        <w:rPr>
          <w:rFonts w:hint="eastAsia" w:ascii="Times New Roman" w:hAnsi="Times New Roman" w:eastAsia="Times New Roman"/>
          <w:color w:val="000000"/>
          <w:sz w:val="24"/>
          <w:szCs w:val="24"/>
          <w:vertAlign w:val="subscript"/>
          <w:lang w:val="zh-CN"/>
        </w:rPr>
        <w:t>M</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+τ</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=[((26.586+54.505)/1.22)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+14.171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=67.962N/mm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vertAlign w:val="superscript"/>
          <w:lang w:val="zh-CN"/>
        </w:rPr>
        <w:t>w</w:t>
      </w:r>
      <w:r>
        <w:rPr>
          <w:rFonts w:hint="eastAsia" w:ascii="Times New Roman" w:hAnsi="Times New Roman" w:eastAsia="Times New Roman"/>
          <w:color w:val="000000"/>
          <w:sz w:val="24"/>
          <w:szCs w:val="24"/>
          <w:lang w:val="zh-CN"/>
        </w:rPr>
        <w:t>=160N/mm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附着点2：连接钢板焊缝强度满足要求！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附着点3：</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连接钢板吊耳板排数为2，则</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计算连接钢板与吊耳板连接位置焊缝应力为:</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N</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)]=(198.287×10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/2)/[2×0.7×8×(250-2×8)]=37.829N/mm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τ</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=(V</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)]=(130.714×10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/2)/[2×0.7×8×(250-2×8)]=24.938N/mm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M</w:t>
      </w:r>
      <w:r>
        <w:rPr>
          <w:rFonts w:hint="eastAsia" w:ascii="Times New Roman" w:hAnsi="Times New Roman" w:eastAsia="Times New Roman"/>
          <w:color w:val="000000"/>
          <w:sz w:val="24"/>
          <w:szCs w:val="24"/>
          <w:lang w:val="zh-CN"/>
        </w:rPr>
        <w:t>=M/W=(V</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L/2)/[2×0.7h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/6]=(130.714×10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×150/2)/[2×0.7×8×(250-2×8)</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/6]=95.914N/mm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连接钢板与吊耳板连接位置焊缝的应力验算：</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N</w:t>
      </w:r>
      <w:r>
        <w:rPr>
          <w:rFonts w:hint="eastAsia" w:ascii="Times New Roman" w:hAnsi="Times New Roman" w:eastAsia="Times New Roman"/>
          <w:color w:val="000000"/>
          <w:sz w:val="24"/>
          <w:szCs w:val="24"/>
          <w:lang w:val="zh-CN"/>
        </w:rPr>
        <w:t>+σ</w:t>
      </w:r>
      <w:r>
        <w:rPr>
          <w:rFonts w:hint="eastAsia" w:ascii="Times New Roman" w:hAnsi="Times New Roman" w:eastAsia="Times New Roman"/>
          <w:color w:val="000000"/>
          <w:sz w:val="24"/>
          <w:szCs w:val="24"/>
          <w:vertAlign w:val="subscript"/>
          <w:lang w:val="zh-CN"/>
        </w:rPr>
        <w:t>M</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+τ</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=[((37.829+95.914)/1.22)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+24.938</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=112.426N/mm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vertAlign w:val="superscript"/>
          <w:lang w:val="zh-CN"/>
        </w:rPr>
        <w:t>w</w:t>
      </w:r>
      <w:r>
        <w:rPr>
          <w:rFonts w:hint="eastAsia" w:ascii="Times New Roman" w:hAnsi="Times New Roman" w:eastAsia="Times New Roman"/>
          <w:color w:val="000000"/>
          <w:sz w:val="24"/>
          <w:szCs w:val="24"/>
          <w:lang w:val="zh-CN"/>
        </w:rPr>
        <w:t>=160N/mm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附着点3：连接钢板焊缝强度满足要求！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附着点4：</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连接钢板吊耳板排数为2，则</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计算连接钢板与吊耳板连接位置焊缝应力为:</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N</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)]=(105.883×10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/2)/[2×0.7×8×(250-2×8)]=20.201N/mm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τ</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=(V</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)]=(55.059×10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/2)/[2×0.7×8×(250-2×8)]=10.504N/mm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M</w:t>
      </w:r>
      <w:r>
        <w:rPr>
          <w:rFonts w:hint="eastAsia" w:ascii="Times New Roman" w:hAnsi="Times New Roman" w:eastAsia="Times New Roman"/>
          <w:color w:val="000000"/>
          <w:sz w:val="24"/>
          <w:szCs w:val="24"/>
          <w:lang w:val="zh-CN"/>
        </w:rPr>
        <w:t>=M/W=(V</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L/2)/[2×0.7h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/6]=(55.059×10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×150/2)/[2×0.7×8×(250-2×8)</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/6]=40.401N/mm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连接钢板与吊耳板连接位置焊缝的应力验算：</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N</w:t>
      </w:r>
      <w:r>
        <w:rPr>
          <w:rFonts w:hint="eastAsia" w:ascii="Times New Roman" w:hAnsi="Times New Roman" w:eastAsia="Times New Roman"/>
          <w:color w:val="000000"/>
          <w:sz w:val="24"/>
          <w:szCs w:val="24"/>
          <w:lang w:val="zh-CN"/>
        </w:rPr>
        <w:t>+σ</w:t>
      </w:r>
      <w:r>
        <w:rPr>
          <w:rFonts w:hint="eastAsia" w:ascii="Times New Roman" w:hAnsi="Times New Roman" w:eastAsia="Times New Roman"/>
          <w:color w:val="000000"/>
          <w:sz w:val="24"/>
          <w:szCs w:val="24"/>
          <w:vertAlign w:val="subscript"/>
          <w:lang w:val="zh-CN"/>
        </w:rPr>
        <w:t>M</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+τ</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=[((20.201+40.401)/1.22)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+10.504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=50.772N/mm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vertAlign w:val="superscript"/>
          <w:lang w:val="zh-CN"/>
        </w:rPr>
        <w:t>w</w:t>
      </w:r>
      <w:r>
        <w:rPr>
          <w:rFonts w:hint="eastAsia" w:ascii="Times New Roman" w:hAnsi="Times New Roman" w:eastAsia="Times New Roman"/>
          <w:color w:val="000000"/>
          <w:sz w:val="24"/>
          <w:szCs w:val="24"/>
          <w:lang w:val="zh-CN"/>
        </w:rPr>
        <w:t>=160N/mm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附着点4：连接钢板焊缝强度满足要求！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附图如下：</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6096000" cy="3638550"/>
            <wp:effectExtent l="0" t="0" r="0" b="3810"/>
            <wp:docPr id="12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34"/>
                    <pic:cNvPicPr>
                      <a:picLocks noChangeAspect="1"/>
                    </pic:cNvPicPr>
                  </pic:nvPicPr>
                  <pic:blipFill>
                    <a:blip r:embed="rId141"/>
                    <a:stretch>
                      <a:fillRect/>
                    </a:stretch>
                  </pic:blipFill>
                  <pic:spPr>
                    <a:xfrm>
                      <a:off x="0" y="0"/>
                      <a:ext cx="6096000" cy="363855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fldChar w:fldCharType="begin"/>
      </w:r>
      <w:r>
        <w:rPr>
          <w:rFonts w:hint="eastAsia" w:ascii="Times New Roman" w:hAnsi="Times New Roman" w:eastAsia="Times New Roman"/>
          <w:color w:val="000000"/>
          <w:sz w:val="24"/>
          <w:szCs w:val="24"/>
          <w:lang w:val="zh-CN"/>
        </w:rPr>
        <w:instrText xml:space="preserve">HYPERLINK "D:\\品茗建筑云安全计算软件V1.4.2\\OutPut\\塔机附着节点详图-单吊耳板.dwg"</w:instrText>
      </w:r>
      <w:r>
        <w:rPr>
          <w:rFonts w:hint="eastAsia" w:ascii="Times New Roman" w:hAnsi="Times New Roman" w:eastAsia="Times New Roman"/>
          <w:color w:val="000000"/>
          <w:sz w:val="24"/>
          <w:szCs w:val="24"/>
          <w:lang w:val="zh-CN"/>
        </w:rPr>
        <w:fldChar w:fldCharType="separate"/>
      </w:r>
      <w:r>
        <w:rPr>
          <w:rFonts w:hint="eastAsia" w:ascii="Times New Roman" w:hAnsi="Times New Roman" w:eastAsia="Times New Roman"/>
          <w:color w:val="000080"/>
          <w:sz w:val="24"/>
          <w:szCs w:val="24"/>
          <w:u w:val="single"/>
          <w:lang w:val="zh-CN"/>
        </w:rPr>
        <w:t>塔机附着节点详图-单吊耳板</w:t>
      </w:r>
      <w:r>
        <w:rPr>
          <w:rFonts w:hint="eastAsia" w:ascii="Times New Roman" w:hAnsi="Times New Roman" w:eastAsia="Times New Roman"/>
          <w:color w:val="000080"/>
          <w:sz w:val="24"/>
          <w:szCs w:val="24"/>
          <w:u w:val="single"/>
          <w:lang w:val="zh-CN"/>
        </w:rPr>
        <w:fldChar w:fldCharType="end"/>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4886325" cy="4572000"/>
            <wp:effectExtent l="0" t="0" r="5715" b="0"/>
            <wp:docPr id="11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35"/>
                    <pic:cNvPicPr>
                      <a:picLocks noChangeAspect="1"/>
                    </pic:cNvPicPr>
                  </pic:nvPicPr>
                  <pic:blipFill>
                    <a:blip r:embed="rId142"/>
                    <a:stretch>
                      <a:fillRect/>
                    </a:stretch>
                  </pic:blipFill>
                  <pic:spPr>
                    <a:xfrm>
                      <a:off x="0" y="0"/>
                      <a:ext cx="4886325" cy="4572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fldChar w:fldCharType="begin"/>
      </w:r>
      <w:r>
        <w:rPr>
          <w:rFonts w:hint="eastAsia" w:ascii="Times New Roman" w:hAnsi="Times New Roman" w:eastAsia="Times New Roman"/>
          <w:color w:val="000000"/>
          <w:sz w:val="24"/>
          <w:szCs w:val="24"/>
          <w:lang w:val="zh-CN"/>
        </w:rPr>
        <w:instrText xml:space="preserve">HYPERLINK "D:\\品茗建筑云安全计算软件V1.4.2\\OutPut\\塔机附着节点剖面图-单吊耳板.dwg"</w:instrText>
      </w:r>
      <w:r>
        <w:rPr>
          <w:rFonts w:hint="eastAsia" w:ascii="Times New Roman" w:hAnsi="Times New Roman" w:eastAsia="Times New Roman"/>
          <w:color w:val="000000"/>
          <w:sz w:val="24"/>
          <w:szCs w:val="24"/>
          <w:lang w:val="zh-CN"/>
        </w:rPr>
        <w:fldChar w:fldCharType="separate"/>
      </w:r>
      <w:r>
        <w:rPr>
          <w:rFonts w:hint="eastAsia" w:ascii="Times New Roman" w:hAnsi="Times New Roman" w:eastAsia="Times New Roman"/>
          <w:color w:val="000080"/>
          <w:sz w:val="24"/>
          <w:szCs w:val="24"/>
          <w:u w:val="single"/>
          <w:lang w:val="zh-CN"/>
        </w:rPr>
        <w:t>塔机附着节点剖面图-单吊耳板</w:t>
      </w:r>
      <w:r>
        <w:rPr>
          <w:rFonts w:hint="eastAsia" w:ascii="Times New Roman" w:hAnsi="Times New Roman" w:eastAsia="Times New Roman"/>
          <w:color w:val="000080"/>
          <w:sz w:val="24"/>
          <w:szCs w:val="24"/>
          <w:u w:val="single"/>
          <w:lang w:val="zh-CN"/>
        </w:rPr>
        <w:fldChar w:fldCharType="end"/>
      </w:r>
    </w:p>
    <w:p>
      <w:pPr>
        <w:spacing w:before="0" w:beforeLines="0" w:after="0" w:afterLines="0" w:line="360" w:lineRule="auto"/>
        <w:jc w:val="center"/>
        <w:rPr>
          <w:rFonts w:hint="eastAsia" w:ascii="Times New Roman" w:hAnsi="Times New Roman" w:eastAsia="Times New Roman"/>
          <w:color w:val="000080"/>
          <w:sz w:val="24"/>
          <w:szCs w:val="24"/>
          <w:u w:val="single"/>
          <w:lang w:val="zh-CN"/>
        </w:rPr>
      </w:pPr>
    </w:p>
    <w:p>
      <w:pPr>
        <w:rPr>
          <w:rFonts w:hint="eastAsia"/>
          <w:lang w:val="zh-CN"/>
        </w:rPr>
      </w:pPr>
      <w:r>
        <w:rPr>
          <w:rFonts w:hint="eastAsia"/>
          <w:lang w:val="zh-CN"/>
        </w:rPr>
        <w:br w:type="page"/>
      </w:r>
    </w:p>
    <w:p>
      <w:pPr>
        <w:pStyle w:val="4"/>
        <w:bidi w:val="0"/>
        <w:rPr>
          <w:rFonts w:hint="eastAsia"/>
          <w:lang w:val="zh-CN"/>
        </w:rPr>
      </w:pPr>
      <w:r>
        <w:rPr>
          <w:rFonts w:hint="eastAsia"/>
          <w:lang w:val="zh-CN"/>
        </w:rPr>
        <w:t>右12#墩塔机附着验算计算书</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计算依据：</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1、《塔式起重机混凝土基础工程技术标准》JGJ/T187-2019</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2、《钢结构设计标准》GB50017-2017</w:t>
      </w:r>
    </w:p>
    <w:p>
      <w:pPr>
        <w:spacing w:before="0" w:beforeLines="0" w:after="0" w:afterLines="0" w:line="360" w:lineRule="auto"/>
        <w:rPr>
          <w:rFonts w:hint="eastAsia" w:ascii="Times New Roman" w:hAnsi="Times New Roman" w:eastAsia="Times New Roman"/>
          <w:b/>
          <w:color w:val="000000"/>
          <w:sz w:val="28"/>
          <w:szCs w:val="24"/>
          <w:lang w:val="zh-CN"/>
        </w:rPr>
      </w:pPr>
      <w:r>
        <w:rPr>
          <w:rFonts w:hint="eastAsia" w:ascii="Times New Roman" w:hAnsi="Times New Roman" w:eastAsia="Times New Roman"/>
          <w:b/>
          <w:color w:val="000000"/>
          <w:sz w:val="28"/>
          <w:szCs w:val="24"/>
          <w:lang w:val="zh-CN"/>
        </w:rPr>
        <w:t xml:space="preserve"> 一、塔机附着杆参数</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3090"/>
        <w:gridCol w:w="1620"/>
        <w:gridCol w:w="3090"/>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塔机型号</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XGT6515-10S</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塔身桁架结构类型</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角钢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塔机计算高度H(m)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67.65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塔身宽度B(m)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起重臂长度l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57</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平衡臂长度l</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起重臂与平衡臂截面计算高度h(m)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1.06</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工作状态时扭矩标准值T</w:t>
            </w:r>
            <w:r>
              <w:rPr>
                <w:rFonts w:hint="eastAsia" w:ascii="Times New Roman" w:hAnsi="Times New Roman" w:eastAsia="Times New Roman"/>
                <w:color w:val="000000"/>
                <w:sz w:val="24"/>
                <w:szCs w:val="24"/>
                <w:vertAlign w:val="subscript"/>
                <w:lang w:val="zh-CN"/>
              </w:rPr>
              <w:t>k1</w:t>
            </w:r>
            <w:r>
              <w:rPr>
                <w:rFonts w:hint="eastAsia" w:ascii="Times New Roman" w:hAnsi="Times New Roman" w:eastAsia="Times New Roman"/>
                <w:color w:val="000000"/>
                <w:sz w:val="18"/>
                <w:szCs w:val="24"/>
                <w:lang w:val="zh-CN"/>
              </w:rPr>
              <w:t>(包含风荷载扭矩)(kN·m)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422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工作状态下不平衡自重引起的倾覆力矩标准值M</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18"/>
                <w:szCs w:val="24"/>
                <w:lang w:val="zh-CN"/>
              </w:rPr>
              <w:t>(kN·m)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1626.5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非工作状态下不平衡自重引起的倾覆力矩标准值M</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18"/>
                <w:szCs w:val="24"/>
                <w:lang w:val="zh-CN"/>
              </w:rPr>
              <w:t>'(kN*m)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2097.9(反向)</w:t>
            </w:r>
          </w:p>
        </w:tc>
      </w:tr>
    </w:tbl>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3090"/>
        <w:gridCol w:w="1620"/>
        <w:gridCol w:w="3090"/>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附着杆数</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四杆附着</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附墙杆类型</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Ⅴ类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附墙杆截面类型</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格构柱</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塔身锚固环边长C(m)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2.4</w:t>
            </w:r>
          </w:p>
        </w:tc>
      </w:tr>
    </w:tbl>
    <w:p>
      <w:pPr>
        <w:spacing w:before="0" w:beforeLines="0" w:after="0" w:afterLines="0" w:line="360" w:lineRule="auto"/>
        <w:rPr>
          <w:rFonts w:hint="eastAsia" w:ascii="Times New Roman" w:hAnsi="Times New Roman" w:eastAsia="Times New Roman"/>
          <w:b/>
          <w:color w:val="000000"/>
          <w:sz w:val="28"/>
          <w:szCs w:val="24"/>
          <w:lang w:val="zh-CN"/>
        </w:rPr>
      </w:pPr>
      <w:r>
        <w:rPr>
          <w:rFonts w:hint="eastAsia" w:ascii="Times New Roman" w:hAnsi="Times New Roman" w:eastAsia="Times New Roman"/>
          <w:b/>
          <w:color w:val="000000"/>
          <w:sz w:val="28"/>
          <w:szCs w:val="24"/>
          <w:lang w:val="zh-CN"/>
        </w:rPr>
        <w:t xml:space="preserve"> 二、风荷载及附着参数</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3090"/>
        <w:gridCol w:w="1620"/>
        <w:gridCol w:w="3090"/>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附着次数N</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附着点1到塔机的横向距离a</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1.77</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点1到塔机的竖向距离b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7.57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附着点2到塔机的横向距离a</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3.05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点2到塔机的竖向距离b</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6.34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附着点3到塔机的横向距离a</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2.05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点3到塔机的竖向距离b</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9.18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附着点4到塔机的横向距离a</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1.06</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点4到塔机的竖向距离b</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工作状态基本风压ω</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18"/>
                <w:szCs w:val="24"/>
                <w:lang w:val="zh-CN"/>
              </w:rPr>
              <w:t>(kN/m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0.2</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非工作状态基本风压ω</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18"/>
                <w:szCs w:val="24"/>
                <w:lang w:val="zh-CN"/>
              </w:rPr>
              <w:t>'(kN/m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塔身前后片桁架的平均充实率α</w:t>
            </w:r>
            <w:r>
              <w:rPr>
                <w:rFonts w:hint="eastAsia" w:ascii="Times New Roman" w:hAnsi="Times New Roman" w:eastAsia="Times New Roman"/>
                <w:color w:val="000000"/>
                <w:sz w:val="24"/>
                <w:szCs w:val="24"/>
                <w:vertAlign w:val="subscript"/>
                <w:lang w:val="zh-CN"/>
              </w:rPr>
              <w:t>0</w:t>
            </w:r>
          </w:p>
        </w:tc>
        <w:tc>
          <w:tcPr>
            <w:tcW w:w="0" w:type="auto"/>
            <w:gridSpan w:val="3"/>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0.35</w:t>
            </w:r>
          </w:p>
        </w:tc>
      </w:tr>
    </w:tbl>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w:t>
      </w:r>
    </w:p>
    <w:tbl>
      <w:tblPr>
        <w:tblStyle w:val="40"/>
        <w:tblW w:w="1006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990"/>
        <w:gridCol w:w="1020"/>
        <w:gridCol w:w="990"/>
        <w:gridCol w:w="1020"/>
        <w:gridCol w:w="990"/>
        <w:gridCol w:w="1020"/>
        <w:gridCol w:w="990"/>
        <w:gridCol w:w="1020"/>
        <w:gridCol w:w="990"/>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第N次附着</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附着点高度h</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附着点净高h</w:t>
            </w:r>
            <w:r>
              <w:rPr>
                <w:rFonts w:hint="eastAsia" w:ascii="Times New Roman" w:hAnsi="Times New Roman" w:eastAsia="Times New Roman"/>
                <w:color w:val="000000"/>
                <w:sz w:val="24"/>
                <w:szCs w:val="24"/>
                <w:vertAlign w:val="subscript"/>
                <w:lang w:val="zh-CN"/>
              </w:rPr>
              <w:t>01</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风压等效高度变化系数μ</w:t>
            </w:r>
            <w:r>
              <w:rPr>
                <w:rFonts w:hint="eastAsia" w:ascii="Times New Roman" w:hAnsi="Times New Roman" w:eastAsia="Times New Roman"/>
                <w:color w:val="000000"/>
                <w:sz w:val="24"/>
                <w:szCs w:val="24"/>
                <w:vertAlign w:val="subscript"/>
                <w:lang w:val="zh-CN"/>
              </w:rPr>
              <w:t>z</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工作状态风荷载体型系数μ</w:t>
            </w:r>
            <w:r>
              <w:rPr>
                <w:rFonts w:hint="eastAsia" w:ascii="Times New Roman" w:hAnsi="Times New Roman" w:eastAsia="Times New Roman"/>
                <w:color w:val="000000"/>
                <w:sz w:val="24"/>
                <w:szCs w:val="24"/>
                <w:vertAlign w:val="subscript"/>
                <w:lang w:val="zh-CN"/>
              </w:rPr>
              <w:t>s</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非工作状态风荷载体型系数μ</w:t>
            </w:r>
            <w:r>
              <w:rPr>
                <w:rFonts w:hint="eastAsia" w:ascii="Times New Roman" w:hAnsi="Times New Roman" w:eastAsia="Times New Roman"/>
                <w:color w:val="000000"/>
                <w:sz w:val="24"/>
                <w:szCs w:val="24"/>
                <w:vertAlign w:val="subscript"/>
                <w:lang w:val="zh-CN"/>
              </w:rPr>
              <w:t>s</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工作状态风振系数β</w:t>
            </w:r>
            <w:r>
              <w:rPr>
                <w:rFonts w:hint="eastAsia" w:ascii="Times New Roman" w:hAnsi="Times New Roman" w:eastAsia="Times New Roman"/>
                <w:color w:val="000000"/>
                <w:sz w:val="24"/>
                <w:szCs w:val="24"/>
                <w:vertAlign w:val="subscript"/>
                <w:lang w:val="zh-CN"/>
              </w:rPr>
              <w:t>z</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非工作状态风振系数β</w:t>
            </w:r>
            <w:r>
              <w:rPr>
                <w:rFonts w:hint="eastAsia" w:ascii="Times New Roman" w:hAnsi="Times New Roman" w:eastAsia="Times New Roman"/>
                <w:color w:val="000000"/>
                <w:sz w:val="24"/>
                <w:szCs w:val="24"/>
                <w:vertAlign w:val="subscript"/>
                <w:lang w:val="zh-CN"/>
              </w:rPr>
              <w:t>z</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工作状态风压等效均布线荷载标准值q</w:t>
            </w:r>
            <w:r>
              <w:rPr>
                <w:rFonts w:hint="eastAsia" w:ascii="Times New Roman" w:hAnsi="Times New Roman" w:eastAsia="Times New Roman"/>
                <w:color w:val="000000"/>
                <w:sz w:val="24"/>
                <w:szCs w:val="24"/>
                <w:vertAlign w:val="subscript"/>
                <w:lang w:val="zh-CN"/>
              </w:rPr>
              <w:t>sk</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非工作状态风压等效均布线荷载标准值q</w:t>
            </w:r>
            <w:r>
              <w:rPr>
                <w:rFonts w:hint="eastAsia" w:ascii="Times New Roman" w:hAnsi="Times New Roman" w:eastAsia="Times New Roman"/>
                <w:color w:val="000000"/>
                <w:sz w:val="24"/>
                <w:szCs w:val="24"/>
                <w:vertAlign w:val="subscript"/>
                <w:lang w:val="zh-CN"/>
              </w:rPr>
              <w:t>sk</w:t>
            </w:r>
            <w:r>
              <w:rPr>
                <w:rFonts w:hint="eastAsia" w:ascii="Times New Roman" w:hAnsi="Times New Roman" w:eastAsia="Times New Roman"/>
                <w:color w:val="000000"/>
                <w:sz w:val="18"/>
                <w:szCs w:val="24"/>
                <w:lang w:val="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第1次附着</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36.15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36.15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0.803</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1.95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1.95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1.776</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1.931</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0.374</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2.032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悬臂端</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67.65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31.5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1.005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1.95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1.95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1.737</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1.902</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0.458</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2.505</w:t>
            </w:r>
          </w:p>
        </w:tc>
      </w:tr>
    </w:tbl>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附图如下:</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3105150" cy="4572000"/>
            <wp:effectExtent l="0" t="0" r="3810" b="0"/>
            <wp:docPr id="8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3"/>
                    <pic:cNvPicPr>
                      <a:picLocks noChangeAspect="1"/>
                    </pic:cNvPicPr>
                  </pic:nvPicPr>
                  <pic:blipFill>
                    <a:blip r:embed="rId113"/>
                    <a:stretch>
                      <a:fillRect/>
                    </a:stretch>
                  </pic:blipFill>
                  <pic:spPr>
                    <a:xfrm>
                      <a:off x="0" y="0"/>
                      <a:ext cx="3105150" cy="4572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fldChar w:fldCharType="begin"/>
      </w:r>
      <w:r>
        <w:rPr>
          <w:rFonts w:hint="eastAsia" w:ascii="Times New Roman" w:hAnsi="Times New Roman" w:eastAsia="Times New Roman"/>
          <w:color w:val="000000"/>
          <w:sz w:val="24"/>
          <w:szCs w:val="24"/>
          <w:lang w:val="zh-CN"/>
        </w:rPr>
        <w:instrText xml:space="preserve">HYPERLINK "D:\\品茗建筑云安全计算软件V1.4.2\\OutPut\\塔机附着立面图.dwg"</w:instrText>
      </w:r>
      <w:r>
        <w:rPr>
          <w:rFonts w:hint="eastAsia" w:ascii="Times New Roman" w:hAnsi="Times New Roman" w:eastAsia="Times New Roman"/>
          <w:color w:val="000000"/>
          <w:sz w:val="24"/>
          <w:szCs w:val="24"/>
          <w:lang w:val="zh-CN"/>
        </w:rPr>
        <w:fldChar w:fldCharType="separate"/>
      </w:r>
      <w:r>
        <w:rPr>
          <w:rFonts w:hint="eastAsia" w:ascii="Times New Roman" w:hAnsi="Times New Roman" w:eastAsia="Times New Roman"/>
          <w:color w:val="000080"/>
          <w:sz w:val="24"/>
          <w:szCs w:val="24"/>
          <w:u w:val="single"/>
          <w:lang w:val="zh-CN"/>
        </w:rPr>
        <w:t>塔机附着立面图</w:t>
      </w:r>
      <w:r>
        <w:rPr>
          <w:rFonts w:hint="eastAsia" w:ascii="Times New Roman" w:hAnsi="Times New Roman" w:eastAsia="Times New Roman"/>
          <w:color w:val="000080"/>
          <w:sz w:val="24"/>
          <w:szCs w:val="24"/>
          <w:u w:val="single"/>
          <w:lang w:val="zh-CN"/>
        </w:rPr>
        <w:fldChar w:fldCharType="end"/>
      </w:r>
    </w:p>
    <w:p>
      <w:pPr>
        <w:spacing w:before="0" w:beforeLines="0" w:after="0" w:afterLines="0" w:line="360" w:lineRule="auto"/>
        <w:rPr>
          <w:rFonts w:hint="eastAsia" w:ascii="Times New Roman" w:hAnsi="Times New Roman" w:eastAsia="Times New Roman"/>
          <w:b/>
          <w:color w:val="000000"/>
          <w:sz w:val="28"/>
          <w:szCs w:val="24"/>
          <w:lang w:val="zh-CN"/>
        </w:rPr>
      </w:pPr>
      <w:r>
        <w:rPr>
          <w:rFonts w:hint="eastAsia" w:ascii="Times New Roman" w:hAnsi="Times New Roman" w:eastAsia="Times New Roman"/>
          <w:b/>
          <w:color w:val="000000"/>
          <w:sz w:val="28"/>
          <w:szCs w:val="24"/>
          <w:lang w:val="zh-CN"/>
        </w:rPr>
        <w:t xml:space="preserve"> 三、工作状态下附墙杆内力计算</w:t>
      </w:r>
    </w:p>
    <w:p>
      <w:pPr>
        <w:spacing w:before="0" w:beforeLines="0" w:after="0" w:afterLines="0" w:line="360" w:lineRule="auto"/>
        <w:rPr>
          <w:rFonts w:hint="eastAsia" w:ascii="Times New Roman" w:hAnsi="Times New Roman" w:eastAsia="Times New Roman"/>
          <w:color w:val="000000"/>
          <w:sz w:val="24"/>
          <w:szCs w:val="24"/>
          <w:vertAlign w:val="subscript"/>
          <w:lang w:val="zh-CN"/>
        </w:rPr>
      </w:pPr>
      <w:r>
        <w:rPr>
          <w:rFonts w:hint="eastAsia" w:ascii="Times New Roman" w:hAnsi="Times New Roman" w:eastAsia="Times New Roman"/>
          <w:b/>
          <w:color w:val="000000"/>
          <w:sz w:val="24"/>
          <w:szCs w:val="24"/>
          <w:lang w:val="zh-CN"/>
        </w:rPr>
        <w:t xml:space="preserve">  1、扭矩组合标准值T</w:t>
      </w:r>
      <w:r>
        <w:rPr>
          <w:rFonts w:hint="eastAsia" w:ascii="Times New Roman" w:hAnsi="Times New Roman" w:eastAsia="Times New Roman"/>
          <w:color w:val="000000"/>
          <w:sz w:val="24"/>
          <w:szCs w:val="24"/>
          <w:vertAlign w:val="subscript"/>
          <w:lang w:val="zh-CN"/>
        </w:rPr>
        <w:t>k</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回转惯性力及风荷载产出的扭矩标准值：</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k1</w:t>
      </w:r>
      <w:r>
        <w:rPr>
          <w:rFonts w:hint="eastAsia" w:ascii="Times New Roman" w:hAnsi="Times New Roman" w:eastAsia="Times New Roman"/>
          <w:color w:val="000000"/>
          <w:sz w:val="24"/>
          <w:szCs w:val="24"/>
          <w:lang w:val="zh-CN"/>
        </w:rPr>
        <w:t>=422kN·m</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2、附着支座反力计算</w:t>
      </w:r>
    </w:p>
    <w:p>
      <w:pPr>
        <w:spacing w:before="0" w:beforeLines="0" w:after="0" w:afterLines="0" w:line="360" w:lineRule="auto"/>
        <w:jc w:val="center"/>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drawing>
          <wp:inline distT="0" distB="0" distL="114300" distR="114300">
            <wp:extent cx="5715000" cy="1905000"/>
            <wp:effectExtent l="0" t="0" r="0" b="0"/>
            <wp:docPr id="8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4"/>
                    <pic:cNvPicPr>
                      <a:picLocks noChangeAspect="1"/>
                    </pic:cNvPicPr>
                  </pic:nvPicPr>
                  <pic:blipFill>
                    <a:blip r:embed="rId125"/>
                    <a:stretch>
                      <a:fillRect/>
                    </a:stretch>
                  </pic:blipFill>
                  <pic:spPr>
                    <a:xfrm>
                      <a:off x="0" y="0"/>
                      <a:ext cx="5715000" cy="1905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计算简图</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5715000" cy="1905000"/>
            <wp:effectExtent l="0" t="0" r="0" b="0"/>
            <wp:docPr id="8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5"/>
                    <pic:cNvPicPr>
                      <a:picLocks noChangeAspect="1"/>
                    </pic:cNvPicPr>
                  </pic:nvPicPr>
                  <pic:blipFill>
                    <a:blip r:embed="rId126"/>
                    <a:stretch>
                      <a:fillRect/>
                    </a:stretch>
                  </pic:blipFill>
                  <pic:spPr>
                    <a:xfrm>
                      <a:off x="0" y="0"/>
                      <a:ext cx="5715000" cy="1905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剪力图</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得：R</w:t>
      </w:r>
      <w:r>
        <w:rPr>
          <w:rFonts w:hint="eastAsia" w:ascii="Times New Roman" w:hAnsi="Times New Roman" w:eastAsia="Times New Roman"/>
          <w:color w:val="000000"/>
          <w:sz w:val="24"/>
          <w:szCs w:val="24"/>
          <w:vertAlign w:val="subscript"/>
          <w:lang w:val="zh-CN"/>
        </w:rPr>
        <w:t>E</w:t>
      </w:r>
      <w:r>
        <w:rPr>
          <w:rFonts w:hint="eastAsia" w:ascii="Times New Roman" w:hAnsi="Times New Roman" w:eastAsia="Times New Roman"/>
          <w:color w:val="000000"/>
          <w:sz w:val="24"/>
          <w:szCs w:val="24"/>
          <w:lang w:val="zh-CN"/>
        </w:rPr>
        <w:t>=94.53kN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在工作状态下，塔机起重臂位置的不确定性以及风向的随机性，在计算支座2处锚固环截面内力时需考虑塔身承受双向的风荷载和倾覆力矩及扭矩。</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3、附墙杆内力计算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支座2处锚固环的截面扭矩T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（考虑塔机产生的扭矩由支座2处的附墙杆承担）,水平内力N</w:t>
      </w:r>
      <w:r>
        <w:rPr>
          <w:rFonts w:hint="eastAsia" w:ascii="Times New Roman" w:hAnsi="Times New Roman" w:eastAsia="Times New Roman"/>
          <w:color w:val="000000"/>
          <w:sz w:val="24"/>
          <w:szCs w:val="24"/>
          <w:vertAlign w:val="subscript"/>
          <w:lang w:val="zh-CN"/>
        </w:rPr>
        <w:t>w</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R</w:t>
      </w:r>
      <w:r>
        <w:rPr>
          <w:rFonts w:hint="eastAsia" w:ascii="Times New Roman" w:hAnsi="Times New Roman" w:eastAsia="Times New Roman"/>
          <w:color w:val="000000"/>
          <w:sz w:val="24"/>
          <w:szCs w:val="24"/>
          <w:vertAlign w:val="subscript"/>
          <w:lang w:val="zh-CN"/>
        </w:rPr>
        <w:t>E</w:t>
      </w:r>
      <w:r>
        <w:rPr>
          <w:rFonts w:hint="eastAsia" w:ascii="Times New Roman" w:hAnsi="Times New Roman" w:eastAsia="Times New Roman"/>
          <w:color w:val="000000"/>
          <w:sz w:val="24"/>
          <w:szCs w:val="24"/>
          <w:lang w:val="zh-CN"/>
        </w:rPr>
        <w:t>=133.686kN。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计算简图：</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6096000" cy="4410075"/>
            <wp:effectExtent l="0" t="0" r="0" b="9525"/>
            <wp:docPr id="8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6"/>
                    <pic:cNvPicPr>
                      <a:picLocks noChangeAspect="1"/>
                    </pic:cNvPicPr>
                  </pic:nvPicPr>
                  <pic:blipFill>
                    <a:blip r:embed="rId116"/>
                    <a:stretch>
                      <a:fillRect/>
                    </a:stretch>
                  </pic:blipFill>
                  <pic:spPr>
                    <a:xfrm>
                      <a:off x="0" y="0"/>
                      <a:ext cx="6096000" cy="4410075"/>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fldChar w:fldCharType="begin"/>
      </w:r>
      <w:r>
        <w:rPr>
          <w:rFonts w:hint="eastAsia" w:ascii="Times New Roman" w:hAnsi="Times New Roman" w:eastAsia="Times New Roman"/>
          <w:color w:val="000000"/>
          <w:sz w:val="24"/>
          <w:szCs w:val="24"/>
          <w:lang w:val="zh-CN"/>
        </w:rPr>
        <w:instrText xml:space="preserve">HYPERLINK "D:\\品茗建筑云安全计算软件V1.4.2\\OutPut\\塔机附着示意图.dwg"</w:instrText>
      </w:r>
      <w:r>
        <w:rPr>
          <w:rFonts w:hint="eastAsia" w:ascii="Times New Roman" w:hAnsi="Times New Roman" w:eastAsia="Times New Roman"/>
          <w:color w:val="000000"/>
          <w:sz w:val="24"/>
          <w:szCs w:val="24"/>
          <w:lang w:val="zh-CN"/>
        </w:rPr>
        <w:fldChar w:fldCharType="separate"/>
      </w:r>
      <w:r>
        <w:rPr>
          <w:rFonts w:hint="eastAsia" w:ascii="Times New Roman" w:hAnsi="Times New Roman" w:eastAsia="Times New Roman"/>
          <w:color w:val="000080"/>
          <w:sz w:val="24"/>
          <w:szCs w:val="24"/>
          <w:u w:val="single"/>
          <w:lang w:val="zh-CN"/>
        </w:rPr>
        <w:t>塔机附着示意图</w:t>
      </w:r>
      <w:r>
        <w:rPr>
          <w:rFonts w:hint="eastAsia" w:ascii="Times New Roman" w:hAnsi="Times New Roman" w:eastAsia="Times New Roman"/>
          <w:color w:val="000080"/>
          <w:sz w:val="24"/>
          <w:szCs w:val="24"/>
          <w:u w:val="single"/>
          <w:lang w:val="zh-CN"/>
        </w:rPr>
        <w:fldChar w:fldCharType="end"/>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2552700" cy="4572000"/>
            <wp:effectExtent l="0" t="0" r="7620" b="0"/>
            <wp:docPr id="8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7"/>
                    <pic:cNvPicPr>
                      <a:picLocks noChangeAspect="1"/>
                    </pic:cNvPicPr>
                  </pic:nvPicPr>
                  <pic:blipFill>
                    <a:blip r:embed="rId127"/>
                    <a:stretch>
                      <a:fillRect/>
                    </a:stretch>
                  </pic:blipFill>
                  <pic:spPr>
                    <a:xfrm>
                      <a:off x="0" y="0"/>
                      <a:ext cx="2552700" cy="4572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fldChar w:fldCharType="begin"/>
      </w:r>
      <w:r>
        <w:rPr>
          <w:rFonts w:hint="eastAsia" w:ascii="Times New Roman" w:hAnsi="Times New Roman" w:eastAsia="Times New Roman"/>
          <w:color w:val="000000"/>
          <w:sz w:val="24"/>
          <w:szCs w:val="24"/>
          <w:lang w:val="zh-CN"/>
        </w:rPr>
        <w:instrText xml:space="preserve">HYPERLINK "D:\\品茗建筑云安全计算软件V1.4.2\\OutPut\\塔机附着平面图.dwg"</w:instrText>
      </w:r>
      <w:r>
        <w:rPr>
          <w:rFonts w:hint="eastAsia" w:ascii="Times New Roman" w:hAnsi="Times New Roman" w:eastAsia="Times New Roman"/>
          <w:color w:val="000000"/>
          <w:sz w:val="24"/>
          <w:szCs w:val="24"/>
          <w:lang w:val="zh-CN"/>
        </w:rPr>
        <w:fldChar w:fldCharType="separate"/>
      </w:r>
      <w:r>
        <w:rPr>
          <w:rFonts w:hint="eastAsia" w:ascii="Times New Roman" w:hAnsi="Times New Roman" w:eastAsia="Times New Roman"/>
          <w:color w:val="000080"/>
          <w:sz w:val="24"/>
          <w:szCs w:val="24"/>
          <w:u w:val="single"/>
          <w:lang w:val="zh-CN"/>
        </w:rPr>
        <w:t>塔机附着平面图</w:t>
      </w:r>
      <w:r>
        <w:rPr>
          <w:rFonts w:hint="eastAsia" w:ascii="Times New Roman" w:hAnsi="Times New Roman" w:eastAsia="Times New Roman"/>
          <w:color w:val="000080"/>
          <w:sz w:val="24"/>
          <w:szCs w:val="24"/>
          <w:u w:val="single"/>
          <w:lang w:val="zh-CN"/>
        </w:rPr>
        <w:fldChar w:fldCharType="end"/>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)=76.84°</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)=64.309°</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)=77.412°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)=84.688°</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β</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c/2))=65.392°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β</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c/2)/a</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)=69.219°</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β</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c/2)/a</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)=79.327°</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β</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c/2))=76.404°</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四杆附着属于一次超静定结构，用力法计算，切断T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杆并代以相应多余未知力X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=1。</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δ</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 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+Δ</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=1时，各杆件轴力计算：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/sinβ</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21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c/2)/sinβ</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31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c/2)/sinβ</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-1×sin(α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/sinβ</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21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21</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31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31</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×c/2)+1×sinα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×c/2)-1×sinα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×c/2)-1×cosα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当N</w:t>
      </w:r>
      <w:r>
        <w:rPr>
          <w:rFonts w:hint="eastAsia" w:ascii="Times New Roman" w:hAnsi="Times New Roman" w:eastAsia="Times New Roman"/>
          <w:color w:val="000000"/>
          <w:sz w:val="24"/>
          <w:szCs w:val="24"/>
          <w:vertAlign w:val="subscript"/>
          <w:lang w:val="zh-CN"/>
        </w:rPr>
        <w:t>w</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同时存在时，θ由0～360°循环，各杆件轴力计算：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/sinβ</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2p</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c/2)/sinβ</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3p</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c/2)/sinβ</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2p</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2p</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3p</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3p</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×c/2)+N</w:t>
      </w:r>
      <w:r>
        <w:rPr>
          <w:rFonts w:hint="eastAsia" w:ascii="Times New Roman" w:hAnsi="Times New Roman" w:eastAsia="Times New Roman"/>
          <w:color w:val="000000"/>
          <w:sz w:val="24"/>
          <w:szCs w:val="24"/>
          <w:vertAlign w:val="subscript"/>
          <w:lang w:val="zh-CN"/>
        </w:rPr>
        <w:t>w</w:t>
      </w:r>
      <w:r>
        <w:rPr>
          <w:rFonts w:hint="eastAsia" w:ascii="Times New Roman" w:hAnsi="Times New Roman" w:eastAsia="Times New Roman"/>
          <w:color w:val="000000"/>
          <w:sz w:val="24"/>
          <w:szCs w:val="24"/>
          <w:lang w:val="zh-CN"/>
        </w:rPr>
        <w:t>×sinθ×(2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×c/2)+N</w:t>
      </w:r>
      <w:r>
        <w:rPr>
          <w:rFonts w:hint="eastAsia" w:ascii="Times New Roman" w:hAnsi="Times New Roman" w:eastAsia="Times New Roman"/>
          <w:color w:val="000000"/>
          <w:sz w:val="24"/>
          <w:szCs w:val="24"/>
          <w:vertAlign w:val="subscript"/>
          <w:lang w:val="zh-CN"/>
        </w:rPr>
        <w:t>w</w:t>
      </w:r>
      <w:r>
        <w:rPr>
          <w:rFonts w:hint="eastAsia" w:ascii="Times New Roman" w:hAnsi="Times New Roman" w:eastAsia="Times New Roman"/>
          <w:color w:val="000000"/>
          <w:sz w:val="24"/>
          <w:szCs w:val="24"/>
          <w:lang w:val="zh-CN"/>
        </w:rPr>
        <w:t>×cosθ×(2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δ</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=Σ(T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L/(EA))=T</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)/(EA)+T</w:t>
      </w:r>
      <w:r>
        <w:rPr>
          <w:rFonts w:hint="eastAsia" w:ascii="Times New Roman" w:hAnsi="Times New Roman" w:eastAsia="Times New Roman"/>
          <w:color w:val="000000"/>
          <w:sz w:val="24"/>
          <w:szCs w:val="24"/>
          <w:vertAlign w:val="subscript"/>
          <w:lang w:val="zh-CN"/>
        </w:rPr>
        <w:t>21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)/(EA)+T</w:t>
      </w:r>
      <w:r>
        <w:rPr>
          <w:rFonts w:hint="eastAsia" w:ascii="Times New Roman" w:hAnsi="Times New Roman" w:eastAsia="Times New Roman"/>
          <w:color w:val="000000"/>
          <w:sz w:val="24"/>
          <w:szCs w:val="24"/>
          <w:vertAlign w:val="subscript"/>
          <w:lang w:val="zh-CN"/>
        </w:rPr>
        <w:t>31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)/(EA)+1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)/(EA)</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Δ</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=Σ(T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p</w:t>
      </w:r>
      <w:r>
        <w:rPr>
          <w:rFonts w:hint="eastAsia" w:ascii="Times New Roman" w:hAnsi="Times New Roman" w:eastAsia="Times New Roman"/>
          <w:color w:val="000000"/>
          <w:sz w:val="24"/>
          <w:szCs w:val="24"/>
          <w:lang w:val="zh-CN"/>
        </w:rPr>
        <w:t>L/(EA))=T</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)/(EA)+T</w:t>
      </w:r>
      <w:r>
        <w:rPr>
          <w:rFonts w:hint="eastAsia" w:ascii="Times New Roman" w:hAnsi="Times New Roman" w:eastAsia="Times New Roman"/>
          <w:color w:val="000000"/>
          <w:sz w:val="24"/>
          <w:szCs w:val="24"/>
          <w:vertAlign w:val="subscript"/>
          <w:lang w:val="zh-CN"/>
        </w:rPr>
        <w:t>21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2p</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)/(EA)+T</w:t>
      </w:r>
      <w:r>
        <w:rPr>
          <w:rFonts w:hint="eastAsia" w:ascii="Times New Roman" w:hAnsi="Times New Roman" w:eastAsia="Times New Roman"/>
          <w:color w:val="000000"/>
          <w:sz w:val="24"/>
          <w:szCs w:val="24"/>
          <w:vertAlign w:val="subscript"/>
          <w:lang w:val="zh-CN"/>
        </w:rPr>
        <w:t>31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3p</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)/(EA)</w:t>
      </w:r>
    </w:p>
    <w:p>
      <w:pPr>
        <w:spacing w:before="0" w:beforeLines="0" w:after="0" w:afterLines="0" w:line="360" w:lineRule="auto"/>
        <w:rPr>
          <w:rFonts w:hint="eastAsia" w:ascii="Times New Roman" w:hAnsi="Times New Roman" w:eastAsia="Times New Roman"/>
          <w:color w:val="000000"/>
          <w:sz w:val="24"/>
          <w:szCs w:val="24"/>
          <w:vertAlign w:val="subscript"/>
          <w:lang w:val="zh-CN"/>
        </w:rPr>
      </w:pPr>
      <w:r>
        <w:rPr>
          <w:rFonts w:hint="eastAsia" w:ascii="Times New Roman" w:hAnsi="Times New Roman" w:eastAsia="Times New Roman"/>
          <w:color w:val="000000"/>
          <w:sz w:val="24"/>
          <w:szCs w:val="24"/>
          <w:lang w:val="zh-CN"/>
        </w:rPr>
        <w:t xml:space="preserve">    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 -Δ</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/δ</w:t>
      </w:r>
      <w:r>
        <w:rPr>
          <w:rFonts w:hint="eastAsia" w:ascii="Times New Roman" w:hAnsi="Times New Roman" w:eastAsia="Times New Roman"/>
          <w:color w:val="000000"/>
          <w:sz w:val="24"/>
          <w:szCs w:val="24"/>
          <w:vertAlign w:val="subscript"/>
          <w:lang w:val="zh-CN"/>
        </w:rPr>
        <w:t>11</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各杆轴力计算公式如下：</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 T</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 T</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 T</w:t>
      </w:r>
      <w:r>
        <w:rPr>
          <w:rFonts w:hint="eastAsia" w:ascii="Times New Roman" w:hAnsi="Times New Roman" w:eastAsia="Times New Roman"/>
          <w:color w:val="000000"/>
          <w:sz w:val="24"/>
          <w:szCs w:val="24"/>
          <w:vertAlign w:val="subscript"/>
          <w:lang w:val="zh-CN"/>
        </w:rPr>
        <w:t>21</w:t>
      </w:r>
      <w:r>
        <w:rPr>
          <w:rFonts w:hint="eastAsia" w:ascii="Times New Roman" w:hAnsi="Times New Roman" w:eastAsia="Times New Roman"/>
          <w:color w:val="000000"/>
          <w:sz w:val="24"/>
          <w:szCs w:val="24"/>
          <w:lang w:val="zh-CN"/>
        </w:rPr>
        <w:t>×X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2p</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31</w:t>
      </w:r>
      <w:r>
        <w:rPr>
          <w:rFonts w:hint="eastAsia" w:ascii="Times New Roman" w:hAnsi="Times New Roman" w:eastAsia="Times New Roman"/>
          <w:color w:val="000000"/>
          <w:sz w:val="24"/>
          <w:szCs w:val="24"/>
          <w:lang w:val="zh-CN"/>
        </w:rPr>
        <w:t>×X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3p</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 xml:space="preserve"> </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（1）θ由0～360°循环，当T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按图上方向设置时求解各杆最大轴拉力和轴压力：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最大轴压力T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=171.137kN，T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=72.032kN，T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=195.245kN，T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=0kN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最大轴拉力T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=0kN，T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=259.679kN，T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=243.386kN，T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=173.09kN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（2）θ由0～360°循环，当T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按图上反方向设置时求解各杆最大轴拉力和轴压力：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最大轴压力T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=0kN，T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=259.68kN，T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=243.386kN，T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=173.09kN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最大轴拉力T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=171.137kN，T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=72.033kN，T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=195.245kN，T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=0kN</w:t>
      </w:r>
    </w:p>
    <w:p>
      <w:pPr>
        <w:spacing w:before="0" w:beforeLines="0" w:after="0" w:afterLines="0" w:line="360" w:lineRule="auto"/>
        <w:rPr>
          <w:rFonts w:hint="eastAsia" w:ascii="Times New Roman" w:hAnsi="Times New Roman" w:eastAsia="Times New Roman"/>
          <w:b/>
          <w:color w:val="000000"/>
          <w:sz w:val="28"/>
          <w:szCs w:val="24"/>
          <w:lang w:val="zh-CN"/>
        </w:rPr>
      </w:pPr>
      <w:r>
        <w:rPr>
          <w:rFonts w:hint="eastAsia" w:ascii="Times New Roman" w:hAnsi="Times New Roman" w:eastAsia="Times New Roman"/>
          <w:b/>
          <w:color w:val="000000"/>
          <w:sz w:val="28"/>
          <w:szCs w:val="24"/>
          <w:lang w:val="zh-CN"/>
        </w:rPr>
        <w:t xml:space="preserve"> 四、非工作状态下附墙杆内力计算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此工况下塔机回转机构的制动器完全松开，起重臂能随风转动，故不计风荷载产生的扭转力矩。</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1、附着支座反力计算</w:t>
      </w:r>
    </w:p>
    <w:p>
      <w:pPr>
        <w:spacing w:before="0" w:beforeLines="0" w:after="0" w:afterLines="0" w:line="360" w:lineRule="auto"/>
        <w:jc w:val="center"/>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drawing>
          <wp:inline distT="0" distB="0" distL="114300" distR="114300">
            <wp:extent cx="5715000" cy="1905000"/>
            <wp:effectExtent l="0" t="0" r="0" b="0"/>
            <wp:docPr id="8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8"/>
                    <pic:cNvPicPr>
                      <a:picLocks noChangeAspect="1"/>
                    </pic:cNvPicPr>
                  </pic:nvPicPr>
                  <pic:blipFill>
                    <a:blip r:embed="rId128"/>
                    <a:stretch>
                      <a:fillRect/>
                    </a:stretch>
                  </pic:blipFill>
                  <pic:spPr>
                    <a:xfrm>
                      <a:off x="0" y="0"/>
                      <a:ext cx="5715000" cy="1905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计算简图</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5715000" cy="1905000"/>
            <wp:effectExtent l="0" t="0" r="0" b="0"/>
            <wp:docPr id="9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9"/>
                    <pic:cNvPicPr>
                      <a:picLocks noChangeAspect="1"/>
                    </pic:cNvPicPr>
                  </pic:nvPicPr>
                  <pic:blipFill>
                    <a:blip r:embed="rId129"/>
                    <a:stretch>
                      <a:fillRect/>
                    </a:stretch>
                  </pic:blipFill>
                  <pic:spPr>
                    <a:xfrm>
                      <a:off x="0" y="0"/>
                      <a:ext cx="5715000" cy="1905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剪力图</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得：R</w:t>
      </w:r>
      <w:r>
        <w:rPr>
          <w:rFonts w:hint="eastAsia" w:ascii="Times New Roman" w:hAnsi="Times New Roman" w:eastAsia="Times New Roman"/>
          <w:color w:val="000000"/>
          <w:sz w:val="24"/>
          <w:szCs w:val="24"/>
          <w:vertAlign w:val="subscript"/>
          <w:lang w:val="zh-CN"/>
        </w:rPr>
        <w:t>E</w:t>
      </w:r>
      <w:r>
        <w:rPr>
          <w:rFonts w:hint="eastAsia" w:ascii="Times New Roman" w:hAnsi="Times New Roman" w:eastAsia="Times New Roman"/>
          <w:color w:val="000000"/>
          <w:sz w:val="24"/>
          <w:szCs w:val="24"/>
          <w:lang w:val="zh-CN"/>
        </w:rPr>
        <w:t>=84.557kN</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2、附墙杆内力计算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支座2处锚固环的水平内力N</w:t>
      </w:r>
      <w:r>
        <w:rPr>
          <w:rFonts w:hint="eastAsia" w:ascii="Times New Roman" w:hAnsi="Times New Roman" w:eastAsia="Times New Roman"/>
          <w:color w:val="000000"/>
          <w:sz w:val="24"/>
          <w:szCs w:val="24"/>
          <w:vertAlign w:val="subscript"/>
          <w:lang w:val="zh-CN"/>
        </w:rPr>
        <w:t>w</w:t>
      </w:r>
      <w:r>
        <w:rPr>
          <w:rFonts w:hint="eastAsia" w:ascii="Times New Roman" w:hAnsi="Times New Roman" w:eastAsia="Times New Roman"/>
          <w:color w:val="000000"/>
          <w:sz w:val="24"/>
          <w:szCs w:val="24"/>
          <w:lang w:val="zh-CN"/>
        </w:rPr>
        <w:t>=R</w:t>
      </w:r>
      <w:r>
        <w:rPr>
          <w:rFonts w:hint="eastAsia" w:ascii="Times New Roman" w:hAnsi="Times New Roman" w:eastAsia="Times New Roman"/>
          <w:color w:val="000000"/>
          <w:sz w:val="24"/>
          <w:szCs w:val="24"/>
          <w:vertAlign w:val="subscript"/>
          <w:lang w:val="zh-CN"/>
        </w:rPr>
        <w:t>E</w:t>
      </w:r>
      <w:r>
        <w:rPr>
          <w:rFonts w:hint="eastAsia" w:ascii="Times New Roman" w:hAnsi="Times New Roman" w:eastAsia="Times New Roman"/>
          <w:color w:val="000000"/>
          <w:sz w:val="24"/>
          <w:szCs w:val="24"/>
          <w:lang w:val="zh-CN"/>
        </w:rPr>
        <w:t>=84.557kN。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根据工作状态方程组Tk=0，θ由0～360°循环，求解各杆最大轴拉力和轴压力：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最大轴压力T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=37.839kN，T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=104.905kN，T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=138.718kN，T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=42.704kN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最大轴拉力T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=37.84kN，T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=104.904kN，T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=138.718kN，T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=42.704kN</w:t>
      </w:r>
    </w:p>
    <w:p>
      <w:pPr>
        <w:spacing w:before="0" w:beforeLines="0" w:after="0" w:afterLines="0" w:line="360" w:lineRule="auto"/>
        <w:rPr>
          <w:rFonts w:hint="eastAsia" w:ascii="Times New Roman" w:hAnsi="Times New Roman" w:eastAsia="Times New Roman"/>
          <w:b/>
          <w:color w:val="000000"/>
          <w:sz w:val="28"/>
          <w:szCs w:val="24"/>
          <w:lang w:val="zh-CN"/>
        </w:rPr>
      </w:pPr>
      <w:r>
        <w:rPr>
          <w:rFonts w:hint="eastAsia" w:ascii="Times New Roman" w:hAnsi="Times New Roman" w:eastAsia="Times New Roman"/>
          <w:b/>
          <w:color w:val="000000"/>
          <w:sz w:val="28"/>
          <w:szCs w:val="24"/>
          <w:lang w:val="zh-CN"/>
        </w:rPr>
        <w:t xml:space="preserve"> 五、附墙杆强度验算</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3090"/>
        <w:gridCol w:w="1620"/>
        <w:gridCol w:w="3090"/>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gridSpan w:val="4"/>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格构柱参数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格构柱截面类型</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四肢</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格构柱缀件形式</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缀条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缀件间净距l</w:t>
            </w:r>
            <w:r>
              <w:rPr>
                <w:rFonts w:hint="eastAsia" w:ascii="Times New Roman" w:hAnsi="Times New Roman" w:eastAsia="Times New Roman"/>
                <w:color w:val="000000"/>
                <w:sz w:val="24"/>
                <w:szCs w:val="24"/>
                <w:vertAlign w:val="subscript"/>
                <w:lang w:val="zh-CN"/>
              </w:rPr>
              <w:t>01</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120</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格构柱截面边长a(mm)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gridSpan w:val="4"/>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格构柱分肢参数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格构柱分肢材料</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L63X6</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分肢材料截面积A</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18"/>
                <w:szCs w:val="24"/>
                <w:lang w:val="zh-CN"/>
              </w:rPr>
              <w:t>(cm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7.29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分肢对最小刚度轴的回转半径i</w:t>
            </w:r>
            <w:r>
              <w:rPr>
                <w:rFonts w:hint="eastAsia" w:ascii="Times New Roman" w:hAnsi="Times New Roman" w:eastAsia="Times New Roman"/>
                <w:color w:val="000000"/>
                <w:sz w:val="24"/>
                <w:szCs w:val="24"/>
                <w:vertAlign w:val="subscript"/>
                <w:lang w:val="zh-CN"/>
              </w:rPr>
              <w:t>y0</w:t>
            </w:r>
            <w:r>
              <w:rPr>
                <w:rFonts w:hint="eastAsia" w:ascii="Times New Roman" w:hAnsi="Times New Roman" w:eastAsia="Times New Roman"/>
                <w:color w:val="000000"/>
                <w:sz w:val="18"/>
                <w:szCs w:val="24"/>
                <w:lang w:val="zh-CN"/>
              </w:rPr>
              <w:t>(cm)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1.24</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分肢平行于对称轴惯性矩I</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18"/>
                <w:szCs w:val="24"/>
                <w:lang w:val="zh-CN"/>
              </w:rPr>
              <w:t>(cm</w:t>
            </w:r>
            <w:r>
              <w:rPr>
                <w:rFonts w:hint="eastAsia" w:ascii="Times New Roman" w:hAnsi="Times New Roman" w:eastAsia="Times New Roman"/>
                <w:color w:val="000000"/>
                <w:sz w:val="24"/>
                <w:szCs w:val="24"/>
                <w:vertAlign w:val="superscript"/>
                <w:lang w:val="zh-CN"/>
              </w:rPr>
              <w:t>4</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分肢形心轴距分肢外边缘距离Z</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18"/>
                <w:szCs w:val="24"/>
                <w:lang w:val="zh-CN"/>
              </w:rPr>
              <w:t>(cm)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1.78</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分肢材料强度设计值f</w:t>
            </w:r>
            <w:r>
              <w:rPr>
                <w:rFonts w:hint="eastAsia" w:ascii="Times New Roman" w:hAnsi="Times New Roman" w:eastAsia="Times New Roman"/>
                <w:color w:val="000000"/>
                <w:sz w:val="24"/>
                <w:szCs w:val="24"/>
                <w:vertAlign w:val="subscript"/>
                <w:lang w:val="zh-CN"/>
              </w:rPr>
              <w:t>y</w:t>
            </w:r>
            <w:r>
              <w:rPr>
                <w:rFonts w:hint="eastAsia" w:ascii="Times New Roman" w:hAnsi="Times New Roman" w:eastAsia="Times New Roman"/>
                <w:color w:val="000000"/>
                <w:sz w:val="18"/>
                <w:szCs w:val="24"/>
                <w:lang w:val="zh-CN"/>
              </w:rPr>
              <w:t>(N/mm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分肢材料抗拉、压强度设计值f(N/mm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gridSpan w:val="3"/>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gridSpan w:val="4"/>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格构柱缀件参数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缀条材料</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L50X5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缀条最小回转半径i</w:t>
            </w:r>
            <w:r>
              <w:rPr>
                <w:rFonts w:hint="eastAsia" w:ascii="Times New Roman" w:hAnsi="Times New Roman" w:eastAsia="Times New Roman"/>
                <w:color w:val="000000"/>
                <w:sz w:val="24"/>
                <w:szCs w:val="24"/>
                <w:vertAlign w:val="subscript"/>
                <w:lang w:val="zh-CN"/>
              </w:rPr>
              <w:t>nim</w:t>
            </w:r>
            <w:r>
              <w:rPr>
                <w:rFonts w:hint="eastAsia" w:ascii="Times New Roman" w:hAnsi="Times New Roman" w:eastAsia="Times New Roman"/>
                <w:color w:val="000000"/>
                <w:sz w:val="18"/>
                <w:szCs w:val="24"/>
                <w:lang w:val="zh-CN"/>
              </w:rPr>
              <w:t>(cm)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缀条截面积A</w:t>
            </w:r>
            <w:r>
              <w:rPr>
                <w:rFonts w:hint="eastAsia" w:ascii="Times New Roman" w:hAnsi="Times New Roman" w:eastAsia="Times New Roman"/>
                <w:color w:val="000000"/>
                <w:sz w:val="24"/>
                <w:szCs w:val="24"/>
                <w:vertAlign w:val="subscript"/>
                <w:lang w:val="zh-CN"/>
              </w:rPr>
              <w:t>z</w:t>
            </w:r>
            <w:r>
              <w:rPr>
                <w:rFonts w:hint="eastAsia" w:ascii="Times New Roman" w:hAnsi="Times New Roman" w:eastAsia="Times New Roman"/>
                <w:color w:val="000000"/>
                <w:sz w:val="18"/>
                <w:szCs w:val="24"/>
                <w:lang w:val="zh-CN"/>
              </w:rPr>
              <w:t>(cm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gridSpan w:val="3"/>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角焊缝焊脚尺寸h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10</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焊缝计算长度l</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焊缝强度设计值f</w:t>
            </w:r>
            <w:r>
              <w:rPr>
                <w:rFonts w:hint="eastAsia" w:ascii="Times New Roman" w:hAnsi="Times New Roman" w:eastAsia="Times New Roman"/>
                <w:color w:val="000000"/>
                <w:sz w:val="24"/>
                <w:szCs w:val="24"/>
                <w:vertAlign w:val="subscript"/>
                <w:lang w:val="zh-CN"/>
              </w:rPr>
              <w:t>fw</w:t>
            </w:r>
            <w:r>
              <w:rPr>
                <w:rFonts w:hint="eastAsia" w:ascii="Times New Roman" w:hAnsi="Times New Roman" w:eastAsia="Times New Roman"/>
                <w:color w:val="000000"/>
                <w:sz w:val="18"/>
                <w:szCs w:val="24"/>
                <w:lang w:val="zh-CN"/>
              </w:rPr>
              <w:t>(N/mm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160</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24"/>
                <w:szCs w:val="24"/>
                <w:lang w:val="zh-CN"/>
              </w:rPr>
            </w:pP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24"/>
                <w:szCs w:val="24"/>
                <w:lang w:val="zh-CN"/>
              </w:rPr>
            </w:pPr>
          </w:p>
        </w:tc>
      </w:tr>
    </w:tbl>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附图如下:</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5000625" cy="4572000"/>
            <wp:effectExtent l="0" t="0" r="13335" b="0"/>
            <wp:docPr id="8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0"/>
                    <pic:cNvPicPr>
                      <a:picLocks noChangeAspect="1"/>
                    </pic:cNvPicPr>
                  </pic:nvPicPr>
                  <pic:blipFill>
                    <a:blip r:embed="rId120"/>
                    <a:stretch>
                      <a:fillRect/>
                    </a:stretch>
                  </pic:blipFill>
                  <pic:spPr>
                    <a:xfrm>
                      <a:off x="0" y="0"/>
                      <a:ext cx="5000625" cy="4572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fldChar w:fldCharType="begin"/>
      </w:r>
      <w:r>
        <w:rPr>
          <w:rFonts w:hint="eastAsia" w:ascii="Times New Roman" w:hAnsi="Times New Roman" w:eastAsia="Times New Roman"/>
          <w:color w:val="000000"/>
          <w:sz w:val="24"/>
          <w:szCs w:val="24"/>
          <w:lang w:val="zh-CN"/>
        </w:rPr>
        <w:instrText xml:space="preserve">HYPERLINK "D:\\品茗建筑云安全计算软件V1.4.2\\OutPut\\塔机附着格构柱截面.dwg"</w:instrText>
      </w:r>
      <w:r>
        <w:rPr>
          <w:rFonts w:hint="eastAsia" w:ascii="Times New Roman" w:hAnsi="Times New Roman" w:eastAsia="Times New Roman"/>
          <w:color w:val="000000"/>
          <w:sz w:val="24"/>
          <w:szCs w:val="24"/>
          <w:lang w:val="zh-CN"/>
        </w:rPr>
        <w:fldChar w:fldCharType="separate"/>
      </w:r>
      <w:r>
        <w:rPr>
          <w:rFonts w:hint="eastAsia" w:ascii="Times New Roman" w:hAnsi="Times New Roman" w:eastAsia="Times New Roman"/>
          <w:color w:val="000080"/>
          <w:sz w:val="24"/>
          <w:szCs w:val="24"/>
          <w:u w:val="single"/>
          <w:lang w:val="zh-CN"/>
        </w:rPr>
        <w:t>塔机附着格构柱截面</w:t>
      </w:r>
      <w:r>
        <w:rPr>
          <w:rFonts w:hint="eastAsia" w:ascii="Times New Roman" w:hAnsi="Times New Roman" w:eastAsia="Times New Roman"/>
          <w:color w:val="000080"/>
          <w:sz w:val="24"/>
          <w:szCs w:val="24"/>
          <w:u w:val="single"/>
          <w:lang w:val="zh-CN"/>
        </w:rPr>
        <w:fldChar w:fldCharType="end"/>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1、杆件轴心受拉强度验算</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A=4A</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=4×7.29×100=2916mm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σ=N/A=259680/2916=89.053N/mm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≤[f]=210N/mm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2、格构式钢柱换算长细比验算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杆件1的计算长度：L0=(a</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=7774.175mm</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整个格构柱截面对X、Y轴惯性矩：</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I</w:t>
      </w:r>
      <w:r>
        <w:rPr>
          <w:rFonts w:hint="eastAsia" w:ascii="Times New Roman" w:hAnsi="Times New Roman" w:eastAsia="Times New Roman"/>
          <w:color w:val="000000"/>
          <w:sz w:val="24"/>
          <w:szCs w:val="24"/>
          <w:vertAlign w:val="subscript"/>
          <w:lang w:val="zh-CN"/>
        </w:rPr>
        <w:t>x</w:t>
      </w:r>
      <w:r>
        <w:rPr>
          <w:rFonts w:hint="eastAsia" w:ascii="Times New Roman" w:hAnsi="Times New Roman" w:eastAsia="Times New Roman"/>
          <w:color w:val="000000"/>
          <w:sz w:val="24"/>
          <w:szCs w:val="24"/>
          <w:lang w:val="zh-CN"/>
        </w:rPr>
        <w:t>=4[I</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(a/2-Z</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]=4×[27.1+7.29×(30/2-1.78)</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]=5204.647cm</w:t>
      </w:r>
      <w:r>
        <w:rPr>
          <w:rFonts w:hint="eastAsia" w:ascii="Times New Roman" w:hAnsi="Times New Roman" w:eastAsia="Times New Roman"/>
          <w:color w:val="000000"/>
          <w:sz w:val="24"/>
          <w:szCs w:val="24"/>
          <w:vertAlign w:val="superscript"/>
          <w:lang w:val="zh-CN"/>
        </w:rPr>
        <w:t>4</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整个构件长细比：λ</w:t>
      </w:r>
      <w:r>
        <w:rPr>
          <w:rFonts w:hint="eastAsia" w:ascii="Times New Roman" w:hAnsi="Times New Roman" w:eastAsia="Times New Roman"/>
          <w:color w:val="000000"/>
          <w:sz w:val="24"/>
          <w:szCs w:val="24"/>
          <w:vertAlign w:val="subscript"/>
          <w:lang w:val="zh-CN"/>
        </w:rPr>
        <w:t>x</w:t>
      </w:r>
      <w:r>
        <w:rPr>
          <w:rFonts w:hint="eastAsia" w:ascii="Times New Roman" w:hAnsi="Times New Roman" w:eastAsia="Times New Roman"/>
          <w:color w:val="000000"/>
          <w:sz w:val="24"/>
          <w:szCs w:val="24"/>
          <w:lang w:val="zh-CN"/>
        </w:rPr>
        <w:t>=λ</w:t>
      </w:r>
      <w:r>
        <w:rPr>
          <w:rFonts w:hint="eastAsia" w:ascii="Times New Roman" w:hAnsi="Times New Roman" w:eastAsia="Times New Roman"/>
          <w:color w:val="000000"/>
          <w:sz w:val="24"/>
          <w:szCs w:val="24"/>
          <w:vertAlign w:val="subscript"/>
          <w:lang w:val="zh-CN"/>
        </w:rPr>
        <w:t>y</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/(I</w:t>
      </w:r>
      <w:r>
        <w:rPr>
          <w:rFonts w:hint="eastAsia" w:ascii="Times New Roman" w:hAnsi="Times New Roman" w:eastAsia="Times New Roman"/>
          <w:color w:val="000000"/>
          <w:sz w:val="24"/>
          <w:szCs w:val="24"/>
          <w:vertAlign w:val="subscript"/>
          <w:lang w:val="zh-CN"/>
        </w:rPr>
        <w:t>x</w:t>
      </w:r>
      <w:r>
        <w:rPr>
          <w:rFonts w:hint="eastAsia" w:ascii="Times New Roman" w:hAnsi="Times New Roman" w:eastAsia="Times New Roman"/>
          <w:color w:val="000000"/>
          <w:sz w:val="24"/>
          <w:szCs w:val="24"/>
          <w:lang w:val="zh-CN"/>
        </w:rPr>
        <w:t>/(4A</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=777.418/(5204.647/(4×7.29))</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=58.191</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分肢长细比：λ</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01</w:t>
      </w:r>
      <w:r>
        <w:rPr>
          <w:rFonts w:hint="eastAsia" w:ascii="Times New Roman" w:hAnsi="Times New Roman" w:eastAsia="Times New Roman"/>
          <w:color w:val="000000"/>
          <w:sz w:val="24"/>
          <w:szCs w:val="24"/>
          <w:lang w:val="zh-CN"/>
        </w:rPr>
        <w:t>/i</w:t>
      </w:r>
      <w:r>
        <w:rPr>
          <w:rFonts w:hint="eastAsia" w:ascii="Times New Roman" w:hAnsi="Times New Roman" w:eastAsia="Times New Roman"/>
          <w:color w:val="000000"/>
          <w:sz w:val="24"/>
          <w:szCs w:val="24"/>
          <w:vertAlign w:val="subscript"/>
          <w:lang w:val="zh-CN"/>
        </w:rPr>
        <w:t>y0</w:t>
      </w:r>
      <w:r>
        <w:rPr>
          <w:rFonts w:hint="eastAsia" w:ascii="Times New Roman" w:hAnsi="Times New Roman" w:eastAsia="Times New Roman"/>
          <w:color w:val="000000"/>
          <w:sz w:val="24"/>
          <w:szCs w:val="24"/>
          <w:lang w:val="zh-CN"/>
        </w:rPr>
        <w:t>=12/1.24=9.677</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分肢毛截面积之和：A=4A</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=4×7.29×100=2916mm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构件截面中垂直于X轴的各斜缀条的毛截面积之和：</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A</w:t>
      </w:r>
      <w:r>
        <w:rPr>
          <w:rFonts w:hint="eastAsia" w:ascii="Times New Roman" w:hAnsi="Times New Roman" w:eastAsia="Times New Roman"/>
          <w:color w:val="000000"/>
          <w:sz w:val="24"/>
          <w:szCs w:val="24"/>
          <w:vertAlign w:val="subscript"/>
          <w:lang w:val="zh-CN"/>
        </w:rPr>
        <w:t>1x</w:t>
      </w:r>
      <w:r>
        <w:rPr>
          <w:rFonts w:hint="eastAsia" w:ascii="Times New Roman" w:hAnsi="Times New Roman" w:eastAsia="Times New Roman"/>
          <w:color w:val="000000"/>
          <w:sz w:val="24"/>
          <w:szCs w:val="24"/>
          <w:lang w:val="zh-CN"/>
        </w:rPr>
        <w:t>=2A</w:t>
      </w:r>
      <w:r>
        <w:rPr>
          <w:rFonts w:hint="eastAsia" w:ascii="Times New Roman" w:hAnsi="Times New Roman" w:eastAsia="Times New Roman"/>
          <w:color w:val="000000"/>
          <w:sz w:val="24"/>
          <w:szCs w:val="24"/>
          <w:vertAlign w:val="subscript"/>
          <w:lang w:val="zh-CN"/>
        </w:rPr>
        <w:t>z</w:t>
      </w:r>
      <w:r>
        <w:rPr>
          <w:rFonts w:hint="eastAsia" w:ascii="Times New Roman" w:hAnsi="Times New Roman" w:eastAsia="Times New Roman"/>
          <w:color w:val="000000"/>
          <w:sz w:val="24"/>
          <w:szCs w:val="24"/>
          <w:lang w:val="zh-CN"/>
        </w:rPr>
        <w:t>=2×480=960mm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格构式钢柱绕两主轴的换算长细比：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0max</w:t>
      </w:r>
      <w:r>
        <w:rPr>
          <w:rFonts w:hint="eastAsia" w:ascii="Times New Roman" w:hAnsi="Times New Roman" w:eastAsia="Times New Roman"/>
          <w:color w:val="000000"/>
          <w:sz w:val="24"/>
          <w:szCs w:val="24"/>
          <w:lang w:val="zh-CN"/>
        </w:rPr>
        <w:t>=(λ</w:t>
      </w:r>
      <w:r>
        <w:rPr>
          <w:rFonts w:hint="eastAsia" w:ascii="Times New Roman" w:hAnsi="Times New Roman" w:eastAsia="Times New Roman"/>
          <w:color w:val="000000"/>
          <w:sz w:val="24"/>
          <w:szCs w:val="24"/>
          <w:vertAlign w:val="subscript"/>
          <w:lang w:val="zh-CN"/>
        </w:rPr>
        <w:t>x</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+40A/A</w:t>
      </w:r>
      <w:r>
        <w:rPr>
          <w:rFonts w:hint="eastAsia" w:ascii="Times New Roman" w:hAnsi="Times New Roman" w:eastAsia="Times New Roman"/>
          <w:color w:val="000000"/>
          <w:sz w:val="24"/>
          <w:szCs w:val="24"/>
          <w:vertAlign w:val="subscript"/>
          <w:lang w:val="zh-CN"/>
        </w:rPr>
        <w:t>1x</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=(58.191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+40×2916/960)</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=59.226</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附墙杆1长细比：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01max</w:t>
      </w:r>
      <w:r>
        <w:rPr>
          <w:rFonts w:hint="eastAsia" w:ascii="Times New Roman" w:hAnsi="Times New Roman" w:eastAsia="Times New Roman"/>
          <w:color w:val="000000"/>
          <w:sz w:val="24"/>
          <w:szCs w:val="24"/>
          <w:lang w:val="zh-CN"/>
        </w:rPr>
        <w:t>=59.226≤[λ]=120，查规范表得：φ</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=0.811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附墙杆2长细比：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02max</w:t>
      </w:r>
      <w:r>
        <w:rPr>
          <w:rFonts w:hint="eastAsia" w:ascii="Times New Roman" w:hAnsi="Times New Roman" w:eastAsia="Times New Roman"/>
          <w:color w:val="000000"/>
          <w:sz w:val="24"/>
          <w:szCs w:val="24"/>
          <w:lang w:val="zh-CN"/>
        </w:rPr>
        <w:t>=53.802≤[λ]=120，查规范表得：φ</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=0.839</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附墙杆3长细比：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03max</w:t>
      </w:r>
      <w:r>
        <w:rPr>
          <w:rFonts w:hint="eastAsia" w:ascii="Times New Roman" w:hAnsi="Times New Roman" w:eastAsia="Times New Roman"/>
          <w:color w:val="000000"/>
          <w:sz w:val="24"/>
          <w:szCs w:val="24"/>
          <w:lang w:val="zh-CN"/>
        </w:rPr>
        <w:t>=71.264≤[λ]=120，查规范表得：φ</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=0.743</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附墙杆4长细比：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04max</w:t>
      </w:r>
      <w:r>
        <w:rPr>
          <w:rFonts w:hint="eastAsia" w:ascii="Times New Roman" w:hAnsi="Times New Roman" w:eastAsia="Times New Roman"/>
          <w:color w:val="000000"/>
          <w:sz w:val="24"/>
          <w:szCs w:val="24"/>
          <w:lang w:val="zh-CN"/>
        </w:rPr>
        <w:t>=86.404≤[λ]=120，查规范表得：φ</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=0.645</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附墙杆1轴心受压稳定验算：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/(φ</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Af)=171137/(0.811×2916×210)=0.345≤1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附墙杆2轴心受压稳定验算：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/(φ</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Af)=259679/(0.839×2916×210)=0.505≤1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附墙杆3轴心受压稳定验算：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/(φ</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Af)=243386/(0.743×2916×210)=0.535≤1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附墙杆4轴心受压稳定验算：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/(φ</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Af)=173090/(0.645×2916×210)=0.438≤1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3、格构式钢柱分肢的长细比验算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附墙杆1钢柱分肢的长细比：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=9.677≤0.7λ</w:t>
      </w:r>
      <w:r>
        <w:rPr>
          <w:rFonts w:hint="eastAsia" w:ascii="Times New Roman" w:hAnsi="Times New Roman" w:eastAsia="Times New Roman"/>
          <w:color w:val="000000"/>
          <w:sz w:val="24"/>
          <w:szCs w:val="24"/>
          <w:vertAlign w:val="subscript"/>
          <w:lang w:val="zh-CN"/>
        </w:rPr>
        <w:t>01max</w:t>
      </w:r>
      <w:r>
        <w:rPr>
          <w:rFonts w:hint="eastAsia" w:ascii="Times New Roman" w:hAnsi="Times New Roman" w:eastAsia="Times New Roman"/>
          <w:color w:val="000000"/>
          <w:sz w:val="24"/>
          <w:szCs w:val="24"/>
          <w:lang w:val="zh-CN"/>
        </w:rPr>
        <w:t>=0.7×59.226=41.458</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附墙杆2钢柱分肢的长细比：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=9.677≤0.7λ</w:t>
      </w:r>
      <w:r>
        <w:rPr>
          <w:rFonts w:hint="eastAsia" w:ascii="Times New Roman" w:hAnsi="Times New Roman" w:eastAsia="Times New Roman"/>
          <w:color w:val="000000"/>
          <w:sz w:val="24"/>
          <w:szCs w:val="24"/>
          <w:vertAlign w:val="subscript"/>
          <w:lang w:val="zh-CN"/>
        </w:rPr>
        <w:t>02max</w:t>
      </w:r>
      <w:r>
        <w:rPr>
          <w:rFonts w:hint="eastAsia" w:ascii="Times New Roman" w:hAnsi="Times New Roman" w:eastAsia="Times New Roman"/>
          <w:color w:val="000000"/>
          <w:sz w:val="24"/>
          <w:szCs w:val="24"/>
          <w:lang w:val="zh-CN"/>
        </w:rPr>
        <w:t>=0.7×53.802=37.661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附墙杆3钢柱分肢的长细比：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=9.677≤0.7λ</w:t>
      </w:r>
      <w:r>
        <w:rPr>
          <w:rFonts w:hint="eastAsia" w:ascii="Times New Roman" w:hAnsi="Times New Roman" w:eastAsia="Times New Roman"/>
          <w:color w:val="000000"/>
          <w:sz w:val="24"/>
          <w:szCs w:val="24"/>
          <w:vertAlign w:val="subscript"/>
          <w:lang w:val="zh-CN"/>
        </w:rPr>
        <w:t>03max</w:t>
      </w:r>
      <w:r>
        <w:rPr>
          <w:rFonts w:hint="eastAsia" w:ascii="Times New Roman" w:hAnsi="Times New Roman" w:eastAsia="Times New Roman"/>
          <w:color w:val="000000"/>
          <w:sz w:val="24"/>
          <w:szCs w:val="24"/>
          <w:lang w:val="zh-CN"/>
        </w:rPr>
        <w:t>=0.7×71.264=49.885</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附墙杆4钢柱分肢的长细比：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=9.677≤0.7λ</w:t>
      </w:r>
      <w:r>
        <w:rPr>
          <w:rFonts w:hint="eastAsia" w:ascii="Times New Roman" w:hAnsi="Times New Roman" w:eastAsia="Times New Roman"/>
          <w:color w:val="000000"/>
          <w:sz w:val="24"/>
          <w:szCs w:val="24"/>
          <w:vertAlign w:val="subscript"/>
          <w:lang w:val="zh-CN"/>
        </w:rPr>
        <w:t>04max</w:t>
      </w:r>
      <w:r>
        <w:rPr>
          <w:rFonts w:hint="eastAsia" w:ascii="Times New Roman" w:hAnsi="Times New Roman" w:eastAsia="Times New Roman"/>
          <w:color w:val="000000"/>
          <w:sz w:val="24"/>
          <w:szCs w:val="24"/>
          <w:lang w:val="zh-CN"/>
        </w:rPr>
        <w:t>=0.7×86.404=60.483</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4、缀件验算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缀件所受剪力：V=Af(f</w:t>
      </w:r>
      <w:r>
        <w:rPr>
          <w:rFonts w:hint="eastAsia" w:ascii="Times New Roman" w:hAnsi="Times New Roman" w:eastAsia="Times New Roman"/>
          <w:color w:val="000000"/>
          <w:sz w:val="24"/>
          <w:szCs w:val="24"/>
          <w:vertAlign w:val="subscript"/>
          <w:lang w:val="zh-CN"/>
        </w:rPr>
        <w:t>y</w:t>
      </w:r>
      <w:r>
        <w:rPr>
          <w:rFonts w:hint="eastAsia" w:ascii="Times New Roman" w:hAnsi="Times New Roman" w:eastAsia="Times New Roman"/>
          <w:color w:val="000000"/>
          <w:sz w:val="24"/>
          <w:szCs w:val="24"/>
          <w:lang w:val="zh-CN"/>
        </w:rPr>
        <w:t>/235)</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/85=2916×210.00×10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×(235.00/235)</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/85=7.204kN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格构柱相邻缀板轴线距离：l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01</w:t>
      </w:r>
      <w:r>
        <w:rPr>
          <w:rFonts w:hint="eastAsia" w:ascii="Times New Roman" w:hAnsi="Times New Roman" w:eastAsia="Times New Roman"/>
          <w:color w:val="000000"/>
          <w:sz w:val="24"/>
          <w:szCs w:val="24"/>
          <w:lang w:val="zh-CN"/>
        </w:rPr>
        <w:t>+5=12.00+5=17cm</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作用在一侧缀板上的弯矩：M</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=Vl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/4=7.204×0.17/4=0.306kN·m</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分肢型钢形心轴之间距离：b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=a-2Z</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=0.3-2×0.0178=0.264m</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斜缀条轴向压力值：N</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=V/(2cosα)=V/(2a/(a</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)=7.204/(2×0.3/(0.3</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+0.17</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)=4.14kN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缀条计算长度：l</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=(300.00</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+170</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=344.819mm</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缀条长细比：λ=l</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lang w:val="zh-CN"/>
        </w:rPr>
        <w:t>/i</w:t>
      </w:r>
      <w:r>
        <w:rPr>
          <w:rFonts w:hint="eastAsia" w:ascii="Times New Roman" w:hAnsi="Times New Roman" w:eastAsia="Times New Roman"/>
          <w:color w:val="000000"/>
          <w:sz w:val="24"/>
          <w:szCs w:val="24"/>
          <w:vertAlign w:val="subscript"/>
          <w:lang w:val="zh-CN"/>
        </w:rPr>
        <w:t>min</w:t>
      </w:r>
      <w:r>
        <w:rPr>
          <w:rFonts w:hint="eastAsia" w:ascii="Times New Roman" w:hAnsi="Times New Roman" w:eastAsia="Times New Roman"/>
          <w:color w:val="000000"/>
          <w:sz w:val="24"/>
          <w:szCs w:val="24"/>
          <w:lang w:val="zh-CN"/>
        </w:rPr>
        <w:t>=34.482/0.98=35.186≤80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查表《钢结构设计标准》GB50017-2017附录D：b类截面轴心受压构件的稳定系数：φ=0.918</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等边角钢计算稳定性系数：</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η=min(0.6+0.0015λ，1.0)=min(0.6+0.0015×35.186，1.0)=0.653</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缀条稳定验算：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/(φηA</w:t>
      </w:r>
      <w:r>
        <w:rPr>
          <w:rFonts w:hint="eastAsia" w:ascii="Times New Roman" w:hAnsi="Times New Roman" w:eastAsia="Times New Roman"/>
          <w:color w:val="000000"/>
          <w:sz w:val="24"/>
          <w:szCs w:val="24"/>
          <w:vertAlign w:val="subscript"/>
          <w:lang w:val="zh-CN"/>
        </w:rPr>
        <w:t>z</w:t>
      </w:r>
      <w:r>
        <w:rPr>
          <w:rFonts w:hint="eastAsia" w:ascii="Times New Roman" w:hAnsi="Times New Roman" w:eastAsia="Times New Roman"/>
          <w:color w:val="000000"/>
          <w:sz w:val="24"/>
          <w:szCs w:val="24"/>
          <w:lang w:val="zh-CN"/>
        </w:rPr>
        <w:t>f)=4.14×10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/(0.918×0.653×4.80×10</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×215)=0.067≤1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需要焊缝长度：</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lw</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×0.85f</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vertAlign w:val="superscript"/>
          <w:lang w:val="zh-CN"/>
        </w:rPr>
        <w:t>w</w:t>
      </w:r>
      <w:r>
        <w:rPr>
          <w:rFonts w:hint="eastAsia" w:ascii="Times New Roman" w:hAnsi="Times New Roman" w:eastAsia="Times New Roman"/>
          <w:color w:val="000000"/>
          <w:sz w:val="24"/>
          <w:szCs w:val="24"/>
          <w:lang w:val="zh-CN"/>
        </w:rPr>
        <w:t>)=4.14×10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/(0.7×10×0.85×160)=4mm≤l</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=250mm</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b/>
          <w:color w:val="000000"/>
          <w:sz w:val="28"/>
          <w:szCs w:val="24"/>
          <w:lang w:val="zh-CN"/>
        </w:rPr>
      </w:pPr>
      <w:r>
        <w:rPr>
          <w:rFonts w:hint="eastAsia" w:ascii="Times New Roman" w:hAnsi="Times New Roman" w:eastAsia="Times New Roman"/>
          <w:b/>
          <w:color w:val="000000"/>
          <w:sz w:val="28"/>
          <w:szCs w:val="24"/>
          <w:lang w:val="zh-CN"/>
        </w:rPr>
        <w:t xml:space="preserve"> 六、附着杆与结构连接节点验算</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3090"/>
        <w:gridCol w:w="1620"/>
        <w:gridCol w:w="3090"/>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附着杆与建筑物连接方式</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铰接</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连接钢板厚度dt(mm)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连接钢板强度等级</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Q235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建筑物混凝土强度等级</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C35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连接板固定方式</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锚固螺栓</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连接板耳板排数</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锚固螺栓类型</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摩擦型高强螺栓</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高强螺栓的性能等级</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8.8级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摩擦面抗滑移系数u</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0.45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高强螺栓公称直径</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M30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一个高强螺栓的预拉力P(kN)</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355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高强螺栓传力摩擦面数目n</w:t>
            </w:r>
            <w:r>
              <w:rPr>
                <w:rFonts w:hint="eastAsia" w:ascii="Times New Roman" w:hAnsi="Times New Roman" w:eastAsia="Times New Roman"/>
                <w:color w:val="000000"/>
                <w:sz w:val="24"/>
                <w:szCs w:val="24"/>
                <w:vertAlign w:val="subscript"/>
                <w:lang w:val="zh-CN"/>
              </w:rPr>
              <w:t>f</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gridSpan w:val="4"/>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 xml:space="preserve">                                        双吊耳板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左侧吊耳孔中心至连接板高度L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150</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右侧吊耳孔中心至连接板高度L</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双吊耳板连接钢板垂直方向螺栓排数m</w:t>
            </w:r>
            <w:r>
              <w:rPr>
                <w:rFonts w:hint="eastAsia" w:ascii="Times New Roman" w:hAnsi="Times New Roman" w:eastAsia="Times New Roman"/>
                <w:color w:val="000000"/>
                <w:sz w:val="24"/>
                <w:szCs w:val="24"/>
                <w:vertAlign w:val="subscript"/>
                <w:lang w:val="zh-CN"/>
              </w:rPr>
              <w:t>1</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双吊耳板连接钢板水平方向螺栓排数n</w:t>
            </w:r>
            <w:r>
              <w:rPr>
                <w:rFonts w:hint="eastAsia" w:ascii="Times New Roman" w:hAnsi="Times New Roman" w:eastAsia="Times New Roman"/>
                <w:color w:val="000000"/>
                <w:sz w:val="24"/>
                <w:szCs w:val="24"/>
                <w:vertAlign w:val="subscript"/>
                <w:lang w:val="zh-CN"/>
              </w:rPr>
              <w:t>1</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双吊耳板连接钢板水平方向最外侧螺栓两端中心线距离S</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500</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24"/>
                <w:szCs w:val="24"/>
                <w:lang w:val="zh-CN"/>
              </w:rPr>
            </w:pP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24"/>
                <w:szCs w:val="24"/>
                <w:lang w:val="zh-CN"/>
              </w:rPr>
            </w:pPr>
          </w:p>
        </w:tc>
      </w:tr>
    </w:tbl>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1、附着点荷载计算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各附着杆传给连接节点荷载如下：</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sinα1=171.137×sin76.84°=166.642kN,V</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cosα1=171.137×cos76.84°=38.964kN;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sinα2=259.679×sin64.309°=234.009kN,V</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cosα2=259.679×cos64.309°=112.575kN;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sinα3=243.386×sin77.412°=237.535kN,V</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cosα3=243.386×cos77.412°=53.044kN;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sinα4=173.09×sin84.688°=172.347kN,V</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cosα4=173.09×cos84.688°=16.025kN;</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2、螺栓承载力计算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单个高强螺栓抗剪承载力设计值N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=0.9kn</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uP=0.9×1×1×0.45×355=143.775kN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单个高强螺栓受拉承载力设计值N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=0.8P=0.8×355=284kN</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（1）双吊耳板位置螺栓承载力计算：</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附着杆1、附着杆2连接的双吊耳板：</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分别在工作状态下T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为图中方向(T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为图中相反方向(T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)、非工作状态(T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=0)三种情况下，每种情况中θ由0～360°循环计算，经过分析判断最不利情况如下：</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=-422kN·m，θ=77°， 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=146.814kN，N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=-23.581kN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轴向拉力合力为：</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=146.814×sin76.84°+(-23.581)×sin64.309°=121.708kN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水平向剪力合力为：</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V=N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=146.814×cos76.84°+(-23.581)×cos64.309°=23.203kN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计算对螺栓群形心的弯矩：</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M=|N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D/2+N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D/2+N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|=|146.814×sin76.84°×0.35/2+146.814×cos76.84°×0.15-(-23.581)×sin64.309°×0.35/2+(-23.581)×cos64.309°×0.25|=31.195kN·m</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经分析判断，应按照大偏心进行计算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计算对弯矩指向最外侧螺栓中心的弯矩：</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M</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(S</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+D)/2+N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(S</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-D)/2+N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|=|146.814×sin76.84°×(0.5+0.35)/2+146.814×cos76.84°×0.15+(-23.581)×sin64.309°×(0.5-0.35)/2+(-23.581)×cos64.309°×0.25|=61.622kN·m</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3019425" cy="752475"/>
            <wp:effectExtent l="0" t="0" r="0" b="0"/>
            <wp:docPr id="8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1"/>
                    <pic:cNvPicPr>
                      <a:picLocks noChangeAspect="1"/>
                    </pic:cNvPicPr>
                  </pic:nvPicPr>
                  <pic:blipFill>
                    <a:blip r:embed="rId143"/>
                    <a:stretch>
                      <a:fillRect/>
                    </a:stretch>
                  </pic:blipFill>
                  <pic:spPr>
                    <a:xfrm>
                      <a:off x="0" y="0"/>
                      <a:ext cx="3019425" cy="752475"/>
                    </a:xfrm>
                    <a:prstGeom prst="rect">
                      <a:avLst/>
                    </a:prstGeom>
                    <a:noFill/>
                    <a:ln>
                      <a:noFill/>
                    </a:ln>
                  </pic:spPr>
                </pic:pic>
              </a:graphicData>
            </a:graphic>
          </wp:inline>
        </w:drawing>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Σy</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=2×[(1×500/4)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+(2×500/4)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+(3×500/4)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+(4×500/4)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]=937500mm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计算弯矩对单个螺栓的附加轴力：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附加</w:t>
      </w:r>
      <w:r>
        <w:rPr>
          <w:rFonts w:hint="eastAsia" w:ascii="Times New Roman" w:hAnsi="Times New Roman" w:eastAsia="Times New Roman"/>
          <w:color w:val="000000"/>
          <w:sz w:val="24"/>
          <w:szCs w:val="24"/>
          <w:lang w:val="zh-CN"/>
        </w:rPr>
        <w:t>=M</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S</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/Σy</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=61.622×500/937.5=32.865kN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计算考虑附加轴力后单个螺栓的最大拉力：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lang w:val="zh-CN"/>
        </w:rPr>
        <w:t>=F/m</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附加</w:t>
      </w:r>
      <w:r>
        <w:rPr>
          <w:rFonts w:hint="eastAsia" w:ascii="Times New Roman" w:hAnsi="Times New Roman" w:eastAsia="Times New Roman"/>
          <w:color w:val="000000"/>
          <w:sz w:val="24"/>
          <w:szCs w:val="24"/>
          <w:lang w:val="zh-CN"/>
        </w:rPr>
        <w:t>=121.708/(2×5)+32.865=45.036kN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计算单个螺栓的最大剪力：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=|V|/m</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=23.203/(2×5)=2.32kN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=2.32/143.775+45.036/284=0.175≤1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螺栓承载力满足要求。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附着杆3、附着杆4连接的双吊耳板：</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分别在工作状态下T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为图中方向(T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为图中相反方向(T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)、非工作状态(T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=0)三种情况下，每种情况中θ由0～360°循环计算，经过分析判断最不利情况如下：</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=422kN·m，θ=152°， 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=242.043kN， 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=172.82kN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轴向拉力合力为：</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=242.043×sin77.412°+172.82×sin84.688°=408.302kN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水平向剪力合力为：</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V=N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=242.043×cos77.412°+172.82×cos84.688°=68.752kN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计算对螺栓群形心的弯矩：</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M=|-N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D/2+N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D/2+N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|=|-242.043×sin77.412°×0.35/2+242.043×cos77.412°×0.15+172.82×sin84.688°×0.35/2+172.82×cos84.688°×0.25|=0.687kN·m</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经分析判断，按照小偏心进行计算</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3733800" cy="771525"/>
            <wp:effectExtent l="0" t="0" r="0" b="0"/>
            <wp:docPr id="8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2"/>
                    <pic:cNvPicPr>
                      <a:picLocks noChangeAspect="1"/>
                    </pic:cNvPicPr>
                  </pic:nvPicPr>
                  <pic:blipFill>
                    <a:blip r:embed="rId121"/>
                    <a:stretch>
                      <a:fillRect/>
                    </a:stretch>
                  </pic:blipFill>
                  <pic:spPr>
                    <a:xfrm>
                      <a:off x="0" y="0"/>
                      <a:ext cx="3733800" cy="771525"/>
                    </a:xfrm>
                    <a:prstGeom prst="rect">
                      <a:avLst/>
                    </a:prstGeom>
                    <a:noFill/>
                    <a:ln>
                      <a:noFill/>
                    </a:ln>
                  </pic:spPr>
                </pic:pic>
              </a:graphicData>
            </a:graphic>
          </wp:inline>
        </w:drawing>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=2×[250</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+(250-1×500/4)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+(250-2×500/4)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+(250-3×500/4)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+(250-4×500/4)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]=625000mm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计算弯矩对单个螺栓的附加轴力：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附加</w:t>
      </w:r>
      <w:r>
        <w:rPr>
          <w:rFonts w:hint="eastAsia" w:ascii="Times New Roman" w:hAnsi="Times New Roman" w:eastAsia="Times New Roman"/>
          <w:color w:val="000000"/>
          <w:sz w:val="24"/>
          <w:szCs w:val="24"/>
          <w:lang w:val="zh-CN"/>
        </w:rPr>
        <w:t>=(MS</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/2)/Σx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=(0.687×500/2)/(625000/1000)=0.275kN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计算考虑附加轴力后单个螺栓的最大拉力：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lang w:val="zh-CN"/>
        </w:rPr>
        <w:t>=F/m</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附加</w:t>
      </w:r>
      <w:r>
        <w:rPr>
          <w:rFonts w:hint="eastAsia" w:ascii="Times New Roman" w:hAnsi="Times New Roman" w:eastAsia="Times New Roman"/>
          <w:color w:val="000000"/>
          <w:sz w:val="24"/>
          <w:szCs w:val="24"/>
          <w:lang w:val="zh-CN"/>
        </w:rPr>
        <w:t>=408.302/(2×5)+0.275=41.105kN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计算单个螺栓的最大剪力：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=|V|/m</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=68.752/(2×5)=6.875kN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=6.875/143.775+41.105/284=0.193≤1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螺栓承载力满足要求。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3、吊耳板计算</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3090"/>
        <w:gridCol w:w="1620"/>
        <w:gridCol w:w="3090"/>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吊耳板厚t(mm)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20</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吊耳板两侧边缘与吊孔边缘净距b(mm):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顺受力方向，吊孔边距板边缘最小距离a(mm):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80</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吊孔直径d</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吊耳板抗拉强度设计值f(N/mm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205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吊耳板抗剪强度设计值fv(N/mm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连接板耳板排数</w:t>
            </w:r>
          </w:p>
        </w:tc>
        <w:tc>
          <w:tcPr>
            <w:tcW w:w="0" w:type="auto"/>
            <w:gridSpan w:val="3"/>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w:t>
            </w:r>
          </w:p>
        </w:tc>
      </w:tr>
    </w:tbl>
    <w:p>
      <w:pPr>
        <w:spacing w:before="0" w:beforeLines="0" w:after="0" w:afterLines="0" w:line="360" w:lineRule="auto"/>
        <w:jc w:val="center"/>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drawing>
          <wp:inline distT="0" distB="0" distL="114300" distR="114300">
            <wp:extent cx="4667250" cy="3048000"/>
            <wp:effectExtent l="0" t="0" r="0" b="0"/>
            <wp:docPr id="8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3"/>
                    <pic:cNvPicPr>
                      <a:picLocks noChangeAspect="1"/>
                    </pic:cNvPicPr>
                  </pic:nvPicPr>
                  <pic:blipFill>
                    <a:blip r:embed="rId122"/>
                    <a:stretch>
                      <a:fillRect/>
                    </a:stretch>
                  </pic:blipFill>
                  <pic:spPr>
                    <a:xfrm>
                      <a:off x="0" y="0"/>
                      <a:ext cx="4667250" cy="3048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fldChar w:fldCharType="begin"/>
      </w:r>
      <w:r>
        <w:rPr>
          <w:rFonts w:hint="eastAsia" w:ascii="Times New Roman" w:hAnsi="Times New Roman" w:eastAsia="Times New Roman"/>
          <w:b/>
          <w:color w:val="000000"/>
          <w:sz w:val="24"/>
          <w:szCs w:val="24"/>
          <w:lang w:val="zh-CN"/>
        </w:rPr>
        <w:instrText xml:space="preserve">HYPERLINK "D:\\品茗建筑云安全计算软件V1.4.2\\pmtd\\Bmp\\Attachment\\双吊耳板.png"</w:instrText>
      </w:r>
      <w:r>
        <w:rPr>
          <w:rFonts w:hint="eastAsia" w:ascii="Times New Roman" w:hAnsi="Times New Roman" w:eastAsia="Times New Roman"/>
          <w:b/>
          <w:color w:val="000000"/>
          <w:sz w:val="24"/>
          <w:szCs w:val="24"/>
          <w:lang w:val="zh-CN"/>
        </w:rPr>
        <w:fldChar w:fldCharType="separate"/>
      </w:r>
      <w:r>
        <w:rPr>
          <w:rFonts w:hint="eastAsia" w:ascii="Times New Roman" w:hAnsi="Times New Roman" w:eastAsia="Times New Roman"/>
          <w:color w:val="000080"/>
          <w:sz w:val="24"/>
          <w:szCs w:val="24"/>
          <w:u w:val="single"/>
          <w:lang w:val="zh-CN"/>
        </w:rPr>
        <w:t>双吊耳板</w:t>
      </w:r>
      <w:r>
        <w:rPr>
          <w:rFonts w:hint="eastAsia" w:ascii="Times New Roman" w:hAnsi="Times New Roman" w:eastAsia="Times New Roman"/>
          <w:color w:val="000080"/>
          <w:sz w:val="24"/>
          <w:szCs w:val="24"/>
          <w:u w:val="single"/>
          <w:lang w:val="zh-CN"/>
        </w:rPr>
        <w:fldChar w:fldCharType="end"/>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参考GB50017-2017，对连接耳板进行如下验算：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吊耳板验算与吊孔中心至连接钢板高度无关，单双吊耳板的a、b、d</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参数均相同，因此单吊耳板与双吊耳板的验算方法相同，取拉力最大值进行计算即可。</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S</w:t>
      </w:r>
      <w:r>
        <w:rPr>
          <w:rFonts w:hint="eastAsia" w:ascii="Times New Roman" w:hAnsi="Times New Roman" w:eastAsia="Times New Roman"/>
          <w:color w:val="000000"/>
          <w:sz w:val="24"/>
          <w:szCs w:val="24"/>
          <w:lang w:val="zh-CN"/>
        </w:rPr>
        <w:t>=max{N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}/2=129.839kN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（1）耳板构造要求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B</w:t>
      </w:r>
      <w:r>
        <w:rPr>
          <w:rFonts w:hint="eastAsia" w:ascii="Times New Roman" w:hAnsi="Times New Roman" w:eastAsia="Times New Roman"/>
          <w:color w:val="000000"/>
          <w:sz w:val="24"/>
          <w:szCs w:val="24"/>
          <w:vertAlign w:val="subscript"/>
          <w:lang w:val="zh-CN"/>
        </w:rPr>
        <w:t>e</w:t>
      </w:r>
      <w:r>
        <w:rPr>
          <w:rFonts w:hint="eastAsia" w:ascii="Times New Roman" w:hAnsi="Times New Roman" w:eastAsia="Times New Roman"/>
          <w:color w:val="000000"/>
          <w:sz w:val="24"/>
          <w:szCs w:val="24"/>
          <w:lang w:val="zh-CN"/>
        </w:rPr>
        <w:t>= 2t+16= 2×20+16=56mm≤b=100mm</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4B</w:t>
      </w:r>
      <w:r>
        <w:rPr>
          <w:rFonts w:hint="eastAsia" w:ascii="Times New Roman" w:hAnsi="Times New Roman" w:eastAsia="Times New Roman"/>
          <w:color w:val="000000"/>
          <w:sz w:val="24"/>
          <w:szCs w:val="24"/>
          <w:vertAlign w:val="subscript"/>
          <w:lang w:val="zh-CN"/>
        </w:rPr>
        <w:t>e</w:t>
      </w:r>
      <w:r>
        <w:rPr>
          <w:rFonts w:hint="eastAsia" w:ascii="Times New Roman" w:hAnsi="Times New Roman" w:eastAsia="Times New Roman"/>
          <w:color w:val="000000"/>
          <w:sz w:val="24"/>
          <w:szCs w:val="24"/>
          <w:lang w:val="zh-CN"/>
        </w:rPr>
        <w:t>/3= 4×56/3=74.667mm≤a=80mm</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（2）耳板孔净截面处的抗拉强度验算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计算宽度:b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 min(2t+16,b-d</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/3)= min(2×20+16,100-60/3)=56mm</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 N</w:t>
      </w:r>
      <w:r>
        <w:rPr>
          <w:rFonts w:hint="eastAsia" w:ascii="Times New Roman" w:hAnsi="Times New Roman" w:eastAsia="Times New Roman"/>
          <w:color w:val="000000"/>
          <w:sz w:val="24"/>
          <w:szCs w:val="24"/>
          <w:vertAlign w:val="subscript"/>
          <w:lang w:val="zh-CN"/>
        </w:rPr>
        <w:t>s</w:t>
      </w:r>
      <w:r>
        <w:rPr>
          <w:rFonts w:hint="eastAsia" w:ascii="Times New Roman" w:hAnsi="Times New Roman" w:eastAsia="Times New Roman"/>
          <w:color w:val="000000"/>
          <w:sz w:val="24"/>
          <w:szCs w:val="24"/>
          <w:lang w:val="zh-CN"/>
        </w:rPr>
        <w:t>/(2tb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 129.839×10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/(2×20×56)=57.964N/mm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≤f=205N/mm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耳板孔净截面处抗拉强度满足要求！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（3）耳板端部截面抗拉（劈开）强度验算</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 N</w:t>
      </w:r>
      <w:r>
        <w:rPr>
          <w:rFonts w:hint="eastAsia" w:ascii="Times New Roman" w:hAnsi="Times New Roman" w:eastAsia="Times New Roman"/>
          <w:color w:val="000000"/>
          <w:sz w:val="24"/>
          <w:szCs w:val="24"/>
          <w:vertAlign w:val="subscript"/>
          <w:lang w:val="zh-CN"/>
        </w:rPr>
        <w:t>s</w:t>
      </w:r>
      <w:r>
        <w:rPr>
          <w:rFonts w:hint="eastAsia" w:ascii="Times New Roman" w:hAnsi="Times New Roman" w:eastAsia="Times New Roman"/>
          <w:color w:val="000000"/>
          <w:sz w:val="24"/>
          <w:szCs w:val="24"/>
          <w:lang w:val="zh-CN"/>
        </w:rPr>
        <w:t>/[2t(a-2d</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/3)]= 129.839×10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/[2×20×(80-2×60/3)]=81.15N/mm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≤f=205N/mm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耳板端部截面抗拉强度满足要求！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（4）耳板抗剪强度验算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耳板端部抗剪截面宽度:</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Z= [(a+d</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-(d</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 [(80+60/2)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-(60/2)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=105.83mm</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τ= N</w:t>
      </w:r>
      <w:r>
        <w:rPr>
          <w:rFonts w:hint="eastAsia" w:ascii="Times New Roman" w:hAnsi="Times New Roman" w:eastAsia="Times New Roman"/>
          <w:color w:val="000000"/>
          <w:sz w:val="24"/>
          <w:szCs w:val="24"/>
          <w:vertAlign w:val="subscript"/>
          <w:lang w:val="zh-CN"/>
        </w:rPr>
        <w:t>s</w:t>
      </w:r>
      <w:r>
        <w:rPr>
          <w:rFonts w:hint="eastAsia" w:ascii="Times New Roman" w:hAnsi="Times New Roman" w:eastAsia="Times New Roman"/>
          <w:color w:val="000000"/>
          <w:sz w:val="24"/>
          <w:szCs w:val="24"/>
          <w:lang w:val="zh-CN"/>
        </w:rPr>
        <w:t>/(2tZ)= 129.839×10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/(2×20×105.83)=30.672N/mm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≤fv=120N/mm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耳板抗剪强度满足要求！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4、销轴计算</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4710"/>
        <w:gridCol w:w="47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销轴直径d</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销轴材料抗剪强度f</w:t>
            </w:r>
            <w:r>
              <w:rPr>
                <w:rFonts w:hint="eastAsia" w:ascii="Times New Roman" w:hAnsi="Times New Roman" w:eastAsia="Times New Roman"/>
                <w:color w:val="000000"/>
                <w:sz w:val="24"/>
                <w:szCs w:val="24"/>
                <w:vertAlign w:val="subscript"/>
                <w:lang w:val="zh-CN"/>
              </w:rPr>
              <w:t>v1</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18"/>
                <w:szCs w:val="24"/>
                <w:lang w:val="zh-CN"/>
              </w:rPr>
              <w:t>(N/mm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346</w:t>
            </w:r>
          </w:p>
        </w:tc>
      </w:tr>
    </w:tbl>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参考GB50017-2017，对销轴进行如下验算：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由附墙杆内力计算章节可知，作用于销轴截面的最大剪力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F=max{N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}=259.679kN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（1）销轴承压强度</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c</w:t>
      </w:r>
      <w:r>
        <w:rPr>
          <w:rFonts w:hint="eastAsia" w:ascii="Times New Roman" w:hAnsi="Times New Roman" w:eastAsia="Times New Roman"/>
          <w:color w:val="000000"/>
          <w:sz w:val="24"/>
          <w:szCs w:val="24"/>
          <w:lang w:val="zh-CN"/>
        </w:rPr>
        <w:t>=F/(d</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t)=259.679×10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/(60×20)=216.399N/mm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≤305N/mm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销轴承压强度满足要求！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（2）销轴抗剪强度</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τ</w:t>
      </w:r>
      <w:r>
        <w:rPr>
          <w:rFonts w:hint="eastAsia" w:ascii="Times New Roman" w:hAnsi="Times New Roman" w:eastAsia="Times New Roman"/>
          <w:color w:val="000000"/>
          <w:sz w:val="24"/>
          <w:szCs w:val="24"/>
          <w:vertAlign w:val="subscript"/>
          <w:lang w:val="zh-CN"/>
        </w:rPr>
        <w:t>b</w:t>
      </w:r>
      <w:r>
        <w:rPr>
          <w:rFonts w:hint="eastAsia" w:ascii="Times New Roman" w:hAnsi="Times New Roman" w:eastAsia="Times New Roman"/>
          <w:color w:val="000000"/>
          <w:sz w:val="24"/>
          <w:szCs w:val="24"/>
          <w:lang w:val="zh-CN"/>
        </w:rPr>
        <w:t>=F/(n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πd</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/4)=259.679×10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/(2×3.142×60</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/4)=45.921N/mm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v1</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=346N/mm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销轴抗剪强度满足要求！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5、连接钢板焊缝计算</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4710"/>
        <w:gridCol w:w="47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连接钢板角焊缝焊脚尺寸h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连接钢板角焊缝强度设计值f</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vertAlign w:val="superscript"/>
                <w:lang w:val="zh-CN"/>
              </w:rPr>
              <w:t>w</w:t>
            </w:r>
            <w:r>
              <w:rPr>
                <w:rFonts w:hint="eastAsia" w:ascii="Times New Roman" w:hAnsi="Times New Roman" w:eastAsia="Times New Roman"/>
                <w:color w:val="000000"/>
                <w:sz w:val="18"/>
                <w:szCs w:val="24"/>
                <w:lang w:val="zh-CN"/>
              </w:rPr>
              <w:t>(N/mm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连接板耳板排数</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双吊耳板底部宽度l</w:t>
            </w:r>
            <w:r>
              <w:rPr>
                <w:rFonts w:hint="eastAsia" w:ascii="Times New Roman" w:hAnsi="Times New Roman" w:eastAsia="Times New Roman"/>
                <w:color w:val="000000"/>
                <w:sz w:val="24"/>
                <w:szCs w:val="24"/>
                <w:vertAlign w:val="subscript"/>
                <w:lang w:val="zh-CN"/>
              </w:rPr>
              <w:t>c1</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400</w:t>
            </w:r>
          </w:p>
        </w:tc>
      </w:tr>
    </w:tbl>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（1）双吊耳板位置焊缝验算：</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附着杆1、附着杆2连接的双吊耳板：</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连接钢板吊耳板排数为2，则：</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计算连接钢板与吊耳板连接位置焊缝应力为：</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N</w:t>
      </w:r>
      <w:r>
        <w:rPr>
          <w:rFonts w:hint="eastAsia" w:ascii="Times New Roman" w:hAnsi="Times New Roman" w:eastAsia="Times New Roman"/>
          <w:color w:val="000000"/>
          <w:sz w:val="24"/>
          <w:szCs w:val="24"/>
          <w:lang w:val="zh-CN"/>
        </w:rPr>
        <w:t>=(|F|/2)/[2×0.7h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c1</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)]=(|121.708|×10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/2)/[2×0.7×8×(400-2×8)]=14.149N/mm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τ</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=(|V|/2)/[2×0.7h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c1</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)]=(|23.203|×10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/2)/[2×0.7×8×(400-2×8)]=2.698N/mm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M</w:t>
      </w:r>
      <w:r>
        <w:rPr>
          <w:rFonts w:hint="eastAsia" w:ascii="Times New Roman" w:hAnsi="Times New Roman" w:eastAsia="Times New Roman"/>
          <w:color w:val="000000"/>
          <w:sz w:val="24"/>
          <w:szCs w:val="24"/>
          <w:lang w:val="zh-CN"/>
        </w:rPr>
        <w:t>=M/W=(M/2)/[2×0.7h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c1</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/6]=(31.195×10</w:t>
      </w:r>
      <w:r>
        <w:rPr>
          <w:rFonts w:hint="eastAsia" w:ascii="Times New Roman" w:hAnsi="Times New Roman" w:eastAsia="Times New Roman"/>
          <w:color w:val="000000"/>
          <w:sz w:val="24"/>
          <w:szCs w:val="24"/>
          <w:vertAlign w:val="superscript"/>
          <w:lang w:val="zh-CN"/>
        </w:rPr>
        <w:t>6</w:t>
      </w:r>
      <w:r>
        <w:rPr>
          <w:rFonts w:hint="eastAsia" w:ascii="Times New Roman" w:hAnsi="Times New Roman" w:eastAsia="Times New Roman"/>
          <w:color w:val="000000"/>
          <w:sz w:val="24"/>
          <w:szCs w:val="24"/>
          <w:lang w:val="zh-CN"/>
        </w:rPr>
        <w:t>/2)/[2×0.7×8×(400-2×8)</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/6]=56.666N/mm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N</w:t>
      </w:r>
      <w:r>
        <w:rPr>
          <w:rFonts w:hint="eastAsia" w:ascii="Times New Roman" w:hAnsi="Times New Roman" w:eastAsia="Times New Roman"/>
          <w:color w:val="000000"/>
          <w:sz w:val="24"/>
          <w:szCs w:val="24"/>
          <w:lang w:val="zh-CN"/>
        </w:rPr>
        <w:t>+σ</w:t>
      </w:r>
      <w:r>
        <w:rPr>
          <w:rFonts w:hint="eastAsia" w:ascii="Times New Roman" w:hAnsi="Times New Roman" w:eastAsia="Times New Roman"/>
          <w:color w:val="000000"/>
          <w:sz w:val="24"/>
          <w:szCs w:val="24"/>
          <w:vertAlign w:val="subscript"/>
          <w:lang w:val="zh-CN"/>
        </w:rPr>
        <w:t>M</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+τ</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=[((14.149+56.666)/1.22)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+2.698</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=58.108N/mm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vertAlign w:val="superscript"/>
          <w:lang w:val="zh-CN"/>
        </w:rPr>
        <w:t>w</w:t>
      </w:r>
      <w:r>
        <w:rPr>
          <w:rFonts w:hint="eastAsia" w:ascii="Times New Roman" w:hAnsi="Times New Roman" w:eastAsia="Times New Roman"/>
          <w:color w:val="000000"/>
          <w:sz w:val="24"/>
          <w:szCs w:val="24"/>
          <w:lang w:val="zh-CN"/>
        </w:rPr>
        <w:t>=160N/mm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附着杆1、附着杆2连接的双吊耳板：连接钢板焊缝强度满足要求！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附着杆3、附着杆4连接的双吊耳板：</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连接钢板吊耳板排数为2，则：</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计算连接钢板与吊耳板连接位置焊缝应力为：</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N</w:t>
      </w:r>
      <w:r>
        <w:rPr>
          <w:rFonts w:hint="eastAsia" w:ascii="Times New Roman" w:hAnsi="Times New Roman" w:eastAsia="Times New Roman"/>
          <w:color w:val="000000"/>
          <w:sz w:val="24"/>
          <w:szCs w:val="24"/>
          <w:lang w:val="zh-CN"/>
        </w:rPr>
        <w:t>=(|F|/2)/[2×0.7h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c1</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)]=(|408.302|×10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/2)/[2×0.7×8×(400-2×8)]=47.468N/mm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τ</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=(|V|/2)/[2×0.7h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c1</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)]=(|68.752|×10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/2)/[2×0.7×8×(400-2×8)]=7.993N/mm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M</w:t>
      </w:r>
      <w:r>
        <w:rPr>
          <w:rFonts w:hint="eastAsia" w:ascii="Times New Roman" w:hAnsi="Times New Roman" w:eastAsia="Times New Roman"/>
          <w:color w:val="000000"/>
          <w:sz w:val="24"/>
          <w:szCs w:val="24"/>
          <w:lang w:val="zh-CN"/>
        </w:rPr>
        <w:t>=M/W=(M/2)/[2×0.7h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c1</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/6]=(0.687×10</w:t>
      </w:r>
      <w:r>
        <w:rPr>
          <w:rFonts w:hint="eastAsia" w:ascii="Times New Roman" w:hAnsi="Times New Roman" w:eastAsia="Times New Roman"/>
          <w:color w:val="000000"/>
          <w:sz w:val="24"/>
          <w:szCs w:val="24"/>
          <w:vertAlign w:val="superscript"/>
          <w:lang w:val="zh-CN"/>
        </w:rPr>
        <w:t>6</w:t>
      </w:r>
      <w:r>
        <w:rPr>
          <w:rFonts w:hint="eastAsia" w:ascii="Times New Roman" w:hAnsi="Times New Roman" w:eastAsia="Times New Roman"/>
          <w:color w:val="000000"/>
          <w:sz w:val="24"/>
          <w:szCs w:val="24"/>
          <w:lang w:val="zh-CN"/>
        </w:rPr>
        <w:t>/2)/[2×0.7×8×(400-2×8)</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/6]=1.248N/mm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N</w:t>
      </w:r>
      <w:r>
        <w:rPr>
          <w:rFonts w:hint="eastAsia" w:ascii="Times New Roman" w:hAnsi="Times New Roman" w:eastAsia="Times New Roman"/>
          <w:color w:val="000000"/>
          <w:sz w:val="24"/>
          <w:szCs w:val="24"/>
          <w:lang w:val="zh-CN"/>
        </w:rPr>
        <w:t>+σ</w:t>
      </w:r>
      <w:r>
        <w:rPr>
          <w:rFonts w:hint="eastAsia" w:ascii="Times New Roman" w:hAnsi="Times New Roman" w:eastAsia="Times New Roman"/>
          <w:color w:val="000000"/>
          <w:sz w:val="24"/>
          <w:szCs w:val="24"/>
          <w:vertAlign w:val="subscript"/>
          <w:lang w:val="zh-CN"/>
        </w:rPr>
        <w:t>M</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+τ</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=[((47.468+1.248)/1.22)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+7.993</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=40.723N/mm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vertAlign w:val="superscript"/>
          <w:lang w:val="zh-CN"/>
        </w:rPr>
        <w:t>w</w:t>
      </w:r>
      <w:r>
        <w:rPr>
          <w:rFonts w:hint="eastAsia" w:ascii="Times New Roman" w:hAnsi="Times New Roman" w:eastAsia="Times New Roman"/>
          <w:color w:val="000000"/>
          <w:sz w:val="24"/>
          <w:szCs w:val="24"/>
          <w:lang w:val="zh-CN"/>
        </w:rPr>
        <w:t>=160N/mm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附着杆3、附着杆4连接的双吊耳板：连接钢板焊缝强度满足要求！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附图如下：</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6096000" cy="3886200"/>
            <wp:effectExtent l="0" t="0" r="0" b="0"/>
            <wp:docPr id="9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4"/>
                    <pic:cNvPicPr>
                      <a:picLocks noChangeAspect="1"/>
                    </pic:cNvPicPr>
                  </pic:nvPicPr>
                  <pic:blipFill>
                    <a:blip r:embed="rId123"/>
                    <a:stretch>
                      <a:fillRect/>
                    </a:stretch>
                  </pic:blipFill>
                  <pic:spPr>
                    <a:xfrm>
                      <a:off x="0" y="0"/>
                      <a:ext cx="6096000" cy="38862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fldChar w:fldCharType="begin"/>
      </w:r>
      <w:r>
        <w:rPr>
          <w:rFonts w:hint="eastAsia" w:ascii="Times New Roman" w:hAnsi="Times New Roman" w:eastAsia="Times New Roman"/>
          <w:color w:val="000000"/>
          <w:sz w:val="24"/>
          <w:szCs w:val="24"/>
          <w:lang w:val="zh-CN"/>
        </w:rPr>
        <w:instrText xml:space="preserve">HYPERLINK "D:\\品茗建筑云安全计算软件V1.4.2\\OutPut\\塔机附着节点详图-双吊耳板.dwg"</w:instrText>
      </w:r>
      <w:r>
        <w:rPr>
          <w:rFonts w:hint="eastAsia" w:ascii="Times New Roman" w:hAnsi="Times New Roman" w:eastAsia="Times New Roman"/>
          <w:color w:val="000000"/>
          <w:sz w:val="24"/>
          <w:szCs w:val="24"/>
          <w:lang w:val="zh-CN"/>
        </w:rPr>
        <w:fldChar w:fldCharType="separate"/>
      </w:r>
      <w:r>
        <w:rPr>
          <w:rFonts w:hint="eastAsia" w:ascii="Times New Roman" w:hAnsi="Times New Roman" w:eastAsia="Times New Roman"/>
          <w:color w:val="000080"/>
          <w:sz w:val="24"/>
          <w:szCs w:val="24"/>
          <w:u w:val="single"/>
          <w:lang w:val="zh-CN"/>
        </w:rPr>
        <w:t>塔机附着节点详图-双吊耳板</w:t>
      </w:r>
      <w:r>
        <w:rPr>
          <w:rFonts w:hint="eastAsia" w:ascii="Times New Roman" w:hAnsi="Times New Roman" w:eastAsia="Times New Roman"/>
          <w:color w:val="000080"/>
          <w:sz w:val="24"/>
          <w:szCs w:val="24"/>
          <w:u w:val="single"/>
          <w:lang w:val="zh-CN"/>
        </w:rPr>
        <w:fldChar w:fldCharType="end"/>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5362575" cy="4572000"/>
            <wp:effectExtent l="0" t="0" r="1905" b="0"/>
            <wp:docPr id="9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5"/>
                    <pic:cNvPicPr>
                      <a:picLocks noChangeAspect="1"/>
                    </pic:cNvPicPr>
                  </pic:nvPicPr>
                  <pic:blipFill>
                    <a:blip r:embed="rId124"/>
                    <a:stretch>
                      <a:fillRect/>
                    </a:stretch>
                  </pic:blipFill>
                  <pic:spPr>
                    <a:xfrm>
                      <a:off x="0" y="0"/>
                      <a:ext cx="5362575" cy="4572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fldChar w:fldCharType="begin"/>
      </w:r>
      <w:r>
        <w:rPr>
          <w:rFonts w:hint="eastAsia" w:ascii="Times New Roman" w:hAnsi="Times New Roman" w:eastAsia="Times New Roman"/>
          <w:color w:val="000000"/>
          <w:sz w:val="24"/>
          <w:szCs w:val="24"/>
          <w:lang w:val="zh-CN"/>
        </w:rPr>
        <w:instrText xml:space="preserve">HYPERLINK "D:\\品茗建筑云安全计算软件V1.4.2\\OutPut\\塔机附着节点剖面图-双吊耳板.dwg"</w:instrText>
      </w:r>
      <w:r>
        <w:rPr>
          <w:rFonts w:hint="eastAsia" w:ascii="Times New Roman" w:hAnsi="Times New Roman" w:eastAsia="Times New Roman"/>
          <w:color w:val="000000"/>
          <w:sz w:val="24"/>
          <w:szCs w:val="24"/>
          <w:lang w:val="zh-CN"/>
        </w:rPr>
        <w:fldChar w:fldCharType="separate"/>
      </w:r>
      <w:r>
        <w:rPr>
          <w:rFonts w:hint="eastAsia" w:ascii="Times New Roman" w:hAnsi="Times New Roman" w:eastAsia="Times New Roman"/>
          <w:color w:val="000080"/>
          <w:sz w:val="24"/>
          <w:szCs w:val="24"/>
          <w:u w:val="single"/>
          <w:lang w:val="zh-CN"/>
        </w:rPr>
        <w:t>塔机附着节点剖面图-双吊耳板</w:t>
      </w:r>
      <w:r>
        <w:rPr>
          <w:rFonts w:hint="eastAsia" w:ascii="Times New Roman" w:hAnsi="Times New Roman" w:eastAsia="Times New Roman"/>
          <w:color w:val="000080"/>
          <w:sz w:val="24"/>
          <w:szCs w:val="24"/>
          <w:u w:val="single"/>
          <w:lang w:val="zh-CN"/>
        </w:rPr>
        <w:fldChar w:fldCharType="end"/>
      </w:r>
    </w:p>
    <w:p>
      <w:pPr>
        <w:ind w:left="0" w:leftChars="0" w:firstLine="0" w:firstLineChars="0"/>
        <w:rPr>
          <w:color w:val="0000FF"/>
        </w:rPr>
      </w:pPr>
      <w:r>
        <w:rPr>
          <w:color w:val="0000FF"/>
        </w:rPr>
        <w:br w:type="page"/>
      </w:r>
    </w:p>
    <w:p>
      <w:pPr>
        <w:pStyle w:val="2"/>
      </w:pPr>
      <w:bookmarkStart w:id="247" w:name="_Toc14651"/>
      <w:r>
        <w:rPr>
          <w:rFonts w:hint="eastAsia"/>
        </w:rPr>
        <w:t>附件</w:t>
      </w:r>
      <w:bookmarkEnd w:id="247"/>
    </w:p>
    <w:p>
      <w:pPr>
        <w:pStyle w:val="3"/>
        <w:numPr>
          <w:ilvl w:val="0"/>
          <w:numId w:val="0"/>
        </w:numPr>
      </w:pPr>
      <w:bookmarkStart w:id="248" w:name="_Toc131174078"/>
      <w:bookmarkStart w:id="249" w:name="_Toc5282"/>
      <w:r>
        <w:rPr>
          <w:rFonts w:hint="eastAsia"/>
        </w:rPr>
        <w:t>附件1：本单位与相关施工人员资质证件</w:t>
      </w:r>
      <w:bookmarkEnd w:id="248"/>
      <w:bookmarkEnd w:id="249"/>
    </w:p>
    <w:p>
      <w:pPr>
        <w:pStyle w:val="3"/>
        <w:numPr>
          <w:ilvl w:val="0"/>
          <w:numId w:val="0"/>
        </w:numPr>
      </w:pPr>
      <w:bookmarkStart w:id="250" w:name="_Toc131174079"/>
      <w:bookmarkStart w:id="251" w:name="_Toc13867"/>
      <w:r>
        <w:rPr>
          <w:rFonts w:hint="eastAsia"/>
        </w:rPr>
        <w:t>附件2：</w:t>
      </w:r>
      <w:r>
        <w:fldChar w:fldCharType="begin"/>
      </w:r>
      <w:r>
        <w:instrText xml:space="preserve"> </w:instrText>
      </w:r>
      <w:r>
        <w:rPr>
          <w:rFonts w:hint="eastAsia"/>
        </w:rPr>
        <w:instrText xml:space="preserve">REF 设备型号1 \h</w:instrText>
      </w:r>
      <w:r>
        <w:instrText xml:space="preserve"> </w:instrText>
      </w:r>
      <w:r>
        <w:fldChar w:fldCharType="separate"/>
      </w:r>
      <w:r>
        <w:rPr>
          <w:rFonts w:hint="eastAsia"/>
          <w:lang w:eastAsia="zh-CN"/>
        </w:rPr>
        <w:t>XGT6515-10S</w:t>
      </w:r>
      <w:r>
        <w:fldChar w:fldCharType="end"/>
      </w:r>
      <w:r>
        <w:fldChar w:fldCharType="begin"/>
      </w:r>
      <w:r>
        <w:instrText xml:space="preserve"> REF 设备类型 \h  \* MERGEFORMAT </w:instrText>
      </w:r>
      <w:r>
        <w:fldChar w:fldCharType="separate"/>
      </w:r>
      <w:r>
        <w:rPr>
          <w:rFonts w:hint="eastAsia"/>
        </w:rPr>
        <w:t>塔式起重机</w:t>
      </w:r>
      <w:r>
        <w:fldChar w:fldCharType="end"/>
      </w:r>
      <w:r>
        <w:rPr>
          <w:rFonts w:hint="eastAsia"/>
        </w:rPr>
        <w:t>技术资料</w:t>
      </w:r>
      <w:bookmarkEnd w:id="250"/>
      <w:bookmarkEnd w:id="251"/>
    </w:p>
    <w:p>
      <w:pPr>
        <w:pStyle w:val="3"/>
        <w:numPr>
          <w:ilvl w:val="0"/>
          <w:numId w:val="0"/>
        </w:numPr>
      </w:pPr>
      <w:bookmarkStart w:id="252" w:name="_Toc131174080"/>
      <w:bookmarkStart w:id="253" w:name="_Toc18565"/>
      <w:r>
        <w:rPr>
          <w:rFonts w:hint="eastAsia"/>
        </w:rPr>
        <w:t>附件</w:t>
      </w:r>
      <w:r>
        <w:rPr>
          <w:rFonts w:hint="eastAsia"/>
          <w:lang w:val="en-US" w:eastAsia="zh-CN"/>
        </w:rPr>
        <w:t>3</w:t>
      </w:r>
      <w:r>
        <w:rPr>
          <w:rFonts w:hint="eastAsia"/>
        </w:rPr>
        <w:t>：安装自检表</w:t>
      </w:r>
      <w:bookmarkEnd w:id="252"/>
      <w:bookmarkEnd w:id="253"/>
    </w:p>
    <w:sectPr>
      <w:headerReference r:id="rId16"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文鼎书宋简">
    <w:altName w:val="宋体"/>
    <w:panose1 w:val="00000000000000000000"/>
    <w:charset w:val="86"/>
    <w:family w:val="auto"/>
    <w:pitch w:val="default"/>
    <w:sig w:usb0="00000000" w:usb1="00000000" w:usb2="0000001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ST Kaiti">
    <w:altName w:val="宋体"/>
    <w:panose1 w:val="00000000000000000000"/>
    <w:charset w:val="86"/>
    <w:family w:val="roma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p>
    <w:pPr>
      <w:pStyle w:val="2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0908422"/>
      <w:docPartObj>
        <w:docPartGallery w:val="autotext"/>
      </w:docPartObj>
    </w:sdtPr>
    <w:sdtContent>
      <w:p>
        <w:pPr>
          <w:pStyle w:val="26"/>
          <w:ind w:firstLine="360"/>
        </w:pPr>
        <w:r>
          <w:fldChar w:fldCharType="begin"/>
        </w:r>
        <w:r>
          <w:instrText xml:space="preserve">PAGE   \* MERGEFORMAT</w:instrText>
        </w:r>
        <w:r>
          <w:fldChar w:fldCharType="separate"/>
        </w:r>
        <w:r>
          <w:t>III</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6421725"/>
      <w:docPartObj>
        <w:docPartGallery w:val="autotext"/>
      </w:docPartObj>
    </w:sdtPr>
    <w:sdtContent>
      <w:p>
        <w:pPr>
          <w:pStyle w:val="26"/>
          <w:ind w:firstLine="360"/>
        </w:pPr>
        <w:r>
          <w:rPr>
            <w:rFonts w:hint="eastAsia"/>
          </w:rPr>
          <w:t xml:space="preserve">第 </w:t>
        </w:r>
        <w:r>
          <w:fldChar w:fldCharType="begin"/>
        </w:r>
        <w:r>
          <w:instrText xml:space="preserve">PAGE   \* MERGEFORMAT</w:instrText>
        </w:r>
        <w:r>
          <w:fldChar w:fldCharType="separate"/>
        </w:r>
        <w:r>
          <w:t>144</w:t>
        </w:r>
        <w:r>
          <w:fldChar w:fldCharType="end"/>
        </w:r>
        <w:r>
          <w:t xml:space="preserve"> </w:t>
        </w:r>
        <w:r>
          <w:rPr>
            <w:rFonts w:hint="eastAsia"/>
          </w:rPr>
          <w:t xml:space="preserve">页 </w:t>
        </w:r>
        <w:r>
          <w:t xml:space="preserve"> </w:t>
        </w:r>
        <w:r>
          <w:rPr>
            <w:rFonts w:hint="eastAsia"/>
          </w:rPr>
          <w:t xml:space="preserve">共 </w:t>
        </w:r>
        <w:r>
          <w:fldChar w:fldCharType="begin"/>
        </w:r>
        <w:r>
          <w:instrText xml:space="preserve"> =</w:instrText>
        </w:r>
        <w:r>
          <w:fldChar w:fldCharType="begin"/>
        </w:r>
        <w:r>
          <w:instrText xml:space="preserve"> NUMPAGES   \* MERGEFORMAT </w:instrText>
        </w:r>
        <w:r>
          <w:fldChar w:fldCharType="separate"/>
        </w:r>
        <w:r>
          <w:instrText xml:space="preserve">182</w:instrText>
        </w:r>
        <w:r>
          <w:fldChar w:fldCharType="end"/>
        </w:r>
        <w:r>
          <w:instrText xml:space="preserve">-5 </w:instrText>
        </w:r>
        <w:r>
          <w:fldChar w:fldCharType="separate"/>
        </w:r>
        <w:r>
          <w:t>177</w:t>
        </w:r>
        <w:r>
          <w:fldChar w:fldCharType="end"/>
        </w:r>
        <w:r>
          <w:t xml:space="preserve"> </w:t>
        </w:r>
        <w:r>
          <w:rPr>
            <w:rFonts w:hint="eastAsia"/>
          </w:rPr>
          <w:t>页</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tabs>
        <w:tab w:val="clear" w:pos="4153"/>
      </w:tabs>
      <w:jc w:val="both"/>
      <w:rPr>
        <w:rFonts w:ascii="楷体" w:hAnsi="楷体" w:cs="楷体"/>
        <w:b/>
        <w:bCs/>
      </w:rPr>
    </w:pPr>
    <w:r>
      <w:rPr>
        <w:rFonts w:hint="eastAsia" w:ascii="楷体" w:hAnsi="楷体" w:cs="楷体"/>
        <w:b/>
        <w:bCs/>
      </w:rPr>
      <w:t xml:space="preserve">国家高速公路网G5615天猴高速公路天保至文山段（天麻段） </w:t>
    </w:r>
    <w:r>
      <w:rPr>
        <w:rFonts w:ascii="楷体" w:hAnsi="楷体" w:cs="楷体"/>
        <w:b/>
        <w:bCs/>
      </w:rPr>
      <w:t xml:space="preserve">         </w:t>
    </w:r>
    <w:r>
      <w:rPr>
        <w:rFonts w:hint="eastAsia" w:ascii="楷体" w:hAnsi="楷体" w:cs="楷体"/>
        <w:b/>
        <w:bCs/>
        <w:lang w:val="en-US" w:eastAsia="zh-CN"/>
      </w:rPr>
      <w:t>畴阳河大桥</w:t>
    </w:r>
    <w:r>
      <w:rPr>
        <w:rFonts w:hint="eastAsia" w:ascii="楷体" w:hAnsi="楷体" w:cs="楷体"/>
        <w:b/>
        <w:bCs/>
      </w:rPr>
      <w:fldChar w:fldCharType="begin"/>
    </w:r>
    <w:r>
      <w:rPr>
        <w:rFonts w:hint="eastAsia" w:ascii="楷体" w:hAnsi="楷体" w:cs="楷体"/>
        <w:b/>
        <w:bCs/>
      </w:rPr>
      <w:instrText xml:space="preserve"> REF 设备类型 \h  \* MERGEFORMAT </w:instrText>
    </w:r>
    <w:r>
      <w:rPr>
        <w:rFonts w:hint="eastAsia" w:ascii="楷体" w:hAnsi="楷体" w:cs="楷体"/>
        <w:b/>
        <w:bCs/>
      </w:rPr>
      <w:fldChar w:fldCharType="separate"/>
    </w:r>
    <w:r>
      <w:rPr>
        <w:rFonts w:hint="eastAsia" w:ascii="楷体" w:hAnsi="楷体" w:cs="楷体"/>
        <w:b/>
        <w:bCs/>
      </w:rPr>
      <w:t>塔式起重机</w:t>
    </w:r>
    <w:r>
      <w:rPr>
        <w:rFonts w:hint="eastAsia" w:ascii="楷体" w:hAnsi="楷体" w:cs="楷体"/>
        <w:b/>
        <w:bCs/>
      </w:rPr>
      <w:fldChar w:fldCharType="end"/>
    </w:r>
    <w:r>
      <w:rPr>
        <w:rFonts w:ascii="楷体" w:hAnsi="楷体" w:cs="楷体"/>
        <w:b/>
        <w:bCs/>
      </w:rPr>
      <w:fldChar w:fldCharType="begin"/>
    </w:r>
    <w:r>
      <w:rPr>
        <w:rFonts w:ascii="楷体" w:hAnsi="楷体" w:cs="楷体"/>
        <w:b/>
        <w:bCs/>
      </w:rPr>
      <w:instrText xml:space="preserve"> REF 方案类别 \h  \* MERGEFORMAT </w:instrText>
    </w:r>
    <w:r>
      <w:rPr>
        <w:rFonts w:ascii="楷体" w:hAnsi="楷体" w:cs="楷体"/>
        <w:b/>
        <w:bCs/>
      </w:rPr>
      <w:fldChar w:fldCharType="separate"/>
    </w:r>
    <w:r>
      <w:rPr>
        <w:rFonts w:hint="eastAsia" w:ascii="楷体" w:hAnsi="楷体" w:cs="楷体"/>
        <w:b/>
        <w:bCs/>
      </w:rPr>
      <w:t>安装（拆除）方案</w:t>
    </w:r>
    <w:r>
      <w:rPr>
        <w:rFonts w:ascii="楷体" w:hAnsi="楷体" w:cs="楷体"/>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tabs>
        <w:tab w:val="clear" w:pos="4153"/>
      </w:tabs>
      <w:jc w:val="both"/>
      <w:rPr>
        <w:rFonts w:ascii="楷体" w:hAnsi="楷体" w:cs="楷体"/>
        <w:b/>
        <w:bCs/>
      </w:rPr>
    </w:pPr>
    <w:r>
      <w:rPr>
        <w:rFonts w:hint="eastAsia" w:ascii="楷体" w:hAnsi="楷体" w:cs="楷体"/>
        <w:b/>
        <w:bCs/>
      </w:rPr>
      <w:t>国家高速公路网G5615天猴高速公路天保至文山段（天麻段）</w:t>
    </w:r>
    <w:r>
      <w:tab/>
    </w:r>
    <w:r>
      <w:rPr>
        <w:rFonts w:hint="eastAsia" w:ascii="楷体" w:hAnsi="楷体" w:cs="楷体"/>
        <w:b/>
        <w:bCs/>
        <w:lang w:val="en-US" w:eastAsia="zh-CN"/>
      </w:rPr>
      <w:t>畴阳河大桥</w:t>
    </w:r>
    <w:r>
      <w:rPr>
        <w:rFonts w:ascii="楷体" w:hAnsi="楷体" w:cs="楷体"/>
        <w:b/>
        <w:bCs/>
      </w:rPr>
      <w:fldChar w:fldCharType="begin"/>
    </w:r>
    <w:r>
      <w:rPr>
        <w:rFonts w:ascii="楷体" w:hAnsi="楷体" w:cs="楷体"/>
        <w:b/>
        <w:bCs/>
      </w:rPr>
      <w:instrText xml:space="preserve"> </w:instrText>
    </w:r>
    <w:r>
      <w:rPr>
        <w:rFonts w:hint="eastAsia" w:ascii="楷体" w:hAnsi="楷体" w:cs="楷体"/>
        <w:b/>
        <w:bCs/>
      </w:rPr>
      <w:instrText xml:space="preserve">REF 设备类型 \h</w:instrText>
    </w:r>
    <w:r>
      <w:rPr>
        <w:rFonts w:ascii="楷体" w:hAnsi="楷体" w:cs="楷体"/>
        <w:b/>
        <w:bCs/>
      </w:rPr>
      <w:instrText xml:space="preserve">  \* MERGEFORMAT </w:instrText>
    </w:r>
    <w:r>
      <w:rPr>
        <w:rFonts w:ascii="楷体" w:hAnsi="楷体" w:cs="楷体"/>
        <w:b/>
        <w:bCs/>
      </w:rPr>
      <w:fldChar w:fldCharType="separate"/>
    </w:r>
    <w:r>
      <w:rPr>
        <w:rFonts w:hint="eastAsia" w:ascii="楷体" w:hAnsi="楷体" w:cs="楷体"/>
        <w:b/>
        <w:bCs/>
      </w:rPr>
      <w:t>塔式起重机</w:t>
    </w:r>
    <w:r>
      <w:rPr>
        <w:rFonts w:ascii="楷体" w:hAnsi="楷体" w:cs="楷体"/>
        <w:b/>
        <w:bCs/>
      </w:rPr>
      <w:fldChar w:fldCharType="end"/>
    </w:r>
    <w:r>
      <w:rPr>
        <w:rFonts w:ascii="楷体" w:hAnsi="楷体" w:cs="楷体"/>
        <w:b/>
        <w:bCs/>
      </w:rPr>
      <w:fldChar w:fldCharType="begin"/>
    </w:r>
    <w:r>
      <w:rPr>
        <w:rFonts w:ascii="楷体" w:hAnsi="楷体" w:cs="楷体"/>
        <w:b/>
        <w:bCs/>
      </w:rPr>
      <w:instrText xml:space="preserve"> REF 方案类别 \h  \* MERGEFORMAT </w:instrText>
    </w:r>
    <w:r>
      <w:rPr>
        <w:rFonts w:ascii="楷体" w:hAnsi="楷体" w:cs="楷体"/>
        <w:b/>
        <w:bCs/>
      </w:rPr>
      <w:fldChar w:fldCharType="separate"/>
    </w:r>
    <w:r>
      <w:rPr>
        <w:rFonts w:hint="eastAsia" w:ascii="楷体" w:hAnsi="楷体" w:cs="楷体"/>
        <w:b/>
        <w:bCs/>
      </w:rPr>
      <w:t>安装（拆除）方案</w:t>
    </w:r>
    <w:r>
      <w:rPr>
        <w:rFonts w:ascii="楷体" w:hAnsi="楷体" w:cs="楷体"/>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tabs>
        <w:tab w:val="clear" w:pos="4153"/>
      </w:tabs>
      <w:ind w:firstLine="482"/>
      <w:jc w:val="both"/>
      <w:rPr>
        <w:rFonts w:ascii="楷体" w:hAnsi="楷体" w:cs="楷体"/>
        <w:b/>
        <w:bCs/>
      </w:rPr>
    </w:pPr>
    <w:r>
      <w:rPr>
        <w:rFonts w:hint="eastAsia" w:ascii="楷体" w:hAnsi="楷体" w:cs="楷体"/>
        <w:b/>
        <w:bCs/>
      </w:rPr>
      <w:t xml:space="preserve">国家高速公路网G5615天猴高速公路天保至文山段（天麻段） </w:t>
    </w:r>
    <w:r>
      <w:rPr>
        <w:rFonts w:ascii="楷体" w:hAnsi="楷体" w:cs="楷体"/>
        <w:b/>
        <w:bCs/>
      </w:rPr>
      <w:t xml:space="preserve">                                               </w:t>
    </w:r>
    <w:r>
      <w:tab/>
    </w:r>
    <w:r>
      <w:rPr>
        <w:rFonts w:hint="eastAsia"/>
        <w:b/>
        <w:bCs/>
        <w:lang w:eastAsia="zh-CN"/>
      </w:rPr>
      <w:t>畴阳河大桥</w:t>
    </w:r>
    <w:r>
      <w:rPr>
        <w:rFonts w:ascii="楷体" w:hAnsi="楷体" w:cs="楷体"/>
        <w:b/>
        <w:bCs/>
      </w:rPr>
      <w:fldChar w:fldCharType="begin"/>
    </w:r>
    <w:r>
      <w:rPr>
        <w:rFonts w:ascii="楷体" w:hAnsi="楷体" w:cs="楷体"/>
        <w:b/>
        <w:bCs/>
      </w:rPr>
      <w:instrText xml:space="preserve"> </w:instrText>
    </w:r>
    <w:r>
      <w:rPr>
        <w:rFonts w:hint="eastAsia" w:ascii="楷体" w:hAnsi="楷体" w:cs="楷体"/>
        <w:b/>
        <w:bCs/>
      </w:rPr>
      <w:instrText xml:space="preserve">REF 设备类型 \h</w:instrText>
    </w:r>
    <w:r>
      <w:rPr>
        <w:rFonts w:ascii="楷体" w:hAnsi="楷体" w:cs="楷体"/>
        <w:b/>
        <w:bCs/>
      </w:rPr>
      <w:instrText xml:space="preserve">  \* MERGEFORMAT </w:instrText>
    </w:r>
    <w:r>
      <w:rPr>
        <w:rFonts w:ascii="楷体" w:hAnsi="楷体" w:cs="楷体"/>
        <w:b/>
        <w:bCs/>
      </w:rPr>
      <w:fldChar w:fldCharType="separate"/>
    </w:r>
    <w:r>
      <w:rPr>
        <w:rFonts w:hint="eastAsia" w:ascii="楷体" w:hAnsi="楷体" w:cs="楷体"/>
        <w:b/>
        <w:bCs/>
      </w:rPr>
      <w:t>塔式起重机</w:t>
    </w:r>
    <w:r>
      <w:rPr>
        <w:rFonts w:ascii="楷体" w:hAnsi="楷体" w:cs="楷体"/>
        <w:b/>
        <w:bCs/>
      </w:rPr>
      <w:fldChar w:fldCharType="end"/>
    </w:r>
    <w:r>
      <w:rPr>
        <w:rFonts w:ascii="楷体" w:hAnsi="楷体" w:cs="楷体"/>
        <w:b/>
        <w:bCs/>
      </w:rPr>
      <w:fldChar w:fldCharType="begin"/>
    </w:r>
    <w:r>
      <w:rPr>
        <w:rFonts w:ascii="楷体" w:hAnsi="楷体" w:cs="楷体"/>
        <w:b/>
        <w:bCs/>
      </w:rPr>
      <w:instrText xml:space="preserve"> REF 方案类别 \h  \* MERGEFORMAT </w:instrText>
    </w:r>
    <w:r>
      <w:rPr>
        <w:rFonts w:ascii="楷体" w:hAnsi="楷体" w:cs="楷体"/>
        <w:b/>
        <w:bCs/>
      </w:rPr>
      <w:fldChar w:fldCharType="separate"/>
    </w:r>
    <w:r>
      <w:rPr>
        <w:rFonts w:hint="eastAsia" w:ascii="楷体" w:hAnsi="楷体" w:cs="楷体"/>
        <w:b/>
        <w:bCs/>
      </w:rPr>
      <w:t>安装（拆除）方案</w:t>
    </w:r>
    <w:r>
      <w:rPr>
        <w:rFonts w:ascii="楷体" w:hAnsi="楷体" w:cs="楷体"/>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tabs>
        <w:tab w:val="clear" w:pos="4153"/>
      </w:tabs>
      <w:jc w:val="both"/>
      <w:rPr>
        <w:rFonts w:ascii="楷体" w:hAnsi="楷体" w:cs="楷体"/>
        <w:b/>
        <w:bCs/>
      </w:rPr>
    </w:pPr>
    <w:r>
      <w:rPr>
        <w:rFonts w:hint="eastAsia" w:ascii="楷体" w:hAnsi="楷体" w:cs="楷体"/>
        <w:b/>
        <w:bCs/>
      </w:rPr>
      <w:t>国家高速公路网G5615天猴高速公路天保至文山段（天麻段）</w:t>
    </w:r>
    <w:r>
      <w:tab/>
    </w:r>
    <w:r>
      <w:rPr>
        <w:rFonts w:hint="eastAsia" w:ascii="楷体" w:hAnsi="楷体" w:cs="楷体"/>
        <w:b/>
        <w:bCs/>
        <w:lang w:val="en-US" w:eastAsia="zh-CN"/>
      </w:rPr>
      <w:t>畴阳河大桥</w:t>
    </w:r>
    <w:r>
      <w:rPr>
        <w:rFonts w:hint="eastAsia" w:ascii="楷体" w:hAnsi="楷体" w:cs="楷体"/>
        <w:b/>
        <w:bCs/>
      </w:rPr>
      <w:fldChar w:fldCharType="begin"/>
    </w:r>
    <w:r>
      <w:rPr>
        <w:rFonts w:hint="eastAsia" w:ascii="楷体" w:hAnsi="楷体" w:cs="楷体"/>
        <w:b/>
        <w:bCs/>
      </w:rPr>
      <w:instrText xml:space="preserve"> REF 设备类型 \h  \* MERGEFORMAT </w:instrText>
    </w:r>
    <w:r>
      <w:rPr>
        <w:rFonts w:hint="eastAsia" w:ascii="楷体" w:hAnsi="楷体" w:cs="楷体"/>
        <w:b/>
        <w:bCs/>
      </w:rPr>
      <w:fldChar w:fldCharType="separate"/>
    </w:r>
    <w:r>
      <w:rPr>
        <w:rFonts w:hint="eastAsia" w:ascii="楷体" w:hAnsi="楷体" w:cs="楷体"/>
        <w:b/>
        <w:bCs/>
      </w:rPr>
      <w:t>塔式起重机</w:t>
    </w:r>
    <w:r>
      <w:rPr>
        <w:rFonts w:hint="eastAsia" w:ascii="楷体" w:hAnsi="楷体" w:cs="楷体"/>
        <w:b/>
        <w:bCs/>
      </w:rPr>
      <w:fldChar w:fldCharType="end"/>
    </w:r>
    <w:r>
      <w:rPr>
        <w:rFonts w:ascii="楷体" w:hAnsi="楷体" w:cs="楷体"/>
        <w:b/>
        <w:bCs/>
      </w:rPr>
      <w:fldChar w:fldCharType="begin"/>
    </w:r>
    <w:r>
      <w:rPr>
        <w:rFonts w:ascii="楷体" w:hAnsi="楷体" w:cs="楷体"/>
        <w:b/>
        <w:bCs/>
      </w:rPr>
      <w:instrText xml:space="preserve"> REF 方案类别 \h  \* MERGEFORMAT </w:instrText>
    </w:r>
    <w:r>
      <w:rPr>
        <w:rFonts w:ascii="楷体" w:hAnsi="楷体" w:cs="楷体"/>
        <w:b/>
        <w:bCs/>
      </w:rPr>
      <w:fldChar w:fldCharType="separate"/>
    </w:r>
    <w:r>
      <w:rPr>
        <w:rFonts w:hint="eastAsia" w:ascii="楷体" w:hAnsi="楷体" w:cs="楷体"/>
        <w:b/>
        <w:bCs/>
      </w:rPr>
      <w:t>安装（拆除）方案</w:t>
    </w:r>
    <w:r>
      <w:rPr>
        <w:rFonts w:ascii="楷体" w:hAnsi="楷体" w:cs="楷体"/>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DE886C"/>
    <w:multiLevelType w:val="singleLevel"/>
    <w:tmpl w:val="9CDE886C"/>
    <w:lvl w:ilvl="0" w:tentative="0">
      <w:start w:val="1"/>
      <w:numFmt w:val="decimal"/>
      <w:suff w:val="nothing"/>
      <w:lvlText w:val="（%1）"/>
      <w:lvlJc w:val="left"/>
    </w:lvl>
  </w:abstractNum>
  <w:abstractNum w:abstractNumId="1">
    <w:nsid w:val="EC8C5676"/>
    <w:multiLevelType w:val="singleLevel"/>
    <w:tmpl w:val="EC8C5676"/>
    <w:lvl w:ilvl="0" w:tentative="0">
      <w:start w:val="1"/>
      <w:numFmt w:val="chineseCounting"/>
      <w:suff w:val="nothing"/>
      <w:lvlText w:val="%1、"/>
      <w:lvlJc w:val="left"/>
      <w:rPr>
        <w:rFonts w:hint="eastAsia"/>
      </w:rPr>
    </w:lvl>
  </w:abstractNum>
  <w:abstractNum w:abstractNumId="2">
    <w:nsid w:val="02220C86"/>
    <w:multiLevelType w:val="multilevel"/>
    <w:tmpl w:val="02220C86"/>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02271ACA"/>
    <w:multiLevelType w:val="singleLevel"/>
    <w:tmpl w:val="02271ACA"/>
    <w:lvl w:ilvl="0" w:tentative="0">
      <w:start w:val="1"/>
      <w:numFmt w:val="decimal"/>
      <w:suff w:val="nothing"/>
      <w:lvlText w:val="（%1）"/>
      <w:lvlJc w:val="left"/>
    </w:lvl>
  </w:abstractNum>
  <w:abstractNum w:abstractNumId="4">
    <w:nsid w:val="02F46867"/>
    <w:multiLevelType w:val="multilevel"/>
    <w:tmpl w:val="02F46867"/>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03697A6F"/>
    <w:multiLevelType w:val="multilevel"/>
    <w:tmpl w:val="03697A6F"/>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44615A5"/>
    <w:multiLevelType w:val="multilevel"/>
    <w:tmpl w:val="044615A5"/>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04D800DD"/>
    <w:multiLevelType w:val="multilevel"/>
    <w:tmpl w:val="04D800DD"/>
    <w:lvl w:ilvl="0" w:tentative="0">
      <w:start w:val="1"/>
      <w:numFmt w:val="decimal"/>
      <w:pStyle w:val="111"/>
      <w:suff w:val="nothing"/>
      <w:lvlText w:val="（%1）"/>
      <w:lvlJc w:val="left"/>
      <w:pPr>
        <w:ind w:left="0" w:firstLine="482"/>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0580B7F1"/>
    <w:multiLevelType w:val="singleLevel"/>
    <w:tmpl w:val="0580B7F1"/>
    <w:lvl w:ilvl="0" w:tentative="0">
      <w:start w:val="1"/>
      <w:numFmt w:val="decimalFullWidth"/>
      <w:suff w:val="nothing"/>
      <w:lvlText w:val="%1）"/>
      <w:lvlJc w:val="left"/>
      <w:rPr>
        <w:rFonts w:hint="eastAsia"/>
      </w:rPr>
    </w:lvl>
  </w:abstractNum>
  <w:abstractNum w:abstractNumId="9">
    <w:nsid w:val="071A327A"/>
    <w:multiLevelType w:val="multilevel"/>
    <w:tmpl w:val="071A327A"/>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7D47F01"/>
    <w:multiLevelType w:val="multilevel"/>
    <w:tmpl w:val="07D47F01"/>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083E6C6C"/>
    <w:multiLevelType w:val="multilevel"/>
    <w:tmpl w:val="083E6C6C"/>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08AF42AE"/>
    <w:multiLevelType w:val="multilevel"/>
    <w:tmpl w:val="08AF42AE"/>
    <w:lvl w:ilvl="0" w:tentative="0">
      <w:start w:val="1"/>
      <w:numFmt w:val="decimalEnclosedParen"/>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0ACC66F5"/>
    <w:multiLevelType w:val="multilevel"/>
    <w:tmpl w:val="0ACC66F5"/>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0BB54DF7"/>
    <w:multiLevelType w:val="multilevel"/>
    <w:tmpl w:val="0BB54DF7"/>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0C9B581A"/>
    <w:multiLevelType w:val="multilevel"/>
    <w:tmpl w:val="0C9B581A"/>
    <w:lvl w:ilvl="0" w:tentative="0">
      <w:start w:val="1"/>
      <w:numFmt w:val="decimal"/>
      <w:suff w:val="nothing"/>
      <w:lvlText w:val="（%1）"/>
      <w:lvlJc w:val="left"/>
      <w:pPr>
        <w:ind w:left="0" w:firstLine="480"/>
      </w:pPr>
      <w:rPr>
        <w:rFonts w:hint="default" w:ascii="Times New Roman" w:hAnsi="Times New Roman" w:eastAsia="宋体"/>
        <w:b w:val="0"/>
        <w:i w:val="0"/>
        <w:sz w:val="24"/>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0EC25B78"/>
    <w:multiLevelType w:val="multilevel"/>
    <w:tmpl w:val="0EC25B78"/>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7">
    <w:nsid w:val="14652B23"/>
    <w:multiLevelType w:val="multilevel"/>
    <w:tmpl w:val="14652B23"/>
    <w:lvl w:ilvl="0" w:tentative="0">
      <w:start w:val="1"/>
      <w:numFmt w:val="lowerLetter"/>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1567EC35"/>
    <w:multiLevelType w:val="singleLevel"/>
    <w:tmpl w:val="1567EC35"/>
    <w:lvl w:ilvl="0" w:tentative="0">
      <w:start w:val="1"/>
      <w:numFmt w:val="decimal"/>
      <w:suff w:val="nothing"/>
      <w:lvlText w:val="%1"/>
      <w:lvlJc w:val="left"/>
      <w:pPr>
        <w:tabs>
          <w:tab w:val="left" w:pos="0"/>
        </w:tabs>
        <w:ind w:left="0" w:firstLine="0"/>
      </w:pPr>
      <w:rPr>
        <w:rFonts w:hint="default"/>
      </w:rPr>
    </w:lvl>
  </w:abstractNum>
  <w:abstractNum w:abstractNumId="19">
    <w:nsid w:val="166F56DF"/>
    <w:multiLevelType w:val="multilevel"/>
    <w:tmpl w:val="166F56DF"/>
    <w:lvl w:ilvl="0" w:tentative="0">
      <w:start w:val="1"/>
      <w:numFmt w:val="decimal"/>
      <w:pStyle w:val="169"/>
      <w:suff w:val="nothing"/>
      <w:lvlText w:val="（%1）"/>
      <w:lvlJc w:val="left"/>
      <w:pPr>
        <w:ind w:left="0" w:firstLine="400"/>
      </w:pPr>
      <w:rPr>
        <w:rFonts w:hint="default" w:ascii="Times New Roman" w:hAnsi="Times New Roman" w:eastAsia="宋体"/>
        <w:b w:val="0"/>
        <w:i w:val="0"/>
        <w:sz w:val="24"/>
      </w:rPr>
    </w:lvl>
    <w:lvl w:ilvl="1" w:tentative="0">
      <w:start w:val="1"/>
      <w:numFmt w:val="lowerLetter"/>
      <w:lvlText w:val="%2)"/>
      <w:lvlJc w:val="left"/>
      <w:pPr>
        <w:ind w:left="0" w:firstLine="0"/>
      </w:pPr>
      <w:rPr>
        <w:rFonts w:hint="eastAsia"/>
      </w:rPr>
    </w:lvl>
    <w:lvl w:ilvl="2" w:tentative="0">
      <w:start w:val="1"/>
      <w:numFmt w:val="lowerRoman"/>
      <w:lvlText w:val="%3."/>
      <w:lvlJc w:val="right"/>
      <w:pPr>
        <w:ind w:left="0" w:firstLine="0"/>
      </w:pPr>
      <w:rPr>
        <w:rFonts w:hint="eastAsia"/>
      </w:rPr>
    </w:lvl>
    <w:lvl w:ilvl="3" w:tentative="0">
      <w:start w:val="1"/>
      <w:numFmt w:val="decimal"/>
      <w:lvlText w:val="%4."/>
      <w:lvlJc w:val="left"/>
      <w:pPr>
        <w:ind w:left="0" w:firstLine="0"/>
      </w:pPr>
      <w:rPr>
        <w:rFonts w:hint="eastAsia"/>
      </w:rPr>
    </w:lvl>
    <w:lvl w:ilvl="4" w:tentative="0">
      <w:start w:val="1"/>
      <w:numFmt w:val="lowerLetter"/>
      <w:lvlText w:val="%5)"/>
      <w:lvlJc w:val="left"/>
      <w:pPr>
        <w:ind w:left="0" w:firstLine="0"/>
      </w:pPr>
      <w:rPr>
        <w:rFonts w:hint="eastAsia"/>
      </w:rPr>
    </w:lvl>
    <w:lvl w:ilvl="5" w:tentative="0">
      <w:start w:val="1"/>
      <w:numFmt w:val="lowerRoman"/>
      <w:lvlText w:val="%6."/>
      <w:lvlJc w:val="right"/>
      <w:pPr>
        <w:ind w:left="0" w:firstLine="0"/>
      </w:pPr>
      <w:rPr>
        <w:rFonts w:hint="eastAsia"/>
      </w:rPr>
    </w:lvl>
    <w:lvl w:ilvl="6" w:tentative="0">
      <w:start w:val="1"/>
      <w:numFmt w:val="decimal"/>
      <w:lvlText w:val="%7."/>
      <w:lvlJc w:val="left"/>
      <w:pPr>
        <w:ind w:left="0" w:firstLine="0"/>
      </w:pPr>
      <w:rPr>
        <w:rFonts w:hint="eastAsia"/>
      </w:rPr>
    </w:lvl>
    <w:lvl w:ilvl="7" w:tentative="0">
      <w:start w:val="1"/>
      <w:numFmt w:val="lowerLetter"/>
      <w:lvlText w:val="%8)"/>
      <w:lvlJc w:val="left"/>
      <w:pPr>
        <w:ind w:left="0" w:firstLine="0"/>
      </w:pPr>
      <w:rPr>
        <w:rFonts w:hint="eastAsia"/>
      </w:rPr>
    </w:lvl>
    <w:lvl w:ilvl="8" w:tentative="0">
      <w:start w:val="1"/>
      <w:numFmt w:val="lowerRoman"/>
      <w:lvlText w:val="%9."/>
      <w:lvlJc w:val="right"/>
      <w:pPr>
        <w:ind w:left="0" w:firstLine="0"/>
      </w:pPr>
      <w:rPr>
        <w:rFonts w:hint="eastAsia"/>
      </w:rPr>
    </w:lvl>
  </w:abstractNum>
  <w:abstractNum w:abstractNumId="20">
    <w:nsid w:val="17775896"/>
    <w:multiLevelType w:val="multilevel"/>
    <w:tmpl w:val="17775896"/>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1786332D"/>
    <w:multiLevelType w:val="multilevel"/>
    <w:tmpl w:val="1786332D"/>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1A1D7684"/>
    <w:multiLevelType w:val="multilevel"/>
    <w:tmpl w:val="1A1D7684"/>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3">
    <w:nsid w:val="1B7B647C"/>
    <w:multiLevelType w:val="multilevel"/>
    <w:tmpl w:val="1B7B647C"/>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1D074C54"/>
    <w:multiLevelType w:val="multilevel"/>
    <w:tmpl w:val="1D074C54"/>
    <w:lvl w:ilvl="0" w:tentative="0">
      <w:start w:val="1"/>
      <w:numFmt w:val="decimal"/>
      <w:suff w:val="nothing"/>
      <w:lvlText w:val="（%1）"/>
      <w:lvlJc w:val="left"/>
      <w:pPr>
        <w:ind w:left="0" w:firstLine="480"/>
      </w:pPr>
      <w:rPr>
        <w:rFonts w:hint="default" w:ascii="Times New Roman" w:hAnsi="Times New Roman" w:eastAsia="宋体"/>
        <w:b w:val="0"/>
        <w:i w:val="0"/>
        <w:sz w:val="24"/>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1F7F77FF"/>
    <w:multiLevelType w:val="multilevel"/>
    <w:tmpl w:val="1F7F77FF"/>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6">
    <w:nsid w:val="1FEA7CC5"/>
    <w:multiLevelType w:val="multilevel"/>
    <w:tmpl w:val="1FEA7CC5"/>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20464DA2"/>
    <w:multiLevelType w:val="multilevel"/>
    <w:tmpl w:val="20464DA2"/>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24C67998"/>
    <w:multiLevelType w:val="multilevel"/>
    <w:tmpl w:val="24C67998"/>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9">
    <w:nsid w:val="24EE0783"/>
    <w:multiLevelType w:val="multilevel"/>
    <w:tmpl w:val="24EE0783"/>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0">
    <w:nsid w:val="25B5427F"/>
    <w:multiLevelType w:val="multilevel"/>
    <w:tmpl w:val="25B5427F"/>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1">
    <w:nsid w:val="26A70E54"/>
    <w:multiLevelType w:val="multilevel"/>
    <w:tmpl w:val="26A70E54"/>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283F2BD6"/>
    <w:multiLevelType w:val="multilevel"/>
    <w:tmpl w:val="283F2BD6"/>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3">
    <w:nsid w:val="28753BF7"/>
    <w:multiLevelType w:val="multilevel"/>
    <w:tmpl w:val="28753BF7"/>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4">
    <w:nsid w:val="2AE010E5"/>
    <w:multiLevelType w:val="multilevel"/>
    <w:tmpl w:val="2AE010E5"/>
    <w:lvl w:ilvl="0" w:tentative="0">
      <w:start w:val="1"/>
      <w:numFmt w:val="decimal"/>
      <w:suff w:val="nothing"/>
      <w:lvlText w:val="（%1）"/>
      <w:lvlJc w:val="left"/>
      <w:pPr>
        <w:ind w:left="0" w:firstLine="40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5">
    <w:nsid w:val="2B004990"/>
    <w:multiLevelType w:val="multilevel"/>
    <w:tmpl w:val="2B004990"/>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2C28278E"/>
    <w:multiLevelType w:val="multilevel"/>
    <w:tmpl w:val="2C28278E"/>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2D0400F8"/>
    <w:multiLevelType w:val="singleLevel"/>
    <w:tmpl w:val="2D0400F8"/>
    <w:lvl w:ilvl="0" w:tentative="0">
      <w:start w:val="1"/>
      <w:numFmt w:val="decimal"/>
      <w:suff w:val="nothing"/>
      <w:lvlText w:val="（%1）"/>
      <w:lvlJc w:val="left"/>
    </w:lvl>
  </w:abstractNum>
  <w:abstractNum w:abstractNumId="38">
    <w:nsid w:val="2DCF2326"/>
    <w:multiLevelType w:val="multilevel"/>
    <w:tmpl w:val="2DCF2326"/>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9">
    <w:nsid w:val="2E2321FC"/>
    <w:multiLevelType w:val="multilevel"/>
    <w:tmpl w:val="2E2321FC"/>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2F8363A2"/>
    <w:multiLevelType w:val="multilevel"/>
    <w:tmpl w:val="2F8363A2"/>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1">
    <w:nsid w:val="31FC4BE0"/>
    <w:multiLevelType w:val="multilevel"/>
    <w:tmpl w:val="31FC4BE0"/>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2">
    <w:nsid w:val="323969FF"/>
    <w:multiLevelType w:val="multilevel"/>
    <w:tmpl w:val="323969FF"/>
    <w:lvl w:ilvl="0" w:tentative="0">
      <w:start w:val="1"/>
      <w:numFmt w:val="lowerLetter"/>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3">
    <w:nsid w:val="333E082A"/>
    <w:multiLevelType w:val="multilevel"/>
    <w:tmpl w:val="333E082A"/>
    <w:lvl w:ilvl="0" w:tentative="0">
      <w:start w:val="1"/>
      <w:numFmt w:val="lowerLetter"/>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4">
    <w:nsid w:val="33B730C1"/>
    <w:multiLevelType w:val="multilevel"/>
    <w:tmpl w:val="33B730C1"/>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decimal"/>
      <w:suff w:val="nothing"/>
      <w:lvlText w:val="（%3）"/>
      <w:lvlJc w:val="left"/>
      <w:pPr>
        <w:ind w:left="0" w:firstLine="482"/>
      </w:pPr>
      <w:rPr>
        <w:rFonts w:hint="default"/>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5">
    <w:nsid w:val="34F72672"/>
    <w:multiLevelType w:val="multilevel"/>
    <w:tmpl w:val="34F72672"/>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6">
    <w:nsid w:val="359B3139"/>
    <w:multiLevelType w:val="multilevel"/>
    <w:tmpl w:val="359B3139"/>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375D2254"/>
    <w:multiLevelType w:val="multilevel"/>
    <w:tmpl w:val="375D2254"/>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8">
    <w:nsid w:val="382222F7"/>
    <w:multiLevelType w:val="multilevel"/>
    <w:tmpl w:val="382222F7"/>
    <w:lvl w:ilvl="0" w:tentative="0">
      <w:start w:val="1"/>
      <w:numFmt w:val="lowerLetter"/>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9">
    <w:nsid w:val="3891574F"/>
    <w:multiLevelType w:val="multilevel"/>
    <w:tmpl w:val="3891574F"/>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0">
    <w:nsid w:val="39CA451E"/>
    <w:multiLevelType w:val="multilevel"/>
    <w:tmpl w:val="39CA451E"/>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1">
    <w:nsid w:val="3D145619"/>
    <w:multiLevelType w:val="multilevel"/>
    <w:tmpl w:val="3D145619"/>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lvlText w:val="%2）"/>
      <w:lvlJc w:val="left"/>
      <w:pPr>
        <w:ind w:left="1260" w:hanging="360"/>
      </w:pPr>
      <w:rPr>
        <w:rFonts w:hint="default"/>
      </w:rPr>
    </w:lvl>
    <w:lvl w:ilvl="2" w:tentative="0">
      <w:start w:val="1"/>
      <w:numFmt w:val="decimal"/>
      <w:suff w:val="nothing"/>
      <w:lvlText w:val="（%3）"/>
      <w:lvlJc w:val="left"/>
      <w:pPr>
        <w:ind w:left="0" w:firstLine="480"/>
      </w:pPr>
      <w:rPr>
        <w:rFonts w:hint="default" w:ascii="Times New Roman" w:hAnsi="Times New Roman" w:eastAsia="宋体"/>
        <w:b w:val="0"/>
        <w:i w:val="0"/>
        <w:sz w:val="24"/>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2">
    <w:nsid w:val="428F3721"/>
    <w:multiLevelType w:val="multilevel"/>
    <w:tmpl w:val="428F3721"/>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3">
    <w:nsid w:val="42DD4FC1"/>
    <w:multiLevelType w:val="multilevel"/>
    <w:tmpl w:val="42DD4FC1"/>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4">
    <w:nsid w:val="43E03799"/>
    <w:multiLevelType w:val="multilevel"/>
    <w:tmpl w:val="43E03799"/>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5">
    <w:nsid w:val="43FF553D"/>
    <w:multiLevelType w:val="multilevel"/>
    <w:tmpl w:val="43FF553D"/>
    <w:lvl w:ilvl="0" w:tentative="0">
      <w:start w:val="1"/>
      <w:numFmt w:val="decimalEnclosedParen"/>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6">
    <w:nsid w:val="4456517E"/>
    <w:multiLevelType w:val="multilevel"/>
    <w:tmpl w:val="4456517E"/>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7">
    <w:nsid w:val="4521537E"/>
    <w:multiLevelType w:val="multilevel"/>
    <w:tmpl w:val="4521537E"/>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8">
    <w:nsid w:val="472C22D5"/>
    <w:multiLevelType w:val="multilevel"/>
    <w:tmpl w:val="472C22D5"/>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9">
    <w:nsid w:val="49563D4D"/>
    <w:multiLevelType w:val="multilevel"/>
    <w:tmpl w:val="49563D4D"/>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0">
    <w:nsid w:val="499C37EE"/>
    <w:multiLevelType w:val="multilevel"/>
    <w:tmpl w:val="499C37EE"/>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1">
    <w:nsid w:val="4B5C54D9"/>
    <w:multiLevelType w:val="multilevel"/>
    <w:tmpl w:val="4B5C54D9"/>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2">
    <w:nsid w:val="4B6C4A29"/>
    <w:multiLevelType w:val="singleLevel"/>
    <w:tmpl w:val="4B6C4A29"/>
    <w:lvl w:ilvl="0" w:tentative="0">
      <w:start w:val="1"/>
      <w:numFmt w:val="decimal"/>
      <w:suff w:val="nothing"/>
      <w:lvlText w:val="（%1）"/>
      <w:lvlJc w:val="left"/>
    </w:lvl>
  </w:abstractNum>
  <w:abstractNum w:abstractNumId="63">
    <w:nsid w:val="4BBC29E0"/>
    <w:multiLevelType w:val="singleLevel"/>
    <w:tmpl w:val="4BBC29E0"/>
    <w:lvl w:ilvl="0" w:tentative="0">
      <w:start w:val="1"/>
      <w:numFmt w:val="decimal"/>
      <w:suff w:val="nothing"/>
      <w:lvlText w:val="（%1）"/>
      <w:lvlJc w:val="left"/>
    </w:lvl>
  </w:abstractNum>
  <w:abstractNum w:abstractNumId="64">
    <w:nsid w:val="4CC15744"/>
    <w:multiLevelType w:val="multilevel"/>
    <w:tmpl w:val="4CC15744"/>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5">
    <w:nsid w:val="4D4929C9"/>
    <w:multiLevelType w:val="multilevel"/>
    <w:tmpl w:val="4D4929C9"/>
    <w:lvl w:ilvl="0" w:tentative="0">
      <w:start w:val="1"/>
      <w:numFmt w:val="decimal"/>
      <w:pStyle w:val="2"/>
      <w:suff w:val="space"/>
      <w:lvlText w:val="%1"/>
      <w:lvlJc w:val="left"/>
      <w:pPr>
        <w:ind w:left="0" w:firstLine="0"/>
      </w:pPr>
      <w:rPr>
        <w:rFonts w:hint="default" w:ascii="Times New Roman" w:hAnsi="Times New Roman" w:eastAsia="宋体"/>
      </w:rPr>
    </w:lvl>
    <w:lvl w:ilvl="1" w:tentative="0">
      <w:start w:val="1"/>
      <w:numFmt w:val="decimal"/>
      <w:pStyle w:val="3"/>
      <w:isLgl/>
      <w:suff w:val="space"/>
      <w:lvlText w:val="%1.%2"/>
      <w:lvlJc w:val="left"/>
      <w:pPr>
        <w:ind w:left="0" w:firstLine="0"/>
      </w:pPr>
      <w:rPr>
        <w:rFonts w:hint="default" w:ascii="Times New Roman" w:hAnsi="Times New Roman" w:eastAsia="宋体"/>
      </w:rPr>
    </w:lvl>
    <w:lvl w:ilvl="2" w:tentative="0">
      <w:start w:val="1"/>
      <w:numFmt w:val="decimal"/>
      <w:isLgl/>
      <w:suff w:val="space"/>
      <w:lvlText w:val="%1.%2.%3"/>
      <w:lvlJc w:val="left"/>
      <w:pPr>
        <w:ind w:left="0" w:firstLine="0"/>
      </w:pPr>
      <w:rPr>
        <w:rFonts w:hint="default" w:ascii="Times New Roman" w:hAnsi="Times New Roman" w:eastAsia="宋体"/>
      </w:rPr>
    </w:lvl>
    <w:lvl w:ilvl="3" w:tentative="0">
      <w:start w:val="1"/>
      <w:numFmt w:val="decimal"/>
      <w:pStyle w:val="5"/>
      <w:isLgl/>
      <w:suff w:val="space"/>
      <w:lvlText w:val="%1.%2.%3.%4"/>
      <w:lvlJc w:val="left"/>
      <w:pPr>
        <w:ind w:left="0" w:firstLine="0"/>
      </w:pPr>
      <w:rPr>
        <w:rFonts w:hint="default" w:ascii="Times New Roman" w:hAnsi="Times New Roman" w:eastAsia="宋体"/>
      </w:rPr>
    </w:lvl>
    <w:lvl w:ilvl="4" w:tentative="0">
      <w:start w:val="1"/>
      <w:numFmt w:val="decimal"/>
      <w:pStyle w:val="159"/>
      <w:suff w:val="space"/>
      <w:lvlText w:val="%1.%2.%3.%4.%5"/>
      <w:lvlJc w:val="left"/>
      <w:pPr>
        <w:ind w:left="0" w:firstLine="0"/>
      </w:pPr>
      <w:rPr>
        <w:rFonts w:hint="default" w:ascii="Times New Roman" w:hAnsi="Times New Roman" w:eastAsia="宋体"/>
        <w:b/>
        <w:i w:val="0"/>
        <w:sz w:val="24"/>
      </w:rPr>
    </w:lvl>
    <w:lvl w:ilvl="5" w:tentative="0">
      <w:start w:val="1"/>
      <w:numFmt w:val="decimal"/>
      <w:isLgl/>
      <w:lvlText w:val="%1.%2.%3.%4.%5.%6"/>
      <w:lvlJc w:val="left"/>
      <w:pPr>
        <w:ind w:left="0" w:firstLine="0"/>
      </w:pPr>
      <w:rPr>
        <w:rFonts w:hint="default"/>
      </w:rPr>
    </w:lvl>
    <w:lvl w:ilvl="6" w:tentative="0">
      <w:start w:val="1"/>
      <w:numFmt w:val="decimal"/>
      <w:isLgl/>
      <w:lvlText w:val="%1.%2.%3.%4.%5.%6.%7"/>
      <w:lvlJc w:val="left"/>
      <w:pPr>
        <w:ind w:left="0" w:firstLine="0"/>
      </w:pPr>
      <w:rPr>
        <w:rFonts w:hint="default"/>
      </w:rPr>
    </w:lvl>
    <w:lvl w:ilvl="7" w:tentative="0">
      <w:start w:val="1"/>
      <w:numFmt w:val="decimal"/>
      <w:isLgl/>
      <w:lvlText w:val="%1.%2.%3.%4.%5.%6.%7.%8"/>
      <w:lvlJc w:val="left"/>
      <w:pPr>
        <w:ind w:left="0" w:firstLine="0"/>
      </w:pPr>
      <w:rPr>
        <w:rFonts w:hint="default"/>
      </w:rPr>
    </w:lvl>
    <w:lvl w:ilvl="8" w:tentative="0">
      <w:start w:val="1"/>
      <w:numFmt w:val="decimal"/>
      <w:isLgl/>
      <w:lvlText w:val="%1.%2.%3.%4.%5.%6.%7.%8.%9"/>
      <w:lvlJc w:val="left"/>
      <w:pPr>
        <w:ind w:left="0" w:firstLine="0"/>
      </w:pPr>
      <w:rPr>
        <w:rFonts w:hint="default"/>
      </w:rPr>
    </w:lvl>
  </w:abstractNum>
  <w:abstractNum w:abstractNumId="66">
    <w:nsid w:val="4DA903D4"/>
    <w:multiLevelType w:val="multilevel"/>
    <w:tmpl w:val="4DA903D4"/>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decimal"/>
      <w:lvlText w:val="%2、"/>
      <w:lvlJc w:val="left"/>
      <w:pPr>
        <w:ind w:left="1260" w:hanging="36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7">
    <w:nsid w:val="4EA5520A"/>
    <w:multiLevelType w:val="multilevel"/>
    <w:tmpl w:val="4EA5520A"/>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decimal"/>
      <w:lvlText w:val="(%2)"/>
      <w:lvlJc w:val="left"/>
      <w:pPr>
        <w:ind w:left="1260" w:hanging="36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8">
    <w:nsid w:val="4F6C18BF"/>
    <w:multiLevelType w:val="multilevel"/>
    <w:tmpl w:val="4F6C18BF"/>
    <w:lvl w:ilvl="0" w:tentative="0">
      <w:start w:val="1"/>
      <w:numFmt w:val="decimal"/>
      <w:suff w:val="nothing"/>
      <w:lvlText w:val="（%1）"/>
      <w:lvlJc w:val="left"/>
      <w:pPr>
        <w:ind w:left="0" w:firstLine="480"/>
      </w:pPr>
      <w:rPr>
        <w:rFonts w:hint="default" w:ascii="Times New Roman" w:hAnsi="Times New Roman" w:eastAsia="宋体"/>
        <w:b w:val="0"/>
        <w:i w:val="0"/>
        <w:sz w:val="24"/>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9">
    <w:nsid w:val="50187B8D"/>
    <w:multiLevelType w:val="multilevel"/>
    <w:tmpl w:val="50187B8D"/>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0">
    <w:nsid w:val="50FD5345"/>
    <w:multiLevelType w:val="multilevel"/>
    <w:tmpl w:val="50FD5345"/>
    <w:lvl w:ilvl="0" w:tentative="0">
      <w:start w:val="1"/>
      <w:numFmt w:val="decimal"/>
      <w:pStyle w:val="134"/>
      <w:suff w:val="nothing"/>
      <w:lvlText w:val="%1、"/>
      <w:lvlJc w:val="left"/>
      <w:pPr>
        <w:ind w:left="0" w:firstLine="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1">
    <w:nsid w:val="51434234"/>
    <w:multiLevelType w:val="multilevel"/>
    <w:tmpl w:val="51434234"/>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2">
    <w:nsid w:val="52706A68"/>
    <w:multiLevelType w:val="multilevel"/>
    <w:tmpl w:val="52706A68"/>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3">
    <w:nsid w:val="551D0296"/>
    <w:multiLevelType w:val="multilevel"/>
    <w:tmpl w:val="551D0296"/>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4">
    <w:nsid w:val="564146E5"/>
    <w:multiLevelType w:val="multilevel"/>
    <w:tmpl w:val="564146E5"/>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5">
    <w:nsid w:val="571F0BC1"/>
    <w:multiLevelType w:val="multilevel"/>
    <w:tmpl w:val="571F0BC1"/>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6">
    <w:nsid w:val="579C4AC9"/>
    <w:multiLevelType w:val="multilevel"/>
    <w:tmpl w:val="579C4AC9"/>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7">
    <w:nsid w:val="59433A9D"/>
    <w:multiLevelType w:val="multilevel"/>
    <w:tmpl w:val="59433A9D"/>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8">
    <w:nsid w:val="597115BB"/>
    <w:multiLevelType w:val="multilevel"/>
    <w:tmpl w:val="597115BB"/>
    <w:lvl w:ilvl="0" w:tentative="0">
      <w:start w:val="1"/>
      <w:numFmt w:val="lowerLetter"/>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9">
    <w:nsid w:val="5A31508F"/>
    <w:multiLevelType w:val="multilevel"/>
    <w:tmpl w:val="5A31508F"/>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0">
    <w:nsid w:val="5C8A6D60"/>
    <w:multiLevelType w:val="multilevel"/>
    <w:tmpl w:val="5C8A6D60"/>
    <w:lvl w:ilvl="0" w:tentative="0">
      <w:start w:val="1"/>
      <w:numFmt w:val="lowerLetter"/>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1">
    <w:nsid w:val="5CB378F7"/>
    <w:multiLevelType w:val="multilevel"/>
    <w:tmpl w:val="5CB378F7"/>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2">
    <w:nsid w:val="5F481554"/>
    <w:multiLevelType w:val="multilevel"/>
    <w:tmpl w:val="5F481554"/>
    <w:lvl w:ilvl="0" w:tentative="0">
      <w:start w:val="1"/>
      <w:numFmt w:val="decimal"/>
      <w:suff w:val="nothing"/>
      <w:lvlText w:val="（%1）"/>
      <w:lvlJc w:val="left"/>
      <w:pPr>
        <w:ind w:left="0" w:firstLine="40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3">
    <w:nsid w:val="619605FA"/>
    <w:multiLevelType w:val="multilevel"/>
    <w:tmpl w:val="619605FA"/>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4">
    <w:nsid w:val="62180085"/>
    <w:multiLevelType w:val="singleLevel"/>
    <w:tmpl w:val="62180085"/>
    <w:lvl w:ilvl="0" w:tentative="0">
      <w:start w:val="1"/>
      <w:numFmt w:val="decimal"/>
      <w:suff w:val="nothing"/>
      <w:lvlText w:val="（%1）"/>
      <w:lvlJc w:val="left"/>
      <w:pPr>
        <w:ind w:left="0" w:firstLine="482"/>
      </w:pPr>
      <w:rPr>
        <w:rFonts w:hint="eastAsia"/>
      </w:rPr>
    </w:lvl>
  </w:abstractNum>
  <w:abstractNum w:abstractNumId="85">
    <w:nsid w:val="63AF0736"/>
    <w:multiLevelType w:val="multilevel"/>
    <w:tmpl w:val="63AF0736"/>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6">
    <w:nsid w:val="644160A8"/>
    <w:multiLevelType w:val="multilevel"/>
    <w:tmpl w:val="644160A8"/>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7">
    <w:nsid w:val="69A05EDD"/>
    <w:multiLevelType w:val="multilevel"/>
    <w:tmpl w:val="69A05EDD"/>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8">
    <w:nsid w:val="6B5277C9"/>
    <w:multiLevelType w:val="multilevel"/>
    <w:tmpl w:val="6B5277C9"/>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9">
    <w:nsid w:val="6F9507F6"/>
    <w:multiLevelType w:val="multilevel"/>
    <w:tmpl w:val="6F9507F6"/>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0">
    <w:nsid w:val="70862770"/>
    <w:multiLevelType w:val="multilevel"/>
    <w:tmpl w:val="70862770"/>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1">
    <w:nsid w:val="708D2AA2"/>
    <w:multiLevelType w:val="multilevel"/>
    <w:tmpl w:val="708D2AA2"/>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2">
    <w:nsid w:val="70F07ABE"/>
    <w:multiLevelType w:val="multilevel"/>
    <w:tmpl w:val="70F07ABE"/>
    <w:lvl w:ilvl="0" w:tentative="0">
      <w:start w:val="1"/>
      <w:numFmt w:val="decimal"/>
      <w:suff w:val="nothing"/>
      <w:lvlText w:val="（%1）"/>
      <w:lvlJc w:val="left"/>
      <w:pPr>
        <w:ind w:left="0" w:firstLine="0"/>
      </w:pPr>
      <w:rPr>
        <w:rFonts w:hint="default" w:ascii="Times New Roman" w:hAnsi="Times New Roman" w:eastAsia="宋体"/>
        <w:b w:val="0"/>
        <w:i w:val="0"/>
        <w:sz w:val="24"/>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3">
    <w:nsid w:val="71C600C7"/>
    <w:multiLevelType w:val="multilevel"/>
    <w:tmpl w:val="71C600C7"/>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4">
    <w:nsid w:val="72A15346"/>
    <w:multiLevelType w:val="multilevel"/>
    <w:tmpl w:val="72A15346"/>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5">
    <w:nsid w:val="730546B6"/>
    <w:multiLevelType w:val="multilevel"/>
    <w:tmpl w:val="730546B6"/>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decimal"/>
      <w:suff w:val="nothing"/>
      <w:lvlText w:val="（%3）"/>
      <w:lvlJc w:val="left"/>
      <w:pPr>
        <w:ind w:left="0" w:firstLine="480"/>
      </w:pPr>
      <w:rPr>
        <w:rFonts w:hint="default" w:ascii="Times New Roman" w:hAnsi="Times New Roman" w:eastAsia="宋体"/>
        <w:b w:val="0"/>
        <w:i w:val="0"/>
        <w:sz w:val="24"/>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6">
    <w:nsid w:val="73357FAF"/>
    <w:multiLevelType w:val="multilevel"/>
    <w:tmpl w:val="73357FAF"/>
    <w:lvl w:ilvl="0" w:tentative="0">
      <w:start w:val="1"/>
      <w:numFmt w:val="decimal"/>
      <w:suff w:val="nothing"/>
      <w:lvlText w:val="（%1）"/>
      <w:lvlJc w:val="left"/>
      <w:pPr>
        <w:ind w:left="0" w:firstLine="480"/>
      </w:pPr>
      <w:rPr>
        <w:rFonts w:hint="default" w:ascii="Times New Roman" w:hAnsi="Times New Roman" w:eastAsia="宋体"/>
        <w:b w:val="0"/>
        <w:i w:val="0"/>
        <w:sz w:val="24"/>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7">
    <w:nsid w:val="745000D6"/>
    <w:multiLevelType w:val="multilevel"/>
    <w:tmpl w:val="745000D6"/>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8">
    <w:nsid w:val="74F53F22"/>
    <w:multiLevelType w:val="multilevel"/>
    <w:tmpl w:val="74F53F22"/>
    <w:lvl w:ilvl="0" w:tentative="0">
      <w:start w:val="1"/>
      <w:numFmt w:val="chineseCountingThousand"/>
      <w:suff w:val="nothing"/>
      <w:lvlText w:val="第%1章  "/>
      <w:lvlJc w:val="left"/>
      <w:pPr>
        <w:ind w:left="0" w:firstLine="0"/>
      </w:pPr>
      <w:rPr>
        <w:rFonts w:hint="eastAsia" w:ascii="宋体" w:hAnsi="宋体" w:eastAsia="宋体"/>
        <w:b/>
        <w:i w:val="0"/>
        <w:color w:val="000000"/>
        <w:sz w:val="32"/>
        <w:u w:val="none"/>
      </w:rPr>
    </w:lvl>
    <w:lvl w:ilvl="1" w:tentative="0">
      <w:start w:val="1"/>
      <w:numFmt w:val="chineseCountingThousand"/>
      <w:pStyle w:val="228"/>
      <w:suff w:val="nothing"/>
      <w:lvlText w:val="%2、  "/>
      <w:lvlJc w:val="left"/>
      <w:pPr>
        <w:ind w:left="0" w:firstLine="0"/>
      </w:pPr>
      <w:rPr>
        <w:rFonts w:hint="eastAsia" w:ascii="宋体" w:hAnsi="宋体" w:eastAsia="宋体"/>
        <w:b/>
        <w:i w:val="0"/>
        <w:color w:val="000000"/>
        <w:sz w:val="28"/>
        <w:u w:val="none"/>
      </w:rPr>
    </w:lvl>
    <w:lvl w:ilvl="2" w:tentative="0">
      <w:start w:val="1"/>
      <w:numFmt w:val="decimal"/>
      <w:suff w:val="nothing"/>
      <w:lvlText w:val="%3、  "/>
      <w:lvlJc w:val="left"/>
      <w:pPr>
        <w:ind w:left="0" w:firstLine="0"/>
      </w:pPr>
      <w:rPr>
        <w:rFonts w:hint="eastAsia" w:ascii="宋体" w:hAnsi="宋体" w:eastAsia="宋体"/>
        <w:b/>
        <w:i w:val="0"/>
        <w:color w:val="000000"/>
        <w:sz w:val="24"/>
        <w:u w:val="none"/>
      </w:rPr>
    </w:lvl>
    <w:lvl w:ilvl="3" w:tentative="0">
      <w:start w:val="1"/>
      <w:numFmt w:val="decimal"/>
      <w:suff w:val="nothing"/>
      <w:lvlText w:val="%4、  "/>
      <w:lvlJc w:val="left"/>
      <w:pPr>
        <w:ind w:left="0" w:firstLine="0"/>
      </w:pPr>
      <w:rPr>
        <w:rFonts w:hint="eastAsia" w:ascii="宋体" w:hAnsi="宋体" w:eastAsia="宋体"/>
        <w:b/>
        <w:i w:val="0"/>
        <w:color w:val="000000"/>
        <w:sz w:val="24"/>
        <w:u w:val="none"/>
      </w:rPr>
    </w:lvl>
    <w:lvl w:ilvl="4" w:tentative="0">
      <w:start w:val="1"/>
      <w:numFmt w:val="upperRoman"/>
      <w:suff w:val="nothing"/>
      <w:lvlText w:val="%5、  "/>
      <w:lvlJc w:val="left"/>
      <w:pPr>
        <w:ind w:left="0" w:firstLine="0"/>
      </w:pPr>
      <w:rPr>
        <w:rFonts w:hint="eastAsia" w:ascii="宋体" w:hAnsi="宋体" w:eastAsia="宋体"/>
        <w:b/>
        <w:i w:val="0"/>
        <w:color w:val="000000"/>
        <w:sz w:val="24"/>
        <w:u w:val="none"/>
      </w:rPr>
    </w:lvl>
    <w:lvl w:ilvl="5" w:tentative="0">
      <w:start w:val="1"/>
      <w:numFmt w:val="none"/>
      <w:suff w:val="nothing"/>
      <w:lvlText w:val=""/>
      <w:lvlJc w:val="left"/>
      <w:pPr>
        <w:ind w:left="0" w:firstLine="0"/>
      </w:pPr>
      <w:rPr>
        <w:rFonts w:hint="eastAsia" w:ascii="宋体" w:hAnsi="宋体" w:eastAsia="宋体"/>
        <w:b/>
        <w:i w:val="0"/>
        <w:color w:val="000000"/>
        <w:sz w:val="24"/>
        <w:u w:val="none"/>
      </w:rPr>
    </w:lvl>
    <w:lvl w:ilvl="6" w:tentative="0">
      <w:start w:val="1"/>
      <w:numFmt w:val="none"/>
      <w:suff w:val="nothing"/>
      <w:lvlText w:val=""/>
      <w:lvlJc w:val="left"/>
      <w:pPr>
        <w:ind w:left="0" w:firstLine="0"/>
      </w:pPr>
      <w:rPr>
        <w:rFonts w:hint="eastAsia" w:ascii="宋体" w:hAnsi="宋体" w:eastAsia="宋体"/>
        <w:b/>
        <w:i w:val="0"/>
        <w:color w:val="000000"/>
        <w:sz w:val="24"/>
        <w:u w:val="none"/>
      </w:rPr>
    </w:lvl>
    <w:lvl w:ilvl="7" w:tentative="0">
      <w:start w:val="1"/>
      <w:numFmt w:val="none"/>
      <w:suff w:val="nothing"/>
      <w:lvlText w:val=""/>
      <w:lvlJc w:val="left"/>
      <w:pPr>
        <w:ind w:left="0" w:firstLine="0"/>
      </w:pPr>
      <w:rPr>
        <w:rFonts w:hint="eastAsia" w:ascii="宋体" w:hAnsi="宋体" w:eastAsia="宋体"/>
        <w:b/>
        <w:i w:val="0"/>
        <w:color w:val="000000"/>
        <w:sz w:val="24"/>
        <w:u w:val="none"/>
      </w:rPr>
    </w:lvl>
    <w:lvl w:ilvl="8" w:tentative="0">
      <w:start w:val="1"/>
      <w:numFmt w:val="none"/>
      <w:suff w:val="nothing"/>
      <w:lvlText w:val=""/>
      <w:lvlJc w:val="left"/>
      <w:pPr>
        <w:ind w:left="0" w:firstLine="0"/>
      </w:pPr>
      <w:rPr>
        <w:rFonts w:hint="eastAsia" w:ascii="宋体" w:hAnsi="宋体" w:eastAsia="宋体"/>
        <w:b/>
        <w:i w:val="0"/>
        <w:color w:val="000000"/>
        <w:sz w:val="24"/>
        <w:u w:val="none"/>
      </w:rPr>
    </w:lvl>
  </w:abstractNum>
  <w:abstractNum w:abstractNumId="99">
    <w:nsid w:val="77D04554"/>
    <w:multiLevelType w:val="multilevel"/>
    <w:tmpl w:val="77D04554"/>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0">
    <w:nsid w:val="7A264978"/>
    <w:multiLevelType w:val="multilevel"/>
    <w:tmpl w:val="7A264978"/>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1">
    <w:nsid w:val="7C007252"/>
    <w:multiLevelType w:val="multilevel"/>
    <w:tmpl w:val="7C007252"/>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5"/>
  </w:num>
  <w:num w:numId="2">
    <w:abstractNumId w:val="7"/>
  </w:num>
  <w:num w:numId="3">
    <w:abstractNumId w:val="70"/>
  </w:num>
  <w:num w:numId="4">
    <w:abstractNumId w:val="19"/>
  </w:num>
  <w:num w:numId="5">
    <w:abstractNumId w:val="98"/>
  </w:num>
  <w:num w:numId="6">
    <w:abstractNumId w:val="60"/>
  </w:num>
  <w:num w:numId="7">
    <w:abstractNumId w:val="14"/>
  </w:num>
  <w:num w:numId="8">
    <w:abstractNumId w:val="56"/>
  </w:num>
  <w:num w:numId="9">
    <w:abstractNumId w:val="82"/>
  </w:num>
  <w:num w:numId="10">
    <w:abstractNumId w:val="34"/>
  </w:num>
  <w:num w:numId="11">
    <w:abstractNumId w:val="28"/>
  </w:num>
  <w:num w:numId="12">
    <w:abstractNumId w:val="50"/>
  </w:num>
  <w:num w:numId="13">
    <w:abstractNumId w:val="61"/>
  </w:num>
  <w:num w:numId="14">
    <w:abstractNumId w:val="53"/>
  </w:num>
  <w:num w:numId="15">
    <w:abstractNumId w:val="74"/>
  </w:num>
  <w:num w:numId="16">
    <w:abstractNumId w:val="40"/>
  </w:num>
  <w:num w:numId="17">
    <w:abstractNumId w:val="58"/>
  </w:num>
  <w:num w:numId="18">
    <w:abstractNumId w:val="26"/>
  </w:num>
  <w:num w:numId="19">
    <w:abstractNumId w:val="5"/>
  </w:num>
  <w:num w:numId="20">
    <w:abstractNumId w:val="31"/>
  </w:num>
  <w:num w:numId="21">
    <w:abstractNumId w:val="54"/>
  </w:num>
  <w:num w:numId="22">
    <w:abstractNumId w:val="21"/>
  </w:num>
  <w:num w:numId="23">
    <w:abstractNumId w:val="25"/>
  </w:num>
  <w:num w:numId="24">
    <w:abstractNumId w:val="6"/>
  </w:num>
  <w:num w:numId="25">
    <w:abstractNumId w:val="62"/>
  </w:num>
  <w:num w:numId="26">
    <w:abstractNumId w:val="52"/>
  </w:num>
  <w:num w:numId="27">
    <w:abstractNumId w:val="81"/>
  </w:num>
  <w:num w:numId="28">
    <w:abstractNumId w:val="100"/>
  </w:num>
  <w:num w:numId="29">
    <w:abstractNumId w:val="76"/>
  </w:num>
  <w:num w:numId="30">
    <w:abstractNumId w:val="22"/>
  </w:num>
  <w:num w:numId="31">
    <w:abstractNumId w:val="49"/>
  </w:num>
  <w:num w:numId="32">
    <w:abstractNumId w:val="59"/>
  </w:num>
  <w:num w:numId="33">
    <w:abstractNumId w:val="80"/>
  </w:num>
  <w:num w:numId="34">
    <w:abstractNumId w:val="43"/>
  </w:num>
  <w:num w:numId="35">
    <w:abstractNumId w:val="48"/>
  </w:num>
  <w:num w:numId="36">
    <w:abstractNumId w:val="75"/>
  </w:num>
  <w:num w:numId="37">
    <w:abstractNumId w:val="78"/>
  </w:num>
  <w:num w:numId="38">
    <w:abstractNumId w:val="42"/>
  </w:num>
  <w:num w:numId="39">
    <w:abstractNumId w:val="17"/>
  </w:num>
  <w:num w:numId="40">
    <w:abstractNumId w:val="64"/>
  </w:num>
  <w:num w:numId="41">
    <w:abstractNumId w:val="32"/>
  </w:num>
  <w:num w:numId="42">
    <w:abstractNumId w:val="94"/>
  </w:num>
  <w:num w:numId="43">
    <w:abstractNumId w:val="55"/>
  </w:num>
  <w:num w:numId="44">
    <w:abstractNumId w:val="12"/>
  </w:num>
  <w:num w:numId="45">
    <w:abstractNumId w:val="45"/>
  </w:num>
  <w:num w:numId="46">
    <w:abstractNumId w:val="41"/>
  </w:num>
  <w:num w:numId="47">
    <w:abstractNumId w:val="13"/>
  </w:num>
  <w:num w:numId="48">
    <w:abstractNumId w:val="72"/>
  </w:num>
  <w:num w:numId="49">
    <w:abstractNumId w:val="73"/>
  </w:num>
  <w:num w:numId="50">
    <w:abstractNumId w:val="99"/>
  </w:num>
  <w:num w:numId="51">
    <w:abstractNumId w:val="36"/>
  </w:num>
  <w:num w:numId="52">
    <w:abstractNumId w:val="39"/>
  </w:num>
  <w:num w:numId="53">
    <w:abstractNumId w:val="27"/>
  </w:num>
  <w:num w:numId="54">
    <w:abstractNumId w:val="67"/>
  </w:num>
  <w:num w:numId="55">
    <w:abstractNumId w:val="83"/>
  </w:num>
  <w:num w:numId="56">
    <w:abstractNumId w:val="35"/>
  </w:num>
  <w:num w:numId="57">
    <w:abstractNumId w:val="18"/>
  </w:num>
  <w:num w:numId="58">
    <w:abstractNumId w:val="69"/>
  </w:num>
  <w:num w:numId="59">
    <w:abstractNumId w:val="97"/>
  </w:num>
  <w:num w:numId="60">
    <w:abstractNumId w:val="91"/>
  </w:num>
  <w:num w:numId="61">
    <w:abstractNumId w:val="86"/>
  </w:num>
  <w:num w:numId="62">
    <w:abstractNumId w:val="11"/>
  </w:num>
  <w:num w:numId="63">
    <w:abstractNumId w:val="38"/>
  </w:num>
  <w:num w:numId="64">
    <w:abstractNumId w:val="96"/>
  </w:num>
  <w:num w:numId="65">
    <w:abstractNumId w:val="89"/>
  </w:num>
  <w:num w:numId="66">
    <w:abstractNumId w:val="10"/>
  </w:num>
  <w:num w:numId="67">
    <w:abstractNumId w:val="88"/>
  </w:num>
  <w:num w:numId="68">
    <w:abstractNumId w:val="23"/>
  </w:num>
  <w:num w:numId="69">
    <w:abstractNumId w:val="57"/>
  </w:num>
  <w:num w:numId="70">
    <w:abstractNumId w:val="16"/>
  </w:num>
  <w:num w:numId="71">
    <w:abstractNumId w:val="85"/>
  </w:num>
  <w:num w:numId="72">
    <w:abstractNumId w:val="24"/>
  </w:num>
  <w:num w:numId="73">
    <w:abstractNumId w:val="15"/>
  </w:num>
  <w:num w:numId="74">
    <w:abstractNumId w:val="68"/>
  </w:num>
  <w:num w:numId="75">
    <w:abstractNumId w:val="47"/>
  </w:num>
  <w:num w:numId="76">
    <w:abstractNumId w:val="101"/>
  </w:num>
  <w:num w:numId="77">
    <w:abstractNumId w:val="79"/>
  </w:num>
  <w:num w:numId="78">
    <w:abstractNumId w:val="0"/>
  </w:num>
  <w:num w:numId="79">
    <w:abstractNumId w:val="84"/>
  </w:num>
  <w:num w:numId="80">
    <w:abstractNumId w:val="90"/>
  </w:num>
  <w:num w:numId="81">
    <w:abstractNumId w:val="77"/>
  </w:num>
  <w:num w:numId="82">
    <w:abstractNumId w:val="37"/>
  </w:num>
  <w:num w:numId="83">
    <w:abstractNumId w:val="63"/>
  </w:num>
  <w:num w:numId="84">
    <w:abstractNumId w:val="92"/>
    <w:lvlOverride w:ilvl="0">
      <w:startOverride w:val="1"/>
    </w:lvlOverride>
  </w:num>
  <w:num w:numId="85">
    <w:abstractNumId w:val="92"/>
  </w:num>
  <w:num w:numId="86">
    <w:abstractNumId w:val="70"/>
    <w:lvlOverride w:ilvl="0">
      <w:startOverride w:val="1"/>
    </w:lvlOverride>
  </w:num>
  <w:num w:numId="87">
    <w:abstractNumId w:val="87"/>
  </w:num>
  <w:num w:numId="88">
    <w:abstractNumId w:val="66"/>
  </w:num>
  <w:num w:numId="89">
    <w:abstractNumId w:val="20"/>
  </w:num>
  <w:num w:numId="90">
    <w:abstractNumId w:val="30"/>
  </w:num>
  <w:num w:numId="91">
    <w:abstractNumId w:val="71"/>
  </w:num>
  <w:num w:numId="92">
    <w:abstractNumId w:val="44"/>
  </w:num>
  <w:num w:numId="93">
    <w:abstractNumId w:val="95"/>
  </w:num>
  <w:num w:numId="94">
    <w:abstractNumId w:val="2"/>
  </w:num>
  <w:num w:numId="95">
    <w:abstractNumId w:val="29"/>
  </w:num>
  <w:num w:numId="96">
    <w:abstractNumId w:val="4"/>
  </w:num>
  <w:num w:numId="97">
    <w:abstractNumId w:val="51"/>
  </w:num>
  <w:num w:numId="98">
    <w:abstractNumId w:val="3"/>
  </w:num>
  <w:num w:numId="99">
    <w:abstractNumId w:val="9"/>
  </w:num>
  <w:num w:numId="100">
    <w:abstractNumId w:val="93"/>
  </w:num>
  <w:num w:numId="101">
    <w:abstractNumId w:val="46"/>
  </w:num>
  <w:num w:numId="102">
    <w:abstractNumId w:val="33"/>
  </w:num>
  <w:num w:numId="103">
    <w:abstractNumId w:val="1"/>
  </w:num>
  <w:num w:numId="1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ocumentProtection w:enforcement="0"/>
  <w:defaultTabStop w:val="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M4YTRkNmI1NDVhZjhhYTg0YzNmZGE2MWZkMGI3NmEifQ=="/>
  </w:docVars>
  <w:rsids>
    <w:rsidRoot w:val="00172A27"/>
    <w:rsid w:val="0000041E"/>
    <w:rsid w:val="000005B2"/>
    <w:rsid w:val="00000A5A"/>
    <w:rsid w:val="00000CA4"/>
    <w:rsid w:val="00000DB0"/>
    <w:rsid w:val="00000FB1"/>
    <w:rsid w:val="00001D52"/>
    <w:rsid w:val="00002141"/>
    <w:rsid w:val="00002222"/>
    <w:rsid w:val="00002245"/>
    <w:rsid w:val="000022D6"/>
    <w:rsid w:val="00002394"/>
    <w:rsid w:val="00002603"/>
    <w:rsid w:val="00002ABE"/>
    <w:rsid w:val="000048DF"/>
    <w:rsid w:val="00004C0B"/>
    <w:rsid w:val="000053B9"/>
    <w:rsid w:val="0000592B"/>
    <w:rsid w:val="00005C37"/>
    <w:rsid w:val="0000734F"/>
    <w:rsid w:val="0000735D"/>
    <w:rsid w:val="00007A61"/>
    <w:rsid w:val="00010888"/>
    <w:rsid w:val="00010A4F"/>
    <w:rsid w:val="000112F2"/>
    <w:rsid w:val="000113B8"/>
    <w:rsid w:val="00011A77"/>
    <w:rsid w:val="00011D54"/>
    <w:rsid w:val="00012B68"/>
    <w:rsid w:val="00012C32"/>
    <w:rsid w:val="000135E0"/>
    <w:rsid w:val="000139F5"/>
    <w:rsid w:val="00014E01"/>
    <w:rsid w:val="000153B1"/>
    <w:rsid w:val="00015CD6"/>
    <w:rsid w:val="00016442"/>
    <w:rsid w:val="00016B91"/>
    <w:rsid w:val="0001767D"/>
    <w:rsid w:val="00017C97"/>
    <w:rsid w:val="00017F9A"/>
    <w:rsid w:val="00020314"/>
    <w:rsid w:val="00020488"/>
    <w:rsid w:val="00020799"/>
    <w:rsid w:val="00020AC9"/>
    <w:rsid w:val="00020B92"/>
    <w:rsid w:val="00020CDA"/>
    <w:rsid w:val="000212A0"/>
    <w:rsid w:val="000212C7"/>
    <w:rsid w:val="00021DD4"/>
    <w:rsid w:val="00022317"/>
    <w:rsid w:val="00022432"/>
    <w:rsid w:val="000224BA"/>
    <w:rsid w:val="000227D6"/>
    <w:rsid w:val="00023246"/>
    <w:rsid w:val="000242C0"/>
    <w:rsid w:val="000246A5"/>
    <w:rsid w:val="00024A47"/>
    <w:rsid w:val="0002501E"/>
    <w:rsid w:val="0002597B"/>
    <w:rsid w:val="00025A38"/>
    <w:rsid w:val="0002607A"/>
    <w:rsid w:val="000269B8"/>
    <w:rsid w:val="000269DB"/>
    <w:rsid w:val="00026A54"/>
    <w:rsid w:val="0002725C"/>
    <w:rsid w:val="000273A0"/>
    <w:rsid w:val="00027512"/>
    <w:rsid w:val="000279DD"/>
    <w:rsid w:val="00027C5F"/>
    <w:rsid w:val="00030159"/>
    <w:rsid w:val="0003098E"/>
    <w:rsid w:val="000309B2"/>
    <w:rsid w:val="00030AC0"/>
    <w:rsid w:val="00030B7E"/>
    <w:rsid w:val="00030C17"/>
    <w:rsid w:val="00030DEA"/>
    <w:rsid w:val="00030FF3"/>
    <w:rsid w:val="0003115A"/>
    <w:rsid w:val="00031312"/>
    <w:rsid w:val="00031458"/>
    <w:rsid w:val="00031C95"/>
    <w:rsid w:val="00031CC0"/>
    <w:rsid w:val="000320AE"/>
    <w:rsid w:val="0003218C"/>
    <w:rsid w:val="0003233C"/>
    <w:rsid w:val="0003317C"/>
    <w:rsid w:val="000339C5"/>
    <w:rsid w:val="00033DED"/>
    <w:rsid w:val="00034FA3"/>
    <w:rsid w:val="0003530A"/>
    <w:rsid w:val="00035C46"/>
    <w:rsid w:val="00035E86"/>
    <w:rsid w:val="00036025"/>
    <w:rsid w:val="000363CC"/>
    <w:rsid w:val="00036ED9"/>
    <w:rsid w:val="000371E3"/>
    <w:rsid w:val="00037289"/>
    <w:rsid w:val="000377A9"/>
    <w:rsid w:val="0003782F"/>
    <w:rsid w:val="00037C22"/>
    <w:rsid w:val="0004018D"/>
    <w:rsid w:val="00040732"/>
    <w:rsid w:val="000408E9"/>
    <w:rsid w:val="00040A30"/>
    <w:rsid w:val="00040F5C"/>
    <w:rsid w:val="00041462"/>
    <w:rsid w:val="000414F3"/>
    <w:rsid w:val="00041A12"/>
    <w:rsid w:val="00042F82"/>
    <w:rsid w:val="0004324E"/>
    <w:rsid w:val="00043610"/>
    <w:rsid w:val="000439D2"/>
    <w:rsid w:val="000439E4"/>
    <w:rsid w:val="00044593"/>
    <w:rsid w:val="00044BBB"/>
    <w:rsid w:val="00044DC3"/>
    <w:rsid w:val="00045954"/>
    <w:rsid w:val="00046489"/>
    <w:rsid w:val="0004664F"/>
    <w:rsid w:val="0004674B"/>
    <w:rsid w:val="000468D6"/>
    <w:rsid w:val="00046BE8"/>
    <w:rsid w:val="0004721E"/>
    <w:rsid w:val="00047238"/>
    <w:rsid w:val="00047F7C"/>
    <w:rsid w:val="0005032B"/>
    <w:rsid w:val="000504A4"/>
    <w:rsid w:val="00050C79"/>
    <w:rsid w:val="00050FE0"/>
    <w:rsid w:val="0005110A"/>
    <w:rsid w:val="000514B1"/>
    <w:rsid w:val="000515ED"/>
    <w:rsid w:val="00051A3D"/>
    <w:rsid w:val="00052036"/>
    <w:rsid w:val="00052090"/>
    <w:rsid w:val="000523D4"/>
    <w:rsid w:val="0005317E"/>
    <w:rsid w:val="000531CD"/>
    <w:rsid w:val="0005324F"/>
    <w:rsid w:val="00053AF4"/>
    <w:rsid w:val="00053BED"/>
    <w:rsid w:val="0005404C"/>
    <w:rsid w:val="000546CE"/>
    <w:rsid w:val="00054B1A"/>
    <w:rsid w:val="00054C08"/>
    <w:rsid w:val="0005503C"/>
    <w:rsid w:val="00055224"/>
    <w:rsid w:val="00055EC0"/>
    <w:rsid w:val="00055F1C"/>
    <w:rsid w:val="00056605"/>
    <w:rsid w:val="0005660D"/>
    <w:rsid w:val="00056655"/>
    <w:rsid w:val="0005683E"/>
    <w:rsid w:val="00057706"/>
    <w:rsid w:val="00057C20"/>
    <w:rsid w:val="00060308"/>
    <w:rsid w:val="0006057C"/>
    <w:rsid w:val="000606B7"/>
    <w:rsid w:val="0006099A"/>
    <w:rsid w:val="00060BD8"/>
    <w:rsid w:val="00060CA9"/>
    <w:rsid w:val="00060EEA"/>
    <w:rsid w:val="00061784"/>
    <w:rsid w:val="0006215F"/>
    <w:rsid w:val="0006225D"/>
    <w:rsid w:val="0006268D"/>
    <w:rsid w:val="00062A3C"/>
    <w:rsid w:val="00062E7D"/>
    <w:rsid w:val="00062F50"/>
    <w:rsid w:val="000635F2"/>
    <w:rsid w:val="00063E2C"/>
    <w:rsid w:val="0006444E"/>
    <w:rsid w:val="000648C8"/>
    <w:rsid w:val="000648E9"/>
    <w:rsid w:val="00065318"/>
    <w:rsid w:val="00065872"/>
    <w:rsid w:val="000659C0"/>
    <w:rsid w:val="00066426"/>
    <w:rsid w:val="00066E1E"/>
    <w:rsid w:val="00066E2C"/>
    <w:rsid w:val="000674C2"/>
    <w:rsid w:val="0007000E"/>
    <w:rsid w:val="000700AD"/>
    <w:rsid w:val="00070191"/>
    <w:rsid w:val="000701E1"/>
    <w:rsid w:val="00070249"/>
    <w:rsid w:val="0007041A"/>
    <w:rsid w:val="00070506"/>
    <w:rsid w:val="0007054B"/>
    <w:rsid w:val="00070789"/>
    <w:rsid w:val="000709E5"/>
    <w:rsid w:val="00070A8F"/>
    <w:rsid w:val="00070C61"/>
    <w:rsid w:val="00070F91"/>
    <w:rsid w:val="000711FA"/>
    <w:rsid w:val="0007215B"/>
    <w:rsid w:val="0007222C"/>
    <w:rsid w:val="00072C58"/>
    <w:rsid w:val="00073142"/>
    <w:rsid w:val="000732A5"/>
    <w:rsid w:val="00073475"/>
    <w:rsid w:val="00073AD6"/>
    <w:rsid w:val="00074087"/>
    <w:rsid w:val="000749A9"/>
    <w:rsid w:val="00074E8A"/>
    <w:rsid w:val="00076CAE"/>
    <w:rsid w:val="00076F5D"/>
    <w:rsid w:val="00077923"/>
    <w:rsid w:val="00077B4A"/>
    <w:rsid w:val="000800FE"/>
    <w:rsid w:val="00080321"/>
    <w:rsid w:val="0008047A"/>
    <w:rsid w:val="00080772"/>
    <w:rsid w:val="00081104"/>
    <w:rsid w:val="000811EA"/>
    <w:rsid w:val="0008172C"/>
    <w:rsid w:val="00081A1C"/>
    <w:rsid w:val="00081D85"/>
    <w:rsid w:val="00081E62"/>
    <w:rsid w:val="0008238E"/>
    <w:rsid w:val="000828D6"/>
    <w:rsid w:val="00082BCA"/>
    <w:rsid w:val="000833B1"/>
    <w:rsid w:val="00083413"/>
    <w:rsid w:val="00083701"/>
    <w:rsid w:val="00083841"/>
    <w:rsid w:val="00083A81"/>
    <w:rsid w:val="00083B44"/>
    <w:rsid w:val="0008432B"/>
    <w:rsid w:val="0008435D"/>
    <w:rsid w:val="0008437E"/>
    <w:rsid w:val="000845C3"/>
    <w:rsid w:val="00084DDE"/>
    <w:rsid w:val="000851A1"/>
    <w:rsid w:val="000851E7"/>
    <w:rsid w:val="00085BF1"/>
    <w:rsid w:val="00085CEA"/>
    <w:rsid w:val="00085F40"/>
    <w:rsid w:val="00085F55"/>
    <w:rsid w:val="00086027"/>
    <w:rsid w:val="000864A7"/>
    <w:rsid w:val="000865E8"/>
    <w:rsid w:val="00086699"/>
    <w:rsid w:val="00086BE6"/>
    <w:rsid w:val="0008713E"/>
    <w:rsid w:val="00087972"/>
    <w:rsid w:val="000879B9"/>
    <w:rsid w:val="00087E4D"/>
    <w:rsid w:val="0009010D"/>
    <w:rsid w:val="0009029D"/>
    <w:rsid w:val="000904D8"/>
    <w:rsid w:val="00090740"/>
    <w:rsid w:val="00091142"/>
    <w:rsid w:val="00091F51"/>
    <w:rsid w:val="000927EA"/>
    <w:rsid w:val="000928D3"/>
    <w:rsid w:val="00092E1C"/>
    <w:rsid w:val="00092F62"/>
    <w:rsid w:val="00092FFA"/>
    <w:rsid w:val="00093104"/>
    <w:rsid w:val="00093636"/>
    <w:rsid w:val="0009382B"/>
    <w:rsid w:val="000941AD"/>
    <w:rsid w:val="00094315"/>
    <w:rsid w:val="00094F84"/>
    <w:rsid w:val="00095670"/>
    <w:rsid w:val="000959BA"/>
    <w:rsid w:val="00095AF5"/>
    <w:rsid w:val="000966A3"/>
    <w:rsid w:val="00096AF3"/>
    <w:rsid w:val="000A0A9A"/>
    <w:rsid w:val="000A0F18"/>
    <w:rsid w:val="000A12BB"/>
    <w:rsid w:val="000A1564"/>
    <w:rsid w:val="000A18AC"/>
    <w:rsid w:val="000A18D6"/>
    <w:rsid w:val="000A1D99"/>
    <w:rsid w:val="000A28E1"/>
    <w:rsid w:val="000A2B83"/>
    <w:rsid w:val="000A2BEF"/>
    <w:rsid w:val="000A2D94"/>
    <w:rsid w:val="000A2DD4"/>
    <w:rsid w:val="000A4D1F"/>
    <w:rsid w:val="000A51A8"/>
    <w:rsid w:val="000A5F75"/>
    <w:rsid w:val="000A663D"/>
    <w:rsid w:val="000A6A6F"/>
    <w:rsid w:val="000A6F35"/>
    <w:rsid w:val="000A79C2"/>
    <w:rsid w:val="000A7CBD"/>
    <w:rsid w:val="000B0107"/>
    <w:rsid w:val="000B077E"/>
    <w:rsid w:val="000B0FDA"/>
    <w:rsid w:val="000B1026"/>
    <w:rsid w:val="000B13A4"/>
    <w:rsid w:val="000B17A7"/>
    <w:rsid w:val="000B2B72"/>
    <w:rsid w:val="000B2EBB"/>
    <w:rsid w:val="000B300A"/>
    <w:rsid w:val="000B32B2"/>
    <w:rsid w:val="000B34C1"/>
    <w:rsid w:val="000B365C"/>
    <w:rsid w:val="000B38DE"/>
    <w:rsid w:val="000B3ADA"/>
    <w:rsid w:val="000B3B99"/>
    <w:rsid w:val="000B3D73"/>
    <w:rsid w:val="000B3D80"/>
    <w:rsid w:val="000B43B6"/>
    <w:rsid w:val="000B4584"/>
    <w:rsid w:val="000B4BCD"/>
    <w:rsid w:val="000B4F18"/>
    <w:rsid w:val="000B631C"/>
    <w:rsid w:val="000B6559"/>
    <w:rsid w:val="000B6B74"/>
    <w:rsid w:val="000B6CE6"/>
    <w:rsid w:val="000B6DC5"/>
    <w:rsid w:val="000B789A"/>
    <w:rsid w:val="000B7A94"/>
    <w:rsid w:val="000B7B84"/>
    <w:rsid w:val="000B7CA5"/>
    <w:rsid w:val="000C0146"/>
    <w:rsid w:val="000C027F"/>
    <w:rsid w:val="000C0995"/>
    <w:rsid w:val="000C09BF"/>
    <w:rsid w:val="000C0AE0"/>
    <w:rsid w:val="000C1167"/>
    <w:rsid w:val="000C11EF"/>
    <w:rsid w:val="000C1AD5"/>
    <w:rsid w:val="000C1BB2"/>
    <w:rsid w:val="000C2144"/>
    <w:rsid w:val="000C28CF"/>
    <w:rsid w:val="000C3A22"/>
    <w:rsid w:val="000C3B06"/>
    <w:rsid w:val="000C3E9B"/>
    <w:rsid w:val="000C3FDC"/>
    <w:rsid w:val="000C46F4"/>
    <w:rsid w:val="000C4892"/>
    <w:rsid w:val="000C512D"/>
    <w:rsid w:val="000C5AD3"/>
    <w:rsid w:val="000C5DA6"/>
    <w:rsid w:val="000C5ED6"/>
    <w:rsid w:val="000C61C4"/>
    <w:rsid w:val="000C684A"/>
    <w:rsid w:val="000C70E7"/>
    <w:rsid w:val="000C74BD"/>
    <w:rsid w:val="000C7979"/>
    <w:rsid w:val="000C7CC7"/>
    <w:rsid w:val="000D0A31"/>
    <w:rsid w:val="000D113D"/>
    <w:rsid w:val="000D1194"/>
    <w:rsid w:val="000D1345"/>
    <w:rsid w:val="000D1464"/>
    <w:rsid w:val="000D1623"/>
    <w:rsid w:val="000D1F53"/>
    <w:rsid w:val="000D22B9"/>
    <w:rsid w:val="000D320C"/>
    <w:rsid w:val="000D3804"/>
    <w:rsid w:val="000D3947"/>
    <w:rsid w:val="000D3A1B"/>
    <w:rsid w:val="000D3C80"/>
    <w:rsid w:val="000D3CC4"/>
    <w:rsid w:val="000D3CD3"/>
    <w:rsid w:val="000D3DD1"/>
    <w:rsid w:val="000D5080"/>
    <w:rsid w:val="000D50F0"/>
    <w:rsid w:val="000D51A9"/>
    <w:rsid w:val="000D5A80"/>
    <w:rsid w:val="000D5B6A"/>
    <w:rsid w:val="000D6207"/>
    <w:rsid w:val="000D6503"/>
    <w:rsid w:val="000D6FBB"/>
    <w:rsid w:val="000D70CC"/>
    <w:rsid w:val="000D7A1E"/>
    <w:rsid w:val="000D7F5B"/>
    <w:rsid w:val="000E00FD"/>
    <w:rsid w:val="000E1190"/>
    <w:rsid w:val="000E1919"/>
    <w:rsid w:val="000E2460"/>
    <w:rsid w:val="000E299F"/>
    <w:rsid w:val="000E32E6"/>
    <w:rsid w:val="000E35AE"/>
    <w:rsid w:val="000E39E7"/>
    <w:rsid w:val="000E3D06"/>
    <w:rsid w:val="000E3D32"/>
    <w:rsid w:val="000E471F"/>
    <w:rsid w:val="000E4726"/>
    <w:rsid w:val="000E478A"/>
    <w:rsid w:val="000E47BA"/>
    <w:rsid w:val="000E47F3"/>
    <w:rsid w:val="000E4B94"/>
    <w:rsid w:val="000E4E74"/>
    <w:rsid w:val="000E5982"/>
    <w:rsid w:val="000E5C2B"/>
    <w:rsid w:val="000E5E39"/>
    <w:rsid w:val="000E66A7"/>
    <w:rsid w:val="000E66D7"/>
    <w:rsid w:val="000E6B6A"/>
    <w:rsid w:val="000E7066"/>
    <w:rsid w:val="000E7090"/>
    <w:rsid w:val="000E7116"/>
    <w:rsid w:val="000E7257"/>
    <w:rsid w:val="000E7764"/>
    <w:rsid w:val="000E7825"/>
    <w:rsid w:val="000E78B2"/>
    <w:rsid w:val="000F0078"/>
    <w:rsid w:val="000F0643"/>
    <w:rsid w:val="000F06CF"/>
    <w:rsid w:val="000F0AFF"/>
    <w:rsid w:val="000F0B4F"/>
    <w:rsid w:val="000F0E26"/>
    <w:rsid w:val="000F0FCB"/>
    <w:rsid w:val="000F158F"/>
    <w:rsid w:val="000F1B29"/>
    <w:rsid w:val="000F25B8"/>
    <w:rsid w:val="000F26B2"/>
    <w:rsid w:val="000F26CD"/>
    <w:rsid w:val="000F292C"/>
    <w:rsid w:val="000F29AC"/>
    <w:rsid w:val="000F41A4"/>
    <w:rsid w:val="000F4215"/>
    <w:rsid w:val="000F43F3"/>
    <w:rsid w:val="000F4638"/>
    <w:rsid w:val="000F46F8"/>
    <w:rsid w:val="000F50BE"/>
    <w:rsid w:val="000F52FB"/>
    <w:rsid w:val="000F6854"/>
    <w:rsid w:val="000F69DE"/>
    <w:rsid w:val="000F6CF3"/>
    <w:rsid w:val="000F6D17"/>
    <w:rsid w:val="000F7018"/>
    <w:rsid w:val="000F74F3"/>
    <w:rsid w:val="000F77E1"/>
    <w:rsid w:val="000F77F2"/>
    <w:rsid w:val="000F7ACF"/>
    <w:rsid w:val="000F7FD2"/>
    <w:rsid w:val="001002AF"/>
    <w:rsid w:val="0010034F"/>
    <w:rsid w:val="00100669"/>
    <w:rsid w:val="00100B0D"/>
    <w:rsid w:val="00100BD9"/>
    <w:rsid w:val="00100CE0"/>
    <w:rsid w:val="00100CEF"/>
    <w:rsid w:val="00100E25"/>
    <w:rsid w:val="00101571"/>
    <w:rsid w:val="001015B6"/>
    <w:rsid w:val="001015B9"/>
    <w:rsid w:val="0010170C"/>
    <w:rsid w:val="00101A6E"/>
    <w:rsid w:val="00101C66"/>
    <w:rsid w:val="001025B1"/>
    <w:rsid w:val="00102791"/>
    <w:rsid w:val="0010287D"/>
    <w:rsid w:val="00102A7B"/>
    <w:rsid w:val="00102C2C"/>
    <w:rsid w:val="00102EFD"/>
    <w:rsid w:val="00102F07"/>
    <w:rsid w:val="001031A2"/>
    <w:rsid w:val="001032A2"/>
    <w:rsid w:val="00103467"/>
    <w:rsid w:val="001037C5"/>
    <w:rsid w:val="00104624"/>
    <w:rsid w:val="0010496D"/>
    <w:rsid w:val="00104E5A"/>
    <w:rsid w:val="0010517F"/>
    <w:rsid w:val="001056EE"/>
    <w:rsid w:val="0010598E"/>
    <w:rsid w:val="00105BCE"/>
    <w:rsid w:val="001063DF"/>
    <w:rsid w:val="00106402"/>
    <w:rsid w:val="00106724"/>
    <w:rsid w:val="00106A5E"/>
    <w:rsid w:val="00106AD8"/>
    <w:rsid w:val="0010728A"/>
    <w:rsid w:val="00107615"/>
    <w:rsid w:val="001101E7"/>
    <w:rsid w:val="00110CC8"/>
    <w:rsid w:val="00110F2E"/>
    <w:rsid w:val="00111305"/>
    <w:rsid w:val="00111787"/>
    <w:rsid w:val="0011183C"/>
    <w:rsid w:val="00111BF0"/>
    <w:rsid w:val="00111EB5"/>
    <w:rsid w:val="001121EB"/>
    <w:rsid w:val="0011275F"/>
    <w:rsid w:val="0011290A"/>
    <w:rsid w:val="00112D1A"/>
    <w:rsid w:val="001137BD"/>
    <w:rsid w:val="00114114"/>
    <w:rsid w:val="00114184"/>
    <w:rsid w:val="0011449B"/>
    <w:rsid w:val="00114603"/>
    <w:rsid w:val="00114802"/>
    <w:rsid w:val="00114A31"/>
    <w:rsid w:val="00114DEB"/>
    <w:rsid w:val="00115533"/>
    <w:rsid w:val="00115643"/>
    <w:rsid w:val="00115AFB"/>
    <w:rsid w:val="00116105"/>
    <w:rsid w:val="001164E2"/>
    <w:rsid w:val="00116586"/>
    <w:rsid w:val="001166E1"/>
    <w:rsid w:val="0011672E"/>
    <w:rsid w:val="0011674E"/>
    <w:rsid w:val="00116E9E"/>
    <w:rsid w:val="001171D1"/>
    <w:rsid w:val="001173CF"/>
    <w:rsid w:val="00117572"/>
    <w:rsid w:val="00117904"/>
    <w:rsid w:val="00117DD9"/>
    <w:rsid w:val="0012016E"/>
    <w:rsid w:val="00120C08"/>
    <w:rsid w:val="00121348"/>
    <w:rsid w:val="0012141B"/>
    <w:rsid w:val="00121751"/>
    <w:rsid w:val="00121C6D"/>
    <w:rsid w:val="00121E5C"/>
    <w:rsid w:val="00121FDB"/>
    <w:rsid w:val="001227EB"/>
    <w:rsid w:val="0012281C"/>
    <w:rsid w:val="00123C16"/>
    <w:rsid w:val="00124226"/>
    <w:rsid w:val="001249C0"/>
    <w:rsid w:val="00124AD1"/>
    <w:rsid w:val="00125364"/>
    <w:rsid w:val="0012541F"/>
    <w:rsid w:val="001254AB"/>
    <w:rsid w:val="001254BE"/>
    <w:rsid w:val="001256FF"/>
    <w:rsid w:val="0012580D"/>
    <w:rsid w:val="001259A1"/>
    <w:rsid w:val="00125F59"/>
    <w:rsid w:val="001260CF"/>
    <w:rsid w:val="001261D7"/>
    <w:rsid w:val="001265CA"/>
    <w:rsid w:val="001266DC"/>
    <w:rsid w:val="0012683C"/>
    <w:rsid w:val="00126FA1"/>
    <w:rsid w:val="001272D1"/>
    <w:rsid w:val="001275EF"/>
    <w:rsid w:val="00127799"/>
    <w:rsid w:val="0012795E"/>
    <w:rsid w:val="00130287"/>
    <w:rsid w:val="00130430"/>
    <w:rsid w:val="001308D2"/>
    <w:rsid w:val="00130DAB"/>
    <w:rsid w:val="00131251"/>
    <w:rsid w:val="0013176B"/>
    <w:rsid w:val="00131BBA"/>
    <w:rsid w:val="00132AA3"/>
    <w:rsid w:val="001330FA"/>
    <w:rsid w:val="00133316"/>
    <w:rsid w:val="00134709"/>
    <w:rsid w:val="00134775"/>
    <w:rsid w:val="00134D1B"/>
    <w:rsid w:val="00134DF1"/>
    <w:rsid w:val="00134ED2"/>
    <w:rsid w:val="00134EE2"/>
    <w:rsid w:val="00135516"/>
    <w:rsid w:val="00135B96"/>
    <w:rsid w:val="00135C3F"/>
    <w:rsid w:val="001368C4"/>
    <w:rsid w:val="00136A2C"/>
    <w:rsid w:val="0013740C"/>
    <w:rsid w:val="00137B9C"/>
    <w:rsid w:val="00140FCE"/>
    <w:rsid w:val="0014166D"/>
    <w:rsid w:val="00141BB9"/>
    <w:rsid w:val="00141BDE"/>
    <w:rsid w:val="00142D9E"/>
    <w:rsid w:val="00143119"/>
    <w:rsid w:val="0014318E"/>
    <w:rsid w:val="001432CC"/>
    <w:rsid w:val="00143BFC"/>
    <w:rsid w:val="00144385"/>
    <w:rsid w:val="0014452C"/>
    <w:rsid w:val="00144707"/>
    <w:rsid w:val="00144DC1"/>
    <w:rsid w:val="0014520E"/>
    <w:rsid w:val="00145360"/>
    <w:rsid w:val="001453E3"/>
    <w:rsid w:val="00145D1A"/>
    <w:rsid w:val="001463EB"/>
    <w:rsid w:val="001466FA"/>
    <w:rsid w:val="001469C2"/>
    <w:rsid w:val="001469EF"/>
    <w:rsid w:val="00146E46"/>
    <w:rsid w:val="00147069"/>
    <w:rsid w:val="00147618"/>
    <w:rsid w:val="001477E5"/>
    <w:rsid w:val="00150453"/>
    <w:rsid w:val="00150736"/>
    <w:rsid w:val="00150B4A"/>
    <w:rsid w:val="00151262"/>
    <w:rsid w:val="00151DA5"/>
    <w:rsid w:val="0015262E"/>
    <w:rsid w:val="00153166"/>
    <w:rsid w:val="001538A9"/>
    <w:rsid w:val="00154222"/>
    <w:rsid w:val="0015454C"/>
    <w:rsid w:val="00154939"/>
    <w:rsid w:val="001554EA"/>
    <w:rsid w:val="00155DDC"/>
    <w:rsid w:val="00156054"/>
    <w:rsid w:val="0015648F"/>
    <w:rsid w:val="00156746"/>
    <w:rsid w:val="00156871"/>
    <w:rsid w:val="00156A1D"/>
    <w:rsid w:val="00156B17"/>
    <w:rsid w:val="00156C5D"/>
    <w:rsid w:val="00156F35"/>
    <w:rsid w:val="00157071"/>
    <w:rsid w:val="001608AF"/>
    <w:rsid w:val="00160AC9"/>
    <w:rsid w:val="00160C66"/>
    <w:rsid w:val="00160ED4"/>
    <w:rsid w:val="0016100D"/>
    <w:rsid w:val="001613E9"/>
    <w:rsid w:val="00161DAA"/>
    <w:rsid w:val="001625CA"/>
    <w:rsid w:val="001627FB"/>
    <w:rsid w:val="00162B36"/>
    <w:rsid w:val="00162C50"/>
    <w:rsid w:val="00164DD0"/>
    <w:rsid w:val="00165ADC"/>
    <w:rsid w:val="00165B11"/>
    <w:rsid w:val="00166233"/>
    <w:rsid w:val="00166473"/>
    <w:rsid w:val="001666F8"/>
    <w:rsid w:val="001672BE"/>
    <w:rsid w:val="001672CE"/>
    <w:rsid w:val="0016739C"/>
    <w:rsid w:val="00167B26"/>
    <w:rsid w:val="00167F97"/>
    <w:rsid w:val="0017019A"/>
    <w:rsid w:val="0017044C"/>
    <w:rsid w:val="00170A2F"/>
    <w:rsid w:val="00171090"/>
    <w:rsid w:val="001711B6"/>
    <w:rsid w:val="00171490"/>
    <w:rsid w:val="00171D44"/>
    <w:rsid w:val="00171E46"/>
    <w:rsid w:val="00171E67"/>
    <w:rsid w:val="00171E9D"/>
    <w:rsid w:val="00172545"/>
    <w:rsid w:val="00172D51"/>
    <w:rsid w:val="001732AE"/>
    <w:rsid w:val="0017396E"/>
    <w:rsid w:val="00173C2E"/>
    <w:rsid w:val="0017481B"/>
    <w:rsid w:val="00174AC1"/>
    <w:rsid w:val="00174D18"/>
    <w:rsid w:val="00174FF3"/>
    <w:rsid w:val="001765D1"/>
    <w:rsid w:val="0017678F"/>
    <w:rsid w:val="001769FE"/>
    <w:rsid w:val="00176A43"/>
    <w:rsid w:val="00176E99"/>
    <w:rsid w:val="00176F60"/>
    <w:rsid w:val="00177F75"/>
    <w:rsid w:val="00180068"/>
    <w:rsid w:val="00180AD0"/>
    <w:rsid w:val="0018114A"/>
    <w:rsid w:val="00181872"/>
    <w:rsid w:val="00181C04"/>
    <w:rsid w:val="00181CD3"/>
    <w:rsid w:val="0018208B"/>
    <w:rsid w:val="00182148"/>
    <w:rsid w:val="001821CF"/>
    <w:rsid w:val="001827F1"/>
    <w:rsid w:val="00182A39"/>
    <w:rsid w:val="00182D4D"/>
    <w:rsid w:val="001836EB"/>
    <w:rsid w:val="001849AE"/>
    <w:rsid w:val="00185901"/>
    <w:rsid w:val="00185FC7"/>
    <w:rsid w:val="0018620B"/>
    <w:rsid w:val="00186290"/>
    <w:rsid w:val="00186A1A"/>
    <w:rsid w:val="00187362"/>
    <w:rsid w:val="00187450"/>
    <w:rsid w:val="00187732"/>
    <w:rsid w:val="0018785C"/>
    <w:rsid w:val="0018789C"/>
    <w:rsid w:val="00187BDF"/>
    <w:rsid w:val="00187D3A"/>
    <w:rsid w:val="00187FAE"/>
    <w:rsid w:val="00190497"/>
    <w:rsid w:val="00190649"/>
    <w:rsid w:val="0019138D"/>
    <w:rsid w:val="00192653"/>
    <w:rsid w:val="0019287C"/>
    <w:rsid w:val="00192F49"/>
    <w:rsid w:val="001933F2"/>
    <w:rsid w:val="00193851"/>
    <w:rsid w:val="001938C1"/>
    <w:rsid w:val="001944C2"/>
    <w:rsid w:val="001947C3"/>
    <w:rsid w:val="00194C47"/>
    <w:rsid w:val="001955CE"/>
    <w:rsid w:val="00195718"/>
    <w:rsid w:val="0019623F"/>
    <w:rsid w:val="00196466"/>
    <w:rsid w:val="00196560"/>
    <w:rsid w:val="00196AF5"/>
    <w:rsid w:val="001975A1"/>
    <w:rsid w:val="0019787F"/>
    <w:rsid w:val="001A0170"/>
    <w:rsid w:val="001A0680"/>
    <w:rsid w:val="001A07BB"/>
    <w:rsid w:val="001A0D2C"/>
    <w:rsid w:val="001A1842"/>
    <w:rsid w:val="001A1D84"/>
    <w:rsid w:val="001A1D94"/>
    <w:rsid w:val="001A2009"/>
    <w:rsid w:val="001A2AA2"/>
    <w:rsid w:val="001A311C"/>
    <w:rsid w:val="001A3232"/>
    <w:rsid w:val="001A4708"/>
    <w:rsid w:val="001A518A"/>
    <w:rsid w:val="001A51CA"/>
    <w:rsid w:val="001A56CF"/>
    <w:rsid w:val="001A593B"/>
    <w:rsid w:val="001A5A39"/>
    <w:rsid w:val="001A5C4A"/>
    <w:rsid w:val="001A5DEB"/>
    <w:rsid w:val="001A5EB3"/>
    <w:rsid w:val="001A6042"/>
    <w:rsid w:val="001A693A"/>
    <w:rsid w:val="001A69A0"/>
    <w:rsid w:val="001A7259"/>
    <w:rsid w:val="001A7296"/>
    <w:rsid w:val="001A7469"/>
    <w:rsid w:val="001A75B6"/>
    <w:rsid w:val="001A7674"/>
    <w:rsid w:val="001A78A5"/>
    <w:rsid w:val="001A7F26"/>
    <w:rsid w:val="001B07F2"/>
    <w:rsid w:val="001B0D02"/>
    <w:rsid w:val="001B13A6"/>
    <w:rsid w:val="001B2027"/>
    <w:rsid w:val="001B2388"/>
    <w:rsid w:val="001B2580"/>
    <w:rsid w:val="001B3285"/>
    <w:rsid w:val="001B4023"/>
    <w:rsid w:val="001B4345"/>
    <w:rsid w:val="001B5161"/>
    <w:rsid w:val="001B5175"/>
    <w:rsid w:val="001B5193"/>
    <w:rsid w:val="001B59A7"/>
    <w:rsid w:val="001B5F7E"/>
    <w:rsid w:val="001B622D"/>
    <w:rsid w:val="001B67CC"/>
    <w:rsid w:val="001B77EC"/>
    <w:rsid w:val="001C0001"/>
    <w:rsid w:val="001C0C12"/>
    <w:rsid w:val="001C0C45"/>
    <w:rsid w:val="001C1041"/>
    <w:rsid w:val="001C12CC"/>
    <w:rsid w:val="001C1588"/>
    <w:rsid w:val="001C1667"/>
    <w:rsid w:val="001C1D6E"/>
    <w:rsid w:val="001C2FC4"/>
    <w:rsid w:val="001C301A"/>
    <w:rsid w:val="001C3059"/>
    <w:rsid w:val="001C326E"/>
    <w:rsid w:val="001C350D"/>
    <w:rsid w:val="001C3604"/>
    <w:rsid w:val="001C38C5"/>
    <w:rsid w:val="001C39A3"/>
    <w:rsid w:val="001C39C1"/>
    <w:rsid w:val="001C3DB8"/>
    <w:rsid w:val="001C3DEE"/>
    <w:rsid w:val="001C3EF3"/>
    <w:rsid w:val="001C42A4"/>
    <w:rsid w:val="001C4C34"/>
    <w:rsid w:val="001C4C41"/>
    <w:rsid w:val="001C54FD"/>
    <w:rsid w:val="001C5823"/>
    <w:rsid w:val="001C621D"/>
    <w:rsid w:val="001C673D"/>
    <w:rsid w:val="001C68F4"/>
    <w:rsid w:val="001C699B"/>
    <w:rsid w:val="001C69AC"/>
    <w:rsid w:val="001C6DA0"/>
    <w:rsid w:val="001C6DF3"/>
    <w:rsid w:val="001C7301"/>
    <w:rsid w:val="001C79E0"/>
    <w:rsid w:val="001D040A"/>
    <w:rsid w:val="001D0445"/>
    <w:rsid w:val="001D06D1"/>
    <w:rsid w:val="001D07B3"/>
    <w:rsid w:val="001D0E32"/>
    <w:rsid w:val="001D15B1"/>
    <w:rsid w:val="001D1657"/>
    <w:rsid w:val="001D1806"/>
    <w:rsid w:val="001D2E3D"/>
    <w:rsid w:val="001D33A5"/>
    <w:rsid w:val="001D37FB"/>
    <w:rsid w:val="001D3BC0"/>
    <w:rsid w:val="001D54B5"/>
    <w:rsid w:val="001D58A3"/>
    <w:rsid w:val="001D5DDF"/>
    <w:rsid w:val="001D5FDD"/>
    <w:rsid w:val="001D6805"/>
    <w:rsid w:val="001D6B54"/>
    <w:rsid w:val="001D7492"/>
    <w:rsid w:val="001D7675"/>
    <w:rsid w:val="001D77D5"/>
    <w:rsid w:val="001D7827"/>
    <w:rsid w:val="001D7A65"/>
    <w:rsid w:val="001D7C48"/>
    <w:rsid w:val="001E0532"/>
    <w:rsid w:val="001E071B"/>
    <w:rsid w:val="001E12C7"/>
    <w:rsid w:val="001E14C7"/>
    <w:rsid w:val="001E1E03"/>
    <w:rsid w:val="001E1E90"/>
    <w:rsid w:val="001E1EDE"/>
    <w:rsid w:val="001E23BA"/>
    <w:rsid w:val="001E2EEE"/>
    <w:rsid w:val="001E335E"/>
    <w:rsid w:val="001E4112"/>
    <w:rsid w:val="001E42DA"/>
    <w:rsid w:val="001E5653"/>
    <w:rsid w:val="001E57A9"/>
    <w:rsid w:val="001E65D2"/>
    <w:rsid w:val="001E67CF"/>
    <w:rsid w:val="001E69E3"/>
    <w:rsid w:val="001E6DFF"/>
    <w:rsid w:val="001E7241"/>
    <w:rsid w:val="001E75B3"/>
    <w:rsid w:val="001E7B13"/>
    <w:rsid w:val="001E7BF5"/>
    <w:rsid w:val="001F057E"/>
    <w:rsid w:val="001F0863"/>
    <w:rsid w:val="001F086D"/>
    <w:rsid w:val="001F0FC8"/>
    <w:rsid w:val="001F1053"/>
    <w:rsid w:val="001F125B"/>
    <w:rsid w:val="001F1856"/>
    <w:rsid w:val="001F1B32"/>
    <w:rsid w:val="001F1C21"/>
    <w:rsid w:val="001F1D39"/>
    <w:rsid w:val="001F28B8"/>
    <w:rsid w:val="001F3B1C"/>
    <w:rsid w:val="001F41D5"/>
    <w:rsid w:val="001F4393"/>
    <w:rsid w:val="001F45F6"/>
    <w:rsid w:val="001F4618"/>
    <w:rsid w:val="001F4AA8"/>
    <w:rsid w:val="001F50A9"/>
    <w:rsid w:val="001F5316"/>
    <w:rsid w:val="001F5B78"/>
    <w:rsid w:val="001F5F00"/>
    <w:rsid w:val="001F65DD"/>
    <w:rsid w:val="001F70C8"/>
    <w:rsid w:val="001F71F3"/>
    <w:rsid w:val="001F7D9E"/>
    <w:rsid w:val="001F7DF3"/>
    <w:rsid w:val="0020066C"/>
    <w:rsid w:val="00200AFB"/>
    <w:rsid w:val="00201455"/>
    <w:rsid w:val="002015E8"/>
    <w:rsid w:val="0020195F"/>
    <w:rsid w:val="00202004"/>
    <w:rsid w:val="0020241D"/>
    <w:rsid w:val="00202659"/>
    <w:rsid w:val="00202C76"/>
    <w:rsid w:val="00202EC0"/>
    <w:rsid w:val="0020323F"/>
    <w:rsid w:val="0020340E"/>
    <w:rsid w:val="00203FA1"/>
    <w:rsid w:val="002041F7"/>
    <w:rsid w:val="0020445C"/>
    <w:rsid w:val="00204600"/>
    <w:rsid w:val="002049A9"/>
    <w:rsid w:val="00204AF5"/>
    <w:rsid w:val="002059B2"/>
    <w:rsid w:val="0020612B"/>
    <w:rsid w:val="0020634B"/>
    <w:rsid w:val="002067AD"/>
    <w:rsid w:val="00206AAB"/>
    <w:rsid w:val="00206D10"/>
    <w:rsid w:val="00207035"/>
    <w:rsid w:val="00207216"/>
    <w:rsid w:val="00207581"/>
    <w:rsid w:val="00207666"/>
    <w:rsid w:val="002076A0"/>
    <w:rsid w:val="00207759"/>
    <w:rsid w:val="00207F13"/>
    <w:rsid w:val="002106B4"/>
    <w:rsid w:val="00210A8A"/>
    <w:rsid w:val="00210ABF"/>
    <w:rsid w:val="00210FA4"/>
    <w:rsid w:val="0021124A"/>
    <w:rsid w:val="002115B7"/>
    <w:rsid w:val="00211725"/>
    <w:rsid w:val="00211969"/>
    <w:rsid w:val="00211AE7"/>
    <w:rsid w:val="00211D74"/>
    <w:rsid w:val="00212329"/>
    <w:rsid w:val="002123AF"/>
    <w:rsid w:val="002124B2"/>
    <w:rsid w:val="002125D1"/>
    <w:rsid w:val="00212D31"/>
    <w:rsid w:val="002130E3"/>
    <w:rsid w:val="002138B5"/>
    <w:rsid w:val="00213C4C"/>
    <w:rsid w:val="00213C7E"/>
    <w:rsid w:val="00213D49"/>
    <w:rsid w:val="00213DCC"/>
    <w:rsid w:val="00213F33"/>
    <w:rsid w:val="00214A6C"/>
    <w:rsid w:val="0021524E"/>
    <w:rsid w:val="00215491"/>
    <w:rsid w:val="0021598F"/>
    <w:rsid w:val="00215F99"/>
    <w:rsid w:val="002163DC"/>
    <w:rsid w:val="00216752"/>
    <w:rsid w:val="00216DAB"/>
    <w:rsid w:val="00216E52"/>
    <w:rsid w:val="00217038"/>
    <w:rsid w:val="002174CA"/>
    <w:rsid w:val="002176C4"/>
    <w:rsid w:val="00217AC6"/>
    <w:rsid w:val="00217D23"/>
    <w:rsid w:val="00220322"/>
    <w:rsid w:val="0022086B"/>
    <w:rsid w:val="00221591"/>
    <w:rsid w:val="002218A5"/>
    <w:rsid w:val="002219D5"/>
    <w:rsid w:val="00221BFE"/>
    <w:rsid w:val="00221C17"/>
    <w:rsid w:val="002222F9"/>
    <w:rsid w:val="0022234B"/>
    <w:rsid w:val="00222AE0"/>
    <w:rsid w:val="00223BCA"/>
    <w:rsid w:val="00223E03"/>
    <w:rsid w:val="0022407C"/>
    <w:rsid w:val="002255CE"/>
    <w:rsid w:val="002256E5"/>
    <w:rsid w:val="00225C51"/>
    <w:rsid w:val="002266E0"/>
    <w:rsid w:val="00227716"/>
    <w:rsid w:val="00227BBA"/>
    <w:rsid w:val="00227C4C"/>
    <w:rsid w:val="00230526"/>
    <w:rsid w:val="002305DB"/>
    <w:rsid w:val="002307A1"/>
    <w:rsid w:val="00230CA8"/>
    <w:rsid w:val="00230D0C"/>
    <w:rsid w:val="00230E41"/>
    <w:rsid w:val="002312D4"/>
    <w:rsid w:val="0023167C"/>
    <w:rsid w:val="0023226C"/>
    <w:rsid w:val="002323AF"/>
    <w:rsid w:val="00232BEA"/>
    <w:rsid w:val="00232DEF"/>
    <w:rsid w:val="00233E2B"/>
    <w:rsid w:val="0023457B"/>
    <w:rsid w:val="00234A90"/>
    <w:rsid w:val="00234C09"/>
    <w:rsid w:val="0023585B"/>
    <w:rsid w:val="00235B08"/>
    <w:rsid w:val="0023620A"/>
    <w:rsid w:val="00236893"/>
    <w:rsid w:val="00236A11"/>
    <w:rsid w:val="00236AB7"/>
    <w:rsid w:val="00236D74"/>
    <w:rsid w:val="00236E65"/>
    <w:rsid w:val="00236FEA"/>
    <w:rsid w:val="00237A86"/>
    <w:rsid w:val="00237DC5"/>
    <w:rsid w:val="00240093"/>
    <w:rsid w:val="00240699"/>
    <w:rsid w:val="00240BFD"/>
    <w:rsid w:val="002411A3"/>
    <w:rsid w:val="00241E14"/>
    <w:rsid w:val="00241F18"/>
    <w:rsid w:val="00242283"/>
    <w:rsid w:val="002424BC"/>
    <w:rsid w:val="002428E3"/>
    <w:rsid w:val="00242BC9"/>
    <w:rsid w:val="00242FA6"/>
    <w:rsid w:val="0024315B"/>
    <w:rsid w:val="002431DD"/>
    <w:rsid w:val="002437F9"/>
    <w:rsid w:val="002444D2"/>
    <w:rsid w:val="00244AA4"/>
    <w:rsid w:val="00244BF6"/>
    <w:rsid w:val="00244CEA"/>
    <w:rsid w:val="0024619E"/>
    <w:rsid w:val="00246575"/>
    <w:rsid w:val="002467DF"/>
    <w:rsid w:val="0024689D"/>
    <w:rsid w:val="00246C90"/>
    <w:rsid w:val="00247054"/>
    <w:rsid w:val="002470AB"/>
    <w:rsid w:val="00247943"/>
    <w:rsid w:val="00247C02"/>
    <w:rsid w:val="00247D3A"/>
    <w:rsid w:val="00247FBE"/>
    <w:rsid w:val="00250104"/>
    <w:rsid w:val="00250379"/>
    <w:rsid w:val="00250B71"/>
    <w:rsid w:val="00251140"/>
    <w:rsid w:val="002512B0"/>
    <w:rsid w:val="002517D1"/>
    <w:rsid w:val="00251825"/>
    <w:rsid w:val="002519E7"/>
    <w:rsid w:val="00251A5A"/>
    <w:rsid w:val="00251BDA"/>
    <w:rsid w:val="0025224E"/>
    <w:rsid w:val="00252435"/>
    <w:rsid w:val="0025253B"/>
    <w:rsid w:val="0025289B"/>
    <w:rsid w:val="00252A6C"/>
    <w:rsid w:val="00252E05"/>
    <w:rsid w:val="00252ED5"/>
    <w:rsid w:val="00252F1B"/>
    <w:rsid w:val="00253854"/>
    <w:rsid w:val="00253DA0"/>
    <w:rsid w:val="00253ED3"/>
    <w:rsid w:val="0025469D"/>
    <w:rsid w:val="002546E9"/>
    <w:rsid w:val="0025472D"/>
    <w:rsid w:val="00254856"/>
    <w:rsid w:val="00254A40"/>
    <w:rsid w:val="0025531A"/>
    <w:rsid w:val="002553EE"/>
    <w:rsid w:val="00256414"/>
    <w:rsid w:val="00256FB2"/>
    <w:rsid w:val="0025726E"/>
    <w:rsid w:val="002578CE"/>
    <w:rsid w:val="002579D2"/>
    <w:rsid w:val="00257E7D"/>
    <w:rsid w:val="002600D7"/>
    <w:rsid w:val="002602EC"/>
    <w:rsid w:val="00260450"/>
    <w:rsid w:val="00260573"/>
    <w:rsid w:val="0026117D"/>
    <w:rsid w:val="00261604"/>
    <w:rsid w:val="00261865"/>
    <w:rsid w:val="00261987"/>
    <w:rsid w:val="00261AE9"/>
    <w:rsid w:val="002624B1"/>
    <w:rsid w:val="00262508"/>
    <w:rsid w:val="00262BBC"/>
    <w:rsid w:val="00262D4F"/>
    <w:rsid w:val="00262EFE"/>
    <w:rsid w:val="00263116"/>
    <w:rsid w:val="0026315E"/>
    <w:rsid w:val="002635E6"/>
    <w:rsid w:val="002635EA"/>
    <w:rsid w:val="00263A58"/>
    <w:rsid w:val="00264177"/>
    <w:rsid w:val="002648CC"/>
    <w:rsid w:val="00264BFF"/>
    <w:rsid w:val="002652CF"/>
    <w:rsid w:val="002653E4"/>
    <w:rsid w:val="00265E10"/>
    <w:rsid w:val="00265EFA"/>
    <w:rsid w:val="00265F0B"/>
    <w:rsid w:val="002660F7"/>
    <w:rsid w:val="00266216"/>
    <w:rsid w:val="002667EE"/>
    <w:rsid w:val="0026684F"/>
    <w:rsid w:val="002670A3"/>
    <w:rsid w:val="00267384"/>
    <w:rsid w:val="0026742C"/>
    <w:rsid w:val="0026744E"/>
    <w:rsid w:val="00267947"/>
    <w:rsid w:val="00267C57"/>
    <w:rsid w:val="00267EDC"/>
    <w:rsid w:val="002701B9"/>
    <w:rsid w:val="002702CD"/>
    <w:rsid w:val="002702D7"/>
    <w:rsid w:val="0027036E"/>
    <w:rsid w:val="0027065B"/>
    <w:rsid w:val="0027073F"/>
    <w:rsid w:val="00270B34"/>
    <w:rsid w:val="00270BB5"/>
    <w:rsid w:val="00270D8C"/>
    <w:rsid w:val="002710AE"/>
    <w:rsid w:val="00271BE7"/>
    <w:rsid w:val="00272118"/>
    <w:rsid w:val="002721C6"/>
    <w:rsid w:val="002726E3"/>
    <w:rsid w:val="002726FD"/>
    <w:rsid w:val="00272714"/>
    <w:rsid w:val="002737D4"/>
    <w:rsid w:val="0027388C"/>
    <w:rsid w:val="00273EC8"/>
    <w:rsid w:val="00274012"/>
    <w:rsid w:val="0027408F"/>
    <w:rsid w:val="00274179"/>
    <w:rsid w:val="00274355"/>
    <w:rsid w:val="00274811"/>
    <w:rsid w:val="00274886"/>
    <w:rsid w:val="002752C7"/>
    <w:rsid w:val="00275A95"/>
    <w:rsid w:val="002762F8"/>
    <w:rsid w:val="002764CA"/>
    <w:rsid w:val="002764D7"/>
    <w:rsid w:val="0027677A"/>
    <w:rsid w:val="00276CEF"/>
    <w:rsid w:val="00276E1E"/>
    <w:rsid w:val="00277117"/>
    <w:rsid w:val="00277FEA"/>
    <w:rsid w:val="0028005C"/>
    <w:rsid w:val="002803C5"/>
    <w:rsid w:val="00281700"/>
    <w:rsid w:val="00281CFB"/>
    <w:rsid w:val="00281D36"/>
    <w:rsid w:val="00281DDD"/>
    <w:rsid w:val="00282136"/>
    <w:rsid w:val="00282742"/>
    <w:rsid w:val="00282817"/>
    <w:rsid w:val="00283DD2"/>
    <w:rsid w:val="00285F16"/>
    <w:rsid w:val="00286911"/>
    <w:rsid w:val="002869AB"/>
    <w:rsid w:val="00286A15"/>
    <w:rsid w:val="00286B5C"/>
    <w:rsid w:val="00286F66"/>
    <w:rsid w:val="00287190"/>
    <w:rsid w:val="002873C3"/>
    <w:rsid w:val="0028756C"/>
    <w:rsid w:val="002879B8"/>
    <w:rsid w:val="002900B0"/>
    <w:rsid w:val="0029039B"/>
    <w:rsid w:val="0029059D"/>
    <w:rsid w:val="00290675"/>
    <w:rsid w:val="002909F5"/>
    <w:rsid w:val="00290B6E"/>
    <w:rsid w:val="00291156"/>
    <w:rsid w:val="0029120A"/>
    <w:rsid w:val="00291518"/>
    <w:rsid w:val="00291545"/>
    <w:rsid w:val="00291908"/>
    <w:rsid w:val="00291AE8"/>
    <w:rsid w:val="00291D7F"/>
    <w:rsid w:val="002922B8"/>
    <w:rsid w:val="00292336"/>
    <w:rsid w:val="002923C8"/>
    <w:rsid w:val="00292755"/>
    <w:rsid w:val="00292C57"/>
    <w:rsid w:val="00292F4F"/>
    <w:rsid w:val="002945F0"/>
    <w:rsid w:val="002948CD"/>
    <w:rsid w:val="00294D7A"/>
    <w:rsid w:val="00294EA9"/>
    <w:rsid w:val="00295092"/>
    <w:rsid w:val="002951D3"/>
    <w:rsid w:val="00295FE2"/>
    <w:rsid w:val="00296A47"/>
    <w:rsid w:val="002976CB"/>
    <w:rsid w:val="00297D9F"/>
    <w:rsid w:val="00297F07"/>
    <w:rsid w:val="00297FD7"/>
    <w:rsid w:val="002A04BA"/>
    <w:rsid w:val="002A0553"/>
    <w:rsid w:val="002A0DBE"/>
    <w:rsid w:val="002A0FEF"/>
    <w:rsid w:val="002A225B"/>
    <w:rsid w:val="002A22BB"/>
    <w:rsid w:val="002A33EC"/>
    <w:rsid w:val="002A3ADE"/>
    <w:rsid w:val="002A42B6"/>
    <w:rsid w:val="002A4BF4"/>
    <w:rsid w:val="002A62CA"/>
    <w:rsid w:val="002A69D6"/>
    <w:rsid w:val="002A6F40"/>
    <w:rsid w:val="002A70F3"/>
    <w:rsid w:val="002A7150"/>
    <w:rsid w:val="002A7328"/>
    <w:rsid w:val="002B0898"/>
    <w:rsid w:val="002B08FD"/>
    <w:rsid w:val="002B0A44"/>
    <w:rsid w:val="002B0A84"/>
    <w:rsid w:val="002B100B"/>
    <w:rsid w:val="002B11C0"/>
    <w:rsid w:val="002B13D7"/>
    <w:rsid w:val="002B1784"/>
    <w:rsid w:val="002B1B9D"/>
    <w:rsid w:val="002B25E6"/>
    <w:rsid w:val="002B26A1"/>
    <w:rsid w:val="002B28E4"/>
    <w:rsid w:val="002B2E32"/>
    <w:rsid w:val="002B3482"/>
    <w:rsid w:val="002B3F02"/>
    <w:rsid w:val="002B4845"/>
    <w:rsid w:val="002B4C00"/>
    <w:rsid w:val="002B5236"/>
    <w:rsid w:val="002B5825"/>
    <w:rsid w:val="002B666E"/>
    <w:rsid w:val="002B6730"/>
    <w:rsid w:val="002B673C"/>
    <w:rsid w:val="002B68B7"/>
    <w:rsid w:val="002B6D62"/>
    <w:rsid w:val="002B74AF"/>
    <w:rsid w:val="002B758B"/>
    <w:rsid w:val="002B7FEB"/>
    <w:rsid w:val="002C0333"/>
    <w:rsid w:val="002C0716"/>
    <w:rsid w:val="002C1051"/>
    <w:rsid w:val="002C1896"/>
    <w:rsid w:val="002C1D98"/>
    <w:rsid w:val="002C21D0"/>
    <w:rsid w:val="002C2298"/>
    <w:rsid w:val="002C2985"/>
    <w:rsid w:val="002C2DA1"/>
    <w:rsid w:val="002C2F32"/>
    <w:rsid w:val="002C342F"/>
    <w:rsid w:val="002C3512"/>
    <w:rsid w:val="002C36EB"/>
    <w:rsid w:val="002C379B"/>
    <w:rsid w:val="002C3E2D"/>
    <w:rsid w:val="002C4392"/>
    <w:rsid w:val="002C467C"/>
    <w:rsid w:val="002C485A"/>
    <w:rsid w:val="002C4ACA"/>
    <w:rsid w:val="002C5541"/>
    <w:rsid w:val="002C5F33"/>
    <w:rsid w:val="002C5F95"/>
    <w:rsid w:val="002C62F3"/>
    <w:rsid w:val="002C74F9"/>
    <w:rsid w:val="002C7918"/>
    <w:rsid w:val="002C7AF6"/>
    <w:rsid w:val="002D019B"/>
    <w:rsid w:val="002D0C07"/>
    <w:rsid w:val="002D0C1A"/>
    <w:rsid w:val="002D0D70"/>
    <w:rsid w:val="002D1081"/>
    <w:rsid w:val="002D11A6"/>
    <w:rsid w:val="002D16FB"/>
    <w:rsid w:val="002D1D4B"/>
    <w:rsid w:val="002D1F87"/>
    <w:rsid w:val="002D23C0"/>
    <w:rsid w:val="002D2402"/>
    <w:rsid w:val="002D266F"/>
    <w:rsid w:val="002D2C56"/>
    <w:rsid w:val="002D2FAA"/>
    <w:rsid w:val="002D44EF"/>
    <w:rsid w:val="002D4A02"/>
    <w:rsid w:val="002D4C44"/>
    <w:rsid w:val="002D5B60"/>
    <w:rsid w:val="002D5EF4"/>
    <w:rsid w:val="002D60DE"/>
    <w:rsid w:val="002D6282"/>
    <w:rsid w:val="002D665D"/>
    <w:rsid w:val="002D6B96"/>
    <w:rsid w:val="002D6C40"/>
    <w:rsid w:val="002D7893"/>
    <w:rsid w:val="002D7DCC"/>
    <w:rsid w:val="002E0180"/>
    <w:rsid w:val="002E0778"/>
    <w:rsid w:val="002E1318"/>
    <w:rsid w:val="002E1C6D"/>
    <w:rsid w:val="002E1EFA"/>
    <w:rsid w:val="002E1F0E"/>
    <w:rsid w:val="002E3122"/>
    <w:rsid w:val="002E31AA"/>
    <w:rsid w:val="002E42F8"/>
    <w:rsid w:val="002E49E9"/>
    <w:rsid w:val="002E4BF8"/>
    <w:rsid w:val="002E4FF1"/>
    <w:rsid w:val="002E5742"/>
    <w:rsid w:val="002E5A2A"/>
    <w:rsid w:val="002E5F5B"/>
    <w:rsid w:val="002E6143"/>
    <w:rsid w:val="002E61C8"/>
    <w:rsid w:val="002E640D"/>
    <w:rsid w:val="002E679B"/>
    <w:rsid w:val="002E67A3"/>
    <w:rsid w:val="002E6EDF"/>
    <w:rsid w:val="002E764A"/>
    <w:rsid w:val="002E7C76"/>
    <w:rsid w:val="002F0050"/>
    <w:rsid w:val="002F04A0"/>
    <w:rsid w:val="002F0F2F"/>
    <w:rsid w:val="002F1677"/>
    <w:rsid w:val="002F1ACD"/>
    <w:rsid w:val="002F2270"/>
    <w:rsid w:val="002F3117"/>
    <w:rsid w:val="002F31F7"/>
    <w:rsid w:val="002F3C4B"/>
    <w:rsid w:val="002F4499"/>
    <w:rsid w:val="002F456B"/>
    <w:rsid w:val="002F48B3"/>
    <w:rsid w:val="002F53BB"/>
    <w:rsid w:val="002F5613"/>
    <w:rsid w:val="002F62A5"/>
    <w:rsid w:val="002F62E5"/>
    <w:rsid w:val="002F63CE"/>
    <w:rsid w:val="002F689E"/>
    <w:rsid w:val="002F6B7C"/>
    <w:rsid w:val="002F7021"/>
    <w:rsid w:val="002F7589"/>
    <w:rsid w:val="002F75C4"/>
    <w:rsid w:val="002F7853"/>
    <w:rsid w:val="0030000B"/>
    <w:rsid w:val="003003D7"/>
    <w:rsid w:val="00300BFC"/>
    <w:rsid w:val="003012A2"/>
    <w:rsid w:val="003014A5"/>
    <w:rsid w:val="00301A81"/>
    <w:rsid w:val="00302672"/>
    <w:rsid w:val="00302794"/>
    <w:rsid w:val="00302A4E"/>
    <w:rsid w:val="00303117"/>
    <w:rsid w:val="003032EC"/>
    <w:rsid w:val="0030352A"/>
    <w:rsid w:val="00303D81"/>
    <w:rsid w:val="00303FCB"/>
    <w:rsid w:val="003047D7"/>
    <w:rsid w:val="00304957"/>
    <w:rsid w:val="00304DAF"/>
    <w:rsid w:val="003051C6"/>
    <w:rsid w:val="0030533A"/>
    <w:rsid w:val="003053BB"/>
    <w:rsid w:val="00305AB4"/>
    <w:rsid w:val="00305B6F"/>
    <w:rsid w:val="0030655F"/>
    <w:rsid w:val="0030665B"/>
    <w:rsid w:val="003066F8"/>
    <w:rsid w:val="00306FC8"/>
    <w:rsid w:val="003073CB"/>
    <w:rsid w:val="0030741D"/>
    <w:rsid w:val="0030782E"/>
    <w:rsid w:val="0031086B"/>
    <w:rsid w:val="003109E5"/>
    <w:rsid w:val="00310C61"/>
    <w:rsid w:val="00310FD6"/>
    <w:rsid w:val="0031177D"/>
    <w:rsid w:val="00311A95"/>
    <w:rsid w:val="00311CAB"/>
    <w:rsid w:val="00311D3B"/>
    <w:rsid w:val="0031244D"/>
    <w:rsid w:val="00313874"/>
    <w:rsid w:val="00313CD0"/>
    <w:rsid w:val="00313F8A"/>
    <w:rsid w:val="00314DEC"/>
    <w:rsid w:val="003158C4"/>
    <w:rsid w:val="00315A86"/>
    <w:rsid w:val="00315CF0"/>
    <w:rsid w:val="00315E4C"/>
    <w:rsid w:val="00315F3D"/>
    <w:rsid w:val="003165A5"/>
    <w:rsid w:val="00316A43"/>
    <w:rsid w:val="00316DF8"/>
    <w:rsid w:val="003172C9"/>
    <w:rsid w:val="00317C7C"/>
    <w:rsid w:val="00317CD9"/>
    <w:rsid w:val="00320381"/>
    <w:rsid w:val="003203EC"/>
    <w:rsid w:val="003212B0"/>
    <w:rsid w:val="00321A1C"/>
    <w:rsid w:val="003221EC"/>
    <w:rsid w:val="00322530"/>
    <w:rsid w:val="00323868"/>
    <w:rsid w:val="00324409"/>
    <w:rsid w:val="003245B6"/>
    <w:rsid w:val="0032508D"/>
    <w:rsid w:val="00325A4C"/>
    <w:rsid w:val="00325A9F"/>
    <w:rsid w:val="00325EB6"/>
    <w:rsid w:val="0032611E"/>
    <w:rsid w:val="003264B0"/>
    <w:rsid w:val="0032674D"/>
    <w:rsid w:val="003270F4"/>
    <w:rsid w:val="0032754C"/>
    <w:rsid w:val="00327B95"/>
    <w:rsid w:val="00327C15"/>
    <w:rsid w:val="0033009D"/>
    <w:rsid w:val="003306F5"/>
    <w:rsid w:val="00330929"/>
    <w:rsid w:val="003309A9"/>
    <w:rsid w:val="00330A21"/>
    <w:rsid w:val="00330F18"/>
    <w:rsid w:val="0033187B"/>
    <w:rsid w:val="003319B6"/>
    <w:rsid w:val="00331A50"/>
    <w:rsid w:val="003324DD"/>
    <w:rsid w:val="00332855"/>
    <w:rsid w:val="00332897"/>
    <w:rsid w:val="003328C0"/>
    <w:rsid w:val="00332DAA"/>
    <w:rsid w:val="00333084"/>
    <w:rsid w:val="003336CA"/>
    <w:rsid w:val="00333AD9"/>
    <w:rsid w:val="00334262"/>
    <w:rsid w:val="003347C1"/>
    <w:rsid w:val="00335079"/>
    <w:rsid w:val="00335B0F"/>
    <w:rsid w:val="003367E2"/>
    <w:rsid w:val="00336882"/>
    <w:rsid w:val="00336ED8"/>
    <w:rsid w:val="00337751"/>
    <w:rsid w:val="003401A1"/>
    <w:rsid w:val="003404C6"/>
    <w:rsid w:val="00340C42"/>
    <w:rsid w:val="00340FC7"/>
    <w:rsid w:val="003410CD"/>
    <w:rsid w:val="00341403"/>
    <w:rsid w:val="003415C6"/>
    <w:rsid w:val="00341B82"/>
    <w:rsid w:val="003424A7"/>
    <w:rsid w:val="00342C12"/>
    <w:rsid w:val="00342F59"/>
    <w:rsid w:val="00343B98"/>
    <w:rsid w:val="0034400C"/>
    <w:rsid w:val="00344267"/>
    <w:rsid w:val="00344332"/>
    <w:rsid w:val="00344835"/>
    <w:rsid w:val="00344C92"/>
    <w:rsid w:val="00345360"/>
    <w:rsid w:val="0034545F"/>
    <w:rsid w:val="003457B3"/>
    <w:rsid w:val="00345A13"/>
    <w:rsid w:val="00345A16"/>
    <w:rsid w:val="00345B42"/>
    <w:rsid w:val="00345BE4"/>
    <w:rsid w:val="00345E91"/>
    <w:rsid w:val="00346419"/>
    <w:rsid w:val="00346E5C"/>
    <w:rsid w:val="0034730D"/>
    <w:rsid w:val="00347454"/>
    <w:rsid w:val="0034762F"/>
    <w:rsid w:val="00347642"/>
    <w:rsid w:val="00347643"/>
    <w:rsid w:val="0034776E"/>
    <w:rsid w:val="0034786C"/>
    <w:rsid w:val="00350070"/>
    <w:rsid w:val="0035070A"/>
    <w:rsid w:val="003507CB"/>
    <w:rsid w:val="003512BA"/>
    <w:rsid w:val="00351B21"/>
    <w:rsid w:val="00351C9F"/>
    <w:rsid w:val="00351D41"/>
    <w:rsid w:val="0035206A"/>
    <w:rsid w:val="003530C1"/>
    <w:rsid w:val="00353344"/>
    <w:rsid w:val="00353774"/>
    <w:rsid w:val="00353ACE"/>
    <w:rsid w:val="00354121"/>
    <w:rsid w:val="00354380"/>
    <w:rsid w:val="003545C6"/>
    <w:rsid w:val="003549B6"/>
    <w:rsid w:val="00354C4A"/>
    <w:rsid w:val="00354E55"/>
    <w:rsid w:val="003554CF"/>
    <w:rsid w:val="00355A13"/>
    <w:rsid w:val="00355AF1"/>
    <w:rsid w:val="00356313"/>
    <w:rsid w:val="00356562"/>
    <w:rsid w:val="003565F3"/>
    <w:rsid w:val="00356632"/>
    <w:rsid w:val="003573DE"/>
    <w:rsid w:val="00357904"/>
    <w:rsid w:val="00357B5F"/>
    <w:rsid w:val="00357BBF"/>
    <w:rsid w:val="0036009A"/>
    <w:rsid w:val="003600F6"/>
    <w:rsid w:val="00360233"/>
    <w:rsid w:val="003606AD"/>
    <w:rsid w:val="00360739"/>
    <w:rsid w:val="00360935"/>
    <w:rsid w:val="00360A33"/>
    <w:rsid w:val="00360DFB"/>
    <w:rsid w:val="003618C6"/>
    <w:rsid w:val="00361E41"/>
    <w:rsid w:val="00362FC5"/>
    <w:rsid w:val="00363C03"/>
    <w:rsid w:val="00363DF8"/>
    <w:rsid w:val="00363EB9"/>
    <w:rsid w:val="0036458E"/>
    <w:rsid w:val="0036485E"/>
    <w:rsid w:val="00364A2F"/>
    <w:rsid w:val="00364E2E"/>
    <w:rsid w:val="00365075"/>
    <w:rsid w:val="003657AD"/>
    <w:rsid w:val="00365D5D"/>
    <w:rsid w:val="0036610A"/>
    <w:rsid w:val="003664B9"/>
    <w:rsid w:val="003665A7"/>
    <w:rsid w:val="00366F5B"/>
    <w:rsid w:val="003671E9"/>
    <w:rsid w:val="00367D07"/>
    <w:rsid w:val="00367E97"/>
    <w:rsid w:val="0037021C"/>
    <w:rsid w:val="003703ED"/>
    <w:rsid w:val="00370836"/>
    <w:rsid w:val="00370C38"/>
    <w:rsid w:val="00371617"/>
    <w:rsid w:val="0037166D"/>
    <w:rsid w:val="0037175E"/>
    <w:rsid w:val="00371A7B"/>
    <w:rsid w:val="00371E00"/>
    <w:rsid w:val="003723D2"/>
    <w:rsid w:val="003723EC"/>
    <w:rsid w:val="003726E9"/>
    <w:rsid w:val="0037299F"/>
    <w:rsid w:val="003730DA"/>
    <w:rsid w:val="003733CD"/>
    <w:rsid w:val="003733FC"/>
    <w:rsid w:val="003734C6"/>
    <w:rsid w:val="00373BD7"/>
    <w:rsid w:val="00373DC9"/>
    <w:rsid w:val="0037406B"/>
    <w:rsid w:val="003740CC"/>
    <w:rsid w:val="00374315"/>
    <w:rsid w:val="0037466A"/>
    <w:rsid w:val="00374753"/>
    <w:rsid w:val="003748F7"/>
    <w:rsid w:val="00374DB7"/>
    <w:rsid w:val="00374DCB"/>
    <w:rsid w:val="00375324"/>
    <w:rsid w:val="00375333"/>
    <w:rsid w:val="00375659"/>
    <w:rsid w:val="00375E95"/>
    <w:rsid w:val="003760EA"/>
    <w:rsid w:val="00376ADB"/>
    <w:rsid w:val="00376D07"/>
    <w:rsid w:val="00377986"/>
    <w:rsid w:val="003779DB"/>
    <w:rsid w:val="00377DD7"/>
    <w:rsid w:val="0038006B"/>
    <w:rsid w:val="003802FB"/>
    <w:rsid w:val="003803D0"/>
    <w:rsid w:val="00380B25"/>
    <w:rsid w:val="00380E8D"/>
    <w:rsid w:val="003821A3"/>
    <w:rsid w:val="003829B4"/>
    <w:rsid w:val="00382DCC"/>
    <w:rsid w:val="003835E1"/>
    <w:rsid w:val="00383701"/>
    <w:rsid w:val="00383E57"/>
    <w:rsid w:val="00383F6D"/>
    <w:rsid w:val="00384282"/>
    <w:rsid w:val="003844BF"/>
    <w:rsid w:val="00385D34"/>
    <w:rsid w:val="00386020"/>
    <w:rsid w:val="00386193"/>
    <w:rsid w:val="0038630C"/>
    <w:rsid w:val="00386534"/>
    <w:rsid w:val="00386799"/>
    <w:rsid w:val="00386A65"/>
    <w:rsid w:val="00386D20"/>
    <w:rsid w:val="00386D8C"/>
    <w:rsid w:val="00386F37"/>
    <w:rsid w:val="00387E0E"/>
    <w:rsid w:val="0039003F"/>
    <w:rsid w:val="003909FE"/>
    <w:rsid w:val="00390A30"/>
    <w:rsid w:val="00390B84"/>
    <w:rsid w:val="003910E1"/>
    <w:rsid w:val="00391255"/>
    <w:rsid w:val="003913C3"/>
    <w:rsid w:val="003915FD"/>
    <w:rsid w:val="00391888"/>
    <w:rsid w:val="00391D2D"/>
    <w:rsid w:val="003921FE"/>
    <w:rsid w:val="00392C95"/>
    <w:rsid w:val="00392FFC"/>
    <w:rsid w:val="00393312"/>
    <w:rsid w:val="003934B1"/>
    <w:rsid w:val="003937B5"/>
    <w:rsid w:val="003937D0"/>
    <w:rsid w:val="00393A8A"/>
    <w:rsid w:val="00393C08"/>
    <w:rsid w:val="00393F80"/>
    <w:rsid w:val="003942BF"/>
    <w:rsid w:val="00394495"/>
    <w:rsid w:val="00394671"/>
    <w:rsid w:val="003947C4"/>
    <w:rsid w:val="003947D6"/>
    <w:rsid w:val="00394ED9"/>
    <w:rsid w:val="00395F8E"/>
    <w:rsid w:val="00396915"/>
    <w:rsid w:val="00396B41"/>
    <w:rsid w:val="00396CF6"/>
    <w:rsid w:val="0039760B"/>
    <w:rsid w:val="003A0110"/>
    <w:rsid w:val="003A04FC"/>
    <w:rsid w:val="003A094D"/>
    <w:rsid w:val="003A099C"/>
    <w:rsid w:val="003A0C5C"/>
    <w:rsid w:val="003A14CB"/>
    <w:rsid w:val="003A1673"/>
    <w:rsid w:val="003A19BE"/>
    <w:rsid w:val="003A19E7"/>
    <w:rsid w:val="003A1A22"/>
    <w:rsid w:val="003A1BB6"/>
    <w:rsid w:val="003A261C"/>
    <w:rsid w:val="003A2F4B"/>
    <w:rsid w:val="003A301A"/>
    <w:rsid w:val="003A32F7"/>
    <w:rsid w:val="003A3C21"/>
    <w:rsid w:val="003A3DA4"/>
    <w:rsid w:val="003A3DB4"/>
    <w:rsid w:val="003A446B"/>
    <w:rsid w:val="003A4875"/>
    <w:rsid w:val="003A4BBF"/>
    <w:rsid w:val="003A54F2"/>
    <w:rsid w:val="003A5AAB"/>
    <w:rsid w:val="003A5FFF"/>
    <w:rsid w:val="003A6135"/>
    <w:rsid w:val="003A6410"/>
    <w:rsid w:val="003A67BE"/>
    <w:rsid w:val="003A695A"/>
    <w:rsid w:val="003A6C2E"/>
    <w:rsid w:val="003A75E4"/>
    <w:rsid w:val="003A781B"/>
    <w:rsid w:val="003A7934"/>
    <w:rsid w:val="003A7EC4"/>
    <w:rsid w:val="003B0119"/>
    <w:rsid w:val="003B0BC4"/>
    <w:rsid w:val="003B0C0D"/>
    <w:rsid w:val="003B10BF"/>
    <w:rsid w:val="003B112A"/>
    <w:rsid w:val="003B1277"/>
    <w:rsid w:val="003B13D8"/>
    <w:rsid w:val="003B141D"/>
    <w:rsid w:val="003B18BF"/>
    <w:rsid w:val="003B3228"/>
    <w:rsid w:val="003B32EA"/>
    <w:rsid w:val="003B38C8"/>
    <w:rsid w:val="003B3E52"/>
    <w:rsid w:val="003B497B"/>
    <w:rsid w:val="003B4C9B"/>
    <w:rsid w:val="003B4F47"/>
    <w:rsid w:val="003B5097"/>
    <w:rsid w:val="003B521C"/>
    <w:rsid w:val="003B54F6"/>
    <w:rsid w:val="003B6445"/>
    <w:rsid w:val="003B649A"/>
    <w:rsid w:val="003B65AB"/>
    <w:rsid w:val="003B6ECA"/>
    <w:rsid w:val="003B703A"/>
    <w:rsid w:val="003B7460"/>
    <w:rsid w:val="003B76AA"/>
    <w:rsid w:val="003B7A21"/>
    <w:rsid w:val="003C0072"/>
    <w:rsid w:val="003C05EE"/>
    <w:rsid w:val="003C0614"/>
    <w:rsid w:val="003C1327"/>
    <w:rsid w:val="003C14FD"/>
    <w:rsid w:val="003C1592"/>
    <w:rsid w:val="003C17A1"/>
    <w:rsid w:val="003C1DFC"/>
    <w:rsid w:val="003C1EE8"/>
    <w:rsid w:val="003C1F98"/>
    <w:rsid w:val="003C203B"/>
    <w:rsid w:val="003C2212"/>
    <w:rsid w:val="003C3ADC"/>
    <w:rsid w:val="003C4095"/>
    <w:rsid w:val="003C49F9"/>
    <w:rsid w:val="003C4E6F"/>
    <w:rsid w:val="003C528C"/>
    <w:rsid w:val="003C545D"/>
    <w:rsid w:val="003C5AA5"/>
    <w:rsid w:val="003C61AA"/>
    <w:rsid w:val="003C628A"/>
    <w:rsid w:val="003C69B5"/>
    <w:rsid w:val="003C72CF"/>
    <w:rsid w:val="003C7735"/>
    <w:rsid w:val="003D0093"/>
    <w:rsid w:val="003D03D1"/>
    <w:rsid w:val="003D056B"/>
    <w:rsid w:val="003D0852"/>
    <w:rsid w:val="003D0AA4"/>
    <w:rsid w:val="003D0C68"/>
    <w:rsid w:val="003D15B6"/>
    <w:rsid w:val="003D16CA"/>
    <w:rsid w:val="003D1BDF"/>
    <w:rsid w:val="003D1F42"/>
    <w:rsid w:val="003D2761"/>
    <w:rsid w:val="003D2ED6"/>
    <w:rsid w:val="003D3763"/>
    <w:rsid w:val="003D3944"/>
    <w:rsid w:val="003D3D90"/>
    <w:rsid w:val="003D40C5"/>
    <w:rsid w:val="003D4574"/>
    <w:rsid w:val="003D4F16"/>
    <w:rsid w:val="003D5B54"/>
    <w:rsid w:val="003D5F7B"/>
    <w:rsid w:val="003D6083"/>
    <w:rsid w:val="003D624F"/>
    <w:rsid w:val="003D65C5"/>
    <w:rsid w:val="003D65DE"/>
    <w:rsid w:val="003D6F2B"/>
    <w:rsid w:val="003D72A8"/>
    <w:rsid w:val="003D73DA"/>
    <w:rsid w:val="003D7458"/>
    <w:rsid w:val="003D7698"/>
    <w:rsid w:val="003D7A81"/>
    <w:rsid w:val="003D7DDE"/>
    <w:rsid w:val="003D7FD8"/>
    <w:rsid w:val="003E0410"/>
    <w:rsid w:val="003E0531"/>
    <w:rsid w:val="003E119F"/>
    <w:rsid w:val="003E1F7B"/>
    <w:rsid w:val="003E2983"/>
    <w:rsid w:val="003E2F03"/>
    <w:rsid w:val="003E367B"/>
    <w:rsid w:val="003E3D5A"/>
    <w:rsid w:val="003E3E75"/>
    <w:rsid w:val="003E435B"/>
    <w:rsid w:val="003E45A1"/>
    <w:rsid w:val="003E479A"/>
    <w:rsid w:val="003E4F79"/>
    <w:rsid w:val="003E555D"/>
    <w:rsid w:val="003E6DB9"/>
    <w:rsid w:val="003E6FCB"/>
    <w:rsid w:val="003E71A0"/>
    <w:rsid w:val="003E7331"/>
    <w:rsid w:val="003E7963"/>
    <w:rsid w:val="003E7B9C"/>
    <w:rsid w:val="003F0FA9"/>
    <w:rsid w:val="003F1AD2"/>
    <w:rsid w:val="003F1C46"/>
    <w:rsid w:val="003F1F25"/>
    <w:rsid w:val="003F2305"/>
    <w:rsid w:val="003F2602"/>
    <w:rsid w:val="003F2EEA"/>
    <w:rsid w:val="003F309A"/>
    <w:rsid w:val="003F3368"/>
    <w:rsid w:val="003F3801"/>
    <w:rsid w:val="003F3A7F"/>
    <w:rsid w:val="003F3ACE"/>
    <w:rsid w:val="003F3CA5"/>
    <w:rsid w:val="003F3D6D"/>
    <w:rsid w:val="003F413F"/>
    <w:rsid w:val="003F4908"/>
    <w:rsid w:val="003F4AD8"/>
    <w:rsid w:val="003F4EAD"/>
    <w:rsid w:val="003F4F77"/>
    <w:rsid w:val="003F4FCD"/>
    <w:rsid w:val="003F5F73"/>
    <w:rsid w:val="003F66FD"/>
    <w:rsid w:val="003F69DF"/>
    <w:rsid w:val="003F77FC"/>
    <w:rsid w:val="003F7D22"/>
    <w:rsid w:val="00400229"/>
    <w:rsid w:val="00400280"/>
    <w:rsid w:val="004014B7"/>
    <w:rsid w:val="00401EBA"/>
    <w:rsid w:val="00401F32"/>
    <w:rsid w:val="004020AB"/>
    <w:rsid w:val="00402927"/>
    <w:rsid w:val="00402B7F"/>
    <w:rsid w:val="00402D40"/>
    <w:rsid w:val="00402EA3"/>
    <w:rsid w:val="00402EEB"/>
    <w:rsid w:val="004030D4"/>
    <w:rsid w:val="004030EB"/>
    <w:rsid w:val="0040327C"/>
    <w:rsid w:val="004037A9"/>
    <w:rsid w:val="00404B34"/>
    <w:rsid w:val="00404B3C"/>
    <w:rsid w:val="00404FAE"/>
    <w:rsid w:val="00405212"/>
    <w:rsid w:val="00405670"/>
    <w:rsid w:val="00405721"/>
    <w:rsid w:val="00405C61"/>
    <w:rsid w:val="00405DD8"/>
    <w:rsid w:val="00405E47"/>
    <w:rsid w:val="004067A2"/>
    <w:rsid w:val="004078FC"/>
    <w:rsid w:val="00410070"/>
    <w:rsid w:val="004100EE"/>
    <w:rsid w:val="0041014C"/>
    <w:rsid w:val="00410293"/>
    <w:rsid w:val="00410416"/>
    <w:rsid w:val="004105F0"/>
    <w:rsid w:val="00410F02"/>
    <w:rsid w:val="0041197F"/>
    <w:rsid w:val="004122BB"/>
    <w:rsid w:val="004128BA"/>
    <w:rsid w:val="00412A8D"/>
    <w:rsid w:val="00412AF8"/>
    <w:rsid w:val="00413031"/>
    <w:rsid w:val="0041342D"/>
    <w:rsid w:val="0041384D"/>
    <w:rsid w:val="00413D35"/>
    <w:rsid w:val="00413F28"/>
    <w:rsid w:val="004140DC"/>
    <w:rsid w:val="00414551"/>
    <w:rsid w:val="004147C0"/>
    <w:rsid w:val="004156F2"/>
    <w:rsid w:val="004158DF"/>
    <w:rsid w:val="004163F9"/>
    <w:rsid w:val="00416B6A"/>
    <w:rsid w:val="00416C05"/>
    <w:rsid w:val="00416C1E"/>
    <w:rsid w:val="0042063C"/>
    <w:rsid w:val="00420669"/>
    <w:rsid w:val="00420FE7"/>
    <w:rsid w:val="00421DAE"/>
    <w:rsid w:val="00422051"/>
    <w:rsid w:val="00422122"/>
    <w:rsid w:val="004225C7"/>
    <w:rsid w:val="00422B2E"/>
    <w:rsid w:val="00423407"/>
    <w:rsid w:val="0042353A"/>
    <w:rsid w:val="004235AD"/>
    <w:rsid w:val="0042403D"/>
    <w:rsid w:val="0042445C"/>
    <w:rsid w:val="00424C07"/>
    <w:rsid w:val="00424DFF"/>
    <w:rsid w:val="00424EA8"/>
    <w:rsid w:val="004257F9"/>
    <w:rsid w:val="00425E28"/>
    <w:rsid w:val="00425FFC"/>
    <w:rsid w:val="0042628C"/>
    <w:rsid w:val="00426861"/>
    <w:rsid w:val="00427070"/>
    <w:rsid w:val="0043085A"/>
    <w:rsid w:val="0043128C"/>
    <w:rsid w:val="00431420"/>
    <w:rsid w:val="0043143D"/>
    <w:rsid w:val="00431735"/>
    <w:rsid w:val="00431B75"/>
    <w:rsid w:val="00431E9D"/>
    <w:rsid w:val="00432399"/>
    <w:rsid w:val="00432E1A"/>
    <w:rsid w:val="004333EA"/>
    <w:rsid w:val="00433888"/>
    <w:rsid w:val="00433A6D"/>
    <w:rsid w:val="00433DEA"/>
    <w:rsid w:val="00433EEF"/>
    <w:rsid w:val="00434527"/>
    <w:rsid w:val="0043473A"/>
    <w:rsid w:val="004349D3"/>
    <w:rsid w:val="00434ADC"/>
    <w:rsid w:val="00434B54"/>
    <w:rsid w:val="00435D20"/>
    <w:rsid w:val="00435D8B"/>
    <w:rsid w:val="00436403"/>
    <w:rsid w:val="004364A0"/>
    <w:rsid w:val="00436502"/>
    <w:rsid w:val="00436D33"/>
    <w:rsid w:val="00436EF8"/>
    <w:rsid w:val="00437182"/>
    <w:rsid w:val="00437237"/>
    <w:rsid w:val="00437932"/>
    <w:rsid w:val="004379F9"/>
    <w:rsid w:val="004400A9"/>
    <w:rsid w:val="0044019C"/>
    <w:rsid w:val="0044069E"/>
    <w:rsid w:val="00440789"/>
    <w:rsid w:val="00440E1C"/>
    <w:rsid w:val="00441125"/>
    <w:rsid w:val="00441314"/>
    <w:rsid w:val="00441FD1"/>
    <w:rsid w:val="00442473"/>
    <w:rsid w:val="004427FB"/>
    <w:rsid w:val="00442CB1"/>
    <w:rsid w:val="00443549"/>
    <w:rsid w:val="00443579"/>
    <w:rsid w:val="004436DB"/>
    <w:rsid w:val="0044387E"/>
    <w:rsid w:val="0044439A"/>
    <w:rsid w:val="00444F65"/>
    <w:rsid w:val="00446236"/>
    <w:rsid w:val="00446B76"/>
    <w:rsid w:val="00446C28"/>
    <w:rsid w:val="00446CE6"/>
    <w:rsid w:val="004472E4"/>
    <w:rsid w:val="00447A1E"/>
    <w:rsid w:val="00451EEE"/>
    <w:rsid w:val="0045228B"/>
    <w:rsid w:val="004522D6"/>
    <w:rsid w:val="0045248E"/>
    <w:rsid w:val="004528D8"/>
    <w:rsid w:val="004529E9"/>
    <w:rsid w:val="00452FB9"/>
    <w:rsid w:val="004533C2"/>
    <w:rsid w:val="004541D3"/>
    <w:rsid w:val="004543FC"/>
    <w:rsid w:val="00454630"/>
    <w:rsid w:val="004548D0"/>
    <w:rsid w:val="00454BE9"/>
    <w:rsid w:val="00454F69"/>
    <w:rsid w:val="00455783"/>
    <w:rsid w:val="0045619D"/>
    <w:rsid w:val="00456B61"/>
    <w:rsid w:val="00456D44"/>
    <w:rsid w:val="004576E0"/>
    <w:rsid w:val="00457791"/>
    <w:rsid w:val="00460A11"/>
    <w:rsid w:val="0046132E"/>
    <w:rsid w:val="0046269C"/>
    <w:rsid w:val="0046326B"/>
    <w:rsid w:val="004632CA"/>
    <w:rsid w:val="0046395B"/>
    <w:rsid w:val="00463C49"/>
    <w:rsid w:val="00463C6E"/>
    <w:rsid w:val="004642A2"/>
    <w:rsid w:val="0046437E"/>
    <w:rsid w:val="00464CBA"/>
    <w:rsid w:val="00464D77"/>
    <w:rsid w:val="00464DD1"/>
    <w:rsid w:val="00465137"/>
    <w:rsid w:val="00465308"/>
    <w:rsid w:val="0046584A"/>
    <w:rsid w:val="00466173"/>
    <w:rsid w:val="00467102"/>
    <w:rsid w:val="004676DD"/>
    <w:rsid w:val="00467B15"/>
    <w:rsid w:val="00470E65"/>
    <w:rsid w:val="00471698"/>
    <w:rsid w:val="00471E56"/>
    <w:rsid w:val="00471F9D"/>
    <w:rsid w:val="0047281A"/>
    <w:rsid w:val="00472CF3"/>
    <w:rsid w:val="00473C6C"/>
    <w:rsid w:val="00473FB2"/>
    <w:rsid w:val="00474598"/>
    <w:rsid w:val="00474D93"/>
    <w:rsid w:val="004751C4"/>
    <w:rsid w:val="0047537A"/>
    <w:rsid w:val="004758DD"/>
    <w:rsid w:val="00475EE6"/>
    <w:rsid w:val="004762A1"/>
    <w:rsid w:val="00476AB0"/>
    <w:rsid w:val="00476C27"/>
    <w:rsid w:val="00477F4E"/>
    <w:rsid w:val="0048090B"/>
    <w:rsid w:val="00480AF5"/>
    <w:rsid w:val="00480C7E"/>
    <w:rsid w:val="00481435"/>
    <w:rsid w:val="0048176B"/>
    <w:rsid w:val="00481A8D"/>
    <w:rsid w:val="00481CE2"/>
    <w:rsid w:val="004822F8"/>
    <w:rsid w:val="00482A28"/>
    <w:rsid w:val="00482C71"/>
    <w:rsid w:val="00483483"/>
    <w:rsid w:val="00483CA1"/>
    <w:rsid w:val="004846A9"/>
    <w:rsid w:val="00484984"/>
    <w:rsid w:val="00484ACA"/>
    <w:rsid w:val="00484B1E"/>
    <w:rsid w:val="00485562"/>
    <w:rsid w:val="004866C2"/>
    <w:rsid w:val="0048693D"/>
    <w:rsid w:val="00486B92"/>
    <w:rsid w:val="00486D76"/>
    <w:rsid w:val="00486F44"/>
    <w:rsid w:val="00486F8E"/>
    <w:rsid w:val="00487019"/>
    <w:rsid w:val="00487099"/>
    <w:rsid w:val="004871F2"/>
    <w:rsid w:val="00487707"/>
    <w:rsid w:val="00487843"/>
    <w:rsid w:val="004879C3"/>
    <w:rsid w:val="00487B2B"/>
    <w:rsid w:val="00490766"/>
    <w:rsid w:val="0049093C"/>
    <w:rsid w:val="00490B30"/>
    <w:rsid w:val="00490ED9"/>
    <w:rsid w:val="00491030"/>
    <w:rsid w:val="0049149C"/>
    <w:rsid w:val="00491563"/>
    <w:rsid w:val="0049171B"/>
    <w:rsid w:val="0049186A"/>
    <w:rsid w:val="00491DCD"/>
    <w:rsid w:val="00492227"/>
    <w:rsid w:val="004930C5"/>
    <w:rsid w:val="004934B8"/>
    <w:rsid w:val="004937CB"/>
    <w:rsid w:val="00493813"/>
    <w:rsid w:val="00494A1B"/>
    <w:rsid w:val="00494D47"/>
    <w:rsid w:val="00495259"/>
    <w:rsid w:val="00495378"/>
    <w:rsid w:val="00495E95"/>
    <w:rsid w:val="00495F6C"/>
    <w:rsid w:val="00496609"/>
    <w:rsid w:val="00496B9A"/>
    <w:rsid w:val="00496D17"/>
    <w:rsid w:val="00496D9D"/>
    <w:rsid w:val="004A032A"/>
    <w:rsid w:val="004A0765"/>
    <w:rsid w:val="004A086B"/>
    <w:rsid w:val="004A0A4C"/>
    <w:rsid w:val="004A0C2B"/>
    <w:rsid w:val="004A11E5"/>
    <w:rsid w:val="004A16B3"/>
    <w:rsid w:val="004A16EB"/>
    <w:rsid w:val="004A221D"/>
    <w:rsid w:val="004A2D66"/>
    <w:rsid w:val="004A33E6"/>
    <w:rsid w:val="004A363D"/>
    <w:rsid w:val="004A36D1"/>
    <w:rsid w:val="004A40C7"/>
    <w:rsid w:val="004A42A0"/>
    <w:rsid w:val="004A4344"/>
    <w:rsid w:val="004A478D"/>
    <w:rsid w:val="004A5331"/>
    <w:rsid w:val="004A58A7"/>
    <w:rsid w:val="004A5C25"/>
    <w:rsid w:val="004A5CCE"/>
    <w:rsid w:val="004A6048"/>
    <w:rsid w:val="004A6EFF"/>
    <w:rsid w:val="004A77BA"/>
    <w:rsid w:val="004A7CB6"/>
    <w:rsid w:val="004A7E55"/>
    <w:rsid w:val="004B0003"/>
    <w:rsid w:val="004B0C16"/>
    <w:rsid w:val="004B0FFA"/>
    <w:rsid w:val="004B12EA"/>
    <w:rsid w:val="004B1338"/>
    <w:rsid w:val="004B13FC"/>
    <w:rsid w:val="004B1607"/>
    <w:rsid w:val="004B1E7F"/>
    <w:rsid w:val="004B200D"/>
    <w:rsid w:val="004B20C7"/>
    <w:rsid w:val="004B2594"/>
    <w:rsid w:val="004B2B45"/>
    <w:rsid w:val="004B2E90"/>
    <w:rsid w:val="004B3C55"/>
    <w:rsid w:val="004B3CD0"/>
    <w:rsid w:val="004B41A1"/>
    <w:rsid w:val="004B4214"/>
    <w:rsid w:val="004B4567"/>
    <w:rsid w:val="004B470E"/>
    <w:rsid w:val="004B48DF"/>
    <w:rsid w:val="004B503D"/>
    <w:rsid w:val="004B584F"/>
    <w:rsid w:val="004B5DF9"/>
    <w:rsid w:val="004B610A"/>
    <w:rsid w:val="004B61DE"/>
    <w:rsid w:val="004B62F4"/>
    <w:rsid w:val="004B6930"/>
    <w:rsid w:val="004B6C72"/>
    <w:rsid w:val="004B6D73"/>
    <w:rsid w:val="004B6D7C"/>
    <w:rsid w:val="004B70DB"/>
    <w:rsid w:val="004B7153"/>
    <w:rsid w:val="004B7439"/>
    <w:rsid w:val="004B7B78"/>
    <w:rsid w:val="004B7E41"/>
    <w:rsid w:val="004C0139"/>
    <w:rsid w:val="004C03C1"/>
    <w:rsid w:val="004C0685"/>
    <w:rsid w:val="004C086E"/>
    <w:rsid w:val="004C09E7"/>
    <w:rsid w:val="004C0C48"/>
    <w:rsid w:val="004C0E6B"/>
    <w:rsid w:val="004C0F82"/>
    <w:rsid w:val="004C0FE1"/>
    <w:rsid w:val="004C178A"/>
    <w:rsid w:val="004C1970"/>
    <w:rsid w:val="004C1AEB"/>
    <w:rsid w:val="004C1F4D"/>
    <w:rsid w:val="004C21D8"/>
    <w:rsid w:val="004C22D3"/>
    <w:rsid w:val="004C238A"/>
    <w:rsid w:val="004C2614"/>
    <w:rsid w:val="004C2BCD"/>
    <w:rsid w:val="004C39E6"/>
    <w:rsid w:val="004C3AF9"/>
    <w:rsid w:val="004C3BE7"/>
    <w:rsid w:val="004C4485"/>
    <w:rsid w:val="004C4A07"/>
    <w:rsid w:val="004C516A"/>
    <w:rsid w:val="004C55D4"/>
    <w:rsid w:val="004C5666"/>
    <w:rsid w:val="004C5A7D"/>
    <w:rsid w:val="004C5B44"/>
    <w:rsid w:val="004C5B8D"/>
    <w:rsid w:val="004C5DB6"/>
    <w:rsid w:val="004C63C8"/>
    <w:rsid w:val="004C66FB"/>
    <w:rsid w:val="004C69AB"/>
    <w:rsid w:val="004C6F13"/>
    <w:rsid w:val="004C7369"/>
    <w:rsid w:val="004C769A"/>
    <w:rsid w:val="004C7749"/>
    <w:rsid w:val="004C776A"/>
    <w:rsid w:val="004C7DB1"/>
    <w:rsid w:val="004D0826"/>
    <w:rsid w:val="004D1795"/>
    <w:rsid w:val="004D1AA2"/>
    <w:rsid w:val="004D1DB2"/>
    <w:rsid w:val="004D2364"/>
    <w:rsid w:val="004D26EC"/>
    <w:rsid w:val="004D313D"/>
    <w:rsid w:val="004D3690"/>
    <w:rsid w:val="004D4253"/>
    <w:rsid w:val="004D45D4"/>
    <w:rsid w:val="004D5467"/>
    <w:rsid w:val="004D576B"/>
    <w:rsid w:val="004D5DB6"/>
    <w:rsid w:val="004D6622"/>
    <w:rsid w:val="004D69D5"/>
    <w:rsid w:val="004D69D7"/>
    <w:rsid w:val="004D6EAC"/>
    <w:rsid w:val="004D6F5E"/>
    <w:rsid w:val="004D72A4"/>
    <w:rsid w:val="004D7348"/>
    <w:rsid w:val="004D7D2C"/>
    <w:rsid w:val="004E0234"/>
    <w:rsid w:val="004E0433"/>
    <w:rsid w:val="004E0488"/>
    <w:rsid w:val="004E0592"/>
    <w:rsid w:val="004E0633"/>
    <w:rsid w:val="004E0787"/>
    <w:rsid w:val="004E0A45"/>
    <w:rsid w:val="004E0C98"/>
    <w:rsid w:val="004E0EB6"/>
    <w:rsid w:val="004E1132"/>
    <w:rsid w:val="004E134B"/>
    <w:rsid w:val="004E1442"/>
    <w:rsid w:val="004E1D4C"/>
    <w:rsid w:val="004E1FC1"/>
    <w:rsid w:val="004E28D9"/>
    <w:rsid w:val="004E306E"/>
    <w:rsid w:val="004E3110"/>
    <w:rsid w:val="004E3237"/>
    <w:rsid w:val="004E3B87"/>
    <w:rsid w:val="004E404F"/>
    <w:rsid w:val="004E47A7"/>
    <w:rsid w:val="004E484C"/>
    <w:rsid w:val="004E4874"/>
    <w:rsid w:val="004E57E0"/>
    <w:rsid w:val="004E580C"/>
    <w:rsid w:val="004E5A25"/>
    <w:rsid w:val="004E5E2A"/>
    <w:rsid w:val="004E5F47"/>
    <w:rsid w:val="004E775C"/>
    <w:rsid w:val="004E7E49"/>
    <w:rsid w:val="004E7F38"/>
    <w:rsid w:val="004F0236"/>
    <w:rsid w:val="004F0A64"/>
    <w:rsid w:val="004F0BD0"/>
    <w:rsid w:val="004F2489"/>
    <w:rsid w:val="004F25CE"/>
    <w:rsid w:val="004F2FD7"/>
    <w:rsid w:val="004F306D"/>
    <w:rsid w:val="004F3DD5"/>
    <w:rsid w:val="004F4213"/>
    <w:rsid w:val="004F45E4"/>
    <w:rsid w:val="004F540C"/>
    <w:rsid w:val="004F637D"/>
    <w:rsid w:val="004F6810"/>
    <w:rsid w:val="004F68A2"/>
    <w:rsid w:val="004F6C01"/>
    <w:rsid w:val="004F7466"/>
    <w:rsid w:val="004F754B"/>
    <w:rsid w:val="004F77B2"/>
    <w:rsid w:val="004F7FAF"/>
    <w:rsid w:val="00500C90"/>
    <w:rsid w:val="00500F56"/>
    <w:rsid w:val="005017F4"/>
    <w:rsid w:val="00501A1C"/>
    <w:rsid w:val="00501BF4"/>
    <w:rsid w:val="005020C5"/>
    <w:rsid w:val="00502311"/>
    <w:rsid w:val="00502429"/>
    <w:rsid w:val="00502803"/>
    <w:rsid w:val="005028CB"/>
    <w:rsid w:val="00502B1B"/>
    <w:rsid w:val="00502FA3"/>
    <w:rsid w:val="005035C7"/>
    <w:rsid w:val="00503A13"/>
    <w:rsid w:val="00503AEF"/>
    <w:rsid w:val="00503E6D"/>
    <w:rsid w:val="00504CE2"/>
    <w:rsid w:val="00505257"/>
    <w:rsid w:val="00505805"/>
    <w:rsid w:val="005073D3"/>
    <w:rsid w:val="00507BE4"/>
    <w:rsid w:val="00510328"/>
    <w:rsid w:val="005106E6"/>
    <w:rsid w:val="00510739"/>
    <w:rsid w:val="00510FEA"/>
    <w:rsid w:val="005121E8"/>
    <w:rsid w:val="0051257D"/>
    <w:rsid w:val="00512962"/>
    <w:rsid w:val="00512E46"/>
    <w:rsid w:val="00513604"/>
    <w:rsid w:val="005136EB"/>
    <w:rsid w:val="005137DB"/>
    <w:rsid w:val="0051384F"/>
    <w:rsid w:val="0051440C"/>
    <w:rsid w:val="00514848"/>
    <w:rsid w:val="00514A9B"/>
    <w:rsid w:val="00514AA4"/>
    <w:rsid w:val="00514AD0"/>
    <w:rsid w:val="00514D77"/>
    <w:rsid w:val="00514D82"/>
    <w:rsid w:val="0051530F"/>
    <w:rsid w:val="0051582B"/>
    <w:rsid w:val="00515953"/>
    <w:rsid w:val="0051638E"/>
    <w:rsid w:val="00516B8B"/>
    <w:rsid w:val="00516DD0"/>
    <w:rsid w:val="00516FB1"/>
    <w:rsid w:val="00517384"/>
    <w:rsid w:val="005176C4"/>
    <w:rsid w:val="005178E5"/>
    <w:rsid w:val="00520090"/>
    <w:rsid w:val="005205FB"/>
    <w:rsid w:val="00520702"/>
    <w:rsid w:val="005207F3"/>
    <w:rsid w:val="00520B2A"/>
    <w:rsid w:val="00520B6D"/>
    <w:rsid w:val="00520B8A"/>
    <w:rsid w:val="00521094"/>
    <w:rsid w:val="00521916"/>
    <w:rsid w:val="0052193D"/>
    <w:rsid w:val="00521C66"/>
    <w:rsid w:val="005223E1"/>
    <w:rsid w:val="0052393C"/>
    <w:rsid w:val="00523BAF"/>
    <w:rsid w:val="00523BBF"/>
    <w:rsid w:val="00523D8E"/>
    <w:rsid w:val="00523DB1"/>
    <w:rsid w:val="00523ED2"/>
    <w:rsid w:val="00523EFF"/>
    <w:rsid w:val="0052471D"/>
    <w:rsid w:val="00524811"/>
    <w:rsid w:val="00524853"/>
    <w:rsid w:val="00524BB6"/>
    <w:rsid w:val="00524E7E"/>
    <w:rsid w:val="00524FC0"/>
    <w:rsid w:val="005250B6"/>
    <w:rsid w:val="0052527E"/>
    <w:rsid w:val="005253BA"/>
    <w:rsid w:val="005255BF"/>
    <w:rsid w:val="00525E63"/>
    <w:rsid w:val="00525E8F"/>
    <w:rsid w:val="0052649A"/>
    <w:rsid w:val="00526878"/>
    <w:rsid w:val="00526B44"/>
    <w:rsid w:val="0052710F"/>
    <w:rsid w:val="00527279"/>
    <w:rsid w:val="00527A52"/>
    <w:rsid w:val="00530483"/>
    <w:rsid w:val="005308B5"/>
    <w:rsid w:val="00530AD3"/>
    <w:rsid w:val="00531562"/>
    <w:rsid w:val="0053171E"/>
    <w:rsid w:val="005319B4"/>
    <w:rsid w:val="00531B80"/>
    <w:rsid w:val="00531D30"/>
    <w:rsid w:val="00531DA5"/>
    <w:rsid w:val="00531E28"/>
    <w:rsid w:val="00531F39"/>
    <w:rsid w:val="0053200F"/>
    <w:rsid w:val="005324B6"/>
    <w:rsid w:val="0053261F"/>
    <w:rsid w:val="00532C33"/>
    <w:rsid w:val="00532CA6"/>
    <w:rsid w:val="00532FD8"/>
    <w:rsid w:val="00533337"/>
    <w:rsid w:val="00533C9C"/>
    <w:rsid w:val="00533F95"/>
    <w:rsid w:val="00534576"/>
    <w:rsid w:val="0053583D"/>
    <w:rsid w:val="00535915"/>
    <w:rsid w:val="00535D3E"/>
    <w:rsid w:val="00535D6C"/>
    <w:rsid w:val="00535FEE"/>
    <w:rsid w:val="005361BC"/>
    <w:rsid w:val="00536415"/>
    <w:rsid w:val="0053683B"/>
    <w:rsid w:val="005369E4"/>
    <w:rsid w:val="00536FE7"/>
    <w:rsid w:val="00537047"/>
    <w:rsid w:val="00537647"/>
    <w:rsid w:val="0053766C"/>
    <w:rsid w:val="005378AD"/>
    <w:rsid w:val="00537A62"/>
    <w:rsid w:val="00537A98"/>
    <w:rsid w:val="00540016"/>
    <w:rsid w:val="00540132"/>
    <w:rsid w:val="00540AEB"/>
    <w:rsid w:val="0054108B"/>
    <w:rsid w:val="00541459"/>
    <w:rsid w:val="0054145D"/>
    <w:rsid w:val="005414F2"/>
    <w:rsid w:val="005414FE"/>
    <w:rsid w:val="0054171F"/>
    <w:rsid w:val="00541A49"/>
    <w:rsid w:val="00541D86"/>
    <w:rsid w:val="00542086"/>
    <w:rsid w:val="00542EDA"/>
    <w:rsid w:val="00543793"/>
    <w:rsid w:val="0054381E"/>
    <w:rsid w:val="00544409"/>
    <w:rsid w:val="00544701"/>
    <w:rsid w:val="005447F4"/>
    <w:rsid w:val="00544899"/>
    <w:rsid w:val="0054490E"/>
    <w:rsid w:val="0054632B"/>
    <w:rsid w:val="005470E6"/>
    <w:rsid w:val="0054745E"/>
    <w:rsid w:val="00547D4C"/>
    <w:rsid w:val="005501FE"/>
    <w:rsid w:val="005502B3"/>
    <w:rsid w:val="005509BC"/>
    <w:rsid w:val="00552112"/>
    <w:rsid w:val="005528F4"/>
    <w:rsid w:val="005529CD"/>
    <w:rsid w:val="00553035"/>
    <w:rsid w:val="005534D8"/>
    <w:rsid w:val="005534DD"/>
    <w:rsid w:val="0055397F"/>
    <w:rsid w:val="00554775"/>
    <w:rsid w:val="00554856"/>
    <w:rsid w:val="005554DD"/>
    <w:rsid w:val="0055573B"/>
    <w:rsid w:val="00555C45"/>
    <w:rsid w:val="00556579"/>
    <w:rsid w:val="005575CF"/>
    <w:rsid w:val="005576DC"/>
    <w:rsid w:val="00557F39"/>
    <w:rsid w:val="00560243"/>
    <w:rsid w:val="00560D54"/>
    <w:rsid w:val="00560D86"/>
    <w:rsid w:val="00560F37"/>
    <w:rsid w:val="005615BC"/>
    <w:rsid w:val="005617B5"/>
    <w:rsid w:val="00561C13"/>
    <w:rsid w:val="00561C81"/>
    <w:rsid w:val="0056299B"/>
    <w:rsid w:val="0056322F"/>
    <w:rsid w:val="00563A77"/>
    <w:rsid w:val="00563B71"/>
    <w:rsid w:val="00563C19"/>
    <w:rsid w:val="00563C2A"/>
    <w:rsid w:val="005643DE"/>
    <w:rsid w:val="005646EE"/>
    <w:rsid w:val="00564D23"/>
    <w:rsid w:val="00564D8E"/>
    <w:rsid w:val="0056547E"/>
    <w:rsid w:val="005656FB"/>
    <w:rsid w:val="005658C7"/>
    <w:rsid w:val="00565F79"/>
    <w:rsid w:val="00566B3E"/>
    <w:rsid w:val="00566EF9"/>
    <w:rsid w:val="00566EFF"/>
    <w:rsid w:val="00567293"/>
    <w:rsid w:val="0056740A"/>
    <w:rsid w:val="00567D05"/>
    <w:rsid w:val="00567EBF"/>
    <w:rsid w:val="00570188"/>
    <w:rsid w:val="0057093C"/>
    <w:rsid w:val="00570FA3"/>
    <w:rsid w:val="00571123"/>
    <w:rsid w:val="005712E4"/>
    <w:rsid w:val="0057138F"/>
    <w:rsid w:val="00571527"/>
    <w:rsid w:val="005716D3"/>
    <w:rsid w:val="00571832"/>
    <w:rsid w:val="005718A6"/>
    <w:rsid w:val="0057197E"/>
    <w:rsid w:val="00571C05"/>
    <w:rsid w:val="00572805"/>
    <w:rsid w:val="00572869"/>
    <w:rsid w:val="00572C4F"/>
    <w:rsid w:val="00572C96"/>
    <w:rsid w:val="00572EB2"/>
    <w:rsid w:val="00572F68"/>
    <w:rsid w:val="005735A0"/>
    <w:rsid w:val="0057369D"/>
    <w:rsid w:val="005736D5"/>
    <w:rsid w:val="00573F1F"/>
    <w:rsid w:val="0057415A"/>
    <w:rsid w:val="00574911"/>
    <w:rsid w:val="00574BDB"/>
    <w:rsid w:val="00574FA6"/>
    <w:rsid w:val="00575AE9"/>
    <w:rsid w:val="005762E5"/>
    <w:rsid w:val="005767BC"/>
    <w:rsid w:val="00577272"/>
    <w:rsid w:val="005772E5"/>
    <w:rsid w:val="005776FC"/>
    <w:rsid w:val="00580633"/>
    <w:rsid w:val="00580B18"/>
    <w:rsid w:val="005812A3"/>
    <w:rsid w:val="005814B6"/>
    <w:rsid w:val="00581533"/>
    <w:rsid w:val="00581906"/>
    <w:rsid w:val="00581EA5"/>
    <w:rsid w:val="00582043"/>
    <w:rsid w:val="0058293B"/>
    <w:rsid w:val="00584239"/>
    <w:rsid w:val="0058480F"/>
    <w:rsid w:val="00584A69"/>
    <w:rsid w:val="00584F01"/>
    <w:rsid w:val="00584FF2"/>
    <w:rsid w:val="00585EEE"/>
    <w:rsid w:val="0058632F"/>
    <w:rsid w:val="0058653F"/>
    <w:rsid w:val="00586881"/>
    <w:rsid w:val="00586C45"/>
    <w:rsid w:val="00586D73"/>
    <w:rsid w:val="00587363"/>
    <w:rsid w:val="00587F3B"/>
    <w:rsid w:val="00590205"/>
    <w:rsid w:val="00590354"/>
    <w:rsid w:val="005906AD"/>
    <w:rsid w:val="00590713"/>
    <w:rsid w:val="00590CA1"/>
    <w:rsid w:val="00590E71"/>
    <w:rsid w:val="005912B3"/>
    <w:rsid w:val="00591401"/>
    <w:rsid w:val="00591C77"/>
    <w:rsid w:val="00591F33"/>
    <w:rsid w:val="00591FEC"/>
    <w:rsid w:val="0059237A"/>
    <w:rsid w:val="005925F3"/>
    <w:rsid w:val="0059264C"/>
    <w:rsid w:val="005929C6"/>
    <w:rsid w:val="00592A85"/>
    <w:rsid w:val="0059321B"/>
    <w:rsid w:val="005937D4"/>
    <w:rsid w:val="00593BB1"/>
    <w:rsid w:val="00594364"/>
    <w:rsid w:val="005943FD"/>
    <w:rsid w:val="00594C20"/>
    <w:rsid w:val="00594C32"/>
    <w:rsid w:val="00594D03"/>
    <w:rsid w:val="00595168"/>
    <w:rsid w:val="005959B1"/>
    <w:rsid w:val="00595A87"/>
    <w:rsid w:val="00595D4B"/>
    <w:rsid w:val="00596269"/>
    <w:rsid w:val="00596399"/>
    <w:rsid w:val="00596581"/>
    <w:rsid w:val="0059676B"/>
    <w:rsid w:val="0059718A"/>
    <w:rsid w:val="005978B7"/>
    <w:rsid w:val="00597FE0"/>
    <w:rsid w:val="005A0575"/>
    <w:rsid w:val="005A0962"/>
    <w:rsid w:val="005A12F4"/>
    <w:rsid w:val="005A15A5"/>
    <w:rsid w:val="005A15B2"/>
    <w:rsid w:val="005A1A82"/>
    <w:rsid w:val="005A1DAF"/>
    <w:rsid w:val="005A27A7"/>
    <w:rsid w:val="005A2B02"/>
    <w:rsid w:val="005A2E8F"/>
    <w:rsid w:val="005A4204"/>
    <w:rsid w:val="005A57A2"/>
    <w:rsid w:val="005A5966"/>
    <w:rsid w:val="005A623F"/>
    <w:rsid w:val="005A68B5"/>
    <w:rsid w:val="005A6B63"/>
    <w:rsid w:val="005A6DCE"/>
    <w:rsid w:val="005A6F90"/>
    <w:rsid w:val="005A6FC2"/>
    <w:rsid w:val="005A7732"/>
    <w:rsid w:val="005A79C2"/>
    <w:rsid w:val="005A7ACE"/>
    <w:rsid w:val="005A7B32"/>
    <w:rsid w:val="005B06B9"/>
    <w:rsid w:val="005B0C11"/>
    <w:rsid w:val="005B0F7B"/>
    <w:rsid w:val="005B15C2"/>
    <w:rsid w:val="005B1D35"/>
    <w:rsid w:val="005B2224"/>
    <w:rsid w:val="005B250F"/>
    <w:rsid w:val="005B27B1"/>
    <w:rsid w:val="005B282C"/>
    <w:rsid w:val="005B2F25"/>
    <w:rsid w:val="005B305A"/>
    <w:rsid w:val="005B31C7"/>
    <w:rsid w:val="005B4D36"/>
    <w:rsid w:val="005B504A"/>
    <w:rsid w:val="005B5231"/>
    <w:rsid w:val="005B596B"/>
    <w:rsid w:val="005B5D2A"/>
    <w:rsid w:val="005B60F8"/>
    <w:rsid w:val="005B6376"/>
    <w:rsid w:val="005B64BB"/>
    <w:rsid w:val="005B662B"/>
    <w:rsid w:val="005B664C"/>
    <w:rsid w:val="005B6D5B"/>
    <w:rsid w:val="005B73BB"/>
    <w:rsid w:val="005B73D3"/>
    <w:rsid w:val="005B78E4"/>
    <w:rsid w:val="005B7A83"/>
    <w:rsid w:val="005B7E69"/>
    <w:rsid w:val="005C0133"/>
    <w:rsid w:val="005C0492"/>
    <w:rsid w:val="005C0C45"/>
    <w:rsid w:val="005C1229"/>
    <w:rsid w:val="005C19D9"/>
    <w:rsid w:val="005C1AFD"/>
    <w:rsid w:val="005C2540"/>
    <w:rsid w:val="005C2673"/>
    <w:rsid w:val="005C2999"/>
    <w:rsid w:val="005C2C10"/>
    <w:rsid w:val="005C2DAC"/>
    <w:rsid w:val="005C2FC8"/>
    <w:rsid w:val="005C300C"/>
    <w:rsid w:val="005C3032"/>
    <w:rsid w:val="005C31B4"/>
    <w:rsid w:val="005C33E7"/>
    <w:rsid w:val="005C3946"/>
    <w:rsid w:val="005C3C2C"/>
    <w:rsid w:val="005C3C3B"/>
    <w:rsid w:val="005C4188"/>
    <w:rsid w:val="005C48A6"/>
    <w:rsid w:val="005C5224"/>
    <w:rsid w:val="005C53A2"/>
    <w:rsid w:val="005C5554"/>
    <w:rsid w:val="005C56DB"/>
    <w:rsid w:val="005C591B"/>
    <w:rsid w:val="005C5BEC"/>
    <w:rsid w:val="005C5C0D"/>
    <w:rsid w:val="005C6111"/>
    <w:rsid w:val="005C6245"/>
    <w:rsid w:val="005C687D"/>
    <w:rsid w:val="005C69A1"/>
    <w:rsid w:val="005C7EBB"/>
    <w:rsid w:val="005D0248"/>
    <w:rsid w:val="005D0932"/>
    <w:rsid w:val="005D0BD6"/>
    <w:rsid w:val="005D0BEC"/>
    <w:rsid w:val="005D0E06"/>
    <w:rsid w:val="005D0E4F"/>
    <w:rsid w:val="005D14CF"/>
    <w:rsid w:val="005D1837"/>
    <w:rsid w:val="005D1A55"/>
    <w:rsid w:val="005D22A8"/>
    <w:rsid w:val="005D2C11"/>
    <w:rsid w:val="005D3085"/>
    <w:rsid w:val="005D345F"/>
    <w:rsid w:val="005D34B5"/>
    <w:rsid w:val="005D38BA"/>
    <w:rsid w:val="005D3C14"/>
    <w:rsid w:val="005D448C"/>
    <w:rsid w:val="005D46C8"/>
    <w:rsid w:val="005D4B31"/>
    <w:rsid w:val="005D5012"/>
    <w:rsid w:val="005D55A6"/>
    <w:rsid w:val="005D5737"/>
    <w:rsid w:val="005D5F92"/>
    <w:rsid w:val="005D66C1"/>
    <w:rsid w:val="005D6DE7"/>
    <w:rsid w:val="005D7019"/>
    <w:rsid w:val="005D70C1"/>
    <w:rsid w:val="005D768C"/>
    <w:rsid w:val="005D7C2E"/>
    <w:rsid w:val="005D7F2F"/>
    <w:rsid w:val="005E0736"/>
    <w:rsid w:val="005E0DCB"/>
    <w:rsid w:val="005E12C8"/>
    <w:rsid w:val="005E1750"/>
    <w:rsid w:val="005E182C"/>
    <w:rsid w:val="005E18C7"/>
    <w:rsid w:val="005E1B5B"/>
    <w:rsid w:val="005E1CB8"/>
    <w:rsid w:val="005E2048"/>
    <w:rsid w:val="005E28F9"/>
    <w:rsid w:val="005E36FC"/>
    <w:rsid w:val="005E3727"/>
    <w:rsid w:val="005E41A3"/>
    <w:rsid w:val="005E46B6"/>
    <w:rsid w:val="005E486B"/>
    <w:rsid w:val="005E4954"/>
    <w:rsid w:val="005E4B5D"/>
    <w:rsid w:val="005E4BAC"/>
    <w:rsid w:val="005E4D16"/>
    <w:rsid w:val="005E4FF5"/>
    <w:rsid w:val="005E5366"/>
    <w:rsid w:val="005E548B"/>
    <w:rsid w:val="005E5AE6"/>
    <w:rsid w:val="005E6628"/>
    <w:rsid w:val="005E678D"/>
    <w:rsid w:val="005E689D"/>
    <w:rsid w:val="005F0164"/>
    <w:rsid w:val="005F0B20"/>
    <w:rsid w:val="005F1020"/>
    <w:rsid w:val="005F17E2"/>
    <w:rsid w:val="005F1BF7"/>
    <w:rsid w:val="005F1F7E"/>
    <w:rsid w:val="005F1F95"/>
    <w:rsid w:val="005F1FB0"/>
    <w:rsid w:val="005F29C0"/>
    <w:rsid w:val="005F3D92"/>
    <w:rsid w:val="005F3F45"/>
    <w:rsid w:val="005F4027"/>
    <w:rsid w:val="005F438A"/>
    <w:rsid w:val="005F455C"/>
    <w:rsid w:val="005F4940"/>
    <w:rsid w:val="005F4947"/>
    <w:rsid w:val="005F4FF3"/>
    <w:rsid w:val="005F5095"/>
    <w:rsid w:val="005F53BE"/>
    <w:rsid w:val="005F5763"/>
    <w:rsid w:val="005F57CF"/>
    <w:rsid w:val="005F61A8"/>
    <w:rsid w:val="005F6A91"/>
    <w:rsid w:val="005F6BD4"/>
    <w:rsid w:val="005F6D89"/>
    <w:rsid w:val="005F715F"/>
    <w:rsid w:val="005F71B3"/>
    <w:rsid w:val="005F7640"/>
    <w:rsid w:val="005F7928"/>
    <w:rsid w:val="005F7E54"/>
    <w:rsid w:val="00600196"/>
    <w:rsid w:val="006001AE"/>
    <w:rsid w:val="00600339"/>
    <w:rsid w:val="00600750"/>
    <w:rsid w:val="00600BDE"/>
    <w:rsid w:val="00600D85"/>
    <w:rsid w:val="00601181"/>
    <w:rsid w:val="00601BC3"/>
    <w:rsid w:val="0060258E"/>
    <w:rsid w:val="00602709"/>
    <w:rsid w:val="00604213"/>
    <w:rsid w:val="006042D8"/>
    <w:rsid w:val="006049DB"/>
    <w:rsid w:val="00604C49"/>
    <w:rsid w:val="006052CB"/>
    <w:rsid w:val="006057EA"/>
    <w:rsid w:val="0060598C"/>
    <w:rsid w:val="00605AF2"/>
    <w:rsid w:val="00605D9C"/>
    <w:rsid w:val="00605F72"/>
    <w:rsid w:val="006073AB"/>
    <w:rsid w:val="00607B52"/>
    <w:rsid w:val="00607C5F"/>
    <w:rsid w:val="00607D4B"/>
    <w:rsid w:val="00607EC0"/>
    <w:rsid w:val="006105BB"/>
    <w:rsid w:val="006106D0"/>
    <w:rsid w:val="00610704"/>
    <w:rsid w:val="0061143C"/>
    <w:rsid w:val="00611462"/>
    <w:rsid w:val="006115B9"/>
    <w:rsid w:val="00611D25"/>
    <w:rsid w:val="00612672"/>
    <w:rsid w:val="0061278A"/>
    <w:rsid w:val="00612BE2"/>
    <w:rsid w:val="00612C3D"/>
    <w:rsid w:val="00613492"/>
    <w:rsid w:val="00613573"/>
    <w:rsid w:val="00613BEC"/>
    <w:rsid w:val="00614409"/>
    <w:rsid w:val="00614F3C"/>
    <w:rsid w:val="0061546A"/>
    <w:rsid w:val="00615575"/>
    <w:rsid w:val="00615CA6"/>
    <w:rsid w:val="00615EF9"/>
    <w:rsid w:val="00616A6B"/>
    <w:rsid w:val="0061703E"/>
    <w:rsid w:val="00617288"/>
    <w:rsid w:val="00620ADA"/>
    <w:rsid w:val="0062173B"/>
    <w:rsid w:val="00621C0A"/>
    <w:rsid w:val="00622463"/>
    <w:rsid w:val="0062288A"/>
    <w:rsid w:val="00622A0A"/>
    <w:rsid w:val="00622DDF"/>
    <w:rsid w:val="0062303B"/>
    <w:rsid w:val="00623057"/>
    <w:rsid w:val="00623259"/>
    <w:rsid w:val="00623730"/>
    <w:rsid w:val="00623840"/>
    <w:rsid w:val="00623FCC"/>
    <w:rsid w:val="0062448E"/>
    <w:rsid w:val="006248F5"/>
    <w:rsid w:val="00624B67"/>
    <w:rsid w:val="00625114"/>
    <w:rsid w:val="0062551E"/>
    <w:rsid w:val="00625A0F"/>
    <w:rsid w:val="00625C14"/>
    <w:rsid w:val="00626023"/>
    <w:rsid w:val="0062651B"/>
    <w:rsid w:val="00626526"/>
    <w:rsid w:val="00626985"/>
    <w:rsid w:val="0062748B"/>
    <w:rsid w:val="00627989"/>
    <w:rsid w:val="00627C51"/>
    <w:rsid w:val="006305C8"/>
    <w:rsid w:val="00630F8E"/>
    <w:rsid w:val="00631732"/>
    <w:rsid w:val="00631BC2"/>
    <w:rsid w:val="00632574"/>
    <w:rsid w:val="00632A5A"/>
    <w:rsid w:val="00632F45"/>
    <w:rsid w:val="006333C7"/>
    <w:rsid w:val="0063387B"/>
    <w:rsid w:val="006338CF"/>
    <w:rsid w:val="0063459A"/>
    <w:rsid w:val="006350D4"/>
    <w:rsid w:val="00635720"/>
    <w:rsid w:val="00635874"/>
    <w:rsid w:val="00635A9B"/>
    <w:rsid w:val="00635B4D"/>
    <w:rsid w:val="00635CE2"/>
    <w:rsid w:val="0063661F"/>
    <w:rsid w:val="0063669F"/>
    <w:rsid w:val="00636780"/>
    <w:rsid w:val="00636942"/>
    <w:rsid w:val="00636EE0"/>
    <w:rsid w:val="00636F0E"/>
    <w:rsid w:val="00637069"/>
    <w:rsid w:val="006374F0"/>
    <w:rsid w:val="006376B7"/>
    <w:rsid w:val="00637B47"/>
    <w:rsid w:val="00637E07"/>
    <w:rsid w:val="0064026C"/>
    <w:rsid w:val="00640624"/>
    <w:rsid w:val="00640C77"/>
    <w:rsid w:val="00640E09"/>
    <w:rsid w:val="00640EC1"/>
    <w:rsid w:val="0064124E"/>
    <w:rsid w:val="00641681"/>
    <w:rsid w:val="00641801"/>
    <w:rsid w:val="006420FC"/>
    <w:rsid w:val="00642CAC"/>
    <w:rsid w:val="00643807"/>
    <w:rsid w:val="006438F3"/>
    <w:rsid w:val="00643B0E"/>
    <w:rsid w:val="00643CA4"/>
    <w:rsid w:val="006446C6"/>
    <w:rsid w:val="006452D9"/>
    <w:rsid w:val="00645364"/>
    <w:rsid w:val="00645531"/>
    <w:rsid w:val="00645A42"/>
    <w:rsid w:val="00645FA2"/>
    <w:rsid w:val="006466E5"/>
    <w:rsid w:val="0064673D"/>
    <w:rsid w:val="00646BD3"/>
    <w:rsid w:val="00647292"/>
    <w:rsid w:val="00647384"/>
    <w:rsid w:val="006474E2"/>
    <w:rsid w:val="00647534"/>
    <w:rsid w:val="00647899"/>
    <w:rsid w:val="006504D5"/>
    <w:rsid w:val="006506D4"/>
    <w:rsid w:val="006507E1"/>
    <w:rsid w:val="006508D0"/>
    <w:rsid w:val="00650BEB"/>
    <w:rsid w:val="00650FED"/>
    <w:rsid w:val="006510C8"/>
    <w:rsid w:val="0065167E"/>
    <w:rsid w:val="00651962"/>
    <w:rsid w:val="00651C13"/>
    <w:rsid w:val="00651D2D"/>
    <w:rsid w:val="00651E50"/>
    <w:rsid w:val="00651EC1"/>
    <w:rsid w:val="00651ED6"/>
    <w:rsid w:val="0065212B"/>
    <w:rsid w:val="00652699"/>
    <w:rsid w:val="0065291A"/>
    <w:rsid w:val="00652B89"/>
    <w:rsid w:val="006535C4"/>
    <w:rsid w:val="00653A1A"/>
    <w:rsid w:val="00653EB7"/>
    <w:rsid w:val="0065400B"/>
    <w:rsid w:val="006546DA"/>
    <w:rsid w:val="006548FD"/>
    <w:rsid w:val="00654B55"/>
    <w:rsid w:val="00654CA6"/>
    <w:rsid w:val="00654F69"/>
    <w:rsid w:val="00654F76"/>
    <w:rsid w:val="006552B1"/>
    <w:rsid w:val="006554CA"/>
    <w:rsid w:val="006560F3"/>
    <w:rsid w:val="0065652C"/>
    <w:rsid w:val="006567F7"/>
    <w:rsid w:val="006568FC"/>
    <w:rsid w:val="00656FA8"/>
    <w:rsid w:val="006571D2"/>
    <w:rsid w:val="006571FC"/>
    <w:rsid w:val="0065780D"/>
    <w:rsid w:val="006579B0"/>
    <w:rsid w:val="00657D5C"/>
    <w:rsid w:val="006603F8"/>
    <w:rsid w:val="00660DBA"/>
    <w:rsid w:val="00661A01"/>
    <w:rsid w:val="00661A23"/>
    <w:rsid w:val="00661DB7"/>
    <w:rsid w:val="00662257"/>
    <w:rsid w:val="0066327D"/>
    <w:rsid w:val="00664669"/>
    <w:rsid w:val="00664853"/>
    <w:rsid w:val="0066547E"/>
    <w:rsid w:val="00665715"/>
    <w:rsid w:val="0066633B"/>
    <w:rsid w:val="00667004"/>
    <w:rsid w:val="00667406"/>
    <w:rsid w:val="00667C7B"/>
    <w:rsid w:val="0067004B"/>
    <w:rsid w:val="00670157"/>
    <w:rsid w:val="00670783"/>
    <w:rsid w:val="00670BBF"/>
    <w:rsid w:val="00670EA7"/>
    <w:rsid w:val="00671372"/>
    <w:rsid w:val="0067192B"/>
    <w:rsid w:val="00671D3A"/>
    <w:rsid w:val="00671E66"/>
    <w:rsid w:val="00672217"/>
    <w:rsid w:val="00672711"/>
    <w:rsid w:val="0067282B"/>
    <w:rsid w:val="006733D4"/>
    <w:rsid w:val="00673FEE"/>
    <w:rsid w:val="006740E6"/>
    <w:rsid w:val="006746F1"/>
    <w:rsid w:val="00674808"/>
    <w:rsid w:val="00674CBA"/>
    <w:rsid w:val="006756CA"/>
    <w:rsid w:val="006756FF"/>
    <w:rsid w:val="0067683A"/>
    <w:rsid w:val="00676BE5"/>
    <w:rsid w:val="00677014"/>
    <w:rsid w:val="00677197"/>
    <w:rsid w:val="006775D8"/>
    <w:rsid w:val="0067760E"/>
    <w:rsid w:val="00677691"/>
    <w:rsid w:val="0067788E"/>
    <w:rsid w:val="0067799B"/>
    <w:rsid w:val="00677B08"/>
    <w:rsid w:val="00677D21"/>
    <w:rsid w:val="00680370"/>
    <w:rsid w:val="0068070F"/>
    <w:rsid w:val="0068073E"/>
    <w:rsid w:val="0068081E"/>
    <w:rsid w:val="0068152D"/>
    <w:rsid w:val="00681690"/>
    <w:rsid w:val="006826E7"/>
    <w:rsid w:val="00682709"/>
    <w:rsid w:val="00682803"/>
    <w:rsid w:val="00682902"/>
    <w:rsid w:val="00682AF6"/>
    <w:rsid w:val="006832DC"/>
    <w:rsid w:val="0068355C"/>
    <w:rsid w:val="00684B0E"/>
    <w:rsid w:val="006851B3"/>
    <w:rsid w:val="0068522D"/>
    <w:rsid w:val="0068527C"/>
    <w:rsid w:val="00685666"/>
    <w:rsid w:val="0068586A"/>
    <w:rsid w:val="00685DE1"/>
    <w:rsid w:val="00685F71"/>
    <w:rsid w:val="006865B7"/>
    <w:rsid w:val="00686C1D"/>
    <w:rsid w:val="00686C60"/>
    <w:rsid w:val="00687F47"/>
    <w:rsid w:val="0069012B"/>
    <w:rsid w:val="006902AD"/>
    <w:rsid w:val="00690476"/>
    <w:rsid w:val="006906C0"/>
    <w:rsid w:val="006907B0"/>
    <w:rsid w:val="00690997"/>
    <w:rsid w:val="00690B16"/>
    <w:rsid w:val="00690BEC"/>
    <w:rsid w:val="00690F43"/>
    <w:rsid w:val="006916F4"/>
    <w:rsid w:val="0069219B"/>
    <w:rsid w:val="00692A63"/>
    <w:rsid w:val="0069384B"/>
    <w:rsid w:val="006938B1"/>
    <w:rsid w:val="00693C39"/>
    <w:rsid w:val="00693C65"/>
    <w:rsid w:val="00694029"/>
    <w:rsid w:val="0069440E"/>
    <w:rsid w:val="006944CA"/>
    <w:rsid w:val="00694982"/>
    <w:rsid w:val="00694C55"/>
    <w:rsid w:val="00695154"/>
    <w:rsid w:val="0069522F"/>
    <w:rsid w:val="0069541E"/>
    <w:rsid w:val="00695D43"/>
    <w:rsid w:val="00696390"/>
    <w:rsid w:val="00696ACB"/>
    <w:rsid w:val="00696D38"/>
    <w:rsid w:val="00696EA8"/>
    <w:rsid w:val="00696F97"/>
    <w:rsid w:val="00697741"/>
    <w:rsid w:val="00697984"/>
    <w:rsid w:val="006A00CC"/>
    <w:rsid w:val="006A04A6"/>
    <w:rsid w:val="006A0862"/>
    <w:rsid w:val="006A0C68"/>
    <w:rsid w:val="006A0E77"/>
    <w:rsid w:val="006A0FA0"/>
    <w:rsid w:val="006A108B"/>
    <w:rsid w:val="006A14B5"/>
    <w:rsid w:val="006A158F"/>
    <w:rsid w:val="006A17B2"/>
    <w:rsid w:val="006A1A70"/>
    <w:rsid w:val="006A1CD3"/>
    <w:rsid w:val="006A1FCD"/>
    <w:rsid w:val="006A2A96"/>
    <w:rsid w:val="006A2CE1"/>
    <w:rsid w:val="006A2FEB"/>
    <w:rsid w:val="006A3136"/>
    <w:rsid w:val="006A371B"/>
    <w:rsid w:val="006A3C20"/>
    <w:rsid w:val="006A4293"/>
    <w:rsid w:val="006A4793"/>
    <w:rsid w:val="006A55D1"/>
    <w:rsid w:val="006A6289"/>
    <w:rsid w:val="006A6AD7"/>
    <w:rsid w:val="006A753E"/>
    <w:rsid w:val="006A78E0"/>
    <w:rsid w:val="006A7D81"/>
    <w:rsid w:val="006A7FD8"/>
    <w:rsid w:val="006B008F"/>
    <w:rsid w:val="006B0660"/>
    <w:rsid w:val="006B16B5"/>
    <w:rsid w:val="006B1F85"/>
    <w:rsid w:val="006B244F"/>
    <w:rsid w:val="006B301B"/>
    <w:rsid w:val="006B3580"/>
    <w:rsid w:val="006B3595"/>
    <w:rsid w:val="006B3E2E"/>
    <w:rsid w:val="006B3F66"/>
    <w:rsid w:val="006B485B"/>
    <w:rsid w:val="006B55E1"/>
    <w:rsid w:val="006B5D2C"/>
    <w:rsid w:val="006B615F"/>
    <w:rsid w:val="006B63AE"/>
    <w:rsid w:val="006B63B4"/>
    <w:rsid w:val="006B64E7"/>
    <w:rsid w:val="006B6626"/>
    <w:rsid w:val="006B700E"/>
    <w:rsid w:val="006B7D2C"/>
    <w:rsid w:val="006C017B"/>
    <w:rsid w:val="006C02EA"/>
    <w:rsid w:val="006C06AD"/>
    <w:rsid w:val="006C08FB"/>
    <w:rsid w:val="006C0CDE"/>
    <w:rsid w:val="006C24DC"/>
    <w:rsid w:val="006C2814"/>
    <w:rsid w:val="006C2DD0"/>
    <w:rsid w:val="006C2F4A"/>
    <w:rsid w:val="006C2F83"/>
    <w:rsid w:val="006C35A5"/>
    <w:rsid w:val="006C36BE"/>
    <w:rsid w:val="006C36CF"/>
    <w:rsid w:val="006C3FCC"/>
    <w:rsid w:val="006C4389"/>
    <w:rsid w:val="006C485A"/>
    <w:rsid w:val="006C4DED"/>
    <w:rsid w:val="006C50CE"/>
    <w:rsid w:val="006C51C1"/>
    <w:rsid w:val="006C53B0"/>
    <w:rsid w:val="006C5531"/>
    <w:rsid w:val="006C5929"/>
    <w:rsid w:val="006C59AC"/>
    <w:rsid w:val="006C6264"/>
    <w:rsid w:val="006C6636"/>
    <w:rsid w:val="006C6898"/>
    <w:rsid w:val="006C6B41"/>
    <w:rsid w:val="006C6CCC"/>
    <w:rsid w:val="006C6F44"/>
    <w:rsid w:val="006C71F1"/>
    <w:rsid w:val="006C72B2"/>
    <w:rsid w:val="006C7345"/>
    <w:rsid w:val="006C7435"/>
    <w:rsid w:val="006C766A"/>
    <w:rsid w:val="006D05EE"/>
    <w:rsid w:val="006D05FD"/>
    <w:rsid w:val="006D1023"/>
    <w:rsid w:val="006D1CC2"/>
    <w:rsid w:val="006D1F0D"/>
    <w:rsid w:val="006D20AF"/>
    <w:rsid w:val="006D2992"/>
    <w:rsid w:val="006D299B"/>
    <w:rsid w:val="006D29B1"/>
    <w:rsid w:val="006D2A2C"/>
    <w:rsid w:val="006D327A"/>
    <w:rsid w:val="006D357D"/>
    <w:rsid w:val="006D3913"/>
    <w:rsid w:val="006D3ED9"/>
    <w:rsid w:val="006D46D2"/>
    <w:rsid w:val="006D4852"/>
    <w:rsid w:val="006D48AB"/>
    <w:rsid w:val="006D5371"/>
    <w:rsid w:val="006D588B"/>
    <w:rsid w:val="006D60F8"/>
    <w:rsid w:val="006D6658"/>
    <w:rsid w:val="006D690C"/>
    <w:rsid w:val="006D6986"/>
    <w:rsid w:val="006D6C91"/>
    <w:rsid w:val="006E02E5"/>
    <w:rsid w:val="006E0407"/>
    <w:rsid w:val="006E08EC"/>
    <w:rsid w:val="006E0C4E"/>
    <w:rsid w:val="006E121C"/>
    <w:rsid w:val="006E1558"/>
    <w:rsid w:val="006E1592"/>
    <w:rsid w:val="006E1D63"/>
    <w:rsid w:val="006E205B"/>
    <w:rsid w:val="006E2296"/>
    <w:rsid w:val="006E243E"/>
    <w:rsid w:val="006E2649"/>
    <w:rsid w:val="006E2BEA"/>
    <w:rsid w:val="006E2BF1"/>
    <w:rsid w:val="006E2CB9"/>
    <w:rsid w:val="006E322A"/>
    <w:rsid w:val="006E3401"/>
    <w:rsid w:val="006E35AB"/>
    <w:rsid w:val="006E3E2F"/>
    <w:rsid w:val="006E44F6"/>
    <w:rsid w:val="006E5CD2"/>
    <w:rsid w:val="006E6215"/>
    <w:rsid w:val="006E63E1"/>
    <w:rsid w:val="006E651B"/>
    <w:rsid w:val="006E675C"/>
    <w:rsid w:val="006E706D"/>
    <w:rsid w:val="006E77EB"/>
    <w:rsid w:val="006E7B41"/>
    <w:rsid w:val="006F078D"/>
    <w:rsid w:val="006F0B0E"/>
    <w:rsid w:val="006F1292"/>
    <w:rsid w:val="006F1355"/>
    <w:rsid w:val="006F199E"/>
    <w:rsid w:val="006F1D7B"/>
    <w:rsid w:val="006F1DC3"/>
    <w:rsid w:val="006F2D13"/>
    <w:rsid w:val="006F3028"/>
    <w:rsid w:val="006F310A"/>
    <w:rsid w:val="006F31BB"/>
    <w:rsid w:val="006F4C15"/>
    <w:rsid w:val="006F4F3B"/>
    <w:rsid w:val="006F509F"/>
    <w:rsid w:val="006F54D9"/>
    <w:rsid w:val="006F580B"/>
    <w:rsid w:val="006F5DF1"/>
    <w:rsid w:val="006F5E9C"/>
    <w:rsid w:val="006F6116"/>
    <w:rsid w:val="006F6179"/>
    <w:rsid w:val="006F62DB"/>
    <w:rsid w:val="006F62E2"/>
    <w:rsid w:val="006F6354"/>
    <w:rsid w:val="006F6380"/>
    <w:rsid w:val="006F63B4"/>
    <w:rsid w:val="006F66DA"/>
    <w:rsid w:val="006F6822"/>
    <w:rsid w:val="006F6975"/>
    <w:rsid w:val="006F6C5E"/>
    <w:rsid w:val="006F6FE2"/>
    <w:rsid w:val="006F757E"/>
    <w:rsid w:val="006F7892"/>
    <w:rsid w:val="007016F8"/>
    <w:rsid w:val="0070181C"/>
    <w:rsid w:val="0070194D"/>
    <w:rsid w:val="00701B34"/>
    <w:rsid w:val="00701B54"/>
    <w:rsid w:val="00701D4C"/>
    <w:rsid w:val="007021A7"/>
    <w:rsid w:val="00702218"/>
    <w:rsid w:val="0070232F"/>
    <w:rsid w:val="007024F4"/>
    <w:rsid w:val="00702571"/>
    <w:rsid w:val="00702983"/>
    <w:rsid w:val="00703109"/>
    <w:rsid w:val="0070350C"/>
    <w:rsid w:val="00703617"/>
    <w:rsid w:val="00703792"/>
    <w:rsid w:val="00703848"/>
    <w:rsid w:val="00703BE5"/>
    <w:rsid w:val="00704179"/>
    <w:rsid w:val="0070435B"/>
    <w:rsid w:val="00704365"/>
    <w:rsid w:val="00704B74"/>
    <w:rsid w:val="00704FB3"/>
    <w:rsid w:val="007054C5"/>
    <w:rsid w:val="0070586B"/>
    <w:rsid w:val="00705A85"/>
    <w:rsid w:val="00705ADC"/>
    <w:rsid w:val="00706B49"/>
    <w:rsid w:val="0070786F"/>
    <w:rsid w:val="0070796A"/>
    <w:rsid w:val="007079C5"/>
    <w:rsid w:val="00707BAA"/>
    <w:rsid w:val="00707D10"/>
    <w:rsid w:val="00707FFC"/>
    <w:rsid w:val="007102B7"/>
    <w:rsid w:val="007102B9"/>
    <w:rsid w:val="00710384"/>
    <w:rsid w:val="00710CD5"/>
    <w:rsid w:val="00710E3A"/>
    <w:rsid w:val="00710E6D"/>
    <w:rsid w:val="00710F2F"/>
    <w:rsid w:val="00711075"/>
    <w:rsid w:val="007111EC"/>
    <w:rsid w:val="0071151C"/>
    <w:rsid w:val="00711924"/>
    <w:rsid w:val="00711BCE"/>
    <w:rsid w:val="00711D40"/>
    <w:rsid w:val="00712067"/>
    <w:rsid w:val="007123F9"/>
    <w:rsid w:val="007127F9"/>
    <w:rsid w:val="007129A8"/>
    <w:rsid w:val="0071318A"/>
    <w:rsid w:val="0071342D"/>
    <w:rsid w:val="00713433"/>
    <w:rsid w:val="00713586"/>
    <w:rsid w:val="00713D32"/>
    <w:rsid w:val="0071431F"/>
    <w:rsid w:val="0071446F"/>
    <w:rsid w:val="007149C6"/>
    <w:rsid w:val="00714F6B"/>
    <w:rsid w:val="00714FA0"/>
    <w:rsid w:val="00714FC3"/>
    <w:rsid w:val="007154CA"/>
    <w:rsid w:val="00715627"/>
    <w:rsid w:val="00715E04"/>
    <w:rsid w:val="00715EE9"/>
    <w:rsid w:val="007164E6"/>
    <w:rsid w:val="00716C05"/>
    <w:rsid w:val="00716D30"/>
    <w:rsid w:val="007173EA"/>
    <w:rsid w:val="007209B5"/>
    <w:rsid w:val="00720BC8"/>
    <w:rsid w:val="00720F8B"/>
    <w:rsid w:val="00721202"/>
    <w:rsid w:val="0072145C"/>
    <w:rsid w:val="00722201"/>
    <w:rsid w:val="007223E6"/>
    <w:rsid w:val="007228F4"/>
    <w:rsid w:val="00722A31"/>
    <w:rsid w:val="00722E24"/>
    <w:rsid w:val="007232A1"/>
    <w:rsid w:val="007236D1"/>
    <w:rsid w:val="00723FE9"/>
    <w:rsid w:val="007243FB"/>
    <w:rsid w:val="00724A71"/>
    <w:rsid w:val="00724C57"/>
    <w:rsid w:val="00725132"/>
    <w:rsid w:val="00725182"/>
    <w:rsid w:val="00725953"/>
    <w:rsid w:val="007259AC"/>
    <w:rsid w:val="00725A9F"/>
    <w:rsid w:val="00725C00"/>
    <w:rsid w:val="00726D3B"/>
    <w:rsid w:val="0072731E"/>
    <w:rsid w:val="0072746C"/>
    <w:rsid w:val="00727509"/>
    <w:rsid w:val="00727944"/>
    <w:rsid w:val="007305CA"/>
    <w:rsid w:val="007308E8"/>
    <w:rsid w:val="00730A67"/>
    <w:rsid w:val="00731577"/>
    <w:rsid w:val="0073172F"/>
    <w:rsid w:val="00731B42"/>
    <w:rsid w:val="007323AE"/>
    <w:rsid w:val="0073261F"/>
    <w:rsid w:val="00732765"/>
    <w:rsid w:val="0073282E"/>
    <w:rsid w:val="00732CAA"/>
    <w:rsid w:val="00732F95"/>
    <w:rsid w:val="00733484"/>
    <w:rsid w:val="007336F0"/>
    <w:rsid w:val="00733729"/>
    <w:rsid w:val="007339F4"/>
    <w:rsid w:val="00733BFB"/>
    <w:rsid w:val="007347B9"/>
    <w:rsid w:val="007349BD"/>
    <w:rsid w:val="00734E22"/>
    <w:rsid w:val="00735149"/>
    <w:rsid w:val="00736365"/>
    <w:rsid w:val="0073744A"/>
    <w:rsid w:val="0073781E"/>
    <w:rsid w:val="007378D5"/>
    <w:rsid w:val="00737C09"/>
    <w:rsid w:val="00737DA7"/>
    <w:rsid w:val="00740320"/>
    <w:rsid w:val="00740706"/>
    <w:rsid w:val="00740A05"/>
    <w:rsid w:val="00740FBD"/>
    <w:rsid w:val="00740FFD"/>
    <w:rsid w:val="00741213"/>
    <w:rsid w:val="0074178F"/>
    <w:rsid w:val="00742458"/>
    <w:rsid w:val="00742B0A"/>
    <w:rsid w:val="00742C05"/>
    <w:rsid w:val="00742DD5"/>
    <w:rsid w:val="007433B6"/>
    <w:rsid w:val="00743495"/>
    <w:rsid w:val="007438B9"/>
    <w:rsid w:val="00743AAD"/>
    <w:rsid w:val="00743BB1"/>
    <w:rsid w:val="00743CB7"/>
    <w:rsid w:val="00744DD0"/>
    <w:rsid w:val="007450DD"/>
    <w:rsid w:val="00745A46"/>
    <w:rsid w:val="00746516"/>
    <w:rsid w:val="00746D79"/>
    <w:rsid w:val="0074701F"/>
    <w:rsid w:val="00747511"/>
    <w:rsid w:val="007505D3"/>
    <w:rsid w:val="00750F93"/>
    <w:rsid w:val="00751DAB"/>
    <w:rsid w:val="007525EB"/>
    <w:rsid w:val="0075270B"/>
    <w:rsid w:val="00752AD8"/>
    <w:rsid w:val="00752C83"/>
    <w:rsid w:val="00752D11"/>
    <w:rsid w:val="0075306A"/>
    <w:rsid w:val="00753399"/>
    <w:rsid w:val="00753720"/>
    <w:rsid w:val="00753C79"/>
    <w:rsid w:val="00754691"/>
    <w:rsid w:val="007547ED"/>
    <w:rsid w:val="00754C2E"/>
    <w:rsid w:val="00754F07"/>
    <w:rsid w:val="00755D13"/>
    <w:rsid w:val="0075644C"/>
    <w:rsid w:val="00756AEA"/>
    <w:rsid w:val="00756D90"/>
    <w:rsid w:val="007571BE"/>
    <w:rsid w:val="00757C81"/>
    <w:rsid w:val="00757D58"/>
    <w:rsid w:val="00757F79"/>
    <w:rsid w:val="00760162"/>
    <w:rsid w:val="0076052C"/>
    <w:rsid w:val="0076081F"/>
    <w:rsid w:val="0076086A"/>
    <w:rsid w:val="00760B26"/>
    <w:rsid w:val="00760D65"/>
    <w:rsid w:val="00760FA5"/>
    <w:rsid w:val="007615D5"/>
    <w:rsid w:val="007616F1"/>
    <w:rsid w:val="0076187E"/>
    <w:rsid w:val="007628C2"/>
    <w:rsid w:val="00762A6B"/>
    <w:rsid w:val="00762AB1"/>
    <w:rsid w:val="0076337D"/>
    <w:rsid w:val="0076392D"/>
    <w:rsid w:val="00763CF0"/>
    <w:rsid w:val="007640A6"/>
    <w:rsid w:val="007641E3"/>
    <w:rsid w:val="007644C4"/>
    <w:rsid w:val="007648D3"/>
    <w:rsid w:val="00764B27"/>
    <w:rsid w:val="00764E05"/>
    <w:rsid w:val="00765125"/>
    <w:rsid w:val="00765344"/>
    <w:rsid w:val="00765516"/>
    <w:rsid w:val="0076585A"/>
    <w:rsid w:val="00765B45"/>
    <w:rsid w:val="007667DD"/>
    <w:rsid w:val="00766A45"/>
    <w:rsid w:val="00767930"/>
    <w:rsid w:val="0077089F"/>
    <w:rsid w:val="00770CFC"/>
    <w:rsid w:val="00770E93"/>
    <w:rsid w:val="0077147B"/>
    <w:rsid w:val="0077181B"/>
    <w:rsid w:val="00771D2C"/>
    <w:rsid w:val="00771DB7"/>
    <w:rsid w:val="00772990"/>
    <w:rsid w:val="00772CC1"/>
    <w:rsid w:val="00772D7C"/>
    <w:rsid w:val="00772DF4"/>
    <w:rsid w:val="00772E6F"/>
    <w:rsid w:val="00773363"/>
    <w:rsid w:val="007736B7"/>
    <w:rsid w:val="007739C9"/>
    <w:rsid w:val="007739EC"/>
    <w:rsid w:val="00773B37"/>
    <w:rsid w:val="00773CAC"/>
    <w:rsid w:val="00774420"/>
    <w:rsid w:val="00774AD0"/>
    <w:rsid w:val="0077528D"/>
    <w:rsid w:val="0077543C"/>
    <w:rsid w:val="00775520"/>
    <w:rsid w:val="00775723"/>
    <w:rsid w:val="00775F43"/>
    <w:rsid w:val="00775F8B"/>
    <w:rsid w:val="00775FA2"/>
    <w:rsid w:val="00776485"/>
    <w:rsid w:val="00776617"/>
    <w:rsid w:val="00776923"/>
    <w:rsid w:val="00776C3E"/>
    <w:rsid w:val="00776EDF"/>
    <w:rsid w:val="0077726A"/>
    <w:rsid w:val="007774D8"/>
    <w:rsid w:val="007777A8"/>
    <w:rsid w:val="007778AE"/>
    <w:rsid w:val="00777C21"/>
    <w:rsid w:val="007804B1"/>
    <w:rsid w:val="00780A4E"/>
    <w:rsid w:val="00780E92"/>
    <w:rsid w:val="0078105E"/>
    <w:rsid w:val="007810B4"/>
    <w:rsid w:val="0078125C"/>
    <w:rsid w:val="00781760"/>
    <w:rsid w:val="00781A3B"/>
    <w:rsid w:val="00781F8E"/>
    <w:rsid w:val="00782157"/>
    <w:rsid w:val="00782221"/>
    <w:rsid w:val="00782470"/>
    <w:rsid w:val="00782766"/>
    <w:rsid w:val="00782847"/>
    <w:rsid w:val="00783664"/>
    <w:rsid w:val="00783C17"/>
    <w:rsid w:val="00784126"/>
    <w:rsid w:val="0078435F"/>
    <w:rsid w:val="00784419"/>
    <w:rsid w:val="007851CF"/>
    <w:rsid w:val="00785530"/>
    <w:rsid w:val="00785903"/>
    <w:rsid w:val="00785CD7"/>
    <w:rsid w:val="00785FDA"/>
    <w:rsid w:val="007861C4"/>
    <w:rsid w:val="00786279"/>
    <w:rsid w:val="00786666"/>
    <w:rsid w:val="007869A7"/>
    <w:rsid w:val="00786D32"/>
    <w:rsid w:val="00786D84"/>
    <w:rsid w:val="00786F1B"/>
    <w:rsid w:val="0078746D"/>
    <w:rsid w:val="007875BE"/>
    <w:rsid w:val="007875E0"/>
    <w:rsid w:val="00787CB5"/>
    <w:rsid w:val="00787F93"/>
    <w:rsid w:val="0079065B"/>
    <w:rsid w:val="00790F46"/>
    <w:rsid w:val="0079106F"/>
    <w:rsid w:val="00791956"/>
    <w:rsid w:val="00791E20"/>
    <w:rsid w:val="00792243"/>
    <w:rsid w:val="0079267B"/>
    <w:rsid w:val="00792F11"/>
    <w:rsid w:val="007933BB"/>
    <w:rsid w:val="00793AE7"/>
    <w:rsid w:val="00793F3B"/>
    <w:rsid w:val="00793FF4"/>
    <w:rsid w:val="0079416F"/>
    <w:rsid w:val="00794364"/>
    <w:rsid w:val="00794D83"/>
    <w:rsid w:val="007953CC"/>
    <w:rsid w:val="00796348"/>
    <w:rsid w:val="00796AEE"/>
    <w:rsid w:val="00796CCD"/>
    <w:rsid w:val="00797386"/>
    <w:rsid w:val="0079769D"/>
    <w:rsid w:val="007978DE"/>
    <w:rsid w:val="007979E3"/>
    <w:rsid w:val="00797B48"/>
    <w:rsid w:val="00797E1D"/>
    <w:rsid w:val="007A090A"/>
    <w:rsid w:val="007A15FA"/>
    <w:rsid w:val="007A17DF"/>
    <w:rsid w:val="007A20E1"/>
    <w:rsid w:val="007A237F"/>
    <w:rsid w:val="007A25E8"/>
    <w:rsid w:val="007A31DD"/>
    <w:rsid w:val="007A341F"/>
    <w:rsid w:val="007A355E"/>
    <w:rsid w:val="007A3F0B"/>
    <w:rsid w:val="007A4394"/>
    <w:rsid w:val="007A43B2"/>
    <w:rsid w:val="007A45FD"/>
    <w:rsid w:val="007A4B65"/>
    <w:rsid w:val="007A4BDF"/>
    <w:rsid w:val="007A505D"/>
    <w:rsid w:val="007A5152"/>
    <w:rsid w:val="007A545C"/>
    <w:rsid w:val="007A5A8C"/>
    <w:rsid w:val="007A6343"/>
    <w:rsid w:val="007A6406"/>
    <w:rsid w:val="007A646B"/>
    <w:rsid w:val="007A69BF"/>
    <w:rsid w:val="007A6AC3"/>
    <w:rsid w:val="007A6D8A"/>
    <w:rsid w:val="007A7A08"/>
    <w:rsid w:val="007B03C8"/>
    <w:rsid w:val="007B05C7"/>
    <w:rsid w:val="007B0AA6"/>
    <w:rsid w:val="007B0D96"/>
    <w:rsid w:val="007B0E4E"/>
    <w:rsid w:val="007B1419"/>
    <w:rsid w:val="007B1454"/>
    <w:rsid w:val="007B1787"/>
    <w:rsid w:val="007B1946"/>
    <w:rsid w:val="007B1A46"/>
    <w:rsid w:val="007B1B62"/>
    <w:rsid w:val="007B2935"/>
    <w:rsid w:val="007B2A6B"/>
    <w:rsid w:val="007B2AB6"/>
    <w:rsid w:val="007B3279"/>
    <w:rsid w:val="007B3371"/>
    <w:rsid w:val="007B3E37"/>
    <w:rsid w:val="007B3EA3"/>
    <w:rsid w:val="007B3ECD"/>
    <w:rsid w:val="007B3FCB"/>
    <w:rsid w:val="007B4344"/>
    <w:rsid w:val="007B4392"/>
    <w:rsid w:val="007B4F6C"/>
    <w:rsid w:val="007B5472"/>
    <w:rsid w:val="007B54C7"/>
    <w:rsid w:val="007B5B3A"/>
    <w:rsid w:val="007B5B94"/>
    <w:rsid w:val="007B5D1A"/>
    <w:rsid w:val="007B601A"/>
    <w:rsid w:val="007B60AE"/>
    <w:rsid w:val="007B66DE"/>
    <w:rsid w:val="007B6808"/>
    <w:rsid w:val="007B7341"/>
    <w:rsid w:val="007B740F"/>
    <w:rsid w:val="007B76AD"/>
    <w:rsid w:val="007B78B4"/>
    <w:rsid w:val="007B78DE"/>
    <w:rsid w:val="007B7C7E"/>
    <w:rsid w:val="007B7DFD"/>
    <w:rsid w:val="007B7E9F"/>
    <w:rsid w:val="007B7F79"/>
    <w:rsid w:val="007C00B0"/>
    <w:rsid w:val="007C018D"/>
    <w:rsid w:val="007C02E2"/>
    <w:rsid w:val="007C0359"/>
    <w:rsid w:val="007C042C"/>
    <w:rsid w:val="007C0BCC"/>
    <w:rsid w:val="007C1BC0"/>
    <w:rsid w:val="007C2016"/>
    <w:rsid w:val="007C2557"/>
    <w:rsid w:val="007C2732"/>
    <w:rsid w:val="007C277F"/>
    <w:rsid w:val="007C29BC"/>
    <w:rsid w:val="007C2B5F"/>
    <w:rsid w:val="007C3098"/>
    <w:rsid w:val="007C3EFA"/>
    <w:rsid w:val="007C4122"/>
    <w:rsid w:val="007C4735"/>
    <w:rsid w:val="007C49E1"/>
    <w:rsid w:val="007C4AD2"/>
    <w:rsid w:val="007C5084"/>
    <w:rsid w:val="007C50BB"/>
    <w:rsid w:val="007C50C2"/>
    <w:rsid w:val="007C51F4"/>
    <w:rsid w:val="007C5B9E"/>
    <w:rsid w:val="007C5C1A"/>
    <w:rsid w:val="007C60D9"/>
    <w:rsid w:val="007C64E5"/>
    <w:rsid w:val="007C6CD7"/>
    <w:rsid w:val="007D0309"/>
    <w:rsid w:val="007D04E1"/>
    <w:rsid w:val="007D105A"/>
    <w:rsid w:val="007D1366"/>
    <w:rsid w:val="007D1529"/>
    <w:rsid w:val="007D1766"/>
    <w:rsid w:val="007D1828"/>
    <w:rsid w:val="007D1EEF"/>
    <w:rsid w:val="007D2669"/>
    <w:rsid w:val="007D3477"/>
    <w:rsid w:val="007D37BA"/>
    <w:rsid w:val="007D3C65"/>
    <w:rsid w:val="007D4377"/>
    <w:rsid w:val="007D4E2D"/>
    <w:rsid w:val="007D4E3B"/>
    <w:rsid w:val="007D4E60"/>
    <w:rsid w:val="007D521C"/>
    <w:rsid w:val="007D58CE"/>
    <w:rsid w:val="007D5D02"/>
    <w:rsid w:val="007D5E4C"/>
    <w:rsid w:val="007D6600"/>
    <w:rsid w:val="007D689E"/>
    <w:rsid w:val="007D6FD7"/>
    <w:rsid w:val="007D7121"/>
    <w:rsid w:val="007D754E"/>
    <w:rsid w:val="007D7F1E"/>
    <w:rsid w:val="007E02D0"/>
    <w:rsid w:val="007E04FC"/>
    <w:rsid w:val="007E0690"/>
    <w:rsid w:val="007E096B"/>
    <w:rsid w:val="007E0C80"/>
    <w:rsid w:val="007E0FA0"/>
    <w:rsid w:val="007E108E"/>
    <w:rsid w:val="007E1B5F"/>
    <w:rsid w:val="007E1C4E"/>
    <w:rsid w:val="007E1C70"/>
    <w:rsid w:val="007E1D29"/>
    <w:rsid w:val="007E1E24"/>
    <w:rsid w:val="007E1FBD"/>
    <w:rsid w:val="007E21B5"/>
    <w:rsid w:val="007E24D7"/>
    <w:rsid w:val="007E2A4A"/>
    <w:rsid w:val="007E2D07"/>
    <w:rsid w:val="007E3B20"/>
    <w:rsid w:val="007E3ED3"/>
    <w:rsid w:val="007E4604"/>
    <w:rsid w:val="007E46D9"/>
    <w:rsid w:val="007E5311"/>
    <w:rsid w:val="007E53DA"/>
    <w:rsid w:val="007E558C"/>
    <w:rsid w:val="007E5AE1"/>
    <w:rsid w:val="007E5CEC"/>
    <w:rsid w:val="007E5EC3"/>
    <w:rsid w:val="007E653A"/>
    <w:rsid w:val="007E68EA"/>
    <w:rsid w:val="007E6A0C"/>
    <w:rsid w:val="007E6BA1"/>
    <w:rsid w:val="007E6BCF"/>
    <w:rsid w:val="007E6D6D"/>
    <w:rsid w:val="007E6D8A"/>
    <w:rsid w:val="007E6EB7"/>
    <w:rsid w:val="007E72FC"/>
    <w:rsid w:val="007E7D7A"/>
    <w:rsid w:val="007F00C8"/>
    <w:rsid w:val="007F059A"/>
    <w:rsid w:val="007F0D92"/>
    <w:rsid w:val="007F1060"/>
    <w:rsid w:val="007F1F1E"/>
    <w:rsid w:val="007F2572"/>
    <w:rsid w:val="007F259A"/>
    <w:rsid w:val="007F2C14"/>
    <w:rsid w:val="007F2D89"/>
    <w:rsid w:val="007F3778"/>
    <w:rsid w:val="007F38FF"/>
    <w:rsid w:val="007F3E4A"/>
    <w:rsid w:val="007F3EA2"/>
    <w:rsid w:val="007F4181"/>
    <w:rsid w:val="007F44D2"/>
    <w:rsid w:val="007F469F"/>
    <w:rsid w:val="007F46D7"/>
    <w:rsid w:val="007F4B1A"/>
    <w:rsid w:val="007F5245"/>
    <w:rsid w:val="007F5595"/>
    <w:rsid w:val="007F5F77"/>
    <w:rsid w:val="007F62BA"/>
    <w:rsid w:val="007F6416"/>
    <w:rsid w:val="007F686F"/>
    <w:rsid w:val="007F6E0E"/>
    <w:rsid w:val="007F6EDE"/>
    <w:rsid w:val="00800010"/>
    <w:rsid w:val="00800268"/>
    <w:rsid w:val="00800574"/>
    <w:rsid w:val="0080063D"/>
    <w:rsid w:val="008007D3"/>
    <w:rsid w:val="00800A59"/>
    <w:rsid w:val="00800B52"/>
    <w:rsid w:val="00800E2A"/>
    <w:rsid w:val="00800F7A"/>
    <w:rsid w:val="00801629"/>
    <w:rsid w:val="00801653"/>
    <w:rsid w:val="00801BBD"/>
    <w:rsid w:val="00801D1D"/>
    <w:rsid w:val="00802480"/>
    <w:rsid w:val="00802746"/>
    <w:rsid w:val="00802E9E"/>
    <w:rsid w:val="0080332D"/>
    <w:rsid w:val="008034D2"/>
    <w:rsid w:val="008034EE"/>
    <w:rsid w:val="0080375E"/>
    <w:rsid w:val="00803836"/>
    <w:rsid w:val="00803B93"/>
    <w:rsid w:val="00803EAC"/>
    <w:rsid w:val="0080413A"/>
    <w:rsid w:val="00804324"/>
    <w:rsid w:val="00804413"/>
    <w:rsid w:val="008046CD"/>
    <w:rsid w:val="00804BCB"/>
    <w:rsid w:val="00804C97"/>
    <w:rsid w:val="00804CB8"/>
    <w:rsid w:val="00805106"/>
    <w:rsid w:val="008054CB"/>
    <w:rsid w:val="00805561"/>
    <w:rsid w:val="008056A1"/>
    <w:rsid w:val="00805CF7"/>
    <w:rsid w:val="00805EEB"/>
    <w:rsid w:val="00806492"/>
    <w:rsid w:val="0080736B"/>
    <w:rsid w:val="0080761D"/>
    <w:rsid w:val="00807C7C"/>
    <w:rsid w:val="008105D7"/>
    <w:rsid w:val="00810D44"/>
    <w:rsid w:val="00811783"/>
    <w:rsid w:val="00811995"/>
    <w:rsid w:val="00812151"/>
    <w:rsid w:val="008123E4"/>
    <w:rsid w:val="00812DCD"/>
    <w:rsid w:val="00812DFF"/>
    <w:rsid w:val="00813073"/>
    <w:rsid w:val="0081371A"/>
    <w:rsid w:val="00813720"/>
    <w:rsid w:val="008138F2"/>
    <w:rsid w:val="00813DE5"/>
    <w:rsid w:val="00814533"/>
    <w:rsid w:val="00814CBB"/>
    <w:rsid w:val="00814E8C"/>
    <w:rsid w:val="00814FF0"/>
    <w:rsid w:val="0081526D"/>
    <w:rsid w:val="008154A7"/>
    <w:rsid w:val="00815B3A"/>
    <w:rsid w:val="00816183"/>
    <w:rsid w:val="0081674A"/>
    <w:rsid w:val="00816956"/>
    <w:rsid w:val="008169B5"/>
    <w:rsid w:val="00816EF4"/>
    <w:rsid w:val="008175D2"/>
    <w:rsid w:val="00817CE4"/>
    <w:rsid w:val="00817DA7"/>
    <w:rsid w:val="00817DD2"/>
    <w:rsid w:val="00820338"/>
    <w:rsid w:val="008206D5"/>
    <w:rsid w:val="008207F7"/>
    <w:rsid w:val="0082088D"/>
    <w:rsid w:val="00821056"/>
    <w:rsid w:val="00821A8F"/>
    <w:rsid w:val="00821B0E"/>
    <w:rsid w:val="00821E44"/>
    <w:rsid w:val="0082308D"/>
    <w:rsid w:val="008231D8"/>
    <w:rsid w:val="00823209"/>
    <w:rsid w:val="0082334F"/>
    <w:rsid w:val="008234C1"/>
    <w:rsid w:val="00823EB6"/>
    <w:rsid w:val="0082403C"/>
    <w:rsid w:val="0082438F"/>
    <w:rsid w:val="00824587"/>
    <w:rsid w:val="00824600"/>
    <w:rsid w:val="00824638"/>
    <w:rsid w:val="00825332"/>
    <w:rsid w:val="008260F1"/>
    <w:rsid w:val="00826543"/>
    <w:rsid w:val="008265E1"/>
    <w:rsid w:val="00826A6B"/>
    <w:rsid w:val="00826C66"/>
    <w:rsid w:val="00826DE1"/>
    <w:rsid w:val="00826F0A"/>
    <w:rsid w:val="00826FDD"/>
    <w:rsid w:val="0082720B"/>
    <w:rsid w:val="008276FA"/>
    <w:rsid w:val="008277B2"/>
    <w:rsid w:val="00827D91"/>
    <w:rsid w:val="00827E22"/>
    <w:rsid w:val="00830000"/>
    <w:rsid w:val="00830877"/>
    <w:rsid w:val="00830C49"/>
    <w:rsid w:val="008310C4"/>
    <w:rsid w:val="008313E5"/>
    <w:rsid w:val="008315D0"/>
    <w:rsid w:val="00831A0A"/>
    <w:rsid w:val="00831DF2"/>
    <w:rsid w:val="00831FEE"/>
    <w:rsid w:val="00832330"/>
    <w:rsid w:val="00832696"/>
    <w:rsid w:val="008334D4"/>
    <w:rsid w:val="00833501"/>
    <w:rsid w:val="00833579"/>
    <w:rsid w:val="0083485F"/>
    <w:rsid w:val="00834CD6"/>
    <w:rsid w:val="00834CE0"/>
    <w:rsid w:val="00835757"/>
    <w:rsid w:val="008360ED"/>
    <w:rsid w:val="00836210"/>
    <w:rsid w:val="00836276"/>
    <w:rsid w:val="008368BF"/>
    <w:rsid w:val="00836AF1"/>
    <w:rsid w:val="0083751C"/>
    <w:rsid w:val="00837571"/>
    <w:rsid w:val="00837DEC"/>
    <w:rsid w:val="008404EB"/>
    <w:rsid w:val="00840644"/>
    <w:rsid w:val="00841263"/>
    <w:rsid w:val="00841396"/>
    <w:rsid w:val="00841A9B"/>
    <w:rsid w:val="00841EF7"/>
    <w:rsid w:val="00841FE6"/>
    <w:rsid w:val="00842412"/>
    <w:rsid w:val="008426C5"/>
    <w:rsid w:val="008428D2"/>
    <w:rsid w:val="00842C2A"/>
    <w:rsid w:val="008430B8"/>
    <w:rsid w:val="0084332F"/>
    <w:rsid w:val="00843773"/>
    <w:rsid w:val="00843A38"/>
    <w:rsid w:val="00843F95"/>
    <w:rsid w:val="00844767"/>
    <w:rsid w:val="008449B2"/>
    <w:rsid w:val="00844A07"/>
    <w:rsid w:val="00844FAE"/>
    <w:rsid w:val="00846031"/>
    <w:rsid w:val="008465AA"/>
    <w:rsid w:val="00847007"/>
    <w:rsid w:val="0084705C"/>
    <w:rsid w:val="00847ABC"/>
    <w:rsid w:val="008502F3"/>
    <w:rsid w:val="00851129"/>
    <w:rsid w:val="00851306"/>
    <w:rsid w:val="00851692"/>
    <w:rsid w:val="00851E2B"/>
    <w:rsid w:val="008526F7"/>
    <w:rsid w:val="00852B8C"/>
    <w:rsid w:val="00853347"/>
    <w:rsid w:val="0085342A"/>
    <w:rsid w:val="00853568"/>
    <w:rsid w:val="00854477"/>
    <w:rsid w:val="008544D5"/>
    <w:rsid w:val="00854B93"/>
    <w:rsid w:val="00855199"/>
    <w:rsid w:val="00855D58"/>
    <w:rsid w:val="008565B8"/>
    <w:rsid w:val="0085672C"/>
    <w:rsid w:val="008567DB"/>
    <w:rsid w:val="00856BC7"/>
    <w:rsid w:val="00857560"/>
    <w:rsid w:val="008575B7"/>
    <w:rsid w:val="00857602"/>
    <w:rsid w:val="00860628"/>
    <w:rsid w:val="008608BF"/>
    <w:rsid w:val="00860FA9"/>
    <w:rsid w:val="0086150C"/>
    <w:rsid w:val="008617FA"/>
    <w:rsid w:val="00862277"/>
    <w:rsid w:val="008626D1"/>
    <w:rsid w:val="00862D43"/>
    <w:rsid w:val="00862EA8"/>
    <w:rsid w:val="00863FD2"/>
    <w:rsid w:val="0086426E"/>
    <w:rsid w:val="0086435F"/>
    <w:rsid w:val="0086457D"/>
    <w:rsid w:val="00864654"/>
    <w:rsid w:val="008649DF"/>
    <w:rsid w:val="00864C26"/>
    <w:rsid w:val="00864E06"/>
    <w:rsid w:val="0086534E"/>
    <w:rsid w:val="0086541E"/>
    <w:rsid w:val="008657EC"/>
    <w:rsid w:val="00865E4F"/>
    <w:rsid w:val="00865EB5"/>
    <w:rsid w:val="0086623D"/>
    <w:rsid w:val="0086662A"/>
    <w:rsid w:val="00866A10"/>
    <w:rsid w:val="00866A30"/>
    <w:rsid w:val="0086705B"/>
    <w:rsid w:val="00867529"/>
    <w:rsid w:val="00867B34"/>
    <w:rsid w:val="008701FF"/>
    <w:rsid w:val="00870630"/>
    <w:rsid w:val="00870AD2"/>
    <w:rsid w:val="00871D39"/>
    <w:rsid w:val="00872239"/>
    <w:rsid w:val="00872D6C"/>
    <w:rsid w:val="00872ED2"/>
    <w:rsid w:val="008730CF"/>
    <w:rsid w:val="00874012"/>
    <w:rsid w:val="00874F3E"/>
    <w:rsid w:val="00875191"/>
    <w:rsid w:val="00875545"/>
    <w:rsid w:val="00875605"/>
    <w:rsid w:val="00875DDC"/>
    <w:rsid w:val="00875DEA"/>
    <w:rsid w:val="0087631E"/>
    <w:rsid w:val="00876B11"/>
    <w:rsid w:val="008773BB"/>
    <w:rsid w:val="008774F2"/>
    <w:rsid w:val="0087761C"/>
    <w:rsid w:val="00880398"/>
    <w:rsid w:val="0088059B"/>
    <w:rsid w:val="0088070D"/>
    <w:rsid w:val="00880D14"/>
    <w:rsid w:val="008810A1"/>
    <w:rsid w:val="008815F5"/>
    <w:rsid w:val="00881B3C"/>
    <w:rsid w:val="00881C1F"/>
    <w:rsid w:val="00881C48"/>
    <w:rsid w:val="00881CBE"/>
    <w:rsid w:val="008823D0"/>
    <w:rsid w:val="0088349D"/>
    <w:rsid w:val="008838F7"/>
    <w:rsid w:val="00883920"/>
    <w:rsid w:val="00883B93"/>
    <w:rsid w:val="008840CA"/>
    <w:rsid w:val="00884E33"/>
    <w:rsid w:val="008851A7"/>
    <w:rsid w:val="008851F6"/>
    <w:rsid w:val="0088577D"/>
    <w:rsid w:val="00885B84"/>
    <w:rsid w:val="00885C94"/>
    <w:rsid w:val="00886049"/>
    <w:rsid w:val="0088641E"/>
    <w:rsid w:val="0088669E"/>
    <w:rsid w:val="00886B1A"/>
    <w:rsid w:val="008871E8"/>
    <w:rsid w:val="00887DA0"/>
    <w:rsid w:val="00890798"/>
    <w:rsid w:val="008909E8"/>
    <w:rsid w:val="00890A33"/>
    <w:rsid w:val="00890D54"/>
    <w:rsid w:val="00890F57"/>
    <w:rsid w:val="00891131"/>
    <w:rsid w:val="00891D51"/>
    <w:rsid w:val="008920C6"/>
    <w:rsid w:val="00892107"/>
    <w:rsid w:val="008922FC"/>
    <w:rsid w:val="008925C2"/>
    <w:rsid w:val="00892EBD"/>
    <w:rsid w:val="00892F5D"/>
    <w:rsid w:val="0089359F"/>
    <w:rsid w:val="00893630"/>
    <w:rsid w:val="00893907"/>
    <w:rsid w:val="00893BF4"/>
    <w:rsid w:val="00894081"/>
    <w:rsid w:val="008943D7"/>
    <w:rsid w:val="00894530"/>
    <w:rsid w:val="008948A4"/>
    <w:rsid w:val="00894CDE"/>
    <w:rsid w:val="008950AC"/>
    <w:rsid w:val="008955AE"/>
    <w:rsid w:val="008959E4"/>
    <w:rsid w:val="00895FEC"/>
    <w:rsid w:val="008960B0"/>
    <w:rsid w:val="008962F7"/>
    <w:rsid w:val="00896738"/>
    <w:rsid w:val="00896D6A"/>
    <w:rsid w:val="00897153"/>
    <w:rsid w:val="00897315"/>
    <w:rsid w:val="008979CC"/>
    <w:rsid w:val="00897A62"/>
    <w:rsid w:val="008A019A"/>
    <w:rsid w:val="008A0875"/>
    <w:rsid w:val="008A08F0"/>
    <w:rsid w:val="008A1214"/>
    <w:rsid w:val="008A1B1F"/>
    <w:rsid w:val="008A1D03"/>
    <w:rsid w:val="008A1F89"/>
    <w:rsid w:val="008A245C"/>
    <w:rsid w:val="008A259E"/>
    <w:rsid w:val="008A2A9D"/>
    <w:rsid w:val="008A2E4E"/>
    <w:rsid w:val="008A2EC1"/>
    <w:rsid w:val="008A3851"/>
    <w:rsid w:val="008A3869"/>
    <w:rsid w:val="008A3997"/>
    <w:rsid w:val="008A3B9C"/>
    <w:rsid w:val="008A4355"/>
    <w:rsid w:val="008A45C9"/>
    <w:rsid w:val="008A468A"/>
    <w:rsid w:val="008A4F05"/>
    <w:rsid w:val="008A521A"/>
    <w:rsid w:val="008A55F0"/>
    <w:rsid w:val="008A5C93"/>
    <w:rsid w:val="008A63DD"/>
    <w:rsid w:val="008A6A0E"/>
    <w:rsid w:val="008A739A"/>
    <w:rsid w:val="008A75A5"/>
    <w:rsid w:val="008A7985"/>
    <w:rsid w:val="008A7C70"/>
    <w:rsid w:val="008A7D9A"/>
    <w:rsid w:val="008B081F"/>
    <w:rsid w:val="008B0CE0"/>
    <w:rsid w:val="008B149A"/>
    <w:rsid w:val="008B16C0"/>
    <w:rsid w:val="008B28ED"/>
    <w:rsid w:val="008B2989"/>
    <w:rsid w:val="008B2B28"/>
    <w:rsid w:val="008B2D51"/>
    <w:rsid w:val="008B301D"/>
    <w:rsid w:val="008B3739"/>
    <w:rsid w:val="008B3DC3"/>
    <w:rsid w:val="008B403A"/>
    <w:rsid w:val="008B4A23"/>
    <w:rsid w:val="008B5245"/>
    <w:rsid w:val="008B67F2"/>
    <w:rsid w:val="008B685D"/>
    <w:rsid w:val="008B6861"/>
    <w:rsid w:val="008B6941"/>
    <w:rsid w:val="008B6D3F"/>
    <w:rsid w:val="008B6EC7"/>
    <w:rsid w:val="008B7CA6"/>
    <w:rsid w:val="008B7D99"/>
    <w:rsid w:val="008C0294"/>
    <w:rsid w:val="008C0360"/>
    <w:rsid w:val="008C0DE7"/>
    <w:rsid w:val="008C0DE8"/>
    <w:rsid w:val="008C0ECD"/>
    <w:rsid w:val="008C115B"/>
    <w:rsid w:val="008C275C"/>
    <w:rsid w:val="008C27E1"/>
    <w:rsid w:val="008C2959"/>
    <w:rsid w:val="008C2BA7"/>
    <w:rsid w:val="008C362A"/>
    <w:rsid w:val="008C41CF"/>
    <w:rsid w:val="008C41FA"/>
    <w:rsid w:val="008C4509"/>
    <w:rsid w:val="008C4976"/>
    <w:rsid w:val="008C4983"/>
    <w:rsid w:val="008C5011"/>
    <w:rsid w:val="008C52A6"/>
    <w:rsid w:val="008C540A"/>
    <w:rsid w:val="008C587B"/>
    <w:rsid w:val="008C5CF3"/>
    <w:rsid w:val="008C6635"/>
    <w:rsid w:val="008C68C1"/>
    <w:rsid w:val="008C69AC"/>
    <w:rsid w:val="008C6C29"/>
    <w:rsid w:val="008C750A"/>
    <w:rsid w:val="008C7DC6"/>
    <w:rsid w:val="008D0273"/>
    <w:rsid w:val="008D07B7"/>
    <w:rsid w:val="008D0E81"/>
    <w:rsid w:val="008D0FCD"/>
    <w:rsid w:val="008D10BC"/>
    <w:rsid w:val="008D19E5"/>
    <w:rsid w:val="008D1A81"/>
    <w:rsid w:val="008D1AA7"/>
    <w:rsid w:val="008D1C98"/>
    <w:rsid w:val="008D1E55"/>
    <w:rsid w:val="008D2146"/>
    <w:rsid w:val="008D22FD"/>
    <w:rsid w:val="008D28FA"/>
    <w:rsid w:val="008D29D4"/>
    <w:rsid w:val="008D2B05"/>
    <w:rsid w:val="008D2B41"/>
    <w:rsid w:val="008D3C98"/>
    <w:rsid w:val="008D3D9B"/>
    <w:rsid w:val="008D3FDA"/>
    <w:rsid w:val="008D4AE2"/>
    <w:rsid w:val="008D4EDD"/>
    <w:rsid w:val="008D52CA"/>
    <w:rsid w:val="008D5B47"/>
    <w:rsid w:val="008D613D"/>
    <w:rsid w:val="008D623C"/>
    <w:rsid w:val="008D67E9"/>
    <w:rsid w:val="008D6E91"/>
    <w:rsid w:val="008D79B4"/>
    <w:rsid w:val="008E01DB"/>
    <w:rsid w:val="008E025D"/>
    <w:rsid w:val="008E062A"/>
    <w:rsid w:val="008E0889"/>
    <w:rsid w:val="008E11AC"/>
    <w:rsid w:val="008E1466"/>
    <w:rsid w:val="008E16E7"/>
    <w:rsid w:val="008E1823"/>
    <w:rsid w:val="008E2413"/>
    <w:rsid w:val="008E2422"/>
    <w:rsid w:val="008E2800"/>
    <w:rsid w:val="008E2880"/>
    <w:rsid w:val="008E28A5"/>
    <w:rsid w:val="008E2D7B"/>
    <w:rsid w:val="008E300F"/>
    <w:rsid w:val="008E3063"/>
    <w:rsid w:val="008E4748"/>
    <w:rsid w:val="008E4E10"/>
    <w:rsid w:val="008E50D5"/>
    <w:rsid w:val="008E52F3"/>
    <w:rsid w:val="008E5B6A"/>
    <w:rsid w:val="008E611C"/>
    <w:rsid w:val="008E7115"/>
    <w:rsid w:val="008E7266"/>
    <w:rsid w:val="008E72EC"/>
    <w:rsid w:val="008E75B6"/>
    <w:rsid w:val="008E781E"/>
    <w:rsid w:val="008E7BB0"/>
    <w:rsid w:val="008E7E42"/>
    <w:rsid w:val="008E7F6E"/>
    <w:rsid w:val="008F086A"/>
    <w:rsid w:val="008F15B9"/>
    <w:rsid w:val="008F160D"/>
    <w:rsid w:val="008F177F"/>
    <w:rsid w:val="008F1A12"/>
    <w:rsid w:val="008F246B"/>
    <w:rsid w:val="008F2911"/>
    <w:rsid w:val="008F2E00"/>
    <w:rsid w:val="008F2EE0"/>
    <w:rsid w:val="008F3320"/>
    <w:rsid w:val="008F349A"/>
    <w:rsid w:val="008F34C6"/>
    <w:rsid w:val="008F487D"/>
    <w:rsid w:val="008F4BBF"/>
    <w:rsid w:val="008F4CBB"/>
    <w:rsid w:val="008F5FEC"/>
    <w:rsid w:val="008F6216"/>
    <w:rsid w:val="008F65FE"/>
    <w:rsid w:val="008F6971"/>
    <w:rsid w:val="008F6D01"/>
    <w:rsid w:val="008F70DC"/>
    <w:rsid w:val="008F722F"/>
    <w:rsid w:val="008F7D1B"/>
    <w:rsid w:val="008F7DC2"/>
    <w:rsid w:val="00900014"/>
    <w:rsid w:val="009001DD"/>
    <w:rsid w:val="009009A4"/>
    <w:rsid w:val="00900B6F"/>
    <w:rsid w:val="00900F06"/>
    <w:rsid w:val="009013B4"/>
    <w:rsid w:val="009013CA"/>
    <w:rsid w:val="00901BDD"/>
    <w:rsid w:val="00901CA1"/>
    <w:rsid w:val="00902F6B"/>
    <w:rsid w:val="0090381F"/>
    <w:rsid w:val="00903B10"/>
    <w:rsid w:val="009044E6"/>
    <w:rsid w:val="009047D5"/>
    <w:rsid w:val="00904AE8"/>
    <w:rsid w:val="00904D98"/>
    <w:rsid w:val="00904E56"/>
    <w:rsid w:val="00905230"/>
    <w:rsid w:val="00905271"/>
    <w:rsid w:val="00905E59"/>
    <w:rsid w:val="00906881"/>
    <w:rsid w:val="0090768A"/>
    <w:rsid w:val="009078C8"/>
    <w:rsid w:val="00907BD8"/>
    <w:rsid w:val="00910119"/>
    <w:rsid w:val="00910509"/>
    <w:rsid w:val="00910585"/>
    <w:rsid w:val="0091091B"/>
    <w:rsid w:val="00910C8E"/>
    <w:rsid w:val="00911393"/>
    <w:rsid w:val="009115E6"/>
    <w:rsid w:val="00911E59"/>
    <w:rsid w:val="00911F3B"/>
    <w:rsid w:val="00912630"/>
    <w:rsid w:val="009127E5"/>
    <w:rsid w:val="00912F0F"/>
    <w:rsid w:val="00913AB3"/>
    <w:rsid w:val="0091433F"/>
    <w:rsid w:val="009148AD"/>
    <w:rsid w:val="00914B8E"/>
    <w:rsid w:val="009152A7"/>
    <w:rsid w:val="009157B7"/>
    <w:rsid w:val="009160A3"/>
    <w:rsid w:val="009161DB"/>
    <w:rsid w:val="00916ADE"/>
    <w:rsid w:val="0091720A"/>
    <w:rsid w:val="00917569"/>
    <w:rsid w:val="0091777A"/>
    <w:rsid w:val="00917842"/>
    <w:rsid w:val="00917C51"/>
    <w:rsid w:val="009208D4"/>
    <w:rsid w:val="00920B4F"/>
    <w:rsid w:val="00921007"/>
    <w:rsid w:val="00921205"/>
    <w:rsid w:val="00921591"/>
    <w:rsid w:val="009216E5"/>
    <w:rsid w:val="00921812"/>
    <w:rsid w:val="0092207A"/>
    <w:rsid w:val="009225C0"/>
    <w:rsid w:val="00922D32"/>
    <w:rsid w:val="0092309B"/>
    <w:rsid w:val="009237D8"/>
    <w:rsid w:val="009237F9"/>
    <w:rsid w:val="00923BD6"/>
    <w:rsid w:val="00924562"/>
    <w:rsid w:val="00924B71"/>
    <w:rsid w:val="009254A8"/>
    <w:rsid w:val="009254F3"/>
    <w:rsid w:val="00925568"/>
    <w:rsid w:val="00925A72"/>
    <w:rsid w:val="00925B2C"/>
    <w:rsid w:val="00925DC7"/>
    <w:rsid w:val="00925FA2"/>
    <w:rsid w:val="00926906"/>
    <w:rsid w:val="00926AFB"/>
    <w:rsid w:val="00926C0E"/>
    <w:rsid w:val="00926F68"/>
    <w:rsid w:val="009274B6"/>
    <w:rsid w:val="0093034F"/>
    <w:rsid w:val="009313A9"/>
    <w:rsid w:val="0093184C"/>
    <w:rsid w:val="00931AB2"/>
    <w:rsid w:val="009326CB"/>
    <w:rsid w:val="00932849"/>
    <w:rsid w:val="00933266"/>
    <w:rsid w:val="009335AC"/>
    <w:rsid w:val="009338C0"/>
    <w:rsid w:val="00933C1D"/>
    <w:rsid w:val="00933F24"/>
    <w:rsid w:val="0093430A"/>
    <w:rsid w:val="009343F1"/>
    <w:rsid w:val="0093470C"/>
    <w:rsid w:val="00934B38"/>
    <w:rsid w:val="00934D2B"/>
    <w:rsid w:val="00936520"/>
    <w:rsid w:val="00936549"/>
    <w:rsid w:val="00937904"/>
    <w:rsid w:val="00937C86"/>
    <w:rsid w:val="009409DA"/>
    <w:rsid w:val="00940AE7"/>
    <w:rsid w:val="00940AEA"/>
    <w:rsid w:val="0094186A"/>
    <w:rsid w:val="009428E7"/>
    <w:rsid w:val="009429D1"/>
    <w:rsid w:val="00942C36"/>
    <w:rsid w:val="00942C5C"/>
    <w:rsid w:val="00942CAA"/>
    <w:rsid w:val="00942FC8"/>
    <w:rsid w:val="00943235"/>
    <w:rsid w:val="009432D6"/>
    <w:rsid w:val="009436F4"/>
    <w:rsid w:val="0094407F"/>
    <w:rsid w:val="0094485F"/>
    <w:rsid w:val="00945747"/>
    <w:rsid w:val="00945910"/>
    <w:rsid w:val="00945FF7"/>
    <w:rsid w:val="00946847"/>
    <w:rsid w:val="00946C40"/>
    <w:rsid w:val="00946E9C"/>
    <w:rsid w:val="00947ADE"/>
    <w:rsid w:val="00947C4C"/>
    <w:rsid w:val="00947C82"/>
    <w:rsid w:val="00947FC4"/>
    <w:rsid w:val="00950103"/>
    <w:rsid w:val="00950A06"/>
    <w:rsid w:val="0095125F"/>
    <w:rsid w:val="0095174F"/>
    <w:rsid w:val="0095184E"/>
    <w:rsid w:val="009519BD"/>
    <w:rsid w:val="009519F4"/>
    <w:rsid w:val="0095229F"/>
    <w:rsid w:val="009525CA"/>
    <w:rsid w:val="00952C62"/>
    <w:rsid w:val="00953088"/>
    <w:rsid w:val="009534A0"/>
    <w:rsid w:val="00953923"/>
    <w:rsid w:val="009539C1"/>
    <w:rsid w:val="0095402F"/>
    <w:rsid w:val="0095484E"/>
    <w:rsid w:val="00954A08"/>
    <w:rsid w:val="0095521C"/>
    <w:rsid w:val="00956B61"/>
    <w:rsid w:val="00956F2E"/>
    <w:rsid w:val="00957449"/>
    <w:rsid w:val="009575DA"/>
    <w:rsid w:val="009577E3"/>
    <w:rsid w:val="00957A03"/>
    <w:rsid w:val="00957BC3"/>
    <w:rsid w:val="00957D60"/>
    <w:rsid w:val="0096018E"/>
    <w:rsid w:val="00960F5F"/>
    <w:rsid w:val="009613E5"/>
    <w:rsid w:val="00961D96"/>
    <w:rsid w:val="00962612"/>
    <w:rsid w:val="00962706"/>
    <w:rsid w:val="00962AD1"/>
    <w:rsid w:val="00962B52"/>
    <w:rsid w:val="00962C21"/>
    <w:rsid w:val="00962F3F"/>
    <w:rsid w:val="0096310B"/>
    <w:rsid w:val="00963328"/>
    <w:rsid w:val="00963F31"/>
    <w:rsid w:val="009641CB"/>
    <w:rsid w:val="00964399"/>
    <w:rsid w:val="0096456E"/>
    <w:rsid w:val="009648B5"/>
    <w:rsid w:val="00965227"/>
    <w:rsid w:val="00965709"/>
    <w:rsid w:val="009657D4"/>
    <w:rsid w:val="009664A5"/>
    <w:rsid w:val="00966605"/>
    <w:rsid w:val="0096661C"/>
    <w:rsid w:val="00966AC7"/>
    <w:rsid w:val="00967007"/>
    <w:rsid w:val="00967A6B"/>
    <w:rsid w:val="00967B71"/>
    <w:rsid w:val="00967D92"/>
    <w:rsid w:val="0097001F"/>
    <w:rsid w:val="009703E0"/>
    <w:rsid w:val="009708FB"/>
    <w:rsid w:val="009709AD"/>
    <w:rsid w:val="00970DD1"/>
    <w:rsid w:val="00971149"/>
    <w:rsid w:val="0097115F"/>
    <w:rsid w:val="00971A08"/>
    <w:rsid w:val="00971B18"/>
    <w:rsid w:val="00971C37"/>
    <w:rsid w:val="009720CE"/>
    <w:rsid w:val="00972190"/>
    <w:rsid w:val="00972784"/>
    <w:rsid w:val="00973165"/>
    <w:rsid w:val="009736DF"/>
    <w:rsid w:val="00974684"/>
    <w:rsid w:val="00975B36"/>
    <w:rsid w:val="00976083"/>
    <w:rsid w:val="00976383"/>
    <w:rsid w:val="009769F7"/>
    <w:rsid w:val="00976D4D"/>
    <w:rsid w:val="00977656"/>
    <w:rsid w:val="009776EA"/>
    <w:rsid w:val="00977732"/>
    <w:rsid w:val="00977768"/>
    <w:rsid w:val="00977AC1"/>
    <w:rsid w:val="009804E5"/>
    <w:rsid w:val="00980B1F"/>
    <w:rsid w:val="00981488"/>
    <w:rsid w:val="0098174D"/>
    <w:rsid w:val="00981EA7"/>
    <w:rsid w:val="009826E1"/>
    <w:rsid w:val="00982BBC"/>
    <w:rsid w:val="00982C6D"/>
    <w:rsid w:val="00982C93"/>
    <w:rsid w:val="009831A1"/>
    <w:rsid w:val="009832CD"/>
    <w:rsid w:val="00983DF0"/>
    <w:rsid w:val="00983ECF"/>
    <w:rsid w:val="009842D4"/>
    <w:rsid w:val="00984BEF"/>
    <w:rsid w:val="00984BF4"/>
    <w:rsid w:val="00985E7D"/>
    <w:rsid w:val="00987ADC"/>
    <w:rsid w:val="009913C2"/>
    <w:rsid w:val="0099194F"/>
    <w:rsid w:val="00991F19"/>
    <w:rsid w:val="009927F3"/>
    <w:rsid w:val="0099284F"/>
    <w:rsid w:val="00992AA5"/>
    <w:rsid w:val="00992F23"/>
    <w:rsid w:val="00993649"/>
    <w:rsid w:val="009938CA"/>
    <w:rsid w:val="00993A7B"/>
    <w:rsid w:val="00993D40"/>
    <w:rsid w:val="00994562"/>
    <w:rsid w:val="0099482C"/>
    <w:rsid w:val="00994C05"/>
    <w:rsid w:val="00994F0A"/>
    <w:rsid w:val="00995088"/>
    <w:rsid w:val="00995154"/>
    <w:rsid w:val="00995327"/>
    <w:rsid w:val="009957E2"/>
    <w:rsid w:val="00995C7F"/>
    <w:rsid w:val="00995D18"/>
    <w:rsid w:val="00995D3E"/>
    <w:rsid w:val="0099666A"/>
    <w:rsid w:val="009969FF"/>
    <w:rsid w:val="00997515"/>
    <w:rsid w:val="00997694"/>
    <w:rsid w:val="0099799E"/>
    <w:rsid w:val="00997D49"/>
    <w:rsid w:val="009A0065"/>
    <w:rsid w:val="009A00AC"/>
    <w:rsid w:val="009A04C7"/>
    <w:rsid w:val="009A1570"/>
    <w:rsid w:val="009A166D"/>
    <w:rsid w:val="009A1950"/>
    <w:rsid w:val="009A1A1A"/>
    <w:rsid w:val="009A1DC5"/>
    <w:rsid w:val="009A1ED8"/>
    <w:rsid w:val="009A25C9"/>
    <w:rsid w:val="009A29F4"/>
    <w:rsid w:val="009A32B1"/>
    <w:rsid w:val="009A32EA"/>
    <w:rsid w:val="009A4811"/>
    <w:rsid w:val="009A4952"/>
    <w:rsid w:val="009A495A"/>
    <w:rsid w:val="009A4E90"/>
    <w:rsid w:val="009A4FD4"/>
    <w:rsid w:val="009A582D"/>
    <w:rsid w:val="009A5A38"/>
    <w:rsid w:val="009A6886"/>
    <w:rsid w:val="009A6C3A"/>
    <w:rsid w:val="009A702C"/>
    <w:rsid w:val="009A7180"/>
    <w:rsid w:val="009A73D2"/>
    <w:rsid w:val="009A7C17"/>
    <w:rsid w:val="009A7C3E"/>
    <w:rsid w:val="009B0CE8"/>
    <w:rsid w:val="009B10F3"/>
    <w:rsid w:val="009B128A"/>
    <w:rsid w:val="009B1AB8"/>
    <w:rsid w:val="009B21F9"/>
    <w:rsid w:val="009B2736"/>
    <w:rsid w:val="009B29C1"/>
    <w:rsid w:val="009B30A8"/>
    <w:rsid w:val="009B30E8"/>
    <w:rsid w:val="009B344C"/>
    <w:rsid w:val="009B3626"/>
    <w:rsid w:val="009B3A98"/>
    <w:rsid w:val="009B3FAB"/>
    <w:rsid w:val="009B4C04"/>
    <w:rsid w:val="009B58D9"/>
    <w:rsid w:val="009B5AAB"/>
    <w:rsid w:val="009B6093"/>
    <w:rsid w:val="009B6591"/>
    <w:rsid w:val="009B72D4"/>
    <w:rsid w:val="009B735C"/>
    <w:rsid w:val="009B7B13"/>
    <w:rsid w:val="009B7E20"/>
    <w:rsid w:val="009B7FA4"/>
    <w:rsid w:val="009C07D6"/>
    <w:rsid w:val="009C11C4"/>
    <w:rsid w:val="009C1288"/>
    <w:rsid w:val="009C1350"/>
    <w:rsid w:val="009C1869"/>
    <w:rsid w:val="009C2D37"/>
    <w:rsid w:val="009C2D98"/>
    <w:rsid w:val="009C3543"/>
    <w:rsid w:val="009C36DA"/>
    <w:rsid w:val="009C3C3A"/>
    <w:rsid w:val="009C3E70"/>
    <w:rsid w:val="009C4397"/>
    <w:rsid w:val="009C4B26"/>
    <w:rsid w:val="009C4F36"/>
    <w:rsid w:val="009C524F"/>
    <w:rsid w:val="009C5974"/>
    <w:rsid w:val="009C59B6"/>
    <w:rsid w:val="009C5CBD"/>
    <w:rsid w:val="009C62B7"/>
    <w:rsid w:val="009C6AE7"/>
    <w:rsid w:val="009C7075"/>
    <w:rsid w:val="009C7689"/>
    <w:rsid w:val="009C7999"/>
    <w:rsid w:val="009C7C11"/>
    <w:rsid w:val="009C7E8C"/>
    <w:rsid w:val="009D0646"/>
    <w:rsid w:val="009D0900"/>
    <w:rsid w:val="009D102A"/>
    <w:rsid w:val="009D2C09"/>
    <w:rsid w:val="009D2D87"/>
    <w:rsid w:val="009D3250"/>
    <w:rsid w:val="009D359E"/>
    <w:rsid w:val="009D3BB8"/>
    <w:rsid w:val="009D3C47"/>
    <w:rsid w:val="009D3F0A"/>
    <w:rsid w:val="009D3F10"/>
    <w:rsid w:val="009D4459"/>
    <w:rsid w:val="009D44DF"/>
    <w:rsid w:val="009D4532"/>
    <w:rsid w:val="009D47F0"/>
    <w:rsid w:val="009D4896"/>
    <w:rsid w:val="009D5566"/>
    <w:rsid w:val="009D5FAE"/>
    <w:rsid w:val="009D6217"/>
    <w:rsid w:val="009D63E0"/>
    <w:rsid w:val="009D659C"/>
    <w:rsid w:val="009D66CB"/>
    <w:rsid w:val="009D674A"/>
    <w:rsid w:val="009D6BDF"/>
    <w:rsid w:val="009D6DD7"/>
    <w:rsid w:val="009D6E14"/>
    <w:rsid w:val="009D6F17"/>
    <w:rsid w:val="009D71F0"/>
    <w:rsid w:val="009D7221"/>
    <w:rsid w:val="009D786D"/>
    <w:rsid w:val="009E0212"/>
    <w:rsid w:val="009E0A66"/>
    <w:rsid w:val="009E0AC3"/>
    <w:rsid w:val="009E19D2"/>
    <w:rsid w:val="009E1FA7"/>
    <w:rsid w:val="009E2601"/>
    <w:rsid w:val="009E2C12"/>
    <w:rsid w:val="009E2DFC"/>
    <w:rsid w:val="009E2E10"/>
    <w:rsid w:val="009E2E46"/>
    <w:rsid w:val="009E3743"/>
    <w:rsid w:val="009E3830"/>
    <w:rsid w:val="009E3910"/>
    <w:rsid w:val="009E3E09"/>
    <w:rsid w:val="009E3E90"/>
    <w:rsid w:val="009E4270"/>
    <w:rsid w:val="009E4985"/>
    <w:rsid w:val="009E4FD2"/>
    <w:rsid w:val="009E5F6C"/>
    <w:rsid w:val="009E644E"/>
    <w:rsid w:val="009E6881"/>
    <w:rsid w:val="009E6982"/>
    <w:rsid w:val="009E6B77"/>
    <w:rsid w:val="009E6EDD"/>
    <w:rsid w:val="009E7848"/>
    <w:rsid w:val="009F03D1"/>
    <w:rsid w:val="009F0492"/>
    <w:rsid w:val="009F0679"/>
    <w:rsid w:val="009F1609"/>
    <w:rsid w:val="009F187F"/>
    <w:rsid w:val="009F1B1D"/>
    <w:rsid w:val="009F1C30"/>
    <w:rsid w:val="009F1D50"/>
    <w:rsid w:val="009F2562"/>
    <w:rsid w:val="009F2FAA"/>
    <w:rsid w:val="009F3540"/>
    <w:rsid w:val="009F373E"/>
    <w:rsid w:val="009F3903"/>
    <w:rsid w:val="009F3957"/>
    <w:rsid w:val="009F3CA5"/>
    <w:rsid w:val="009F4CAB"/>
    <w:rsid w:val="009F4F6C"/>
    <w:rsid w:val="009F5299"/>
    <w:rsid w:val="009F5BD9"/>
    <w:rsid w:val="009F5E3B"/>
    <w:rsid w:val="009F5F3F"/>
    <w:rsid w:val="009F630F"/>
    <w:rsid w:val="009F6390"/>
    <w:rsid w:val="009F6CBD"/>
    <w:rsid w:val="009F71A5"/>
    <w:rsid w:val="009F7248"/>
    <w:rsid w:val="009F737F"/>
    <w:rsid w:val="009F7A70"/>
    <w:rsid w:val="00A008E3"/>
    <w:rsid w:val="00A00AC3"/>
    <w:rsid w:val="00A00D73"/>
    <w:rsid w:val="00A018A0"/>
    <w:rsid w:val="00A0263E"/>
    <w:rsid w:val="00A02942"/>
    <w:rsid w:val="00A031E9"/>
    <w:rsid w:val="00A03494"/>
    <w:rsid w:val="00A04A2F"/>
    <w:rsid w:val="00A04A6C"/>
    <w:rsid w:val="00A04B09"/>
    <w:rsid w:val="00A0560E"/>
    <w:rsid w:val="00A0576F"/>
    <w:rsid w:val="00A058E0"/>
    <w:rsid w:val="00A05FEA"/>
    <w:rsid w:val="00A06194"/>
    <w:rsid w:val="00A068A4"/>
    <w:rsid w:val="00A06B5D"/>
    <w:rsid w:val="00A06E10"/>
    <w:rsid w:val="00A06F9C"/>
    <w:rsid w:val="00A07324"/>
    <w:rsid w:val="00A07441"/>
    <w:rsid w:val="00A076A5"/>
    <w:rsid w:val="00A1008E"/>
    <w:rsid w:val="00A10194"/>
    <w:rsid w:val="00A101F6"/>
    <w:rsid w:val="00A105F1"/>
    <w:rsid w:val="00A10959"/>
    <w:rsid w:val="00A11696"/>
    <w:rsid w:val="00A116A5"/>
    <w:rsid w:val="00A118AC"/>
    <w:rsid w:val="00A11AAA"/>
    <w:rsid w:val="00A12023"/>
    <w:rsid w:val="00A12270"/>
    <w:rsid w:val="00A1287D"/>
    <w:rsid w:val="00A12D00"/>
    <w:rsid w:val="00A12D49"/>
    <w:rsid w:val="00A12FFD"/>
    <w:rsid w:val="00A135B4"/>
    <w:rsid w:val="00A1402E"/>
    <w:rsid w:val="00A143E2"/>
    <w:rsid w:val="00A148E6"/>
    <w:rsid w:val="00A149FB"/>
    <w:rsid w:val="00A14A12"/>
    <w:rsid w:val="00A14F2C"/>
    <w:rsid w:val="00A14F7F"/>
    <w:rsid w:val="00A15210"/>
    <w:rsid w:val="00A15A2F"/>
    <w:rsid w:val="00A15A40"/>
    <w:rsid w:val="00A15CA9"/>
    <w:rsid w:val="00A16133"/>
    <w:rsid w:val="00A161B9"/>
    <w:rsid w:val="00A16471"/>
    <w:rsid w:val="00A16C24"/>
    <w:rsid w:val="00A17338"/>
    <w:rsid w:val="00A17926"/>
    <w:rsid w:val="00A179DA"/>
    <w:rsid w:val="00A17EC8"/>
    <w:rsid w:val="00A17FCC"/>
    <w:rsid w:val="00A2004E"/>
    <w:rsid w:val="00A20714"/>
    <w:rsid w:val="00A207CE"/>
    <w:rsid w:val="00A20B5D"/>
    <w:rsid w:val="00A20B7B"/>
    <w:rsid w:val="00A20CB4"/>
    <w:rsid w:val="00A20CC9"/>
    <w:rsid w:val="00A2131E"/>
    <w:rsid w:val="00A217DF"/>
    <w:rsid w:val="00A21EE4"/>
    <w:rsid w:val="00A22464"/>
    <w:rsid w:val="00A225EE"/>
    <w:rsid w:val="00A22847"/>
    <w:rsid w:val="00A22F22"/>
    <w:rsid w:val="00A235FB"/>
    <w:rsid w:val="00A23723"/>
    <w:rsid w:val="00A23FD8"/>
    <w:rsid w:val="00A24298"/>
    <w:rsid w:val="00A245B6"/>
    <w:rsid w:val="00A24DC8"/>
    <w:rsid w:val="00A251D4"/>
    <w:rsid w:val="00A2573B"/>
    <w:rsid w:val="00A258D7"/>
    <w:rsid w:val="00A262D3"/>
    <w:rsid w:val="00A2637C"/>
    <w:rsid w:val="00A2639C"/>
    <w:rsid w:val="00A26A4A"/>
    <w:rsid w:val="00A26A71"/>
    <w:rsid w:val="00A26B82"/>
    <w:rsid w:val="00A27355"/>
    <w:rsid w:val="00A27BA8"/>
    <w:rsid w:val="00A27FDA"/>
    <w:rsid w:val="00A30239"/>
    <w:rsid w:val="00A302E1"/>
    <w:rsid w:val="00A30554"/>
    <w:rsid w:val="00A30AC9"/>
    <w:rsid w:val="00A31072"/>
    <w:rsid w:val="00A3137B"/>
    <w:rsid w:val="00A31463"/>
    <w:rsid w:val="00A3191A"/>
    <w:rsid w:val="00A31AEB"/>
    <w:rsid w:val="00A31DD6"/>
    <w:rsid w:val="00A31EC0"/>
    <w:rsid w:val="00A32308"/>
    <w:rsid w:val="00A323DB"/>
    <w:rsid w:val="00A32944"/>
    <w:rsid w:val="00A32A22"/>
    <w:rsid w:val="00A32A75"/>
    <w:rsid w:val="00A32BCE"/>
    <w:rsid w:val="00A32E8D"/>
    <w:rsid w:val="00A32ED3"/>
    <w:rsid w:val="00A330E8"/>
    <w:rsid w:val="00A332F7"/>
    <w:rsid w:val="00A33381"/>
    <w:rsid w:val="00A3372F"/>
    <w:rsid w:val="00A33A46"/>
    <w:rsid w:val="00A33DE0"/>
    <w:rsid w:val="00A33FE7"/>
    <w:rsid w:val="00A34412"/>
    <w:rsid w:val="00A3466F"/>
    <w:rsid w:val="00A34707"/>
    <w:rsid w:val="00A35199"/>
    <w:rsid w:val="00A355B2"/>
    <w:rsid w:val="00A3578F"/>
    <w:rsid w:val="00A35ED6"/>
    <w:rsid w:val="00A360B8"/>
    <w:rsid w:val="00A36CB9"/>
    <w:rsid w:val="00A36F1F"/>
    <w:rsid w:val="00A3734B"/>
    <w:rsid w:val="00A377F5"/>
    <w:rsid w:val="00A3795E"/>
    <w:rsid w:val="00A37A0D"/>
    <w:rsid w:val="00A37BC2"/>
    <w:rsid w:val="00A37CF6"/>
    <w:rsid w:val="00A37EBC"/>
    <w:rsid w:val="00A407D4"/>
    <w:rsid w:val="00A4091B"/>
    <w:rsid w:val="00A40CD8"/>
    <w:rsid w:val="00A40D3E"/>
    <w:rsid w:val="00A40E27"/>
    <w:rsid w:val="00A4145D"/>
    <w:rsid w:val="00A414C1"/>
    <w:rsid w:val="00A41535"/>
    <w:rsid w:val="00A42076"/>
    <w:rsid w:val="00A42E17"/>
    <w:rsid w:val="00A43087"/>
    <w:rsid w:val="00A432B3"/>
    <w:rsid w:val="00A432C8"/>
    <w:rsid w:val="00A43411"/>
    <w:rsid w:val="00A437CC"/>
    <w:rsid w:val="00A4385A"/>
    <w:rsid w:val="00A43B67"/>
    <w:rsid w:val="00A43C7B"/>
    <w:rsid w:val="00A4456C"/>
    <w:rsid w:val="00A44C43"/>
    <w:rsid w:val="00A4510E"/>
    <w:rsid w:val="00A45C2E"/>
    <w:rsid w:val="00A45CF5"/>
    <w:rsid w:val="00A461F0"/>
    <w:rsid w:val="00A468BD"/>
    <w:rsid w:val="00A46ACF"/>
    <w:rsid w:val="00A46F31"/>
    <w:rsid w:val="00A47055"/>
    <w:rsid w:val="00A471B0"/>
    <w:rsid w:val="00A508ED"/>
    <w:rsid w:val="00A50B35"/>
    <w:rsid w:val="00A51056"/>
    <w:rsid w:val="00A5196C"/>
    <w:rsid w:val="00A51ABC"/>
    <w:rsid w:val="00A5233D"/>
    <w:rsid w:val="00A524BC"/>
    <w:rsid w:val="00A529F7"/>
    <w:rsid w:val="00A52F55"/>
    <w:rsid w:val="00A53313"/>
    <w:rsid w:val="00A544C6"/>
    <w:rsid w:val="00A547EE"/>
    <w:rsid w:val="00A54E88"/>
    <w:rsid w:val="00A54F44"/>
    <w:rsid w:val="00A556A2"/>
    <w:rsid w:val="00A55CB2"/>
    <w:rsid w:val="00A55FFD"/>
    <w:rsid w:val="00A569DB"/>
    <w:rsid w:val="00A5738D"/>
    <w:rsid w:val="00A57CF1"/>
    <w:rsid w:val="00A60E82"/>
    <w:rsid w:val="00A61A00"/>
    <w:rsid w:val="00A62206"/>
    <w:rsid w:val="00A622A2"/>
    <w:rsid w:val="00A63092"/>
    <w:rsid w:val="00A638A7"/>
    <w:rsid w:val="00A638F8"/>
    <w:rsid w:val="00A63B1D"/>
    <w:rsid w:val="00A647C7"/>
    <w:rsid w:val="00A64DA4"/>
    <w:rsid w:val="00A65479"/>
    <w:rsid w:val="00A65622"/>
    <w:rsid w:val="00A6562D"/>
    <w:rsid w:val="00A65C7E"/>
    <w:rsid w:val="00A65C96"/>
    <w:rsid w:val="00A660D2"/>
    <w:rsid w:val="00A66312"/>
    <w:rsid w:val="00A66474"/>
    <w:rsid w:val="00A66C6B"/>
    <w:rsid w:val="00A670E6"/>
    <w:rsid w:val="00A6736F"/>
    <w:rsid w:val="00A67650"/>
    <w:rsid w:val="00A67EDD"/>
    <w:rsid w:val="00A705C0"/>
    <w:rsid w:val="00A70A59"/>
    <w:rsid w:val="00A70A78"/>
    <w:rsid w:val="00A71718"/>
    <w:rsid w:val="00A729FB"/>
    <w:rsid w:val="00A72F99"/>
    <w:rsid w:val="00A73020"/>
    <w:rsid w:val="00A734FA"/>
    <w:rsid w:val="00A742FD"/>
    <w:rsid w:val="00A744DC"/>
    <w:rsid w:val="00A74608"/>
    <w:rsid w:val="00A7519B"/>
    <w:rsid w:val="00A751AC"/>
    <w:rsid w:val="00A754C0"/>
    <w:rsid w:val="00A759D5"/>
    <w:rsid w:val="00A75ADD"/>
    <w:rsid w:val="00A75C16"/>
    <w:rsid w:val="00A75D17"/>
    <w:rsid w:val="00A75FF1"/>
    <w:rsid w:val="00A765EE"/>
    <w:rsid w:val="00A76979"/>
    <w:rsid w:val="00A76F16"/>
    <w:rsid w:val="00A770E1"/>
    <w:rsid w:val="00A777B7"/>
    <w:rsid w:val="00A77D22"/>
    <w:rsid w:val="00A80050"/>
    <w:rsid w:val="00A81478"/>
    <w:rsid w:val="00A81E27"/>
    <w:rsid w:val="00A81ED4"/>
    <w:rsid w:val="00A82332"/>
    <w:rsid w:val="00A82D2B"/>
    <w:rsid w:val="00A839BA"/>
    <w:rsid w:val="00A83AFE"/>
    <w:rsid w:val="00A83F25"/>
    <w:rsid w:val="00A8403D"/>
    <w:rsid w:val="00A8436E"/>
    <w:rsid w:val="00A843BA"/>
    <w:rsid w:val="00A84ADD"/>
    <w:rsid w:val="00A84C30"/>
    <w:rsid w:val="00A85DFD"/>
    <w:rsid w:val="00A85E6D"/>
    <w:rsid w:val="00A865D6"/>
    <w:rsid w:val="00A86A88"/>
    <w:rsid w:val="00A86D58"/>
    <w:rsid w:val="00A86FF9"/>
    <w:rsid w:val="00A87C29"/>
    <w:rsid w:val="00A911CC"/>
    <w:rsid w:val="00A91343"/>
    <w:rsid w:val="00A91497"/>
    <w:rsid w:val="00A914A8"/>
    <w:rsid w:val="00A917D3"/>
    <w:rsid w:val="00A91A9D"/>
    <w:rsid w:val="00A91F50"/>
    <w:rsid w:val="00A9200B"/>
    <w:rsid w:val="00A92132"/>
    <w:rsid w:val="00A9214D"/>
    <w:rsid w:val="00A92237"/>
    <w:rsid w:val="00A92257"/>
    <w:rsid w:val="00A923CC"/>
    <w:rsid w:val="00A934A4"/>
    <w:rsid w:val="00A937D8"/>
    <w:rsid w:val="00A937E0"/>
    <w:rsid w:val="00A94A3F"/>
    <w:rsid w:val="00A94FAF"/>
    <w:rsid w:val="00A952F4"/>
    <w:rsid w:val="00A9555E"/>
    <w:rsid w:val="00A95A14"/>
    <w:rsid w:val="00A95D55"/>
    <w:rsid w:val="00A96221"/>
    <w:rsid w:val="00A9628B"/>
    <w:rsid w:val="00A963EA"/>
    <w:rsid w:val="00A967B8"/>
    <w:rsid w:val="00A96C5E"/>
    <w:rsid w:val="00A974F5"/>
    <w:rsid w:val="00A978A4"/>
    <w:rsid w:val="00A97CF1"/>
    <w:rsid w:val="00AA00F1"/>
    <w:rsid w:val="00AA0628"/>
    <w:rsid w:val="00AA0CD2"/>
    <w:rsid w:val="00AA1255"/>
    <w:rsid w:val="00AA1539"/>
    <w:rsid w:val="00AA1B3F"/>
    <w:rsid w:val="00AA2119"/>
    <w:rsid w:val="00AA23A5"/>
    <w:rsid w:val="00AA2808"/>
    <w:rsid w:val="00AA2904"/>
    <w:rsid w:val="00AA2944"/>
    <w:rsid w:val="00AA2CC4"/>
    <w:rsid w:val="00AA2F59"/>
    <w:rsid w:val="00AA32FC"/>
    <w:rsid w:val="00AA3CDF"/>
    <w:rsid w:val="00AA4239"/>
    <w:rsid w:val="00AA44DC"/>
    <w:rsid w:val="00AA4951"/>
    <w:rsid w:val="00AA55EB"/>
    <w:rsid w:val="00AA5C6A"/>
    <w:rsid w:val="00AA5DD7"/>
    <w:rsid w:val="00AA68EF"/>
    <w:rsid w:val="00AA69F4"/>
    <w:rsid w:val="00AA6A17"/>
    <w:rsid w:val="00AA7040"/>
    <w:rsid w:val="00AA7064"/>
    <w:rsid w:val="00AA71D2"/>
    <w:rsid w:val="00AA72A6"/>
    <w:rsid w:val="00AA7C6B"/>
    <w:rsid w:val="00AA7C91"/>
    <w:rsid w:val="00AA7D36"/>
    <w:rsid w:val="00AA7DA8"/>
    <w:rsid w:val="00AA7DFC"/>
    <w:rsid w:val="00AA7EB3"/>
    <w:rsid w:val="00AB1759"/>
    <w:rsid w:val="00AB1856"/>
    <w:rsid w:val="00AB1B97"/>
    <w:rsid w:val="00AB1C6D"/>
    <w:rsid w:val="00AB2AA0"/>
    <w:rsid w:val="00AB2D36"/>
    <w:rsid w:val="00AB3DD6"/>
    <w:rsid w:val="00AB466D"/>
    <w:rsid w:val="00AB49B4"/>
    <w:rsid w:val="00AB4BAC"/>
    <w:rsid w:val="00AB4D2D"/>
    <w:rsid w:val="00AB5518"/>
    <w:rsid w:val="00AB5A3F"/>
    <w:rsid w:val="00AB5ADB"/>
    <w:rsid w:val="00AB5B46"/>
    <w:rsid w:val="00AB5EA3"/>
    <w:rsid w:val="00AB5F78"/>
    <w:rsid w:val="00AB62F2"/>
    <w:rsid w:val="00AB7863"/>
    <w:rsid w:val="00AB7E24"/>
    <w:rsid w:val="00AC0090"/>
    <w:rsid w:val="00AC01D8"/>
    <w:rsid w:val="00AC05D1"/>
    <w:rsid w:val="00AC08CB"/>
    <w:rsid w:val="00AC0A40"/>
    <w:rsid w:val="00AC1469"/>
    <w:rsid w:val="00AC18A7"/>
    <w:rsid w:val="00AC19E6"/>
    <w:rsid w:val="00AC22AA"/>
    <w:rsid w:val="00AC2338"/>
    <w:rsid w:val="00AC23F7"/>
    <w:rsid w:val="00AC273A"/>
    <w:rsid w:val="00AC283C"/>
    <w:rsid w:val="00AC32A6"/>
    <w:rsid w:val="00AC3410"/>
    <w:rsid w:val="00AC3435"/>
    <w:rsid w:val="00AC3469"/>
    <w:rsid w:val="00AC3579"/>
    <w:rsid w:val="00AC382F"/>
    <w:rsid w:val="00AC49AD"/>
    <w:rsid w:val="00AC4C0B"/>
    <w:rsid w:val="00AC4CF2"/>
    <w:rsid w:val="00AC5A0B"/>
    <w:rsid w:val="00AC5D12"/>
    <w:rsid w:val="00AC66FB"/>
    <w:rsid w:val="00AC6FCD"/>
    <w:rsid w:val="00AC7528"/>
    <w:rsid w:val="00AC7541"/>
    <w:rsid w:val="00AC75BD"/>
    <w:rsid w:val="00AC7A1E"/>
    <w:rsid w:val="00AC7FC8"/>
    <w:rsid w:val="00AD0239"/>
    <w:rsid w:val="00AD0375"/>
    <w:rsid w:val="00AD03A6"/>
    <w:rsid w:val="00AD0AC6"/>
    <w:rsid w:val="00AD16F4"/>
    <w:rsid w:val="00AD18A3"/>
    <w:rsid w:val="00AD1B57"/>
    <w:rsid w:val="00AD1C2A"/>
    <w:rsid w:val="00AD3286"/>
    <w:rsid w:val="00AD32BF"/>
    <w:rsid w:val="00AD3A90"/>
    <w:rsid w:val="00AD3B07"/>
    <w:rsid w:val="00AD3DBE"/>
    <w:rsid w:val="00AD5721"/>
    <w:rsid w:val="00AD582E"/>
    <w:rsid w:val="00AD5B7E"/>
    <w:rsid w:val="00AD64B5"/>
    <w:rsid w:val="00AD6A41"/>
    <w:rsid w:val="00AD7053"/>
    <w:rsid w:val="00AD7239"/>
    <w:rsid w:val="00AD786C"/>
    <w:rsid w:val="00AD7D59"/>
    <w:rsid w:val="00AE0486"/>
    <w:rsid w:val="00AE0706"/>
    <w:rsid w:val="00AE0BC2"/>
    <w:rsid w:val="00AE0C07"/>
    <w:rsid w:val="00AE0FFC"/>
    <w:rsid w:val="00AE1107"/>
    <w:rsid w:val="00AE13C6"/>
    <w:rsid w:val="00AE1681"/>
    <w:rsid w:val="00AE244A"/>
    <w:rsid w:val="00AE29CA"/>
    <w:rsid w:val="00AE34EE"/>
    <w:rsid w:val="00AE3875"/>
    <w:rsid w:val="00AE391D"/>
    <w:rsid w:val="00AE3A60"/>
    <w:rsid w:val="00AE3C21"/>
    <w:rsid w:val="00AE3F53"/>
    <w:rsid w:val="00AE406A"/>
    <w:rsid w:val="00AE4513"/>
    <w:rsid w:val="00AE46D7"/>
    <w:rsid w:val="00AE5CA4"/>
    <w:rsid w:val="00AE5F84"/>
    <w:rsid w:val="00AE6112"/>
    <w:rsid w:val="00AE6DF7"/>
    <w:rsid w:val="00AE6E6D"/>
    <w:rsid w:val="00AE70C4"/>
    <w:rsid w:val="00AE72CA"/>
    <w:rsid w:val="00AF0073"/>
    <w:rsid w:val="00AF053B"/>
    <w:rsid w:val="00AF1248"/>
    <w:rsid w:val="00AF13D5"/>
    <w:rsid w:val="00AF13E0"/>
    <w:rsid w:val="00AF16E9"/>
    <w:rsid w:val="00AF19FC"/>
    <w:rsid w:val="00AF1BAA"/>
    <w:rsid w:val="00AF24CF"/>
    <w:rsid w:val="00AF2815"/>
    <w:rsid w:val="00AF2F0D"/>
    <w:rsid w:val="00AF32E5"/>
    <w:rsid w:val="00AF3407"/>
    <w:rsid w:val="00AF3857"/>
    <w:rsid w:val="00AF3F13"/>
    <w:rsid w:val="00AF409F"/>
    <w:rsid w:val="00AF4108"/>
    <w:rsid w:val="00AF4118"/>
    <w:rsid w:val="00AF450F"/>
    <w:rsid w:val="00AF4876"/>
    <w:rsid w:val="00AF4C6D"/>
    <w:rsid w:val="00AF4D40"/>
    <w:rsid w:val="00AF4F27"/>
    <w:rsid w:val="00AF5057"/>
    <w:rsid w:val="00AF5592"/>
    <w:rsid w:val="00AF5AC1"/>
    <w:rsid w:val="00AF5DA0"/>
    <w:rsid w:val="00AF613E"/>
    <w:rsid w:val="00AF6570"/>
    <w:rsid w:val="00AF6D69"/>
    <w:rsid w:val="00AF6F91"/>
    <w:rsid w:val="00AF717B"/>
    <w:rsid w:val="00AF7613"/>
    <w:rsid w:val="00AF768C"/>
    <w:rsid w:val="00AF7859"/>
    <w:rsid w:val="00AF7941"/>
    <w:rsid w:val="00AF79C6"/>
    <w:rsid w:val="00AF7A09"/>
    <w:rsid w:val="00AF7ABA"/>
    <w:rsid w:val="00B002AD"/>
    <w:rsid w:val="00B00CBD"/>
    <w:rsid w:val="00B013FF"/>
    <w:rsid w:val="00B0146A"/>
    <w:rsid w:val="00B01A60"/>
    <w:rsid w:val="00B01AF7"/>
    <w:rsid w:val="00B01D11"/>
    <w:rsid w:val="00B02936"/>
    <w:rsid w:val="00B04509"/>
    <w:rsid w:val="00B0452A"/>
    <w:rsid w:val="00B04663"/>
    <w:rsid w:val="00B04F46"/>
    <w:rsid w:val="00B05772"/>
    <w:rsid w:val="00B05A65"/>
    <w:rsid w:val="00B05E4A"/>
    <w:rsid w:val="00B06844"/>
    <w:rsid w:val="00B068D6"/>
    <w:rsid w:val="00B06C2D"/>
    <w:rsid w:val="00B06E54"/>
    <w:rsid w:val="00B079AF"/>
    <w:rsid w:val="00B07DD7"/>
    <w:rsid w:val="00B122DA"/>
    <w:rsid w:val="00B1252A"/>
    <w:rsid w:val="00B129CE"/>
    <w:rsid w:val="00B12AFD"/>
    <w:rsid w:val="00B12B7C"/>
    <w:rsid w:val="00B12CC1"/>
    <w:rsid w:val="00B12FAC"/>
    <w:rsid w:val="00B1312E"/>
    <w:rsid w:val="00B1337B"/>
    <w:rsid w:val="00B13BFA"/>
    <w:rsid w:val="00B1409C"/>
    <w:rsid w:val="00B156AB"/>
    <w:rsid w:val="00B15BD3"/>
    <w:rsid w:val="00B15DB6"/>
    <w:rsid w:val="00B16313"/>
    <w:rsid w:val="00B165FB"/>
    <w:rsid w:val="00B16983"/>
    <w:rsid w:val="00B16BF7"/>
    <w:rsid w:val="00B16C11"/>
    <w:rsid w:val="00B16C73"/>
    <w:rsid w:val="00B17523"/>
    <w:rsid w:val="00B17A5C"/>
    <w:rsid w:val="00B17B70"/>
    <w:rsid w:val="00B20278"/>
    <w:rsid w:val="00B2049D"/>
    <w:rsid w:val="00B20931"/>
    <w:rsid w:val="00B20BFC"/>
    <w:rsid w:val="00B2116B"/>
    <w:rsid w:val="00B21672"/>
    <w:rsid w:val="00B226B3"/>
    <w:rsid w:val="00B22829"/>
    <w:rsid w:val="00B2307F"/>
    <w:rsid w:val="00B2315D"/>
    <w:rsid w:val="00B234B0"/>
    <w:rsid w:val="00B23B5E"/>
    <w:rsid w:val="00B23CA0"/>
    <w:rsid w:val="00B23D72"/>
    <w:rsid w:val="00B241AA"/>
    <w:rsid w:val="00B242C5"/>
    <w:rsid w:val="00B2458D"/>
    <w:rsid w:val="00B247B1"/>
    <w:rsid w:val="00B24E40"/>
    <w:rsid w:val="00B25C93"/>
    <w:rsid w:val="00B26771"/>
    <w:rsid w:val="00B26B20"/>
    <w:rsid w:val="00B26E07"/>
    <w:rsid w:val="00B26EBC"/>
    <w:rsid w:val="00B27058"/>
    <w:rsid w:val="00B2751F"/>
    <w:rsid w:val="00B27537"/>
    <w:rsid w:val="00B277DB"/>
    <w:rsid w:val="00B27907"/>
    <w:rsid w:val="00B3053B"/>
    <w:rsid w:val="00B30769"/>
    <w:rsid w:val="00B309F7"/>
    <w:rsid w:val="00B30E28"/>
    <w:rsid w:val="00B31423"/>
    <w:rsid w:val="00B3279C"/>
    <w:rsid w:val="00B32B1C"/>
    <w:rsid w:val="00B32FCF"/>
    <w:rsid w:val="00B33391"/>
    <w:rsid w:val="00B33768"/>
    <w:rsid w:val="00B33B09"/>
    <w:rsid w:val="00B33F0C"/>
    <w:rsid w:val="00B33F41"/>
    <w:rsid w:val="00B341F9"/>
    <w:rsid w:val="00B34CF8"/>
    <w:rsid w:val="00B35788"/>
    <w:rsid w:val="00B35857"/>
    <w:rsid w:val="00B36A84"/>
    <w:rsid w:val="00B375F0"/>
    <w:rsid w:val="00B376A8"/>
    <w:rsid w:val="00B376CC"/>
    <w:rsid w:val="00B404E5"/>
    <w:rsid w:val="00B40806"/>
    <w:rsid w:val="00B40832"/>
    <w:rsid w:val="00B40B81"/>
    <w:rsid w:val="00B411A3"/>
    <w:rsid w:val="00B41991"/>
    <w:rsid w:val="00B41CC8"/>
    <w:rsid w:val="00B429A8"/>
    <w:rsid w:val="00B42D1A"/>
    <w:rsid w:val="00B42E96"/>
    <w:rsid w:val="00B431C0"/>
    <w:rsid w:val="00B4358D"/>
    <w:rsid w:val="00B43D9C"/>
    <w:rsid w:val="00B44CC7"/>
    <w:rsid w:val="00B45724"/>
    <w:rsid w:val="00B4572B"/>
    <w:rsid w:val="00B45E26"/>
    <w:rsid w:val="00B46540"/>
    <w:rsid w:val="00B4738A"/>
    <w:rsid w:val="00B4743B"/>
    <w:rsid w:val="00B47517"/>
    <w:rsid w:val="00B478B1"/>
    <w:rsid w:val="00B47D2C"/>
    <w:rsid w:val="00B502A0"/>
    <w:rsid w:val="00B50D7F"/>
    <w:rsid w:val="00B51DA1"/>
    <w:rsid w:val="00B521A5"/>
    <w:rsid w:val="00B52831"/>
    <w:rsid w:val="00B52B5C"/>
    <w:rsid w:val="00B52B5E"/>
    <w:rsid w:val="00B53109"/>
    <w:rsid w:val="00B53D28"/>
    <w:rsid w:val="00B5405A"/>
    <w:rsid w:val="00B54913"/>
    <w:rsid w:val="00B5504F"/>
    <w:rsid w:val="00B55079"/>
    <w:rsid w:val="00B55CEE"/>
    <w:rsid w:val="00B56A75"/>
    <w:rsid w:val="00B56CA1"/>
    <w:rsid w:val="00B56E40"/>
    <w:rsid w:val="00B570D2"/>
    <w:rsid w:val="00B57230"/>
    <w:rsid w:val="00B5745E"/>
    <w:rsid w:val="00B57525"/>
    <w:rsid w:val="00B5783A"/>
    <w:rsid w:val="00B57B0F"/>
    <w:rsid w:val="00B57D68"/>
    <w:rsid w:val="00B57E31"/>
    <w:rsid w:val="00B602BF"/>
    <w:rsid w:val="00B60DE7"/>
    <w:rsid w:val="00B6100B"/>
    <w:rsid w:val="00B612E2"/>
    <w:rsid w:val="00B61A4F"/>
    <w:rsid w:val="00B61C2A"/>
    <w:rsid w:val="00B61FED"/>
    <w:rsid w:val="00B6237D"/>
    <w:rsid w:val="00B6279B"/>
    <w:rsid w:val="00B627D4"/>
    <w:rsid w:val="00B627E6"/>
    <w:rsid w:val="00B63532"/>
    <w:rsid w:val="00B63B1D"/>
    <w:rsid w:val="00B645FD"/>
    <w:rsid w:val="00B6467D"/>
    <w:rsid w:val="00B64C5C"/>
    <w:rsid w:val="00B64E12"/>
    <w:rsid w:val="00B6511E"/>
    <w:rsid w:val="00B65E5D"/>
    <w:rsid w:val="00B66802"/>
    <w:rsid w:val="00B66CA4"/>
    <w:rsid w:val="00B66D8B"/>
    <w:rsid w:val="00B66EF2"/>
    <w:rsid w:val="00B67E35"/>
    <w:rsid w:val="00B704D9"/>
    <w:rsid w:val="00B705AC"/>
    <w:rsid w:val="00B70CBC"/>
    <w:rsid w:val="00B70EC7"/>
    <w:rsid w:val="00B713FF"/>
    <w:rsid w:val="00B719D2"/>
    <w:rsid w:val="00B71E90"/>
    <w:rsid w:val="00B7214D"/>
    <w:rsid w:val="00B72E16"/>
    <w:rsid w:val="00B734A1"/>
    <w:rsid w:val="00B739B0"/>
    <w:rsid w:val="00B73C18"/>
    <w:rsid w:val="00B73DBC"/>
    <w:rsid w:val="00B745A0"/>
    <w:rsid w:val="00B74877"/>
    <w:rsid w:val="00B74914"/>
    <w:rsid w:val="00B74B68"/>
    <w:rsid w:val="00B754CA"/>
    <w:rsid w:val="00B7587A"/>
    <w:rsid w:val="00B75A63"/>
    <w:rsid w:val="00B75BD6"/>
    <w:rsid w:val="00B75C3E"/>
    <w:rsid w:val="00B75C40"/>
    <w:rsid w:val="00B75DF1"/>
    <w:rsid w:val="00B75E09"/>
    <w:rsid w:val="00B75F12"/>
    <w:rsid w:val="00B76D93"/>
    <w:rsid w:val="00B7738C"/>
    <w:rsid w:val="00B77DF0"/>
    <w:rsid w:val="00B803DE"/>
    <w:rsid w:val="00B80FED"/>
    <w:rsid w:val="00B811F0"/>
    <w:rsid w:val="00B81840"/>
    <w:rsid w:val="00B81ABB"/>
    <w:rsid w:val="00B82047"/>
    <w:rsid w:val="00B8224B"/>
    <w:rsid w:val="00B8251D"/>
    <w:rsid w:val="00B829B8"/>
    <w:rsid w:val="00B8323B"/>
    <w:rsid w:val="00B8366C"/>
    <w:rsid w:val="00B837F8"/>
    <w:rsid w:val="00B83B75"/>
    <w:rsid w:val="00B842CE"/>
    <w:rsid w:val="00B845F5"/>
    <w:rsid w:val="00B84B14"/>
    <w:rsid w:val="00B868F1"/>
    <w:rsid w:val="00B871FE"/>
    <w:rsid w:val="00B87CA4"/>
    <w:rsid w:val="00B87F95"/>
    <w:rsid w:val="00B9034D"/>
    <w:rsid w:val="00B904FA"/>
    <w:rsid w:val="00B90517"/>
    <w:rsid w:val="00B911CA"/>
    <w:rsid w:val="00B91229"/>
    <w:rsid w:val="00B91E4F"/>
    <w:rsid w:val="00B921FA"/>
    <w:rsid w:val="00B924FB"/>
    <w:rsid w:val="00B92585"/>
    <w:rsid w:val="00B9270D"/>
    <w:rsid w:val="00B92F81"/>
    <w:rsid w:val="00B93C86"/>
    <w:rsid w:val="00B93DA8"/>
    <w:rsid w:val="00B93F14"/>
    <w:rsid w:val="00B9411D"/>
    <w:rsid w:val="00B94145"/>
    <w:rsid w:val="00B9492A"/>
    <w:rsid w:val="00B94F92"/>
    <w:rsid w:val="00B950FE"/>
    <w:rsid w:val="00B95424"/>
    <w:rsid w:val="00B95C12"/>
    <w:rsid w:val="00B95CE9"/>
    <w:rsid w:val="00B95F46"/>
    <w:rsid w:val="00B960A3"/>
    <w:rsid w:val="00B96548"/>
    <w:rsid w:val="00B96622"/>
    <w:rsid w:val="00B966B8"/>
    <w:rsid w:val="00B9683E"/>
    <w:rsid w:val="00B96A99"/>
    <w:rsid w:val="00B96BA1"/>
    <w:rsid w:val="00B97139"/>
    <w:rsid w:val="00B9730F"/>
    <w:rsid w:val="00B97370"/>
    <w:rsid w:val="00B977E4"/>
    <w:rsid w:val="00B97846"/>
    <w:rsid w:val="00B97D8E"/>
    <w:rsid w:val="00BA0160"/>
    <w:rsid w:val="00BA029E"/>
    <w:rsid w:val="00BA030B"/>
    <w:rsid w:val="00BA0381"/>
    <w:rsid w:val="00BA0512"/>
    <w:rsid w:val="00BA06E1"/>
    <w:rsid w:val="00BA0809"/>
    <w:rsid w:val="00BA085A"/>
    <w:rsid w:val="00BA0C2B"/>
    <w:rsid w:val="00BA11CC"/>
    <w:rsid w:val="00BA1488"/>
    <w:rsid w:val="00BA2098"/>
    <w:rsid w:val="00BA25DE"/>
    <w:rsid w:val="00BA2B64"/>
    <w:rsid w:val="00BA2FDE"/>
    <w:rsid w:val="00BA3101"/>
    <w:rsid w:val="00BA38C5"/>
    <w:rsid w:val="00BA42F9"/>
    <w:rsid w:val="00BA4368"/>
    <w:rsid w:val="00BA4475"/>
    <w:rsid w:val="00BA4E64"/>
    <w:rsid w:val="00BA595B"/>
    <w:rsid w:val="00BA6990"/>
    <w:rsid w:val="00BA7508"/>
    <w:rsid w:val="00BA7E21"/>
    <w:rsid w:val="00BB01F8"/>
    <w:rsid w:val="00BB042B"/>
    <w:rsid w:val="00BB0590"/>
    <w:rsid w:val="00BB06CA"/>
    <w:rsid w:val="00BB06F5"/>
    <w:rsid w:val="00BB1650"/>
    <w:rsid w:val="00BB1AC3"/>
    <w:rsid w:val="00BB22A6"/>
    <w:rsid w:val="00BB248D"/>
    <w:rsid w:val="00BB2D4A"/>
    <w:rsid w:val="00BB2DB2"/>
    <w:rsid w:val="00BB325A"/>
    <w:rsid w:val="00BB367D"/>
    <w:rsid w:val="00BB37FA"/>
    <w:rsid w:val="00BB3EB6"/>
    <w:rsid w:val="00BB3FAB"/>
    <w:rsid w:val="00BB413C"/>
    <w:rsid w:val="00BB44AB"/>
    <w:rsid w:val="00BB4775"/>
    <w:rsid w:val="00BB49FA"/>
    <w:rsid w:val="00BB5D92"/>
    <w:rsid w:val="00BB5F75"/>
    <w:rsid w:val="00BB612D"/>
    <w:rsid w:val="00BB65C9"/>
    <w:rsid w:val="00BB7013"/>
    <w:rsid w:val="00BB7100"/>
    <w:rsid w:val="00BB7115"/>
    <w:rsid w:val="00BB7162"/>
    <w:rsid w:val="00BB7827"/>
    <w:rsid w:val="00BB791A"/>
    <w:rsid w:val="00BB7E36"/>
    <w:rsid w:val="00BC0057"/>
    <w:rsid w:val="00BC02E3"/>
    <w:rsid w:val="00BC06BA"/>
    <w:rsid w:val="00BC074A"/>
    <w:rsid w:val="00BC13C9"/>
    <w:rsid w:val="00BC1519"/>
    <w:rsid w:val="00BC18CF"/>
    <w:rsid w:val="00BC1A23"/>
    <w:rsid w:val="00BC1D76"/>
    <w:rsid w:val="00BC1E5C"/>
    <w:rsid w:val="00BC1EFD"/>
    <w:rsid w:val="00BC20F2"/>
    <w:rsid w:val="00BC3D37"/>
    <w:rsid w:val="00BC3E7E"/>
    <w:rsid w:val="00BC3ED6"/>
    <w:rsid w:val="00BC3FB5"/>
    <w:rsid w:val="00BC43D6"/>
    <w:rsid w:val="00BC4710"/>
    <w:rsid w:val="00BC54F6"/>
    <w:rsid w:val="00BC56C2"/>
    <w:rsid w:val="00BC5706"/>
    <w:rsid w:val="00BC5819"/>
    <w:rsid w:val="00BC5B55"/>
    <w:rsid w:val="00BC60B4"/>
    <w:rsid w:val="00BC6B1B"/>
    <w:rsid w:val="00BC6B73"/>
    <w:rsid w:val="00BC6DDA"/>
    <w:rsid w:val="00BC7995"/>
    <w:rsid w:val="00BC7A70"/>
    <w:rsid w:val="00BD0351"/>
    <w:rsid w:val="00BD045E"/>
    <w:rsid w:val="00BD07F2"/>
    <w:rsid w:val="00BD0D66"/>
    <w:rsid w:val="00BD0E2E"/>
    <w:rsid w:val="00BD13FF"/>
    <w:rsid w:val="00BD293C"/>
    <w:rsid w:val="00BD2C8F"/>
    <w:rsid w:val="00BD2DA2"/>
    <w:rsid w:val="00BD2DBE"/>
    <w:rsid w:val="00BD2E5D"/>
    <w:rsid w:val="00BD30F4"/>
    <w:rsid w:val="00BD3703"/>
    <w:rsid w:val="00BD3A6A"/>
    <w:rsid w:val="00BD3F06"/>
    <w:rsid w:val="00BD4849"/>
    <w:rsid w:val="00BD4903"/>
    <w:rsid w:val="00BD4A43"/>
    <w:rsid w:val="00BD4C59"/>
    <w:rsid w:val="00BD57FA"/>
    <w:rsid w:val="00BD5D12"/>
    <w:rsid w:val="00BD5D1D"/>
    <w:rsid w:val="00BD5FA1"/>
    <w:rsid w:val="00BD658A"/>
    <w:rsid w:val="00BD65D2"/>
    <w:rsid w:val="00BD6EA9"/>
    <w:rsid w:val="00BD7137"/>
    <w:rsid w:val="00BD73E1"/>
    <w:rsid w:val="00BD73E7"/>
    <w:rsid w:val="00BD7A5C"/>
    <w:rsid w:val="00BD7AF1"/>
    <w:rsid w:val="00BD7B0D"/>
    <w:rsid w:val="00BD7B65"/>
    <w:rsid w:val="00BD7BED"/>
    <w:rsid w:val="00BD7E92"/>
    <w:rsid w:val="00BE0268"/>
    <w:rsid w:val="00BE0E38"/>
    <w:rsid w:val="00BE0FAE"/>
    <w:rsid w:val="00BE1063"/>
    <w:rsid w:val="00BE133E"/>
    <w:rsid w:val="00BE15B0"/>
    <w:rsid w:val="00BE1690"/>
    <w:rsid w:val="00BE1967"/>
    <w:rsid w:val="00BE1B1B"/>
    <w:rsid w:val="00BE1D4E"/>
    <w:rsid w:val="00BE2414"/>
    <w:rsid w:val="00BE29D3"/>
    <w:rsid w:val="00BE2AFF"/>
    <w:rsid w:val="00BE2E8C"/>
    <w:rsid w:val="00BE300E"/>
    <w:rsid w:val="00BE365B"/>
    <w:rsid w:val="00BE36CE"/>
    <w:rsid w:val="00BE37B3"/>
    <w:rsid w:val="00BE3D05"/>
    <w:rsid w:val="00BE401F"/>
    <w:rsid w:val="00BE44FD"/>
    <w:rsid w:val="00BE506E"/>
    <w:rsid w:val="00BE5106"/>
    <w:rsid w:val="00BE54EB"/>
    <w:rsid w:val="00BE55FC"/>
    <w:rsid w:val="00BE570B"/>
    <w:rsid w:val="00BE5C5F"/>
    <w:rsid w:val="00BE5D39"/>
    <w:rsid w:val="00BE5DDE"/>
    <w:rsid w:val="00BE5FDF"/>
    <w:rsid w:val="00BE6103"/>
    <w:rsid w:val="00BE6269"/>
    <w:rsid w:val="00BE68AC"/>
    <w:rsid w:val="00BE6D54"/>
    <w:rsid w:val="00BF120A"/>
    <w:rsid w:val="00BF15C1"/>
    <w:rsid w:val="00BF1841"/>
    <w:rsid w:val="00BF1EF3"/>
    <w:rsid w:val="00BF22DA"/>
    <w:rsid w:val="00BF332B"/>
    <w:rsid w:val="00BF37AA"/>
    <w:rsid w:val="00BF3A59"/>
    <w:rsid w:val="00BF4BC2"/>
    <w:rsid w:val="00BF4F44"/>
    <w:rsid w:val="00BF5586"/>
    <w:rsid w:val="00BF5B02"/>
    <w:rsid w:val="00BF6061"/>
    <w:rsid w:val="00BF6143"/>
    <w:rsid w:val="00BF62F1"/>
    <w:rsid w:val="00BF6CEE"/>
    <w:rsid w:val="00BF779F"/>
    <w:rsid w:val="00BF78EB"/>
    <w:rsid w:val="00BF7B1A"/>
    <w:rsid w:val="00BF7F37"/>
    <w:rsid w:val="00BF7F4E"/>
    <w:rsid w:val="00C00CF6"/>
    <w:rsid w:val="00C00DE0"/>
    <w:rsid w:val="00C01215"/>
    <w:rsid w:val="00C02500"/>
    <w:rsid w:val="00C02D2A"/>
    <w:rsid w:val="00C02EBC"/>
    <w:rsid w:val="00C02EF9"/>
    <w:rsid w:val="00C03070"/>
    <w:rsid w:val="00C032B2"/>
    <w:rsid w:val="00C03624"/>
    <w:rsid w:val="00C037CA"/>
    <w:rsid w:val="00C03EC5"/>
    <w:rsid w:val="00C042EE"/>
    <w:rsid w:val="00C047F3"/>
    <w:rsid w:val="00C04DCB"/>
    <w:rsid w:val="00C05862"/>
    <w:rsid w:val="00C05DC0"/>
    <w:rsid w:val="00C06352"/>
    <w:rsid w:val="00C06DE9"/>
    <w:rsid w:val="00C07288"/>
    <w:rsid w:val="00C077FF"/>
    <w:rsid w:val="00C07C47"/>
    <w:rsid w:val="00C105E9"/>
    <w:rsid w:val="00C10727"/>
    <w:rsid w:val="00C110AF"/>
    <w:rsid w:val="00C11E4A"/>
    <w:rsid w:val="00C12178"/>
    <w:rsid w:val="00C132AC"/>
    <w:rsid w:val="00C134CB"/>
    <w:rsid w:val="00C13C2A"/>
    <w:rsid w:val="00C141F8"/>
    <w:rsid w:val="00C15138"/>
    <w:rsid w:val="00C157EB"/>
    <w:rsid w:val="00C16B05"/>
    <w:rsid w:val="00C16F86"/>
    <w:rsid w:val="00C174E2"/>
    <w:rsid w:val="00C1775E"/>
    <w:rsid w:val="00C17F8A"/>
    <w:rsid w:val="00C206EF"/>
    <w:rsid w:val="00C2073B"/>
    <w:rsid w:val="00C20A10"/>
    <w:rsid w:val="00C20C0C"/>
    <w:rsid w:val="00C20FA2"/>
    <w:rsid w:val="00C2175F"/>
    <w:rsid w:val="00C21EF4"/>
    <w:rsid w:val="00C22D1F"/>
    <w:rsid w:val="00C22F66"/>
    <w:rsid w:val="00C22FAD"/>
    <w:rsid w:val="00C2312B"/>
    <w:rsid w:val="00C2316D"/>
    <w:rsid w:val="00C236C2"/>
    <w:rsid w:val="00C23D46"/>
    <w:rsid w:val="00C23D7D"/>
    <w:rsid w:val="00C24DB3"/>
    <w:rsid w:val="00C24E9F"/>
    <w:rsid w:val="00C24F63"/>
    <w:rsid w:val="00C251BB"/>
    <w:rsid w:val="00C2526A"/>
    <w:rsid w:val="00C25374"/>
    <w:rsid w:val="00C257BD"/>
    <w:rsid w:val="00C25E03"/>
    <w:rsid w:val="00C26826"/>
    <w:rsid w:val="00C26BB3"/>
    <w:rsid w:val="00C26E6D"/>
    <w:rsid w:val="00C26FE2"/>
    <w:rsid w:val="00C271A5"/>
    <w:rsid w:val="00C27A4B"/>
    <w:rsid w:val="00C27AAA"/>
    <w:rsid w:val="00C30AD9"/>
    <w:rsid w:val="00C31053"/>
    <w:rsid w:val="00C31339"/>
    <w:rsid w:val="00C313E1"/>
    <w:rsid w:val="00C31F61"/>
    <w:rsid w:val="00C32477"/>
    <w:rsid w:val="00C33B59"/>
    <w:rsid w:val="00C3449A"/>
    <w:rsid w:val="00C349C2"/>
    <w:rsid w:val="00C3511B"/>
    <w:rsid w:val="00C3751B"/>
    <w:rsid w:val="00C4007B"/>
    <w:rsid w:val="00C41291"/>
    <w:rsid w:val="00C4135C"/>
    <w:rsid w:val="00C42080"/>
    <w:rsid w:val="00C42EB2"/>
    <w:rsid w:val="00C42F08"/>
    <w:rsid w:val="00C438A9"/>
    <w:rsid w:val="00C43CDD"/>
    <w:rsid w:val="00C43DE5"/>
    <w:rsid w:val="00C440A3"/>
    <w:rsid w:val="00C4434C"/>
    <w:rsid w:val="00C44459"/>
    <w:rsid w:val="00C448AA"/>
    <w:rsid w:val="00C44DCB"/>
    <w:rsid w:val="00C45C8D"/>
    <w:rsid w:val="00C45D0A"/>
    <w:rsid w:val="00C45D19"/>
    <w:rsid w:val="00C460BC"/>
    <w:rsid w:val="00C46725"/>
    <w:rsid w:val="00C46919"/>
    <w:rsid w:val="00C46A11"/>
    <w:rsid w:val="00C470F2"/>
    <w:rsid w:val="00C47386"/>
    <w:rsid w:val="00C47B5C"/>
    <w:rsid w:val="00C47CA8"/>
    <w:rsid w:val="00C47DA5"/>
    <w:rsid w:val="00C500F5"/>
    <w:rsid w:val="00C50794"/>
    <w:rsid w:val="00C5084F"/>
    <w:rsid w:val="00C50B99"/>
    <w:rsid w:val="00C510B4"/>
    <w:rsid w:val="00C51548"/>
    <w:rsid w:val="00C51940"/>
    <w:rsid w:val="00C52065"/>
    <w:rsid w:val="00C527F5"/>
    <w:rsid w:val="00C52AE4"/>
    <w:rsid w:val="00C52CD8"/>
    <w:rsid w:val="00C534B3"/>
    <w:rsid w:val="00C539DA"/>
    <w:rsid w:val="00C542DB"/>
    <w:rsid w:val="00C54571"/>
    <w:rsid w:val="00C54963"/>
    <w:rsid w:val="00C54E95"/>
    <w:rsid w:val="00C5534B"/>
    <w:rsid w:val="00C55799"/>
    <w:rsid w:val="00C56326"/>
    <w:rsid w:val="00C565D7"/>
    <w:rsid w:val="00C57716"/>
    <w:rsid w:val="00C57C54"/>
    <w:rsid w:val="00C600F9"/>
    <w:rsid w:val="00C608C4"/>
    <w:rsid w:val="00C60AF2"/>
    <w:rsid w:val="00C60FF3"/>
    <w:rsid w:val="00C61823"/>
    <w:rsid w:val="00C61906"/>
    <w:rsid w:val="00C61980"/>
    <w:rsid w:val="00C61FAD"/>
    <w:rsid w:val="00C624E7"/>
    <w:rsid w:val="00C627F1"/>
    <w:rsid w:val="00C6308F"/>
    <w:rsid w:val="00C63766"/>
    <w:rsid w:val="00C63CF1"/>
    <w:rsid w:val="00C63F02"/>
    <w:rsid w:val="00C648A1"/>
    <w:rsid w:val="00C65316"/>
    <w:rsid w:val="00C654D4"/>
    <w:rsid w:val="00C658B0"/>
    <w:rsid w:val="00C659DC"/>
    <w:rsid w:val="00C6612A"/>
    <w:rsid w:val="00C665C6"/>
    <w:rsid w:val="00C66AB0"/>
    <w:rsid w:val="00C66D11"/>
    <w:rsid w:val="00C66F2C"/>
    <w:rsid w:val="00C671C1"/>
    <w:rsid w:val="00C678A7"/>
    <w:rsid w:val="00C67ADD"/>
    <w:rsid w:val="00C67D26"/>
    <w:rsid w:val="00C709DC"/>
    <w:rsid w:val="00C710AD"/>
    <w:rsid w:val="00C7122D"/>
    <w:rsid w:val="00C71234"/>
    <w:rsid w:val="00C719E8"/>
    <w:rsid w:val="00C71D7C"/>
    <w:rsid w:val="00C72054"/>
    <w:rsid w:val="00C72710"/>
    <w:rsid w:val="00C72828"/>
    <w:rsid w:val="00C72E1A"/>
    <w:rsid w:val="00C73635"/>
    <w:rsid w:val="00C738D2"/>
    <w:rsid w:val="00C73D55"/>
    <w:rsid w:val="00C74634"/>
    <w:rsid w:val="00C74A5E"/>
    <w:rsid w:val="00C7547F"/>
    <w:rsid w:val="00C757A6"/>
    <w:rsid w:val="00C7597F"/>
    <w:rsid w:val="00C75FE3"/>
    <w:rsid w:val="00C76057"/>
    <w:rsid w:val="00C763B4"/>
    <w:rsid w:val="00C76D3B"/>
    <w:rsid w:val="00C7773F"/>
    <w:rsid w:val="00C77828"/>
    <w:rsid w:val="00C77AEC"/>
    <w:rsid w:val="00C801AA"/>
    <w:rsid w:val="00C80B5E"/>
    <w:rsid w:val="00C81703"/>
    <w:rsid w:val="00C817AD"/>
    <w:rsid w:val="00C81BC7"/>
    <w:rsid w:val="00C81DBD"/>
    <w:rsid w:val="00C81E57"/>
    <w:rsid w:val="00C81FB6"/>
    <w:rsid w:val="00C82374"/>
    <w:rsid w:val="00C8281F"/>
    <w:rsid w:val="00C82BEA"/>
    <w:rsid w:val="00C82E63"/>
    <w:rsid w:val="00C8357C"/>
    <w:rsid w:val="00C83952"/>
    <w:rsid w:val="00C83DCE"/>
    <w:rsid w:val="00C845DD"/>
    <w:rsid w:val="00C84F11"/>
    <w:rsid w:val="00C8534B"/>
    <w:rsid w:val="00C85796"/>
    <w:rsid w:val="00C86BEE"/>
    <w:rsid w:val="00C86DE2"/>
    <w:rsid w:val="00C877C2"/>
    <w:rsid w:val="00C87988"/>
    <w:rsid w:val="00C87D85"/>
    <w:rsid w:val="00C90305"/>
    <w:rsid w:val="00C9065A"/>
    <w:rsid w:val="00C90755"/>
    <w:rsid w:val="00C90B02"/>
    <w:rsid w:val="00C912B5"/>
    <w:rsid w:val="00C917F8"/>
    <w:rsid w:val="00C91ADD"/>
    <w:rsid w:val="00C92187"/>
    <w:rsid w:val="00C929FE"/>
    <w:rsid w:val="00C92AA9"/>
    <w:rsid w:val="00C92B4C"/>
    <w:rsid w:val="00C92B96"/>
    <w:rsid w:val="00C92DFD"/>
    <w:rsid w:val="00C93D40"/>
    <w:rsid w:val="00C941FC"/>
    <w:rsid w:val="00C94291"/>
    <w:rsid w:val="00C94C74"/>
    <w:rsid w:val="00C94E39"/>
    <w:rsid w:val="00C954DD"/>
    <w:rsid w:val="00C95D2F"/>
    <w:rsid w:val="00C95E64"/>
    <w:rsid w:val="00C9618C"/>
    <w:rsid w:val="00C961EF"/>
    <w:rsid w:val="00C96421"/>
    <w:rsid w:val="00C96578"/>
    <w:rsid w:val="00C97212"/>
    <w:rsid w:val="00C9721A"/>
    <w:rsid w:val="00C97F97"/>
    <w:rsid w:val="00CA0BB4"/>
    <w:rsid w:val="00CA184D"/>
    <w:rsid w:val="00CA208E"/>
    <w:rsid w:val="00CA231B"/>
    <w:rsid w:val="00CA25B6"/>
    <w:rsid w:val="00CA35DD"/>
    <w:rsid w:val="00CA3B53"/>
    <w:rsid w:val="00CA3ED7"/>
    <w:rsid w:val="00CA45A8"/>
    <w:rsid w:val="00CA45DC"/>
    <w:rsid w:val="00CA4FC2"/>
    <w:rsid w:val="00CA546E"/>
    <w:rsid w:val="00CA56B7"/>
    <w:rsid w:val="00CA602C"/>
    <w:rsid w:val="00CA66FA"/>
    <w:rsid w:val="00CA6AB9"/>
    <w:rsid w:val="00CA6B56"/>
    <w:rsid w:val="00CA6F0C"/>
    <w:rsid w:val="00CA7332"/>
    <w:rsid w:val="00CA7A57"/>
    <w:rsid w:val="00CB09F6"/>
    <w:rsid w:val="00CB0CAA"/>
    <w:rsid w:val="00CB0D78"/>
    <w:rsid w:val="00CB0F5F"/>
    <w:rsid w:val="00CB0F64"/>
    <w:rsid w:val="00CB1509"/>
    <w:rsid w:val="00CB19FF"/>
    <w:rsid w:val="00CB1A43"/>
    <w:rsid w:val="00CB1BBC"/>
    <w:rsid w:val="00CB1C1A"/>
    <w:rsid w:val="00CB1F89"/>
    <w:rsid w:val="00CB22B2"/>
    <w:rsid w:val="00CB24DB"/>
    <w:rsid w:val="00CB28E0"/>
    <w:rsid w:val="00CB29AF"/>
    <w:rsid w:val="00CB2A5B"/>
    <w:rsid w:val="00CB2C42"/>
    <w:rsid w:val="00CB2E0F"/>
    <w:rsid w:val="00CB3B2B"/>
    <w:rsid w:val="00CB462F"/>
    <w:rsid w:val="00CB4BED"/>
    <w:rsid w:val="00CB5030"/>
    <w:rsid w:val="00CB5139"/>
    <w:rsid w:val="00CB570A"/>
    <w:rsid w:val="00CB5A46"/>
    <w:rsid w:val="00CB5B21"/>
    <w:rsid w:val="00CB610C"/>
    <w:rsid w:val="00CB6125"/>
    <w:rsid w:val="00CB63D0"/>
    <w:rsid w:val="00CB650E"/>
    <w:rsid w:val="00CB66D1"/>
    <w:rsid w:val="00CB6782"/>
    <w:rsid w:val="00CB69D2"/>
    <w:rsid w:val="00CB6BEB"/>
    <w:rsid w:val="00CB6E65"/>
    <w:rsid w:val="00CB7012"/>
    <w:rsid w:val="00CB7399"/>
    <w:rsid w:val="00CB7636"/>
    <w:rsid w:val="00CB7A8C"/>
    <w:rsid w:val="00CB7B84"/>
    <w:rsid w:val="00CC023D"/>
    <w:rsid w:val="00CC045C"/>
    <w:rsid w:val="00CC0B5A"/>
    <w:rsid w:val="00CC1189"/>
    <w:rsid w:val="00CC19F5"/>
    <w:rsid w:val="00CC1E2B"/>
    <w:rsid w:val="00CC1EE7"/>
    <w:rsid w:val="00CC1FD6"/>
    <w:rsid w:val="00CC2D01"/>
    <w:rsid w:val="00CC31BE"/>
    <w:rsid w:val="00CC391C"/>
    <w:rsid w:val="00CC3B20"/>
    <w:rsid w:val="00CC3C4E"/>
    <w:rsid w:val="00CC3F8E"/>
    <w:rsid w:val="00CC47AB"/>
    <w:rsid w:val="00CC4809"/>
    <w:rsid w:val="00CC4AC2"/>
    <w:rsid w:val="00CC4E11"/>
    <w:rsid w:val="00CC4FE4"/>
    <w:rsid w:val="00CC50CA"/>
    <w:rsid w:val="00CC513D"/>
    <w:rsid w:val="00CC51DB"/>
    <w:rsid w:val="00CC51FA"/>
    <w:rsid w:val="00CC548F"/>
    <w:rsid w:val="00CC54CB"/>
    <w:rsid w:val="00CC569B"/>
    <w:rsid w:val="00CC5A54"/>
    <w:rsid w:val="00CC60CD"/>
    <w:rsid w:val="00CC6186"/>
    <w:rsid w:val="00CC640D"/>
    <w:rsid w:val="00CC64FB"/>
    <w:rsid w:val="00CC67E4"/>
    <w:rsid w:val="00CC6B9A"/>
    <w:rsid w:val="00CC74EF"/>
    <w:rsid w:val="00CC7AD8"/>
    <w:rsid w:val="00CD083D"/>
    <w:rsid w:val="00CD1043"/>
    <w:rsid w:val="00CD1282"/>
    <w:rsid w:val="00CD151E"/>
    <w:rsid w:val="00CD2235"/>
    <w:rsid w:val="00CD2770"/>
    <w:rsid w:val="00CD2829"/>
    <w:rsid w:val="00CD3177"/>
    <w:rsid w:val="00CD3920"/>
    <w:rsid w:val="00CD3D6A"/>
    <w:rsid w:val="00CD3F7D"/>
    <w:rsid w:val="00CD412E"/>
    <w:rsid w:val="00CD45BB"/>
    <w:rsid w:val="00CD465E"/>
    <w:rsid w:val="00CD4C97"/>
    <w:rsid w:val="00CD4CC0"/>
    <w:rsid w:val="00CD504F"/>
    <w:rsid w:val="00CD5246"/>
    <w:rsid w:val="00CD5388"/>
    <w:rsid w:val="00CD53E3"/>
    <w:rsid w:val="00CD6114"/>
    <w:rsid w:val="00CD6E2A"/>
    <w:rsid w:val="00CD71A9"/>
    <w:rsid w:val="00CD729B"/>
    <w:rsid w:val="00CD72B4"/>
    <w:rsid w:val="00CD73A0"/>
    <w:rsid w:val="00CD776B"/>
    <w:rsid w:val="00CD77B2"/>
    <w:rsid w:val="00CD789C"/>
    <w:rsid w:val="00CD7B92"/>
    <w:rsid w:val="00CD7CF7"/>
    <w:rsid w:val="00CD7D5A"/>
    <w:rsid w:val="00CD7DD0"/>
    <w:rsid w:val="00CE070F"/>
    <w:rsid w:val="00CE0B0D"/>
    <w:rsid w:val="00CE1F6A"/>
    <w:rsid w:val="00CE208D"/>
    <w:rsid w:val="00CE2885"/>
    <w:rsid w:val="00CE28CD"/>
    <w:rsid w:val="00CE28F4"/>
    <w:rsid w:val="00CE2EAE"/>
    <w:rsid w:val="00CE311E"/>
    <w:rsid w:val="00CE3AAA"/>
    <w:rsid w:val="00CE3CC0"/>
    <w:rsid w:val="00CE3DE2"/>
    <w:rsid w:val="00CE3ECF"/>
    <w:rsid w:val="00CE43F4"/>
    <w:rsid w:val="00CE46F0"/>
    <w:rsid w:val="00CE483D"/>
    <w:rsid w:val="00CE529F"/>
    <w:rsid w:val="00CE5561"/>
    <w:rsid w:val="00CE60EB"/>
    <w:rsid w:val="00CE65DA"/>
    <w:rsid w:val="00CE65F9"/>
    <w:rsid w:val="00CE66F4"/>
    <w:rsid w:val="00CE68E7"/>
    <w:rsid w:val="00CE6965"/>
    <w:rsid w:val="00CE72F1"/>
    <w:rsid w:val="00CE7873"/>
    <w:rsid w:val="00CE7EED"/>
    <w:rsid w:val="00CF0452"/>
    <w:rsid w:val="00CF083F"/>
    <w:rsid w:val="00CF0A22"/>
    <w:rsid w:val="00CF0C3F"/>
    <w:rsid w:val="00CF11A6"/>
    <w:rsid w:val="00CF149D"/>
    <w:rsid w:val="00CF186A"/>
    <w:rsid w:val="00CF1930"/>
    <w:rsid w:val="00CF2087"/>
    <w:rsid w:val="00CF20AD"/>
    <w:rsid w:val="00CF21CA"/>
    <w:rsid w:val="00CF226A"/>
    <w:rsid w:val="00CF2AE9"/>
    <w:rsid w:val="00CF2BFE"/>
    <w:rsid w:val="00CF2D34"/>
    <w:rsid w:val="00CF3B15"/>
    <w:rsid w:val="00CF3F8E"/>
    <w:rsid w:val="00CF5771"/>
    <w:rsid w:val="00CF5D12"/>
    <w:rsid w:val="00CF5EEE"/>
    <w:rsid w:val="00CF62DC"/>
    <w:rsid w:val="00CF6496"/>
    <w:rsid w:val="00CF6646"/>
    <w:rsid w:val="00CF69B7"/>
    <w:rsid w:val="00CF6FA4"/>
    <w:rsid w:val="00CF71BD"/>
    <w:rsid w:val="00CF737A"/>
    <w:rsid w:val="00CF7F09"/>
    <w:rsid w:val="00D00823"/>
    <w:rsid w:val="00D00DA6"/>
    <w:rsid w:val="00D00EC4"/>
    <w:rsid w:val="00D00EC8"/>
    <w:rsid w:val="00D021D1"/>
    <w:rsid w:val="00D02912"/>
    <w:rsid w:val="00D0297B"/>
    <w:rsid w:val="00D02984"/>
    <w:rsid w:val="00D02A7F"/>
    <w:rsid w:val="00D03291"/>
    <w:rsid w:val="00D03444"/>
    <w:rsid w:val="00D03647"/>
    <w:rsid w:val="00D03780"/>
    <w:rsid w:val="00D04163"/>
    <w:rsid w:val="00D04B25"/>
    <w:rsid w:val="00D04D3F"/>
    <w:rsid w:val="00D051DA"/>
    <w:rsid w:val="00D051E4"/>
    <w:rsid w:val="00D05719"/>
    <w:rsid w:val="00D05B9A"/>
    <w:rsid w:val="00D063DB"/>
    <w:rsid w:val="00D0742A"/>
    <w:rsid w:val="00D07C08"/>
    <w:rsid w:val="00D1099F"/>
    <w:rsid w:val="00D112A3"/>
    <w:rsid w:val="00D113D2"/>
    <w:rsid w:val="00D11880"/>
    <w:rsid w:val="00D1197B"/>
    <w:rsid w:val="00D119B8"/>
    <w:rsid w:val="00D121FD"/>
    <w:rsid w:val="00D126EB"/>
    <w:rsid w:val="00D12847"/>
    <w:rsid w:val="00D12895"/>
    <w:rsid w:val="00D12B91"/>
    <w:rsid w:val="00D12E10"/>
    <w:rsid w:val="00D13408"/>
    <w:rsid w:val="00D1342A"/>
    <w:rsid w:val="00D14728"/>
    <w:rsid w:val="00D14C4C"/>
    <w:rsid w:val="00D14CE7"/>
    <w:rsid w:val="00D14D56"/>
    <w:rsid w:val="00D14E49"/>
    <w:rsid w:val="00D151BA"/>
    <w:rsid w:val="00D15AF7"/>
    <w:rsid w:val="00D15C1B"/>
    <w:rsid w:val="00D1633A"/>
    <w:rsid w:val="00D16877"/>
    <w:rsid w:val="00D168AA"/>
    <w:rsid w:val="00D16FBF"/>
    <w:rsid w:val="00D16FCA"/>
    <w:rsid w:val="00D1727A"/>
    <w:rsid w:val="00D173D0"/>
    <w:rsid w:val="00D177CC"/>
    <w:rsid w:val="00D17963"/>
    <w:rsid w:val="00D204D2"/>
    <w:rsid w:val="00D20D3B"/>
    <w:rsid w:val="00D20FC0"/>
    <w:rsid w:val="00D21213"/>
    <w:rsid w:val="00D21D76"/>
    <w:rsid w:val="00D22053"/>
    <w:rsid w:val="00D2245B"/>
    <w:rsid w:val="00D225A5"/>
    <w:rsid w:val="00D22E4D"/>
    <w:rsid w:val="00D22E58"/>
    <w:rsid w:val="00D23926"/>
    <w:rsid w:val="00D23A35"/>
    <w:rsid w:val="00D23D61"/>
    <w:rsid w:val="00D2461D"/>
    <w:rsid w:val="00D2479D"/>
    <w:rsid w:val="00D2480B"/>
    <w:rsid w:val="00D25064"/>
    <w:rsid w:val="00D254EF"/>
    <w:rsid w:val="00D25B95"/>
    <w:rsid w:val="00D25BC4"/>
    <w:rsid w:val="00D25F21"/>
    <w:rsid w:val="00D2606F"/>
    <w:rsid w:val="00D26219"/>
    <w:rsid w:val="00D2623F"/>
    <w:rsid w:val="00D267F4"/>
    <w:rsid w:val="00D26C21"/>
    <w:rsid w:val="00D26ED4"/>
    <w:rsid w:val="00D26EE8"/>
    <w:rsid w:val="00D27663"/>
    <w:rsid w:val="00D27D95"/>
    <w:rsid w:val="00D30C94"/>
    <w:rsid w:val="00D30CDC"/>
    <w:rsid w:val="00D30D0A"/>
    <w:rsid w:val="00D30EEA"/>
    <w:rsid w:val="00D311B7"/>
    <w:rsid w:val="00D311E8"/>
    <w:rsid w:val="00D311F4"/>
    <w:rsid w:val="00D31A91"/>
    <w:rsid w:val="00D3206F"/>
    <w:rsid w:val="00D32105"/>
    <w:rsid w:val="00D3213D"/>
    <w:rsid w:val="00D3229C"/>
    <w:rsid w:val="00D32381"/>
    <w:rsid w:val="00D3262B"/>
    <w:rsid w:val="00D32787"/>
    <w:rsid w:val="00D349A3"/>
    <w:rsid w:val="00D34AD2"/>
    <w:rsid w:val="00D34CB8"/>
    <w:rsid w:val="00D34CBC"/>
    <w:rsid w:val="00D34F20"/>
    <w:rsid w:val="00D350B6"/>
    <w:rsid w:val="00D350C6"/>
    <w:rsid w:val="00D3567A"/>
    <w:rsid w:val="00D35A7D"/>
    <w:rsid w:val="00D35DFE"/>
    <w:rsid w:val="00D3627F"/>
    <w:rsid w:val="00D36E4D"/>
    <w:rsid w:val="00D3740C"/>
    <w:rsid w:val="00D3741E"/>
    <w:rsid w:val="00D376D6"/>
    <w:rsid w:val="00D37934"/>
    <w:rsid w:val="00D400B9"/>
    <w:rsid w:val="00D40BD1"/>
    <w:rsid w:val="00D40CAA"/>
    <w:rsid w:val="00D40F5F"/>
    <w:rsid w:val="00D40F93"/>
    <w:rsid w:val="00D414CA"/>
    <w:rsid w:val="00D418B0"/>
    <w:rsid w:val="00D41931"/>
    <w:rsid w:val="00D41AAF"/>
    <w:rsid w:val="00D427B0"/>
    <w:rsid w:val="00D42C1A"/>
    <w:rsid w:val="00D42F77"/>
    <w:rsid w:val="00D430C1"/>
    <w:rsid w:val="00D43971"/>
    <w:rsid w:val="00D43D93"/>
    <w:rsid w:val="00D43F91"/>
    <w:rsid w:val="00D44123"/>
    <w:rsid w:val="00D445AF"/>
    <w:rsid w:val="00D44724"/>
    <w:rsid w:val="00D44815"/>
    <w:rsid w:val="00D44C62"/>
    <w:rsid w:val="00D4531E"/>
    <w:rsid w:val="00D46377"/>
    <w:rsid w:val="00D4658D"/>
    <w:rsid w:val="00D46606"/>
    <w:rsid w:val="00D472B2"/>
    <w:rsid w:val="00D4769D"/>
    <w:rsid w:val="00D476D8"/>
    <w:rsid w:val="00D477A5"/>
    <w:rsid w:val="00D47C8D"/>
    <w:rsid w:val="00D50DF1"/>
    <w:rsid w:val="00D50E38"/>
    <w:rsid w:val="00D50FDA"/>
    <w:rsid w:val="00D51A50"/>
    <w:rsid w:val="00D51AE2"/>
    <w:rsid w:val="00D51CBA"/>
    <w:rsid w:val="00D51D78"/>
    <w:rsid w:val="00D51F83"/>
    <w:rsid w:val="00D5213F"/>
    <w:rsid w:val="00D52193"/>
    <w:rsid w:val="00D529CF"/>
    <w:rsid w:val="00D52A72"/>
    <w:rsid w:val="00D53842"/>
    <w:rsid w:val="00D53F0E"/>
    <w:rsid w:val="00D5439D"/>
    <w:rsid w:val="00D5446D"/>
    <w:rsid w:val="00D548D5"/>
    <w:rsid w:val="00D54A4C"/>
    <w:rsid w:val="00D54FA6"/>
    <w:rsid w:val="00D551D0"/>
    <w:rsid w:val="00D55325"/>
    <w:rsid w:val="00D55451"/>
    <w:rsid w:val="00D564F0"/>
    <w:rsid w:val="00D56629"/>
    <w:rsid w:val="00D56927"/>
    <w:rsid w:val="00D57361"/>
    <w:rsid w:val="00D57614"/>
    <w:rsid w:val="00D57771"/>
    <w:rsid w:val="00D605A3"/>
    <w:rsid w:val="00D6083A"/>
    <w:rsid w:val="00D60A81"/>
    <w:rsid w:val="00D60A9C"/>
    <w:rsid w:val="00D618E7"/>
    <w:rsid w:val="00D61985"/>
    <w:rsid w:val="00D61B3D"/>
    <w:rsid w:val="00D61E2A"/>
    <w:rsid w:val="00D6226F"/>
    <w:rsid w:val="00D62374"/>
    <w:rsid w:val="00D62536"/>
    <w:rsid w:val="00D6282C"/>
    <w:rsid w:val="00D628FF"/>
    <w:rsid w:val="00D62A21"/>
    <w:rsid w:val="00D62F1E"/>
    <w:rsid w:val="00D63915"/>
    <w:rsid w:val="00D63A47"/>
    <w:rsid w:val="00D63A7E"/>
    <w:rsid w:val="00D648DA"/>
    <w:rsid w:val="00D64B46"/>
    <w:rsid w:val="00D64BC6"/>
    <w:rsid w:val="00D64BD0"/>
    <w:rsid w:val="00D65852"/>
    <w:rsid w:val="00D6599C"/>
    <w:rsid w:val="00D65DEA"/>
    <w:rsid w:val="00D667E0"/>
    <w:rsid w:val="00D67F93"/>
    <w:rsid w:val="00D70024"/>
    <w:rsid w:val="00D7015C"/>
    <w:rsid w:val="00D701F3"/>
    <w:rsid w:val="00D705D2"/>
    <w:rsid w:val="00D70B0F"/>
    <w:rsid w:val="00D72772"/>
    <w:rsid w:val="00D72791"/>
    <w:rsid w:val="00D7281F"/>
    <w:rsid w:val="00D72A0A"/>
    <w:rsid w:val="00D72A68"/>
    <w:rsid w:val="00D72A8E"/>
    <w:rsid w:val="00D73323"/>
    <w:rsid w:val="00D7397E"/>
    <w:rsid w:val="00D74271"/>
    <w:rsid w:val="00D746E9"/>
    <w:rsid w:val="00D748B6"/>
    <w:rsid w:val="00D74D11"/>
    <w:rsid w:val="00D75316"/>
    <w:rsid w:val="00D7560D"/>
    <w:rsid w:val="00D75631"/>
    <w:rsid w:val="00D75B4F"/>
    <w:rsid w:val="00D75E8E"/>
    <w:rsid w:val="00D75FBB"/>
    <w:rsid w:val="00D765E3"/>
    <w:rsid w:val="00D7685E"/>
    <w:rsid w:val="00D7686A"/>
    <w:rsid w:val="00D76DB5"/>
    <w:rsid w:val="00D76DBB"/>
    <w:rsid w:val="00D76E6F"/>
    <w:rsid w:val="00D77522"/>
    <w:rsid w:val="00D77A05"/>
    <w:rsid w:val="00D8000D"/>
    <w:rsid w:val="00D800D9"/>
    <w:rsid w:val="00D80332"/>
    <w:rsid w:val="00D804AF"/>
    <w:rsid w:val="00D80503"/>
    <w:rsid w:val="00D81082"/>
    <w:rsid w:val="00D812CD"/>
    <w:rsid w:val="00D81782"/>
    <w:rsid w:val="00D81CD1"/>
    <w:rsid w:val="00D81ECD"/>
    <w:rsid w:val="00D821AA"/>
    <w:rsid w:val="00D82FBA"/>
    <w:rsid w:val="00D84733"/>
    <w:rsid w:val="00D8484E"/>
    <w:rsid w:val="00D853D8"/>
    <w:rsid w:val="00D85481"/>
    <w:rsid w:val="00D85539"/>
    <w:rsid w:val="00D86332"/>
    <w:rsid w:val="00D8691B"/>
    <w:rsid w:val="00D86A55"/>
    <w:rsid w:val="00D86F4E"/>
    <w:rsid w:val="00D86FA7"/>
    <w:rsid w:val="00D8788F"/>
    <w:rsid w:val="00D87AE8"/>
    <w:rsid w:val="00D901AD"/>
    <w:rsid w:val="00D90FC2"/>
    <w:rsid w:val="00D91B64"/>
    <w:rsid w:val="00D9285F"/>
    <w:rsid w:val="00D92BD5"/>
    <w:rsid w:val="00D92C75"/>
    <w:rsid w:val="00D9328F"/>
    <w:rsid w:val="00D933E5"/>
    <w:rsid w:val="00D93775"/>
    <w:rsid w:val="00D93994"/>
    <w:rsid w:val="00D939D6"/>
    <w:rsid w:val="00D94248"/>
    <w:rsid w:val="00D945A2"/>
    <w:rsid w:val="00D94DA9"/>
    <w:rsid w:val="00D968AD"/>
    <w:rsid w:val="00D96B49"/>
    <w:rsid w:val="00D97018"/>
    <w:rsid w:val="00D9752F"/>
    <w:rsid w:val="00D976EA"/>
    <w:rsid w:val="00D97B2D"/>
    <w:rsid w:val="00D97FDE"/>
    <w:rsid w:val="00DA0490"/>
    <w:rsid w:val="00DA097A"/>
    <w:rsid w:val="00DA09D4"/>
    <w:rsid w:val="00DA0D26"/>
    <w:rsid w:val="00DA0E25"/>
    <w:rsid w:val="00DA1496"/>
    <w:rsid w:val="00DA1E99"/>
    <w:rsid w:val="00DA2E5A"/>
    <w:rsid w:val="00DA2E6C"/>
    <w:rsid w:val="00DA31E2"/>
    <w:rsid w:val="00DA31FB"/>
    <w:rsid w:val="00DA3A2D"/>
    <w:rsid w:val="00DA4BE0"/>
    <w:rsid w:val="00DA4DD1"/>
    <w:rsid w:val="00DA64EF"/>
    <w:rsid w:val="00DA65CD"/>
    <w:rsid w:val="00DA6B3D"/>
    <w:rsid w:val="00DA7026"/>
    <w:rsid w:val="00DB0721"/>
    <w:rsid w:val="00DB1041"/>
    <w:rsid w:val="00DB112C"/>
    <w:rsid w:val="00DB24B8"/>
    <w:rsid w:val="00DB2612"/>
    <w:rsid w:val="00DB2632"/>
    <w:rsid w:val="00DB2B05"/>
    <w:rsid w:val="00DB2C67"/>
    <w:rsid w:val="00DB311B"/>
    <w:rsid w:val="00DB3ED8"/>
    <w:rsid w:val="00DB4038"/>
    <w:rsid w:val="00DB4A24"/>
    <w:rsid w:val="00DB51C4"/>
    <w:rsid w:val="00DB53DA"/>
    <w:rsid w:val="00DB55FA"/>
    <w:rsid w:val="00DB5CF6"/>
    <w:rsid w:val="00DB5F57"/>
    <w:rsid w:val="00DB625D"/>
    <w:rsid w:val="00DB644E"/>
    <w:rsid w:val="00DB6770"/>
    <w:rsid w:val="00DB6D28"/>
    <w:rsid w:val="00DB6E7F"/>
    <w:rsid w:val="00DB7042"/>
    <w:rsid w:val="00DC012E"/>
    <w:rsid w:val="00DC0ACB"/>
    <w:rsid w:val="00DC14CB"/>
    <w:rsid w:val="00DC1590"/>
    <w:rsid w:val="00DC1936"/>
    <w:rsid w:val="00DC1AA7"/>
    <w:rsid w:val="00DC1B46"/>
    <w:rsid w:val="00DC2452"/>
    <w:rsid w:val="00DC2683"/>
    <w:rsid w:val="00DC3685"/>
    <w:rsid w:val="00DC3798"/>
    <w:rsid w:val="00DC3C05"/>
    <w:rsid w:val="00DC4873"/>
    <w:rsid w:val="00DC4890"/>
    <w:rsid w:val="00DC518B"/>
    <w:rsid w:val="00DC53EF"/>
    <w:rsid w:val="00DC5591"/>
    <w:rsid w:val="00DC55A1"/>
    <w:rsid w:val="00DC648C"/>
    <w:rsid w:val="00DC6944"/>
    <w:rsid w:val="00DC6B36"/>
    <w:rsid w:val="00DC6BE7"/>
    <w:rsid w:val="00DC7B2E"/>
    <w:rsid w:val="00DC7D04"/>
    <w:rsid w:val="00DC7E26"/>
    <w:rsid w:val="00DD0543"/>
    <w:rsid w:val="00DD10C1"/>
    <w:rsid w:val="00DD18FD"/>
    <w:rsid w:val="00DD19E8"/>
    <w:rsid w:val="00DD1B33"/>
    <w:rsid w:val="00DD1CE8"/>
    <w:rsid w:val="00DD1DCA"/>
    <w:rsid w:val="00DD2191"/>
    <w:rsid w:val="00DD2718"/>
    <w:rsid w:val="00DD28E1"/>
    <w:rsid w:val="00DD2B3F"/>
    <w:rsid w:val="00DD32A2"/>
    <w:rsid w:val="00DD342C"/>
    <w:rsid w:val="00DD4A27"/>
    <w:rsid w:val="00DD4F41"/>
    <w:rsid w:val="00DD51A3"/>
    <w:rsid w:val="00DD53D5"/>
    <w:rsid w:val="00DD5ABB"/>
    <w:rsid w:val="00DD60DE"/>
    <w:rsid w:val="00DD62B5"/>
    <w:rsid w:val="00DD6637"/>
    <w:rsid w:val="00DD68C6"/>
    <w:rsid w:val="00DD6CA1"/>
    <w:rsid w:val="00DD6FD4"/>
    <w:rsid w:val="00DD74B9"/>
    <w:rsid w:val="00DD771B"/>
    <w:rsid w:val="00DD7806"/>
    <w:rsid w:val="00DD7F95"/>
    <w:rsid w:val="00DD7FC9"/>
    <w:rsid w:val="00DE0C71"/>
    <w:rsid w:val="00DE0F40"/>
    <w:rsid w:val="00DE0F7B"/>
    <w:rsid w:val="00DE1C35"/>
    <w:rsid w:val="00DE1DD9"/>
    <w:rsid w:val="00DE241F"/>
    <w:rsid w:val="00DE3203"/>
    <w:rsid w:val="00DE36A8"/>
    <w:rsid w:val="00DE389C"/>
    <w:rsid w:val="00DE3A8B"/>
    <w:rsid w:val="00DE3B11"/>
    <w:rsid w:val="00DE4312"/>
    <w:rsid w:val="00DE4362"/>
    <w:rsid w:val="00DE480D"/>
    <w:rsid w:val="00DE48EB"/>
    <w:rsid w:val="00DE501D"/>
    <w:rsid w:val="00DE5204"/>
    <w:rsid w:val="00DE5B30"/>
    <w:rsid w:val="00DE5CCC"/>
    <w:rsid w:val="00DE61C1"/>
    <w:rsid w:val="00DF0678"/>
    <w:rsid w:val="00DF08CD"/>
    <w:rsid w:val="00DF08CE"/>
    <w:rsid w:val="00DF0AAC"/>
    <w:rsid w:val="00DF0B2A"/>
    <w:rsid w:val="00DF0B9C"/>
    <w:rsid w:val="00DF0D25"/>
    <w:rsid w:val="00DF0FB2"/>
    <w:rsid w:val="00DF1655"/>
    <w:rsid w:val="00DF179B"/>
    <w:rsid w:val="00DF18D4"/>
    <w:rsid w:val="00DF1BE9"/>
    <w:rsid w:val="00DF23B8"/>
    <w:rsid w:val="00DF23BF"/>
    <w:rsid w:val="00DF2713"/>
    <w:rsid w:val="00DF2930"/>
    <w:rsid w:val="00DF2D34"/>
    <w:rsid w:val="00DF4109"/>
    <w:rsid w:val="00DF48D9"/>
    <w:rsid w:val="00DF4F30"/>
    <w:rsid w:val="00DF4FD9"/>
    <w:rsid w:val="00DF52AE"/>
    <w:rsid w:val="00DF5863"/>
    <w:rsid w:val="00DF58E4"/>
    <w:rsid w:val="00DF5B18"/>
    <w:rsid w:val="00DF5B2D"/>
    <w:rsid w:val="00DF61BE"/>
    <w:rsid w:val="00DF6BD3"/>
    <w:rsid w:val="00DF6EED"/>
    <w:rsid w:val="00DF6F03"/>
    <w:rsid w:val="00DF7F66"/>
    <w:rsid w:val="00E000D8"/>
    <w:rsid w:val="00E00578"/>
    <w:rsid w:val="00E005F1"/>
    <w:rsid w:val="00E00918"/>
    <w:rsid w:val="00E00BEC"/>
    <w:rsid w:val="00E00C19"/>
    <w:rsid w:val="00E00C6B"/>
    <w:rsid w:val="00E0147E"/>
    <w:rsid w:val="00E014F1"/>
    <w:rsid w:val="00E0174A"/>
    <w:rsid w:val="00E01D99"/>
    <w:rsid w:val="00E01DF9"/>
    <w:rsid w:val="00E02055"/>
    <w:rsid w:val="00E021EB"/>
    <w:rsid w:val="00E0250F"/>
    <w:rsid w:val="00E029DB"/>
    <w:rsid w:val="00E02F80"/>
    <w:rsid w:val="00E03305"/>
    <w:rsid w:val="00E037FC"/>
    <w:rsid w:val="00E03939"/>
    <w:rsid w:val="00E03A6A"/>
    <w:rsid w:val="00E03E41"/>
    <w:rsid w:val="00E04C1C"/>
    <w:rsid w:val="00E0521B"/>
    <w:rsid w:val="00E052E2"/>
    <w:rsid w:val="00E0562D"/>
    <w:rsid w:val="00E05DF4"/>
    <w:rsid w:val="00E06306"/>
    <w:rsid w:val="00E06662"/>
    <w:rsid w:val="00E066C1"/>
    <w:rsid w:val="00E06CA2"/>
    <w:rsid w:val="00E06D69"/>
    <w:rsid w:val="00E074F1"/>
    <w:rsid w:val="00E07B80"/>
    <w:rsid w:val="00E07E94"/>
    <w:rsid w:val="00E07F9C"/>
    <w:rsid w:val="00E107A4"/>
    <w:rsid w:val="00E10BEB"/>
    <w:rsid w:val="00E10DD2"/>
    <w:rsid w:val="00E11560"/>
    <w:rsid w:val="00E1196E"/>
    <w:rsid w:val="00E127BB"/>
    <w:rsid w:val="00E12863"/>
    <w:rsid w:val="00E129AA"/>
    <w:rsid w:val="00E129BE"/>
    <w:rsid w:val="00E12CB4"/>
    <w:rsid w:val="00E130C6"/>
    <w:rsid w:val="00E13A1B"/>
    <w:rsid w:val="00E140AE"/>
    <w:rsid w:val="00E140D1"/>
    <w:rsid w:val="00E14183"/>
    <w:rsid w:val="00E14795"/>
    <w:rsid w:val="00E1487A"/>
    <w:rsid w:val="00E14938"/>
    <w:rsid w:val="00E1534A"/>
    <w:rsid w:val="00E1573A"/>
    <w:rsid w:val="00E15F5C"/>
    <w:rsid w:val="00E16641"/>
    <w:rsid w:val="00E1777E"/>
    <w:rsid w:val="00E17AB6"/>
    <w:rsid w:val="00E17EAD"/>
    <w:rsid w:val="00E20E20"/>
    <w:rsid w:val="00E20EC9"/>
    <w:rsid w:val="00E21022"/>
    <w:rsid w:val="00E210C2"/>
    <w:rsid w:val="00E212CA"/>
    <w:rsid w:val="00E21561"/>
    <w:rsid w:val="00E21B69"/>
    <w:rsid w:val="00E21F1C"/>
    <w:rsid w:val="00E2237B"/>
    <w:rsid w:val="00E22831"/>
    <w:rsid w:val="00E229AC"/>
    <w:rsid w:val="00E22DE9"/>
    <w:rsid w:val="00E22FE2"/>
    <w:rsid w:val="00E235D4"/>
    <w:rsid w:val="00E236B4"/>
    <w:rsid w:val="00E236C5"/>
    <w:rsid w:val="00E23CF1"/>
    <w:rsid w:val="00E23F2E"/>
    <w:rsid w:val="00E25027"/>
    <w:rsid w:val="00E25450"/>
    <w:rsid w:val="00E254E5"/>
    <w:rsid w:val="00E257DB"/>
    <w:rsid w:val="00E25855"/>
    <w:rsid w:val="00E25BDE"/>
    <w:rsid w:val="00E25CD9"/>
    <w:rsid w:val="00E2601E"/>
    <w:rsid w:val="00E26022"/>
    <w:rsid w:val="00E263FF"/>
    <w:rsid w:val="00E264BD"/>
    <w:rsid w:val="00E267D2"/>
    <w:rsid w:val="00E276FF"/>
    <w:rsid w:val="00E2770D"/>
    <w:rsid w:val="00E27A1E"/>
    <w:rsid w:val="00E27C2B"/>
    <w:rsid w:val="00E30845"/>
    <w:rsid w:val="00E309CF"/>
    <w:rsid w:val="00E30B16"/>
    <w:rsid w:val="00E30C34"/>
    <w:rsid w:val="00E317CB"/>
    <w:rsid w:val="00E32508"/>
    <w:rsid w:val="00E3256A"/>
    <w:rsid w:val="00E326D5"/>
    <w:rsid w:val="00E32A5F"/>
    <w:rsid w:val="00E32D70"/>
    <w:rsid w:val="00E3379B"/>
    <w:rsid w:val="00E3397F"/>
    <w:rsid w:val="00E34020"/>
    <w:rsid w:val="00E34274"/>
    <w:rsid w:val="00E3583B"/>
    <w:rsid w:val="00E35883"/>
    <w:rsid w:val="00E35F9D"/>
    <w:rsid w:val="00E36728"/>
    <w:rsid w:val="00E369A4"/>
    <w:rsid w:val="00E3728F"/>
    <w:rsid w:val="00E4022B"/>
    <w:rsid w:val="00E42E10"/>
    <w:rsid w:val="00E42F24"/>
    <w:rsid w:val="00E43145"/>
    <w:rsid w:val="00E434ED"/>
    <w:rsid w:val="00E43596"/>
    <w:rsid w:val="00E43759"/>
    <w:rsid w:val="00E43B9B"/>
    <w:rsid w:val="00E43EB6"/>
    <w:rsid w:val="00E4437D"/>
    <w:rsid w:val="00E44492"/>
    <w:rsid w:val="00E44998"/>
    <w:rsid w:val="00E44C01"/>
    <w:rsid w:val="00E459D3"/>
    <w:rsid w:val="00E45BAC"/>
    <w:rsid w:val="00E45EE7"/>
    <w:rsid w:val="00E46037"/>
    <w:rsid w:val="00E46457"/>
    <w:rsid w:val="00E464B7"/>
    <w:rsid w:val="00E4685F"/>
    <w:rsid w:val="00E46EE4"/>
    <w:rsid w:val="00E47059"/>
    <w:rsid w:val="00E4762E"/>
    <w:rsid w:val="00E47EB0"/>
    <w:rsid w:val="00E501E0"/>
    <w:rsid w:val="00E5033D"/>
    <w:rsid w:val="00E50531"/>
    <w:rsid w:val="00E50B8C"/>
    <w:rsid w:val="00E50CF6"/>
    <w:rsid w:val="00E50EAD"/>
    <w:rsid w:val="00E51129"/>
    <w:rsid w:val="00E51330"/>
    <w:rsid w:val="00E51437"/>
    <w:rsid w:val="00E51AC3"/>
    <w:rsid w:val="00E51F21"/>
    <w:rsid w:val="00E51F35"/>
    <w:rsid w:val="00E53458"/>
    <w:rsid w:val="00E53BCA"/>
    <w:rsid w:val="00E53D8A"/>
    <w:rsid w:val="00E54461"/>
    <w:rsid w:val="00E5485E"/>
    <w:rsid w:val="00E54985"/>
    <w:rsid w:val="00E55327"/>
    <w:rsid w:val="00E5555D"/>
    <w:rsid w:val="00E55756"/>
    <w:rsid w:val="00E5590D"/>
    <w:rsid w:val="00E55E40"/>
    <w:rsid w:val="00E56631"/>
    <w:rsid w:val="00E56C0A"/>
    <w:rsid w:val="00E56C25"/>
    <w:rsid w:val="00E56CBF"/>
    <w:rsid w:val="00E571C7"/>
    <w:rsid w:val="00E5748A"/>
    <w:rsid w:val="00E5758B"/>
    <w:rsid w:val="00E57767"/>
    <w:rsid w:val="00E57E0C"/>
    <w:rsid w:val="00E60307"/>
    <w:rsid w:val="00E60886"/>
    <w:rsid w:val="00E61F1A"/>
    <w:rsid w:val="00E62106"/>
    <w:rsid w:val="00E62975"/>
    <w:rsid w:val="00E62ED3"/>
    <w:rsid w:val="00E633DE"/>
    <w:rsid w:val="00E63690"/>
    <w:rsid w:val="00E638FB"/>
    <w:rsid w:val="00E64249"/>
    <w:rsid w:val="00E648AB"/>
    <w:rsid w:val="00E651B7"/>
    <w:rsid w:val="00E653C2"/>
    <w:rsid w:val="00E65674"/>
    <w:rsid w:val="00E65A14"/>
    <w:rsid w:val="00E65B7D"/>
    <w:rsid w:val="00E66093"/>
    <w:rsid w:val="00E660A7"/>
    <w:rsid w:val="00E660D4"/>
    <w:rsid w:val="00E66F05"/>
    <w:rsid w:val="00E66FD5"/>
    <w:rsid w:val="00E6734C"/>
    <w:rsid w:val="00E6766D"/>
    <w:rsid w:val="00E67793"/>
    <w:rsid w:val="00E67AC5"/>
    <w:rsid w:val="00E707B4"/>
    <w:rsid w:val="00E71053"/>
    <w:rsid w:val="00E713FD"/>
    <w:rsid w:val="00E71469"/>
    <w:rsid w:val="00E717B4"/>
    <w:rsid w:val="00E71AE3"/>
    <w:rsid w:val="00E71DB5"/>
    <w:rsid w:val="00E72433"/>
    <w:rsid w:val="00E72967"/>
    <w:rsid w:val="00E72AAC"/>
    <w:rsid w:val="00E72C31"/>
    <w:rsid w:val="00E72D3E"/>
    <w:rsid w:val="00E72DBF"/>
    <w:rsid w:val="00E72E73"/>
    <w:rsid w:val="00E72F3E"/>
    <w:rsid w:val="00E732BD"/>
    <w:rsid w:val="00E7344F"/>
    <w:rsid w:val="00E73E95"/>
    <w:rsid w:val="00E7464A"/>
    <w:rsid w:val="00E74755"/>
    <w:rsid w:val="00E747A2"/>
    <w:rsid w:val="00E749FC"/>
    <w:rsid w:val="00E74B31"/>
    <w:rsid w:val="00E756ED"/>
    <w:rsid w:val="00E75A04"/>
    <w:rsid w:val="00E76062"/>
    <w:rsid w:val="00E764C6"/>
    <w:rsid w:val="00E76F85"/>
    <w:rsid w:val="00E77508"/>
    <w:rsid w:val="00E7752F"/>
    <w:rsid w:val="00E77569"/>
    <w:rsid w:val="00E77B75"/>
    <w:rsid w:val="00E80385"/>
    <w:rsid w:val="00E808A4"/>
    <w:rsid w:val="00E81DD1"/>
    <w:rsid w:val="00E822A5"/>
    <w:rsid w:val="00E8271E"/>
    <w:rsid w:val="00E82A19"/>
    <w:rsid w:val="00E83095"/>
    <w:rsid w:val="00E83278"/>
    <w:rsid w:val="00E8365A"/>
    <w:rsid w:val="00E83F23"/>
    <w:rsid w:val="00E84091"/>
    <w:rsid w:val="00E84465"/>
    <w:rsid w:val="00E84CD0"/>
    <w:rsid w:val="00E85983"/>
    <w:rsid w:val="00E85E15"/>
    <w:rsid w:val="00E86091"/>
    <w:rsid w:val="00E8626E"/>
    <w:rsid w:val="00E8672C"/>
    <w:rsid w:val="00E867AF"/>
    <w:rsid w:val="00E86AA5"/>
    <w:rsid w:val="00E86C68"/>
    <w:rsid w:val="00E86FB6"/>
    <w:rsid w:val="00E87174"/>
    <w:rsid w:val="00E87421"/>
    <w:rsid w:val="00E87977"/>
    <w:rsid w:val="00E9016C"/>
    <w:rsid w:val="00E9020A"/>
    <w:rsid w:val="00E903C1"/>
    <w:rsid w:val="00E90536"/>
    <w:rsid w:val="00E905C6"/>
    <w:rsid w:val="00E9114E"/>
    <w:rsid w:val="00E912F3"/>
    <w:rsid w:val="00E91345"/>
    <w:rsid w:val="00E9208A"/>
    <w:rsid w:val="00E92E42"/>
    <w:rsid w:val="00E934A7"/>
    <w:rsid w:val="00E937CD"/>
    <w:rsid w:val="00E93876"/>
    <w:rsid w:val="00E938A4"/>
    <w:rsid w:val="00E93918"/>
    <w:rsid w:val="00E9398E"/>
    <w:rsid w:val="00E94202"/>
    <w:rsid w:val="00E94CD8"/>
    <w:rsid w:val="00E9529B"/>
    <w:rsid w:val="00E958C8"/>
    <w:rsid w:val="00E95D59"/>
    <w:rsid w:val="00E965DC"/>
    <w:rsid w:val="00E96723"/>
    <w:rsid w:val="00E9770F"/>
    <w:rsid w:val="00EA00DF"/>
    <w:rsid w:val="00EA01CF"/>
    <w:rsid w:val="00EA0764"/>
    <w:rsid w:val="00EA07D0"/>
    <w:rsid w:val="00EA096F"/>
    <w:rsid w:val="00EA12FA"/>
    <w:rsid w:val="00EA1DE4"/>
    <w:rsid w:val="00EA24D3"/>
    <w:rsid w:val="00EA2795"/>
    <w:rsid w:val="00EA30F5"/>
    <w:rsid w:val="00EA39DE"/>
    <w:rsid w:val="00EA3C17"/>
    <w:rsid w:val="00EA3F81"/>
    <w:rsid w:val="00EA442B"/>
    <w:rsid w:val="00EA4683"/>
    <w:rsid w:val="00EA46A0"/>
    <w:rsid w:val="00EA46B0"/>
    <w:rsid w:val="00EA47AC"/>
    <w:rsid w:val="00EA4D17"/>
    <w:rsid w:val="00EA4D2A"/>
    <w:rsid w:val="00EA51D0"/>
    <w:rsid w:val="00EA53B6"/>
    <w:rsid w:val="00EA5507"/>
    <w:rsid w:val="00EA5BA7"/>
    <w:rsid w:val="00EA608F"/>
    <w:rsid w:val="00EA622A"/>
    <w:rsid w:val="00EA63BC"/>
    <w:rsid w:val="00EA65B9"/>
    <w:rsid w:val="00EA68DA"/>
    <w:rsid w:val="00EA6BE7"/>
    <w:rsid w:val="00EA6E0D"/>
    <w:rsid w:val="00EA7056"/>
    <w:rsid w:val="00EA7101"/>
    <w:rsid w:val="00EA7155"/>
    <w:rsid w:val="00EA7699"/>
    <w:rsid w:val="00EA77A4"/>
    <w:rsid w:val="00EA7EBE"/>
    <w:rsid w:val="00EB031C"/>
    <w:rsid w:val="00EB04FC"/>
    <w:rsid w:val="00EB1127"/>
    <w:rsid w:val="00EB1907"/>
    <w:rsid w:val="00EB213B"/>
    <w:rsid w:val="00EB2A36"/>
    <w:rsid w:val="00EB2B00"/>
    <w:rsid w:val="00EB2B0C"/>
    <w:rsid w:val="00EB33B5"/>
    <w:rsid w:val="00EB37D4"/>
    <w:rsid w:val="00EB37E7"/>
    <w:rsid w:val="00EB39CD"/>
    <w:rsid w:val="00EB3D7E"/>
    <w:rsid w:val="00EB3E93"/>
    <w:rsid w:val="00EB4A1C"/>
    <w:rsid w:val="00EB4AB9"/>
    <w:rsid w:val="00EB4B9D"/>
    <w:rsid w:val="00EB4CB9"/>
    <w:rsid w:val="00EB5641"/>
    <w:rsid w:val="00EB6126"/>
    <w:rsid w:val="00EB62D6"/>
    <w:rsid w:val="00EB655B"/>
    <w:rsid w:val="00EB6D33"/>
    <w:rsid w:val="00EB6F3D"/>
    <w:rsid w:val="00EB72CB"/>
    <w:rsid w:val="00EB7ABC"/>
    <w:rsid w:val="00EC02AE"/>
    <w:rsid w:val="00EC02B6"/>
    <w:rsid w:val="00EC0513"/>
    <w:rsid w:val="00EC07A8"/>
    <w:rsid w:val="00EC0CB1"/>
    <w:rsid w:val="00EC0E7C"/>
    <w:rsid w:val="00EC15F9"/>
    <w:rsid w:val="00EC1FF5"/>
    <w:rsid w:val="00EC2279"/>
    <w:rsid w:val="00EC2559"/>
    <w:rsid w:val="00EC268D"/>
    <w:rsid w:val="00EC2716"/>
    <w:rsid w:val="00EC285D"/>
    <w:rsid w:val="00EC2891"/>
    <w:rsid w:val="00EC2D4B"/>
    <w:rsid w:val="00EC2D66"/>
    <w:rsid w:val="00EC2FE0"/>
    <w:rsid w:val="00EC3BBF"/>
    <w:rsid w:val="00EC3C61"/>
    <w:rsid w:val="00EC3C8F"/>
    <w:rsid w:val="00EC3F5B"/>
    <w:rsid w:val="00EC444D"/>
    <w:rsid w:val="00EC4660"/>
    <w:rsid w:val="00EC4779"/>
    <w:rsid w:val="00EC47B5"/>
    <w:rsid w:val="00EC4848"/>
    <w:rsid w:val="00EC48D2"/>
    <w:rsid w:val="00EC567F"/>
    <w:rsid w:val="00EC5CDB"/>
    <w:rsid w:val="00EC63CF"/>
    <w:rsid w:val="00EC661A"/>
    <w:rsid w:val="00EC6C65"/>
    <w:rsid w:val="00EC6D9A"/>
    <w:rsid w:val="00EC7292"/>
    <w:rsid w:val="00EC759F"/>
    <w:rsid w:val="00EC75A9"/>
    <w:rsid w:val="00EC79E4"/>
    <w:rsid w:val="00EC7C81"/>
    <w:rsid w:val="00EC7DE8"/>
    <w:rsid w:val="00ED059B"/>
    <w:rsid w:val="00ED09BE"/>
    <w:rsid w:val="00ED0B28"/>
    <w:rsid w:val="00ED0B63"/>
    <w:rsid w:val="00ED10CF"/>
    <w:rsid w:val="00ED120D"/>
    <w:rsid w:val="00ED1283"/>
    <w:rsid w:val="00ED157B"/>
    <w:rsid w:val="00ED2378"/>
    <w:rsid w:val="00ED327F"/>
    <w:rsid w:val="00ED328D"/>
    <w:rsid w:val="00ED33CB"/>
    <w:rsid w:val="00ED3B3D"/>
    <w:rsid w:val="00ED3F4C"/>
    <w:rsid w:val="00ED463B"/>
    <w:rsid w:val="00ED46FA"/>
    <w:rsid w:val="00ED4A05"/>
    <w:rsid w:val="00ED4A45"/>
    <w:rsid w:val="00ED4CFB"/>
    <w:rsid w:val="00ED520B"/>
    <w:rsid w:val="00ED5318"/>
    <w:rsid w:val="00ED5F65"/>
    <w:rsid w:val="00ED5F94"/>
    <w:rsid w:val="00ED6282"/>
    <w:rsid w:val="00ED629E"/>
    <w:rsid w:val="00ED706D"/>
    <w:rsid w:val="00ED71B0"/>
    <w:rsid w:val="00ED7591"/>
    <w:rsid w:val="00ED78C1"/>
    <w:rsid w:val="00ED7DDD"/>
    <w:rsid w:val="00EE00B1"/>
    <w:rsid w:val="00EE0444"/>
    <w:rsid w:val="00EE0FB9"/>
    <w:rsid w:val="00EE185D"/>
    <w:rsid w:val="00EE1AAB"/>
    <w:rsid w:val="00EE1EEB"/>
    <w:rsid w:val="00EE22DD"/>
    <w:rsid w:val="00EE24CC"/>
    <w:rsid w:val="00EE24F2"/>
    <w:rsid w:val="00EE2572"/>
    <w:rsid w:val="00EE284F"/>
    <w:rsid w:val="00EE3481"/>
    <w:rsid w:val="00EE3655"/>
    <w:rsid w:val="00EE3939"/>
    <w:rsid w:val="00EE3A75"/>
    <w:rsid w:val="00EE3F74"/>
    <w:rsid w:val="00EE3FFF"/>
    <w:rsid w:val="00EE4232"/>
    <w:rsid w:val="00EE46F0"/>
    <w:rsid w:val="00EE5378"/>
    <w:rsid w:val="00EE539C"/>
    <w:rsid w:val="00EE56EC"/>
    <w:rsid w:val="00EE57EA"/>
    <w:rsid w:val="00EE57F7"/>
    <w:rsid w:val="00EE5AE9"/>
    <w:rsid w:val="00EE5D93"/>
    <w:rsid w:val="00EE62C1"/>
    <w:rsid w:val="00EE646B"/>
    <w:rsid w:val="00EE6538"/>
    <w:rsid w:val="00EE6601"/>
    <w:rsid w:val="00EE6FB0"/>
    <w:rsid w:val="00EE736A"/>
    <w:rsid w:val="00EE7CCA"/>
    <w:rsid w:val="00EE7F9D"/>
    <w:rsid w:val="00EF03B5"/>
    <w:rsid w:val="00EF05EC"/>
    <w:rsid w:val="00EF070C"/>
    <w:rsid w:val="00EF092A"/>
    <w:rsid w:val="00EF0BF6"/>
    <w:rsid w:val="00EF0DA2"/>
    <w:rsid w:val="00EF1128"/>
    <w:rsid w:val="00EF1E09"/>
    <w:rsid w:val="00EF21CF"/>
    <w:rsid w:val="00EF24C2"/>
    <w:rsid w:val="00EF24EF"/>
    <w:rsid w:val="00EF2D56"/>
    <w:rsid w:val="00EF2E7C"/>
    <w:rsid w:val="00EF3548"/>
    <w:rsid w:val="00EF3918"/>
    <w:rsid w:val="00EF3A14"/>
    <w:rsid w:val="00EF3DE2"/>
    <w:rsid w:val="00EF40D4"/>
    <w:rsid w:val="00EF4994"/>
    <w:rsid w:val="00EF4A9E"/>
    <w:rsid w:val="00EF4AA4"/>
    <w:rsid w:val="00EF4D54"/>
    <w:rsid w:val="00EF50A0"/>
    <w:rsid w:val="00EF50B5"/>
    <w:rsid w:val="00EF520C"/>
    <w:rsid w:val="00EF5846"/>
    <w:rsid w:val="00EF5FB6"/>
    <w:rsid w:val="00EF67B3"/>
    <w:rsid w:val="00EF6939"/>
    <w:rsid w:val="00EF7412"/>
    <w:rsid w:val="00EF7760"/>
    <w:rsid w:val="00EF7EE4"/>
    <w:rsid w:val="00F00069"/>
    <w:rsid w:val="00F000A7"/>
    <w:rsid w:val="00F009C0"/>
    <w:rsid w:val="00F0157A"/>
    <w:rsid w:val="00F017B2"/>
    <w:rsid w:val="00F025CB"/>
    <w:rsid w:val="00F02A14"/>
    <w:rsid w:val="00F02B6D"/>
    <w:rsid w:val="00F02DDC"/>
    <w:rsid w:val="00F02E1D"/>
    <w:rsid w:val="00F03FBE"/>
    <w:rsid w:val="00F044D8"/>
    <w:rsid w:val="00F04B36"/>
    <w:rsid w:val="00F04CDA"/>
    <w:rsid w:val="00F05B26"/>
    <w:rsid w:val="00F05CC0"/>
    <w:rsid w:val="00F05E95"/>
    <w:rsid w:val="00F05F5A"/>
    <w:rsid w:val="00F065B1"/>
    <w:rsid w:val="00F0661A"/>
    <w:rsid w:val="00F068C7"/>
    <w:rsid w:val="00F070EB"/>
    <w:rsid w:val="00F071DE"/>
    <w:rsid w:val="00F07ADD"/>
    <w:rsid w:val="00F07D2C"/>
    <w:rsid w:val="00F10230"/>
    <w:rsid w:val="00F10A0C"/>
    <w:rsid w:val="00F10D8F"/>
    <w:rsid w:val="00F112AD"/>
    <w:rsid w:val="00F113E1"/>
    <w:rsid w:val="00F11985"/>
    <w:rsid w:val="00F11E33"/>
    <w:rsid w:val="00F11E66"/>
    <w:rsid w:val="00F12130"/>
    <w:rsid w:val="00F12268"/>
    <w:rsid w:val="00F12567"/>
    <w:rsid w:val="00F12599"/>
    <w:rsid w:val="00F126A9"/>
    <w:rsid w:val="00F13536"/>
    <w:rsid w:val="00F136D5"/>
    <w:rsid w:val="00F146B4"/>
    <w:rsid w:val="00F14A6F"/>
    <w:rsid w:val="00F14C7C"/>
    <w:rsid w:val="00F14F5B"/>
    <w:rsid w:val="00F15809"/>
    <w:rsid w:val="00F158A9"/>
    <w:rsid w:val="00F15E23"/>
    <w:rsid w:val="00F15F01"/>
    <w:rsid w:val="00F1642A"/>
    <w:rsid w:val="00F17C98"/>
    <w:rsid w:val="00F17CCE"/>
    <w:rsid w:val="00F203BA"/>
    <w:rsid w:val="00F2059D"/>
    <w:rsid w:val="00F208C2"/>
    <w:rsid w:val="00F21A1A"/>
    <w:rsid w:val="00F21D28"/>
    <w:rsid w:val="00F21FBE"/>
    <w:rsid w:val="00F22619"/>
    <w:rsid w:val="00F2312F"/>
    <w:rsid w:val="00F2313C"/>
    <w:rsid w:val="00F234B9"/>
    <w:rsid w:val="00F23A01"/>
    <w:rsid w:val="00F23E44"/>
    <w:rsid w:val="00F24032"/>
    <w:rsid w:val="00F24445"/>
    <w:rsid w:val="00F2572E"/>
    <w:rsid w:val="00F2574D"/>
    <w:rsid w:val="00F25A3A"/>
    <w:rsid w:val="00F25CDF"/>
    <w:rsid w:val="00F25E64"/>
    <w:rsid w:val="00F264D6"/>
    <w:rsid w:val="00F27B87"/>
    <w:rsid w:val="00F27E82"/>
    <w:rsid w:val="00F30611"/>
    <w:rsid w:val="00F3068B"/>
    <w:rsid w:val="00F30F81"/>
    <w:rsid w:val="00F30FB2"/>
    <w:rsid w:val="00F31FE8"/>
    <w:rsid w:val="00F3216B"/>
    <w:rsid w:val="00F322CE"/>
    <w:rsid w:val="00F32A2A"/>
    <w:rsid w:val="00F330D2"/>
    <w:rsid w:val="00F3320F"/>
    <w:rsid w:val="00F33501"/>
    <w:rsid w:val="00F33A7B"/>
    <w:rsid w:val="00F34292"/>
    <w:rsid w:val="00F343EE"/>
    <w:rsid w:val="00F346E1"/>
    <w:rsid w:val="00F35BF3"/>
    <w:rsid w:val="00F35C68"/>
    <w:rsid w:val="00F35DE0"/>
    <w:rsid w:val="00F35EC2"/>
    <w:rsid w:val="00F36082"/>
    <w:rsid w:val="00F36146"/>
    <w:rsid w:val="00F361DC"/>
    <w:rsid w:val="00F362DD"/>
    <w:rsid w:val="00F37156"/>
    <w:rsid w:val="00F37226"/>
    <w:rsid w:val="00F3726C"/>
    <w:rsid w:val="00F3784D"/>
    <w:rsid w:val="00F379E2"/>
    <w:rsid w:val="00F404F3"/>
    <w:rsid w:val="00F40808"/>
    <w:rsid w:val="00F410FB"/>
    <w:rsid w:val="00F412FC"/>
    <w:rsid w:val="00F413C0"/>
    <w:rsid w:val="00F41645"/>
    <w:rsid w:val="00F41884"/>
    <w:rsid w:val="00F418CC"/>
    <w:rsid w:val="00F41EAC"/>
    <w:rsid w:val="00F422DE"/>
    <w:rsid w:val="00F423B9"/>
    <w:rsid w:val="00F42C6F"/>
    <w:rsid w:val="00F43926"/>
    <w:rsid w:val="00F43B36"/>
    <w:rsid w:val="00F43B5D"/>
    <w:rsid w:val="00F43B83"/>
    <w:rsid w:val="00F43E69"/>
    <w:rsid w:val="00F4417D"/>
    <w:rsid w:val="00F4455B"/>
    <w:rsid w:val="00F45032"/>
    <w:rsid w:val="00F4514C"/>
    <w:rsid w:val="00F457D2"/>
    <w:rsid w:val="00F45F9E"/>
    <w:rsid w:val="00F46079"/>
    <w:rsid w:val="00F462C2"/>
    <w:rsid w:val="00F46354"/>
    <w:rsid w:val="00F4719E"/>
    <w:rsid w:val="00F476C3"/>
    <w:rsid w:val="00F4797C"/>
    <w:rsid w:val="00F47B7E"/>
    <w:rsid w:val="00F47C3E"/>
    <w:rsid w:val="00F47DAD"/>
    <w:rsid w:val="00F500F6"/>
    <w:rsid w:val="00F5014D"/>
    <w:rsid w:val="00F50263"/>
    <w:rsid w:val="00F503B5"/>
    <w:rsid w:val="00F504C8"/>
    <w:rsid w:val="00F516CA"/>
    <w:rsid w:val="00F5197C"/>
    <w:rsid w:val="00F52090"/>
    <w:rsid w:val="00F5244C"/>
    <w:rsid w:val="00F5244F"/>
    <w:rsid w:val="00F52AFF"/>
    <w:rsid w:val="00F52B0A"/>
    <w:rsid w:val="00F53102"/>
    <w:rsid w:val="00F5322F"/>
    <w:rsid w:val="00F5339E"/>
    <w:rsid w:val="00F5345A"/>
    <w:rsid w:val="00F53808"/>
    <w:rsid w:val="00F53D8F"/>
    <w:rsid w:val="00F53ED1"/>
    <w:rsid w:val="00F55079"/>
    <w:rsid w:val="00F55FEF"/>
    <w:rsid w:val="00F56244"/>
    <w:rsid w:val="00F56286"/>
    <w:rsid w:val="00F569A6"/>
    <w:rsid w:val="00F56D9B"/>
    <w:rsid w:val="00F57578"/>
    <w:rsid w:val="00F57C59"/>
    <w:rsid w:val="00F57CA8"/>
    <w:rsid w:val="00F57FCF"/>
    <w:rsid w:val="00F60C4F"/>
    <w:rsid w:val="00F612B5"/>
    <w:rsid w:val="00F61B97"/>
    <w:rsid w:val="00F6219E"/>
    <w:rsid w:val="00F626E1"/>
    <w:rsid w:val="00F62D18"/>
    <w:rsid w:val="00F62F15"/>
    <w:rsid w:val="00F63531"/>
    <w:rsid w:val="00F63C45"/>
    <w:rsid w:val="00F63DBA"/>
    <w:rsid w:val="00F6404E"/>
    <w:rsid w:val="00F643E5"/>
    <w:rsid w:val="00F6512E"/>
    <w:rsid w:val="00F6527B"/>
    <w:rsid w:val="00F65D07"/>
    <w:rsid w:val="00F660DE"/>
    <w:rsid w:val="00F6629E"/>
    <w:rsid w:val="00F6646F"/>
    <w:rsid w:val="00F6647A"/>
    <w:rsid w:val="00F668E5"/>
    <w:rsid w:val="00F66AB3"/>
    <w:rsid w:val="00F66D1D"/>
    <w:rsid w:val="00F66D49"/>
    <w:rsid w:val="00F679DF"/>
    <w:rsid w:val="00F67BCB"/>
    <w:rsid w:val="00F67E7C"/>
    <w:rsid w:val="00F67EA4"/>
    <w:rsid w:val="00F702F3"/>
    <w:rsid w:val="00F7044A"/>
    <w:rsid w:val="00F706B8"/>
    <w:rsid w:val="00F70823"/>
    <w:rsid w:val="00F70BD8"/>
    <w:rsid w:val="00F71E29"/>
    <w:rsid w:val="00F725DC"/>
    <w:rsid w:val="00F7267D"/>
    <w:rsid w:val="00F729BC"/>
    <w:rsid w:val="00F72BA6"/>
    <w:rsid w:val="00F73AEE"/>
    <w:rsid w:val="00F73D08"/>
    <w:rsid w:val="00F73F2A"/>
    <w:rsid w:val="00F7404F"/>
    <w:rsid w:val="00F74797"/>
    <w:rsid w:val="00F75594"/>
    <w:rsid w:val="00F758B8"/>
    <w:rsid w:val="00F75DE2"/>
    <w:rsid w:val="00F76807"/>
    <w:rsid w:val="00F76C33"/>
    <w:rsid w:val="00F77010"/>
    <w:rsid w:val="00F77744"/>
    <w:rsid w:val="00F77973"/>
    <w:rsid w:val="00F77B6C"/>
    <w:rsid w:val="00F80024"/>
    <w:rsid w:val="00F801CF"/>
    <w:rsid w:val="00F801F5"/>
    <w:rsid w:val="00F8079B"/>
    <w:rsid w:val="00F80A21"/>
    <w:rsid w:val="00F813F8"/>
    <w:rsid w:val="00F817E7"/>
    <w:rsid w:val="00F8194F"/>
    <w:rsid w:val="00F81D72"/>
    <w:rsid w:val="00F82548"/>
    <w:rsid w:val="00F82640"/>
    <w:rsid w:val="00F8269B"/>
    <w:rsid w:val="00F826BB"/>
    <w:rsid w:val="00F82C21"/>
    <w:rsid w:val="00F82E79"/>
    <w:rsid w:val="00F838A1"/>
    <w:rsid w:val="00F8393C"/>
    <w:rsid w:val="00F84E60"/>
    <w:rsid w:val="00F85042"/>
    <w:rsid w:val="00F850B7"/>
    <w:rsid w:val="00F85159"/>
    <w:rsid w:val="00F85FE0"/>
    <w:rsid w:val="00F86FAB"/>
    <w:rsid w:val="00F87055"/>
    <w:rsid w:val="00F87C26"/>
    <w:rsid w:val="00F90280"/>
    <w:rsid w:val="00F90B28"/>
    <w:rsid w:val="00F912CF"/>
    <w:rsid w:val="00F9180D"/>
    <w:rsid w:val="00F9189E"/>
    <w:rsid w:val="00F91BF4"/>
    <w:rsid w:val="00F91C1E"/>
    <w:rsid w:val="00F92255"/>
    <w:rsid w:val="00F926EF"/>
    <w:rsid w:val="00F92DCF"/>
    <w:rsid w:val="00F93332"/>
    <w:rsid w:val="00F93C37"/>
    <w:rsid w:val="00F93E49"/>
    <w:rsid w:val="00F94115"/>
    <w:rsid w:val="00F94606"/>
    <w:rsid w:val="00F94C56"/>
    <w:rsid w:val="00F9537D"/>
    <w:rsid w:val="00F9575A"/>
    <w:rsid w:val="00F95A0A"/>
    <w:rsid w:val="00F962C7"/>
    <w:rsid w:val="00F96DC0"/>
    <w:rsid w:val="00F96DE4"/>
    <w:rsid w:val="00FA0692"/>
    <w:rsid w:val="00FA0A87"/>
    <w:rsid w:val="00FA0DE0"/>
    <w:rsid w:val="00FA0EA8"/>
    <w:rsid w:val="00FA0EC5"/>
    <w:rsid w:val="00FA1229"/>
    <w:rsid w:val="00FA167F"/>
    <w:rsid w:val="00FA16F7"/>
    <w:rsid w:val="00FA1A4E"/>
    <w:rsid w:val="00FA1C8A"/>
    <w:rsid w:val="00FA1FCC"/>
    <w:rsid w:val="00FA2918"/>
    <w:rsid w:val="00FA2B83"/>
    <w:rsid w:val="00FA2CDF"/>
    <w:rsid w:val="00FA3318"/>
    <w:rsid w:val="00FA3356"/>
    <w:rsid w:val="00FA4991"/>
    <w:rsid w:val="00FA4F1E"/>
    <w:rsid w:val="00FA50F3"/>
    <w:rsid w:val="00FA5F13"/>
    <w:rsid w:val="00FA65AE"/>
    <w:rsid w:val="00FA6C99"/>
    <w:rsid w:val="00FA7206"/>
    <w:rsid w:val="00FA7CC4"/>
    <w:rsid w:val="00FB0367"/>
    <w:rsid w:val="00FB0592"/>
    <w:rsid w:val="00FB0B51"/>
    <w:rsid w:val="00FB0D5C"/>
    <w:rsid w:val="00FB0DD7"/>
    <w:rsid w:val="00FB1099"/>
    <w:rsid w:val="00FB1AB7"/>
    <w:rsid w:val="00FB1F25"/>
    <w:rsid w:val="00FB2161"/>
    <w:rsid w:val="00FB2510"/>
    <w:rsid w:val="00FB28B1"/>
    <w:rsid w:val="00FB2D3C"/>
    <w:rsid w:val="00FB36D4"/>
    <w:rsid w:val="00FB4372"/>
    <w:rsid w:val="00FB4380"/>
    <w:rsid w:val="00FB4A61"/>
    <w:rsid w:val="00FB4D93"/>
    <w:rsid w:val="00FB52C2"/>
    <w:rsid w:val="00FB57A3"/>
    <w:rsid w:val="00FB5B1A"/>
    <w:rsid w:val="00FB6539"/>
    <w:rsid w:val="00FB655C"/>
    <w:rsid w:val="00FB6865"/>
    <w:rsid w:val="00FB6986"/>
    <w:rsid w:val="00FB69FC"/>
    <w:rsid w:val="00FB7039"/>
    <w:rsid w:val="00FB7814"/>
    <w:rsid w:val="00FB7903"/>
    <w:rsid w:val="00FB7AFF"/>
    <w:rsid w:val="00FC1039"/>
    <w:rsid w:val="00FC1F69"/>
    <w:rsid w:val="00FC1F6E"/>
    <w:rsid w:val="00FC1FD0"/>
    <w:rsid w:val="00FC2052"/>
    <w:rsid w:val="00FC2991"/>
    <w:rsid w:val="00FC2B89"/>
    <w:rsid w:val="00FC2C04"/>
    <w:rsid w:val="00FC2CBD"/>
    <w:rsid w:val="00FC34D4"/>
    <w:rsid w:val="00FC3A65"/>
    <w:rsid w:val="00FC430F"/>
    <w:rsid w:val="00FC446A"/>
    <w:rsid w:val="00FC44A0"/>
    <w:rsid w:val="00FC4C2B"/>
    <w:rsid w:val="00FC5721"/>
    <w:rsid w:val="00FC582B"/>
    <w:rsid w:val="00FC5A0C"/>
    <w:rsid w:val="00FC5EF0"/>
    <w:rsid w:val="00FC66D8"/>
    <w:rsid w:val="00FC74BB"/>
    <w:rsid w:val="00FC7E9C"/>
    <w:rsid w:val="00FC7ECA"/>
    <w:rsid w:val="00FC7FDC"/>
    <w:rsid w:val="00FD0223"/>
    <w:rsid w:val="00FD0B0F"/>
    <w:rsid w:val="00FD0D35"/>
    <w:rsid w:val="00FD0FF0"/>
    <w:rsid w:val="00FD22F9"/>
    <w:rsid w:val="00FD2F3E"/>
    <w:rsid w:val="00FD2FC8"/>
    <w:rsid w:val="00FD3002"/>
    <w:rsid w:val="00FD3367"/>
    <w:rsid w:val="00FD33B2"/>
    <w:rsid w:val="00FD34E4"/>
    <w:rsid w:val="00FD359F"/>
    <w:rsid w:val="00FD3768"/>
    <w:rsid w:val="00FD43C9"/>
    <w:rsid w:val="00FD44D1"/>
    <w:rsid w:val="00FD4573"/>
    <w:rsid w:val="00FD46FE"/>
    <w:rsid w:val="00FD4EED"/>
    <w:rsid w:val="00FD562B"/>
    <w:rsid w:val="00FD57E3"/>
    <w:rsid w:val="00FD5EAB"/>
    <w:rsid w:val="00FD645E"/>
    <w:rsid w:val="00FD6DDE"/>
    <w:rsid w:val="00FD6FC3"/>
    <w:rsid w:val="00FD7746"/>
    <w:rsid w:val="00FD7CD2"/>
    <w:rsid w:val="00FD7D30"/>
    <w:rsid w:val="00FE0006"/>
    <w:rsid w:val="00FE0A14"/>
    <w:rsid w:val="00FE0EDA"/>
    <w:rsid w:val="00FE1098"/>
    <w:rsid w:val="00FE11A1"/>
    <w:rsid w:val="00FE12CB"/>
    <w:rsid w:val="00FE19AA"/>
    <w:rsid w:val="00FE2B0A"/>
    <w:rsid w:val="00FE2E75"/>
    <w:rsid w:val="00FE2FBE"/>
    <w:rsid w:val="00FE31B0"/>
    <w:rsid w:val="00FE31DA"/>
    <w:rsid w:val="00FE370A"/>
    <w:rsid w:val="00FE3907"/>
    <w:rsid w:val="00FE472F"/>
    <w:rsid w:val="00FE4AD9"/>
    <w:rsid w:val="00FE4E4D"/>
    <w:rsid w:val="00FE4F31"/>
    <w:rsid w:val="00FE51EC"/>
    <w:rsid w:val="00FE54AF"/>
    <w:rsid w:val="00FE5998"/>
    <w:rsid w:val="00FE5EB6"/>
    <w:rsid w:val="00FE63A5"/>
    <w:rsid w:val="00FE66AE"/>
    <w:rsid w:val="00FE6DA0"/>
    <w:rsid w:val="00FE7709"/>
    <w:rsid w:val="00FF03BC"/>
    <w:rsid w:val="00FF0C32"/>
    <w:rsid w:val="00FF108E"/>
    <w:rsid w:val="00FF1345"/>
    <w:rsid w:val="00FF14A8"/>
    <w:rsid w:val="00FF1660"/>
    <w:rsid w:val="00FF1A41"/>
    <w:rsid w:val="00FF1A87"/>
    <w:rsid w:val="00FF21FF"/>
    <w:rsid w:val="00FF22AF"/>
    <w:rsid w:val="00FF230A"/>
    <w:rsid w:val="00FF23E7"/>
    <w:rsid w:val="00FF2431"/>
    <w:rsid w:val="00FF248A"/>
    <w:rsid w:val="00FF2F55"/>
    <w:rsid w:val="00FF2FAE"/>
    <w:rsid w:val="00FF3307"/>
    <w:rsid w:val="00FF369D"/>
    <w:rsid w:val="00FF3730"/>
    <w:rsid w:val="00FF3871"/>
    <w:rsid w:val="00FF3A90"/>
    <w:rsid w:val="00FF3D74"/>
    <w:rsid w:val="00FF43C0"/>
    <w:rsid w:val="00FF5845"/>
    <w:rsid w:val="00FF5F1D"/>
    <w:rsid w:val="00FF6514"/>
    <w:rsid w:val="00FF65EC"/>
    <w:rsid w:val="00FF6BB2"/>
    <w:rsid w:val="00FF6D5F"/>
    <w:rsid w:val="00FF7036"/>
    <w:rsid w:val="00FF718D"/>
    <w:rsid w:val="00FF7214"/>
    <w:rsid w:val="00FF7936"/>
    <w:rsid w:val="00FF7F33"/>
    <w:rsid w:val="044367B0"/>
    <w:rsid w:val="048F6BA5"/>
    <w:rsid w:val="05E5600D"/>
    <w:rsid w:val="08CE2271"/>
    <w:rsid w:val="09711719"/>
    <w:rsid w:val="09786754"/>
    <w:rsid w:val="09F9205B"/>
    <w:rsid w:val="09FF76A4"/>
    <w:rsid w:val="0AD16353"/>
    <w:rsid w:val="0BB83A54"/>
    <w:rsid w:val="0D65008E"/>
    <w:rsid w:val="0E8D65A6"/>
    <w:rsid w:val="0FA02DE0"/>
    <w:rsid w:val="10D553B0"/>
    <w:rsid w:val="116B5255"/>
    <w:rsid w:val="121F6283"/>
    <w:rsid w:val="130D0300"/>
    <w:rsid w:val="13301502"/>
    <w:rsid w:val="14DB2FAF"/>
    <w:rsid w:val="159D4A33"/>
    <w:rsid w:val="15CA4090"/>
    <w:rsid w:val="17DA0877"/>
    <w:rsid w:val="190A4633"/>
    <w:rsid w:val="1AAF3863"/>
    <w:rsid w:val="1D8E7A4B"/>
    <w:rsid w:val="1D9E447D"/>
    <w:rsid w:val="1E536D8B"/>
    <w:rsid w:val="1EB660FC"/>
    <w:rsid w:val="1EEF0DDB"/>
    <w:rsid w:val="1FC42B64"/>
    <w:rsid w:val="207F20CD"/>
    <w:rsid w:val="27C45A95"/>
    <w:rsid w:val="28232516"/>
    <w:rsid w:val="282C0639"/>
    <w:rsid w:val="2AF65419"/>
    <w:rsid w:val="2CAD5165"/>
    <w:rsid w:val="2E8458C2"/>
    <w:rsid w:val="30144EC2"/>
    <w:rsid w:val="3156044E"/>
    <w:rsid w:val="32446D0C"/>
    <w:rsid w:val="33C80504"/>
    <w:rsid w:val="35952AEC"/>
    <w:rsid w:val="365C0720"/>
    <w:rsid w:val="37364B9A"/>
    <w:rsid w:val="37A278A0"/>
    <w:rsid w:val="38E5211B"/>
    <w:rsid w:val="39AB02EF"/>
    <w:rsid w:val="39CA057D"/>
    <w:rsid w:val="39F02B60"/>
    <w:rsid w:val="3B332043"/>
    <w:rsid w:val="3BA16432"/>
    <w:rsid w:val="3BC21DC3"/>
    <w:rsid w:val="3C424C38"/>
    <w:rsid w:val="3E26436F"/>
    <w:rsid w:val="3EB5522B"/>
    <w:rsid w:val="41CB4EF1"/>
    <w:rsid w:val="424109D0"/>
    <w:rsid w:val="42990C13"/>
    <w:rsid w:val="436A002C"/>
    <w:rsid w:val="447F2AC9"/>
    <w:rsid w:val="4690622E"/>
    <w:rsid w:val="47F52B14"/>
    <w:rsid w:val="494D0F35"/>
    <w:rsid w:val="49725D2E"/>
    <w:rsid w:val="4BED4B1B"/>
    <w:rsid w:val="4D412EE0"/>
    <w:rsid w:val="4DE6145D"/>
    <w:rsid w:val="4E071A80"/>
    <w:rsid w:val="4E4667F5"/>
    <w:rsid w:val="4FCB1C0C"/>
    <w:rsid w:val="505B4922"/>
    <w:rsid w:val="510846F1"/>
    <w:rsid w:val="51FB09CD"/>
    <w:rsid w:val="520D74BE"/>
    <w:rsid w:val="522377D2"/>
    <w:rsid w:val="536778A9"/>
    <w:rsid w:val="53C5787A"/>
    <w:rsid w:val="541615DB"/>
    <w:rsid w:val="561610FC"/>
    <w:rsid w:val="570B7614"/>
    <w:rsid w:val="5789229C"/>
    <w:rsid w:val="57FA3BB0"/>
    <w:rsid w:val="58CB2D41"/>
    <w:rsid w:val="59AD3E0E"/>
    <w:rsid w:val="59F35F3A"/>
    <w:rsid w:val="5A4C5F01"/>
    <w:rsid w:val="5AB665E6"/>
    <w:rsid w:val="5C474AC3"/>
    <w:rsid w:val="5D9D6F75"/>
    <w:rsid w:val="5DD9617D"/>
    <w:rsid w:val="5E9706DB"/>
    <w:rsid w:val="5F7A7D2B"/>
    <w:rsid w:val="60956CE9"/>
    <w:rsid w:val="60C213F0"/>
    <w:rsid w:val="619066B6"/>
    <w:rsid w:val="63E04B73"/>
    <w:rsid w:val="64676419"/>
    <w:rsid w:val="64D85DCB"/>
    <w:rsid w:val="66676BB6"/>
    <w:rsid w:val="679C545F"/>
    <w:rsid w:val="681177DB"/>
    <w:rsid w:val="688F2159"/>
    <w:rsid w:val="68C0684E"/>
    <w:rsid w:val="6A2B35EE"/>
    <w:rsid w:val="6B561EC7"/>
    <w:rsid w:val="6DA877B4"/>
    <w:rsid w:val="6F7F6FC0"/>
    <w:rsid w:val="70DB1624"/>
    <w:rsid w:val="71152CAD"/>
    <w:rsid w:val="72FC3295"/>
    <w:rsid w:val="75EC12C7"/>
    <w:rsid w:val="76FB60B3"/>
    <w:rsid w:val="7CAD1877"/>
    <w:rsid w:val="7D882BC9"/>
    <w:rsid w:val="7F3429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iPriority="99" w:semiHidden="0" w:name="Block Text"/>
    <w:lsdException w:qFormat="1" w:uiPriority="99" w:semiHidden="0" w:name="Hyperlink"/>
    <w:lsdException w:qFormat="1" w:uiPriority="99" w:name="FollowedHyperlink"/>
    <w:lsdException w:qFormat="1" w:uiPriority="99" w:semiHidden="0" w:name="Strong"/>
    <w:lsdException w:qFormat="1" w:uiPriority="99"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qFormat="1" w:uiPriority="99" w:semiHidden="0"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styleId="2">
    <w:name w:val="heading 1"/>
    <w:basedOn w:val="1"/>
    <w:next w:val="1"/>
    <w:link w:val="271"/>
    <w:qFormat/>
    <w:uiPriority w:val="9"/>
    <w:pPr>
      <w:keepNext/>
      <w:keepLines/>
      <w:numPr>
        <w:ilvl w:val="0"/>
        <w:numId w:val="1"/>
      </w:numPr>
      <w:tabs>
        <w:tab w:val="left" w:pos="0"/>
      </w:tabs>
      <w:ind w:firstLineChars="0"/>
      <w:jc w:val="center"/>
      <w:outlineLvl w:val="0"/>
    </w:pPr>
    <w:rPr>
      <w:b/>
      <w:bCs/>
      <w:kern w:val="44"/>
      <w:sz w:val="32"/>
      <w:szCs w:val="44"/>
    </w:rPr>
  </w:style>
  <w:style w:type="paragraph" w:styleId="3">
    <w:name w:val="heading 2"/>
    <w:basedOn w:val="1"/>
    <w:next w:val="1"/>
    <w:link w:val="272"/>
    <w:unhideWhenUsed/>
    <w:qFormat/>
    <w:uiPriority w:val="9"/>
    <w:pPr>
      <w:keepNext/>
      <w:keepLines/>
      <w:numPr>
        <w:ilvl w:val="1"/>
        <w:numId w:val="1"/>
      </w:numPr>
      <w:tabs>
        <w:tab w:val="left" w:pos="0"/>
      </w:tabs>
      <w:ind w:firstLineChars="0"/>
      <w:jc w:val="left"/>
      <w:outlineLvl w:val="1"/>
    </w:pPr>
    <w:rPr>
      <w:rFonts w:cstheme="majorBidi"/>
      <w:b/>
      <w:bCs/>
      <w:sz w:val="28"/>
      <w:szCs w:val="32"/>
    </w:rPr>
  </w:style>
  <w:style w:type="paragraph" w:styleId="4">
    <w:name w:val="heading 3"/>
    <w:basedOn w:val="1"/>
    <w:next w:val="1"/>
    <w:link w:val="273"/>
    <w:unhideWhenUsed/>
    <w:qFormat/>
    <w:uiPriority w:val="9"/>
    <w:pPr>
      <w:tabs>
        <w:tab w:val="left" w:pos="0"/>
      </w:tabs>
      <w:outlineLvl w:val="2"/>
    </w:pPr>
    <w:rPr>
      <w:sz w:val="24"/>
    </w:rPr>
  </w:style>
  <w:style w:type="paragraph" w:styleId="5">
    <w:name w:val="heading 4"/>
    <w:basedOn w:val="6"/>
    <w:next w:val="1"/>
    <w:link w:val="53"/>
    <w:unhideWhenUsed/>
    <w:qFormat/>
    <w:uiPriority w:val="9"/>
    <w:pPr>
      <w:numPr>
        <w:ilvl w:val="3"/>
        <w:numId w:val="1"/>
      </w:numPr>
      <w:tabs>
        <w:tab w:val="left" w:pos="0"/>
      </w:tabs>
      <w:outlineLvl w:val="3"/>
    </w:pPr>
    <w:rPr>
      <w:rFonts w:eastAsiaTheme="majorEastAsia"/>
      <w:szCs w:val="28"/>
    </w:rPr>
  </w:style>
  <w:style w:type="paragraph" w:styleId="7">
    <w:name w:val="heading 5"/>
    <w:basedOn w:val="1"/>
    <w:next w:val="1"/>
    <w:link w:val="54"/>
    <w:unhideWhenUsed/>
    <w:qFormat/>
    <w:uiPriority w:val="9"/>
    <w:pPr>
      <w:keepNext/>
      <w:keepLines/>
      <w:ind w:firstLine="0" w:firstLineChars="0"/>
      <w:outlineLvl w:val="4"/>
    </w:pPr>
    <w:rPr>
      <w:bCs/>
      <w:szCs w:val="28"/>
    </w:rPr>
  </w:style>
  <w:style w:type="paragraph" w:styleId="8">
    <w:name w:val="heading 6"/>
    <w:basedOn w:val="1"/>
    <w:next w:val="1"/>
    <w:link w:val="120"/>
    <w:semiHidden/>
    <w:unhideWhenUsed/>
    <w:qFormat/>
    <w:uiPriority w:val="9"/>
    <w:pPr>
      <w:keepNext/>
      <w:keepLines/>
      <w:outlineLvl w:val="5"/>
    </w:pPr>
    <w:rPr>
      <w:rFonts w:ascii="Arial" w:hAnsi="Arial"/>
    </w:rPr>
  </w:style>
  <w:style w:type="paragraph" w:styleId="9">
    <w:name w:val="heading 7"/>
    <w:basedOn w:val="1"/>
    <w:next w:val="1"/>
    <w:link w:val="191"/>
    <w:semiHidden/>
    <w:unhideWhenUsed/>
    <w:qFormat/>
    <w:uiPriority w:val="9"/>
    <w:pPr>
      <w:keepNext/>
      <w:keepLines/>
      <w:spacing w:before="240" w:after="64" w:line="320" w:lineRule="auto"/>
      <w:ind w:left="1296" w:firstLine="0" w:firstLineChars="0"/>
      <w:outlineLvl w:val="6"/>
    </w:pPr>
    <w:rPr>
      <w:b/>
      <w:bCs/>
      <w:szCs w:val="24"/>
    </w:rPr>
  </w:style>
  <w:style w:type="paragraph" w:styleId="10">
    <w:name w:val="heading 8"/>
    <w:basedOn w:val="1"/>
    <w:next w:val="1"/>
    <w:link w:val="192"/>
    <w:semiHidden/>
    <w:unhideWhenUsed/>
    <w:qFormat/>
    <w:uiPriority w:val="9"/>
    <w:pPr>
      <w:keepNext/>
      <w:keepLines/>
      <w:spacing w:before="240" w:after="64" w:line="320" w:lineRule="auto"/>
      <w:ind w:left="1440" w:firstLine="0" w:firstLineChars="0"/>
      <w:outlineLvl w:val="7"/>
    </w:pPr>
    <w:rPr>
      <w:rFonts w:asciiTheme="majorHAnsi" w:hAnsiTheme="majorHAnsi" w:eastAsiaTheme="majorEastAsia" w:cstheme="majorBidi"/>
      <w:szCs w:val="24"/>
    </w:rPr>
  </w:style>
  <w:style w:type="paragraph" w:styleId="11">
    <w:name w:val="heading 9"/>
    <w:basedOn w:val="1"/>
    <w:next w:val="1"/>
    <w:link w:val="193"/>
    <w:semiHidden/>
    <w:unhideWhenUsed/>
    <w:qFormat/>
    <w:uiPriority w:val="9"/>
    <w:pPr>
      <w:keepNext/>
      <w:keepLines/>
      <w:spacing w:before="240" w:after="64" w:line="320" w:lineRule="auto"/>
      <w:ind w:left="1584" w:firstLine="0" w:firstLineChars="0"/>
      <w:outlineLvl w:val="8"/>
    </w:pPr>
    <w:rPr>
      <w:rFonts w:asciiTheme="majorHAnsi" w:hAnsiTheme="majorHAnsi" w:eastAsiaTheme="majorEastAsia" w:cstheme="majorBidi"/>
      <w:sz w:val="21"/>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customStyle="1" w:styleId="6">
    <w:name w:val="基准-无缩进"/>
    <w:basedOn w:val="4"/>
    <w:link w:val="52"/>
    <w:qFormat/>
    <w:uiPriority w:val="0"/>
    <w:pPr>
      <w:numPr>
        <w:ilvl w:val="0"/>
        <w:numId w:val="0"/>
      </w:numPr>
    </w:pPr>
  </w:style>
  <w:style w:type="paragraph" w:styleId="12">
    <w:name w:val="toc 7"/>
    <w:basedOn w:val="1"/>
    <w:next w:val="1"/>
    <w:unhideWhenUsed/>
    <w:qFormat/>
    <w:uiPriority w:val="39"/>
    <w:pPr>
      <w:spacing w:line="240" w:lineRule="auto"/>
      <w:ind w:left="2520" w:leftChars="1200" w:firstLine="0" w:firstLineChars="0"/>
    </w:pPr>
    <w:rPr>
      <w:rFonts w:asciiTheme="minorHAnsi" w:hAnsiTheme="minorHAnsi" w:eastAsiaTheme="minorEastAsia" w:cstheme="minorBidi"/>
      <w:sz w:val="21"/>
      <w:szCs w:val="22"/>
    </w:rPr>
  </w:style>
  <w:style w:type="paragraph" w:styleId="13">
    <w:name w:val="Normal Indent"/>
    <w:basedOn w:val="1"/>
    <w:next w:val="14"/>
    <w:unhideWhenUsed/>
    <w:qFormat/>
    <w:uiPriority w:val="99"/>
    <w:pPr>
      <w:ind w:firstLine="420"/>
    </w:pPr>
    <w:rPr>
      <w:rFonts w:hint="eastAsia"/>
    </w:rPr>
  </w:style>
  <w:style w:type="paragraph" w:styleId="14">
    <w:name w:val="Body Text First Indent"/>
    <w:basedOn w:val="15"/>
    <w:link w:val="125"/>
    <w:unhideWhenUsed/>
    <w:qFormat/>
    <w:uiPriority w:val="99"/>
    <w:pPr>
      <w:spacing w:before="154"/>
      <w:ind w:left="121" w:firstLine="420" w:firstLineChars="100"/>
    </w:pPr>
    <w:rPr>
      <w:rFonts w:hint="eastAsia" w:ascii="仿宋" w:hAnsi="仿宋" w:eastAsia="仿宋"/>
      <w:szCs w:val="21"/>
    </w:rPr>
  </w:style>
  <w:style w:type="paragraph" w:styleId="15">
    <w:name w:val="Body Text"/>
    <w:basedOn w:val="1"/>
    <w:next w:val="1"/>
    <w:link w:val="55"/>
    <w:unhideWhenUsed/>
    <w:qFormat/>
    <w:uiPriority w:val="99"/>
    <w:pPr>
      <w:ind w:firstLine="560"/>
    </w:pPr>
    <w:rPr>
      <w:szCs w:val="24"/>
    </w:rPr>
  </w:style>
  <w:style w:type="paragraph" w:styleId="16">
    <w:name w:val="caption"/>
    <w:basedOn w:val="1"/>
    <w:next w:val="17"/>
    <w:link w:val="56"/>
    <w:unhideWhenUsed/>
    <w:qFormat/>
    <w:uiPriority w:val="35"/>
    <w:pPr>
      <w:keepNext/>
      <w:ind w:firstLine="0" w:firstLineChars="0"/>
      <w:jc w:val="center"/>
    </w:pPr>
    <w:rPr>
      <w:b/>
      <w:sz w:val="21"/>
    </w:rPr>
  </w:style>
  <w:style w:type="paragraph" w:customStyle="1" w:styleId="17">
    <w:name w:val="表内文字"/>
    <w:basedOn w:val="1"/>
    <w:next w:val="1"/>
    <w:link w:val="143"/>
    <w:qFormat/>
    <w:uiPriority w:val="0"/>
    <w:pPr>
      <w:spacing w:line="240" w:lineRule="auto"/>
      <w:ind w:firstLine="0" w:firstLineChars="0"/>
      <w:jc w:val="center"/>
    </w:pPr>
    <w:rPr>
      <w:sz w:val="21"/>
    </w:rPr>
  </w:style>
  <w:style w:type="paragraph" w:styleId="18">
    <w:name w:val="annotation text"/>
    <w:basedOn w:val="1"/>
    <w:link w:val="84"/>
    <w:unhideWhenUsed/>
    <w:qFormat/>
    <w:uiPriority w:val="99"/>
    <w:pPr>
      <w:jc w:val="left"/>
    </w:pPr>
  </w:style>
  <w:style w:type="paragraph" w:styleId="19">
    <w:name w:val="Body Text Indent"/>
    <w:basedOn w:val="1"/>
    <w:link w:val="57"/>
    <w:semiHidden/>
    <w:unhideWhenUsed/>
    <w:qFormat/>
    <w:uiPriority w:val="99"/>
    <w:pPr>
      <w:spacing w:after="120"/>
      <w:ind w:left="420" w:leftChars="200"/>
    </w:pPr>
  </w:style>
  <w:style w:type="paragraph" w:styleId="20">
    <w:name w:val="Block Text"/>
    <w:basedOn w:val="1"/>
    <w:link w:val="274"/>
    <w:unhideWhenUsed/>
    <w:qFormat/>
    <w:uiPriority w:val="99"/>
    <w:pPr>
      <w:pBdr>
        <w:top w:val="single" w:color="auto" w:sz="6" w:space="3"/>
        <w:left w:val="single" w:color="auto" w:sz="6" w:space="3"/>
        <w:bottom w:val="single" w:color="auto" w:sz="6" w:space="3"/>
        <w:right w:val="single" w:color="auto" w:sz="6" w:space="3"/>
      </w:pBdr>
      <w:spacing w:before="60" w:beforeLines="0" w:after="60" w:afterLines="0"/>
      <w:ind w:left="360" w:right="360"/>
    </w:pPr>
    <w:rPr>
      <w:rFonts w:hint="default"/>
      <w:i/>
      <w:sz w:val="24"/>
      <w:szCs w:val="24"/>
    </w:rPr>
  </w:style>
  <w:style w:type="paragraph" w:styleId="21">
    <w:name w:val="toc 5"/>
    <w:basedOn w:val="1"/>
    <w:next w:val="1"/>
    <w:unhideWhenUsed/>
    <w:qFormat/>
    <w:uiPriority w:val="39"/>
    <w:pPr>
      <w:spacing w:line="240" w:lineRule="auto"/>
      <w:ind w:left="1680" w:leftChars="800" w:firstLine="0" w:firstLineChars="0"/>
    </w:pPr>
    <w:rPr>
      <w:rFonts w:asciiTheme="minorHAnsi" w:hAnsiTheme="minorHAnsi" w:eastAsiaTheme="minorEastAsia" w:cstheme="minorBidi"/>
      <w:sz w:val="21"/>
      <w:szCs w:val="22"/>
    </w:rPr>
  </w:style>
  <w:style w:type="paragraph" w:styleId="22">
    <w:name w:val="toc 3"/>
    <w:basedOn w:val="1"/>
    <w:next w:val="1"/>
    <w:unhideWhenUsed/>
    <w:qFormat/>
    <w:uiPriority w:val="39"/>
    <w:pPr>
      <w:ind w:left="840" w:leftChars="400"/>
    </w:pPr>
  </w:style>
  <w:style w:type="paragraph" w:styleId="23">
    <w:name w:val="Plain Text"/>
    <w:basedOn w:val="1"/>
    <w:link w:val="58"/>
    <w:qFormat/>
    <w:uiPriority w:val="0"/>
    <w:pPr>
      <w:ind w:firstLine="1044"/>
    </w:pPr>
    <w:rPr>
      <w:rFonts w:ascii="宋体" w:hAnsi="Courier New" w:eastAsia="仿宋_GB2312" w:cs="Courier New"/>
    </w:rPr>
  </w:style>
  <w:style w:type="paragraph" w:styleId="24">
    <w:name w:val="toc 8"/>
    <w:basedOn w:val="1"/>
    <w:next w:val="1"/>
    <w:unhideWhenUsed/>
    <w:qFormat/>
    <w:uiPriority w:val="39"/>
    <w:pPr>
      <w:spacing w:line="240" w:lineRule="auto"/>
      <w:ind w:left="2940" w:leftChars="1400" w:firstLine="0" w:firstLineChars="0"/>
    </w:pPr>
    <w:rPr>
      <w:rFonts w:asciiTheme="minorHAnsi" w:hAnsiTheme="minorHAnsi" w:eastAsiaTheme="minorEastAsia" w:cstheme="minorBidi"/>
      <w:sz w:val="21"/>
      <w:szCs w:val="22"/>
    </w:rPr>
  </w:style>
  <w:style w:type="paragraph" w:styleId="25">
    <w:name w:val="Balloon Text"/>
    <w:basedOn w:val="1"/>
    <w:link w:val="86"/>
    <w:qFormat/>
    <w:uiPriority w:val="0"/>
    <w:pPr>
      <w:spacing w:line="240" w:lineRule="auto"/>
    </w:pPr>
    <w:rPr>
      <w:sz w:val="18"/>
      <w:szCs w:val="18"/>
    </w:rPr>
  </w:style>
  <w:style w:type="paragraph" w:styleId="26">
    <w:name w:val="footer"/>
    <w:basedOn w:val="1"/>
    <w:link w:val="59"/>
    <w:unhideWhenUsed/>
    <w:qFormat/>
    <w:uiPriority w:val="99"/>
    <w:pPr>
      <w:tabs>
        <w:tab w:val="center" w:pos="4153"/>
        <w:tab w:val="right" w:pos="8306"/>
      </w:tabs>
      <w:snapToGrid w:val="0"/>
      <w:ind w:firstLine="0" w:firstLineChars="0"/>
      <w:jc w:val="center"/>
    </w:pPr>
    <w:rPr>
      <w:sz w:val="18"/>
      <w:szCs w:val="18"/>
    </w:rPr>
  </w:style>
  <w:style w:type="paragraph" w:styleId="27">
    <w:name w:val="header"/>
    <w:basedOn w:val="1"/>
    <w:link w:val="60"/>
    <w:unhideWhenUsed/>
    <w:qFormat/>
    <w:uiPriority w:val="99"/>
    <w:pPr>
      <w:pBdr>
        <w:bottom w:val="single" w:color="auto" w:sz="6" w:space="1"/>
      </w:pBdr>
      <w:tabs>
        <w:tab w:val="center" w:pos="4153"/>
        <w:tab w:val="right" w:pos="8306"/>
      </w:tabs>
      <w:snapToGrid w:val="0"/>
      <w:spacing w:line="240" w:lineRule="auto"/>
      <w:ind w:firstLine="0" w:firstLineChars="0"/>
      <w:jc w:val="center"/>
    </w:pPr>
    <w:rPr>
      <w:rFonts w:eastAsia="楷体"/>
      <w:sz w:val="18"/>
      <w:szCs w:val="18"/>
    </w:rPr>
  </w:style>
  <w:style w:type="paragraph" w:styleId="28">
    <w:name w:val="toc 1"/>
    <w:basedOn w:val="1"/>
    <w:next w:val="1"/>
    <w:unhideWhenUsed/>
    <w:qFormat/>
    <w:uiPriority w:val="39"/>
    <w:pPr>
      <w:tabs>
        <w:tab w:val="right" w:leader="dot" w:pos="9060"/>
      </w:tabs>
      <w:ind w:firstLine="0" w:firstLineChars="0"/>
      <w:jc w:val="center"/>
    </w:pPr>
    <w:rPr>
      <w:b/>
      <w:sz w:val="28"/>
    </w:rPr>
  </w:style>
  <w:style w:type="paragraph" w:styleId="29">
    <w:name w:val="toc 4"/>
    <w:basedOn w:val="1"/>
    <w:next w:val="1"/>
    <w:unhideWhenUsed/>
    <w:qFormat/>
    <w:uiPriority w:val="39"/>
    <w:pPr>
      <w:spacing w:line="240" w:lineRule="auto"/>
      <w:ind w:left="1260" w:leftChars="600" w:firstLine="0" w:firstLineChars="0"/>
    </w:pPr>
    <w:rPr>
      <w:rFonts w:asciiTheme="minorHAnsi" w:hAnsiTheme="minorHAnsi" w:eastAsiaTheme="minorEastAsia" w:cstheme="minorBidi"/>
      <w:sz w:val="21"/>
      <w:szCs w:val="22"/>
    </w:rPr>
  </w:style>
  <w:style w:type="paragraph" w:styleId="30">
    <w:name w:val="Subtitle"/>
    <w:basedOn w:val="1"/>
    <w:next w:val="1"/>
    <w:link w:val="61"/>
    <w:qFormat/>
    <w:uiPriority w:val="11"/>
    <w:pPr>
      <w:spacing w:before="240" w:after="60" w:line="312" w:lineRule="auto"/>
      <w:jc w:val="center"/>
      <w:outlineLvl w:val="1"/>
    </w:pPr>
    <w:rPr>
      <w:rFonts w:asciiTheme="majorHAnsi" w:hAnsiTheme="majorHAnsi" w:cstheme="majorBidi"/>
      <w:b/>
      <w:bCs/>
      <w:kern w:val="28"/>
      <w:sz w:val="32"/>
      <w:szCs w:val="32"/>
    </w:rPr>
  </w:style>
  <w:style w:type="paragraph" w:styleId="31">
    <w:name w:val="toc 6"/>
    <w:basedOn w:val="1"/>
    <w:next w:val="1"/>
    <w:unhideWhenUsed/>
    <w:qFormat/>
    <w:uiPriority w:val="39"/>
    <w:pPr>
      <w:spacing w:line="240" w:lineRule="auto"/>
      <w:ind w:left="2100" w:leftChars="1000" w:firstLine="0" w:firstLineChars="0"/>
    </w:pPr>
    <w:rPr>
      <w:rFonts w:asciiTheme="minorHAnsi" w:hAnsiTheme="minorHAnsi" w:eastAsiaTheme="minorEastAsia" w:cstheme="minorBidi"/>
      <w:sz w:val="21"/>
      <w:szCs w:val="22"/>
    </w:rPr>
  </w:style>
  <w:style w:type="paragraph" w:styleId="32">
    <w:name w:val="table of figures"/>
    <w:basedOn w:val="1"/>
    <w:next w:val="1"/>
    <w:semiHidden/>
    <w:unhideWhenUsed/>
    <w:qFormat/>
    <w:uiPriority w:val="99"/>
    <w:pPr>
      <w:ind w:left="200" w:leftChars="200" w:hanging="200" w:hangingChars="200"/>
    </w:pPr>
  </w:style>
  <w:style w:type="paragraph" w:styleId="33">
    <w:name w:val="toc 2"/>
    <w:basedOn w:val="1"/>
    <w:next w:val="1"/>
    <w:unhideWhenUsed/>
    <w:qFormat/>
    <w:uiPriority w:val="39"/>
    <w:pPr>
      <w:tabs>
        <w:tab w:val="right" w:leader="dot" w:pos="9060"/>
      </w:tabs>
      <w:ind w:firstLine="560"/>
      <w:jc w:val="center"/>
    </w:pPr>
    <w:rPr>
      <w:sz w:val="28"/>
    </w:rPr>
  </w:style>
  <w:style w:type="paragraph" w:styleId="34">
    <w:name w:val="toc 9"/>
    <w:basedOn w:val="1"/>
    <w:next w:val="1"/>
    <w:unhideWhenUsed/>
    <w:qFormat/>
    <w:uiPriority w:val="39"/>
    <w:pPr>
      <w:spacing w:line="240" w:lineRule="auto"/>
      <w:ind w:left="3360" w:leftChars="1600" w:firstLine="0" w:firstLineChars="0"/>
    </w:pPr>
    <w:rPr>
      <w:rFonts w:asciiTheme="minorHAnsi" w:hAnsiTheme="minorHAnsi" w:eastAsiaTheme="minorEastAsia" w:cstheme="minorBidi"/>
      <w:sz w:val="21"/>
      <w:szCs w:val="22"/>
    </w:rPr>
  </w:style>
  <w:style w:type="paragraph" w:styleId="35">
    <w:name w:val="HTML Preformatted"/>
    <w:basedOn w:val="1"/>
    <w:link w:val="196"/>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Cs w:val="24"/>
    </w:rPr>
  </w:style>
  <w:style w:type="paragraph" w:styleId="36">
    <w:name w:val="Normal (Web)"/>
    <w:basedOn w:val="1"/>
    <w:link w:val="222"/>
    <w:unhideWhenUsed/>
    <w:qFormat/>
    <w:uiPriority w:val="99"/>
    <w:pPr>
      <w:widowControl/>
      <w:spacing w:before="100" w:beforeAutospacing="1" w:after="100" w:afterAutospacing="1" w:line="240" w:lineRule="auto"/>
      <w:ind w:firstLine="0" w:firstLineChars="0"/>
      <w:jc w:val="left"/>
    </w:pPr>
    <w:rPr>
      <w:rFonts w:ascii="宋体" w:hAnsi="宋体" w:cs="宋体"/>
      <w:kern w:val="0"/>
      <w:szCs w:val="24"/>
    </w:rPr>
  </w:style>
  <w:style w:type="paragraph" w:styleId="37">
    <w:name w:val="Title"/>
    <w:basedOn w:val="1"/>
    <w:next w:val="1"/>
    <w:link w:val="162"/>
    <w:qFormat/>
    <w:uiPriority w:val="10"/>
    <w:pPr>
      <w:spacing w:before="240" w:after="60"/>
      <w:jc w:val="center"/>
      <w:outlineLvl w:val="0"/>
    </w:pPr>
    <w:rPr>
      <w:rFonts w:asciiTheme="majorHAnsi" w:hAnsiTheme="majorHAnsi" w:eastAsiaTheme="majorEastAsia" w:cstheme="majorBidi"/>
      <w:b/>
      <w:bCs/>
      <w:sz w:val="32"/>
      <w:szCs w:val="32"/>
    </w:rPr>
  </w:style>
  <w:style w:type="paragraph" w:styleId="38">
    <w:name w:val="annotation subject"/>
    <w:basedOn w:val="18"/>
    <w:next w:val="18"/>
    <w:link w:val="85"/>
    <w:semiHidden/>
    <w:unhideWhenUsed/>
    <w:qFormat/>
    <w:uiPriority w:val="99"/>
    <w:rPr>
      <w:b/>
      <w:bCs/>
    </w:rPr>
  </w:style>
  <w:style w:type="paragraph" w:styleId="39">
    <w:name w:val="Body Text First Indent 2"/>
    <w:basedOn w:val="19"/>
    <w:link w:val="62"/>
    <w:qFormat/>
    <w:uiPriority w:val="0"/>
    <w:pPr>
      <w:ind w:firstLine="420"/>
    </w:pPr>
    <w:rPr>
      <w:rFonts w:eastAsia="仿宋_GB2312"/>
      <w:szCs w:val="22"/>
    </w:rPr>
  </w:style>
  <w:style w:type="table" w:styleId="41">
    <w:name w:val="Table Grid"/>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unhideWhenUsed/>
    <w:qFormat/>
    <w:uiPriority w:val="99"/>
    <w:rPr>
      <w:rFonts w:hint="default"/>
      <w:b/>
      <w:sz w:val="24"/>
      <w:szCs w:val="24"/>
    </w:rPr>
  </w:style>
  <w:style w:type="character" w:styleId="44">
    <w:name w:val="FollowedHyperlink"/>
    <w:basedOn w:val="42"/>
    <w:semiHidden/>
    <w:unhideWhenUsed/>
    <w:qFormat/>
    <w:uiPriority w:val="99"/>
    <w:rPr>
      <w:color w:val="800080" w:themeColor="followedHyperlink"/>
      <w:u w:val="single"/>
      <w14:textFill>
        <w14:solidFill>
          <w14:schemeClr w14:val="folHlink"/>
        </w14:solidFill>
      </w14:textFill>
    </w:rPr>
  </w:style>
  <w:style w:type="character" w:styleId="45">
    <w:name w:val="Emphasis"/>
    <w:unhideWhenUsed/>
    <w:qFormat/>
    <w:uiPriority w:val="99"/>
    <w:rPr>
      <w:rFonts w:hint="default"/>
      <w:sz w:val="24"/>
      <w:szCs w:val="24"/>
    </w:rPr>
  </w:style>
  <w:style w:type="character" w:styleId="46">
    <w:name w:val="Hyperlink"/>
    <w:basedOn w:val="42"/>
    <w:unhideWhenUsed/>
    <w:qFormat/>
    <w:uiPriority w:val="99"/>
    <w:rPr>
      <w:color w:val="0000FF" w:themeColor="hyperlink"/>
      <w:u w:val="single"/>
      <w14:textFill>
        <w14:solidFill>
          <w14:schemeClr w14:val="hlink"/>
        </w14:solidFill>
      </w14:textFill>
    </w:rPr>
  </w:style>
  <w:style w:type="character" w:styleId="47">
    <w:name w:val="HTML Code"/>
    <w:unhideWhenUsed/>
    <w:qFormat/>
    <w:uiPriority w:val="99"/>
    <w:rPr>
      <w:rFonts w:hint="eastAsia" w:ascii="Courier New" w:hAnsi="Courier New"/>
      <w:sz w:val="24"/>
      <w:szCs w:val="24"/>
    </w:rPr>
  </w:style>
  <w:style w:type="character" w:styleId="48">
    <w:name w:val="annotation reference"/>
    <w:basedOn w:val="42"/>
    <w:semiHidden/>
    <w:unhideWhenUsed/>
    <w:qFormat/>
    <w:uiPriority w:val="99"/>
    <w:rPr>
      <w:sz w:val="21"/>
      <w:szCs w:val="21"/>
    </w:rPr>
  </w:style>
  <w:style w:type="character" w:customStyle="1" w:styleId="49">
    <w:name w:val="标题 1 字符"/>
    <w:basedOn w:val="42"/>
    <w:link w:val="2"/>
    <w:qFormat/>
    <w:uiPriority w:val="9"/>
    <w:rPr>
      <w:rFonts w:ascii="Times New Roman" w:hAnsi="Times New Roman"/>
      <w:b/>
      <w:bCs/>
      <w:kern w:val="44"/>
      <w:sz w:val="32"/>
      <w:szCs w:val="44"/>
    </w:rPr>
  </w:style>
  <w:style w:type="character" w:customStyle="1" w:styleId="50">
    <w:name w:val="标题 2 字符"/>
    <w:basedOn w:val="42"/>
    <w:link w:val="3"/>
    <w:qFormat/>
    <w:uiPriority w:val="9"/>
    <w:rPr>
      <w:rFonts w:ascii="Times New Roman" w:hAnsi="Times New Roman" w:cstheme="majorBidi"/>
      <w:b/>
      <w:bCs/>
      <w:kern w:val="2"/>
      <w:sz w:val="28"/>
      <w:szCs w:val="32"/>
    </w:rPr>
  </w:style>
  <w:style w:type="character" w:customStyle="1" w:styleId="51">
    <w:name w:val="标题 3 字符"/>
    <w:basedOn w:val="42"/>
    <w:link w:val="4"/>
    <w:qFormat/>
    <w:uiPriority w:val="9"/>
    <w:rPr>
      <w:rFonts w:ascii="Times New Roman" w:hAnsi="Times New Roman" w:cstheme="majorBidi"/>
      <w:b/>
      <w:bCs/>
      <w:kern w:val="2"/>
      <w:sz w:val="24"/>
      <w:szCs w:val="32"/>
    </w:rPr>
  </w:style>
  <w:style w:type="character" w:customStyle="1" w:styleId="52">
    <w:name w:val="基准-无缩进 Char"/>
    <w:basedOn w:val="51"/>
    <w:link w:val="6"/>
    <w:qFormat/>
    <w:uiPriority w:val="0"/>
    <w:rPr>
      <w:rFonts w:ascii="Times New Roman" w:hAnsi="Times New Roman" w:eastAsia="宋体" w:cs="Times New Roman"/>
      <w:kern w:val="2"/>
      <w:sz w:val="24"/>
      <w:szCs w:val="32"/>
    </w:rPr>
  </w:style>
  <w:style w:type="character" w:customStyle="1" w:styleId="53">
    <w:name w:val="标题 4 字符"/>
    <w:basedOn w:val="42"/>
    <w:link w:val="5"/>
    <w:qFormat/>
    <w:uiPriority w:val="9"/>
    <w:rPr>
      <w:rFonts w:ascii="Times New Roman" w:hAnsi="Times New Roman" w:eastAsiaTheme="majorEastAsia" w:cstheme="majorBidi"/>
      <w:b/>
      <w:kern w:val="2"/>
      <w:sz w:val="24"/>
      <w:szCs w:val="28"/>
    </w:rPr>
  </w:style>
  <w:style w:type="character" w:customStyle="1" w:styleId="54">
    <w:name w:val="标题 5 字符"/>
    <w:basedOn w:val="42"/>
    <w:link w:val="7"/>
    <w:qFormat/>
    <w:uiPriority w:val="9"/>
    <w:rPr>
      <w:rFonts w:ascii="Times New Roman" w:hAnsi="Times New Roman" w:eastAsia="宋体" w:cs="Times New Roman"/>
      <w:bCs/>
      <w:sz w:val="24"/>
      <w:szCs w:val="28"/>
    </w:rPr>
  </w:style>
  <w:style w:type="character" w:customStyle="1" w:styleId="55">
    <w:name w:val="正文文本 字符"/>
    <w:link w:val="15"/>
    <w:qFormat/>
    <w:uiPriority w:val="99"/>
    <w:rPr>
      <w:rFonts w:ascii="Times New Roman" w:hAnsi="Times New Roman" w:eastAsia="宋体" w:cs="Times New Roman"/>
      <w:kern w:val="2"/>
      <w:sz w:val="24"/>
      <w:szCs w:val="24"/>
    </w:rPr>
  </w:style>
  <w:style w:type="character" w:customStyle="1" w:styleId="56">
    <w:name w:val="题注 字符"/>
    <w:link w:val="16"/>
    <w:qFormat/>
    <w:uiPriority w:val="35"/>
    <w:rPr>
      <w:rFonts w:ascii="Times New Roman" w:hAnsi="Times New Roman"/>
      <w:b/>
      <w:kern w:val="2"/>
      <w:sz w:val="21"/>
      <w:szCs w:val="21"/>
    </w:rPr>
  </w:style>
  <w:style w:type="character" w:customStyle="1" w:styleId="57">
    <w:name w:val="正文文本缩进 字符"/>
    <w:basedOn w:val="42"/>
    <w:link w:val="19"/>
    <w:semiHidden/>
    <w:qFormat/>
    <w:uiPriority w:val="99"/>
    <w:rPr>
      <w:rFonts w:ascii="Times New Roman" w:hAnsi="Times New Roman" w:eastAsia="宋体" w:cs="Times New Roman"/>
      <w:kern w:val="2"/>
      <w:sz w:val="24"/>
      <w:szCs w:val="21"/>
    </w:rPr>
  </w:style>
  <w:style w:type="character" w:customStyle="1" w:styleId="58">
    <w:name w:val="纯文本 字符"/>
    <w:basedOn w:val="42"/>
    <w:link w:val="23"/>
    <w:qFormat/>
    <w:uiPriority w:val="0"/>
    <w:rPr>
      <w:rFonts w:ascii="宋体" w:hAnsi="Courier New" w:eastAsia="仿宋_GB2312" w:cs="Courier New"/>
      <w:kern w:val="2"/>
      <w:sz w:val="24"/>
      <w:szCs w:val="21"/>
    </w:rPr>
  </w:style>
  <w:style w:type="character" w:customStyle="1" w:styleId="59">
    <w:name w:val="页脚 字符"/>
    <w:basedOn w:val="42"/>
    <w:link w:val="26"/>
    <w:qFormat/>
    <w:uiPriority w:val="99"/>
    <w:rPr>
      <w:rFonts w:ascii="Times New Roman" w:hAnsi="Times New Roman"/>
      <w:kern w:val="2"/>
      <w:sz w:val="18"/>
      <w:szCs w:val="18"/>
    </w:rPr>
  </w:style>
  <w:style w:type="character" w:customStyle="1" w:styleId="60">
    <w:name w:val="页眉 字符"/>
    <w:basedOn w:val="42"/>
    <w:link w:val="27"/>
    <w:qFormat/>
    <w:uiPriority w:val="99"/>
    <w:rPr>
      <w:rFonts w:ascii="Times New Roman" w:hAnsi="Times New Roman" w:eastAsia="楷体"/>
      <w:kern w:val="2"/>
      <w:sz w:val="18"/>
      <w:szCs w:val="18"/>
    </w:rPr>
  </w:style>
  <w:style w:type="character" w:customStyle="1" w:styleId="61">
    <w:name w:val="副标题 字符"/>
    <w:basedOn w:val="42"/>
    <w:link w:val="30"/>
    <w:qFormat/>
    <w:uiPriority w:val="11"/>
    <w:rPr>
      <w:rFonts w:eastAsia="宋体" w:asciiTheme="majorHAnsi" w:hAnsiTheme="majorHAnsi" w:cstheme="majorBidi"/>
      <w:b/>
      <w:bCs/>
      <w:kern w:val="28"/>
      <w:sz w:val="32"/>
      <w:szCs w:val="32"/>
    </w:rPr>
  </w:style>
  <w:style w:type="character" w:customStyle="1" w:styleId="62">
    <w:name w:val="正文文本首行缩进 2 字符"/>
    <w:basedOn w:val="57"/>
    <w:link w:val="39"/>
    <w:qFormat/>
    <w:uiPriority w:val="0"/>
    <w:rPr>
      <w:rFonts w:ascii="Times New Roman" w:hAnsi="Times New Roman" w:eastAsia="仿宋_GB2312" w:cs="Times New Roman"/>
      <w:kern w:val="2"/>
      <w:sz w:val="24"/>
      <w:szCs w:val="22"/>
    </w:rPr>
  </w:style>
  <w:style w:type="paragraph" w:customStyle="1" w:styleId="63">
    <w:name w:val="图表名称"/>
    <w:basedOn w:val="1"/>
    <w:link w:val="199"/>
    <w:qFormat/>
    <w:uiPriority w:val="0"/>
    <w:pPr>
      <w:ind w:firstLine="480"/>
      <w:jc w:val="center"/>
    </w:pPr>
    <w:rPr>
      <w:b/>
      <w:sz w:val="21"/>
    </w:rPr>
  </w:style>
  <w:style w:type="paragraph" w:customStyle="1" w:styleId="64">
    <w:name w:val="封面标题"/>
    <w:basedOn w:val="1"/>
    <w:next w:val="1"/>
    <w:link w:val="65"/>
    <w:qFormat/>
    <w:uiPriority w:val="0"/>
    <w:pPr>
      <w:ind w:firstLine="0" w:firstLineChars="0"/>
      <w:jc w:val="center"/>
    </w:pPr>
    <w:rPr>
      <w:b/>
      <w:sz w:val="32"/>
    </w:rPr>
  </w:style>
  <w:style w:type="character" w:customStyle="1" w:styleId="65">
    <w:name w:val="封面标题 Char"/>
    <w:basedOn w:val="42"/>
    <w:link w:val="64"/>
    <w:qFormat/>
    <w:uiPriority w:val="0"/>
    <w:rPr>
      <w:rFonts w:ascii="Times New Roman" w:hAnsi="Times New Roman"/>
      <w:b/>
      <w:kern w:val="2"/>
      <w:sz w:val="32"/>
      <w:szCs w:val="21"/>
    </w:rPr>
  </w:style>
  <w:style w:type="paragraph" w:customStyle="1" w:styleId="66">
    <w:name w:val="图表标题"/>
    <w:basedOn w:val="67"/>
    <w:next w:val="1"/>
    <w:link w:val="69"/>
    <w:qFormat/>
    <w:uiPriority w:val="0"/>
    <w:pPr>
      <w:ind w:firstLine="0" w:firstLineChars="0"/>
      <w:jc w:val="center"/>
    </w:pPr>
    <w:rPr>
      <w:rFonts w:eastAsia="宋体"/>
      <w:b/>
      <w:sz w:val="21"/>
    </w:rPr>
  </w:style>
  <w:style w:type="paragraph" w:customStyle="1" w:styleId="67">
    <w:name w:val="正文部分"/>
    <w:basedOn w:val="1"/>
    <w:link w:val="68"/>
    <w:qFormat/>
    <w:uiPriority w:val="0"/>
    <w:rPr>
      <w:rFonts w:eastAsia="仿宋_GB2312"/>
      <w:szCs w:val="22"/>
    </w:rPr>
  </w:style>
  <w:style w:type="character" w:customStyle="1" w:styleId="68">
    <w:name w:val="正文部分 Char"/>
    <w:link w:val="67"/>
    <w:qFormat/>
    <w:uiPriority w:val="0"/>
    <w:rPr>
      <w:rFonts w:ascii="Times New Roman" w:hAnsi="Times New Roman" w:eastAsia="仿宋_GB2312" w:cs="Times New Roman"/>
      <w:kern w:val="2"/>
      <w:sz w:val="24"/>
      <w:szCs w:val="22"/>
    </w:rPr>
  </w:style>
  <w:style w:type="character" w:customStyle="1" w:styleId="69">
    <w:name w:val="图表标题 Char"/>
    <w:link w:val="66"/>
    <w:qFormat/>
    <w:uiPriority w:val="0"/>
    <w:rPr>
      <w:rFonts w:ascii="Times New Roman" w:hAnsi="Times New Roman"/>
      <w:b/>
      <w:kern w:val="2"/>
      <w:sz w:val="21"/>
      <w:szCs w:val="22"/>
    </w:rPr>
  </w:style>
  <w:style w:type="paragraph" w:customStyle="1" w:styleId="70">
    <w:name w:val="样式 宋体 四号 行距: 固定值 25 磅"/>
    <w:basedOn w:val="1"/>
    <w:qFormat/>
    <w:uiPriority w:val="0"/>
    <w:pPr>
      <w:spacing w:line="440" w:lineRule="exact"/>
    </w:pPr>
    <w:rPr>
      <w:rFonts w:ascii="宋体" w:hAnsi="宋体" w:eastAsia="仿宋_GB2312"/>
      <w:szCs w:val="20"/>
    </w:rPr>
  </w:style>
  <w:style w:type="character" w:customStyle="1" w:styleId="71">
    <w:name w:val="图表文字 Char"/>
    <w:link w:val="72"/>
    <w:qFormat/>
    <w:uiPriority w:val="0"/>
    <w:rPr>
      <w:rFonts w:ascii="Times New Roman" w:hAnsi="Times New Roman" w:eastAsia="宋体" w:cs="宋体"/>
      <w:color w:val="000000"/>
      <w:sz w:val="21"/>
      <w:szCs w:val="24"/>
    </w:rPr>
  </w:style>
  <w:style w:type="paragraph" w:customStyle="1" w:styleId="72">
    <w:name w:val="图表文字"/>
    <w:link w:val="71"/>
    <w:qFormat/>
    <w:uiPriority w:val="0"/>
    <w:pPr>
      <w:jc w:val="center"/>
    </w:pPr>
    <w:rPr>
      <w:rFonts w:ascii="Times New Roman" w:hAnsi="Times New Roman" w:eastAsia="宋体" w:cs="宋体"/>
      <w:color w:val="000000"/>
      <w:sz w:val="21"/>
      <w:szCs w:val="24"/>
      <w:lang w:val="en-US" w:eastAsia="zh-CN" w:bidi="ar-SA"/>
    </w:rPr>
  </w:style>
  <w:style w:type="character" w:customStyle="1" w:styleId="73">
    <w:name w:val="fontstyle01"/>
    <w:basedOn w:val="42"/>
    <w:qFormat/>
    <w:uiPriority w:val="0"/>
    <w:rPr>
      <w:rFonts w:hint="eastAsia" w:ascii="宋体" w:hAnsi="宋体" w:eastAsia="宋体"/>
      <w:color w:val="000000"/>
      <w:sz w:val="48"/>
      <w:szCs w:val="48"/>
    </w:rPr>
  </w:style>
  <w:style w:type="paragraph" w:customStyle="1" w:styleId="74">
    <w:name w:val="表格文字"/>
    <w:basedOn w:val="1"/>
    <w:qFormat/>
    <w:uiPriority w:val="0"/>
    <w:pPr>
      <w:ind w:firstLine="0" w:firstLineChars="0"/>
      <w:jc w:val="center"/>
    </w:pPr>
    <w:rPr>
      <w:rFonts w:hint="eastAsia" w:eastAsia="仿宋"/>
      <w:sz w:val="18"/>
      <w:szCs w:val="18"/>
    </w:rPr>
  </w:style>
  <w:style w:type="paragraph" w:customStyle="1" w:styleId="75">
    <w:name w:val="Table Paragraph"/>
    <w:basedOn w:val="1"/>
    <w:qFormat/>
    <w:uiPriority w:val="1"/>
    <w:pPr>
      <w:jc w:val="center"/>
    </w:pPr>
    <w:rPr>
      <w:rFonts w:ascii="宋体" w:hAnsi="宋体" w:cs="宋体"/>
    </w:rPr>
  </w:style>
  <w:style w:type="paragraph" w:customStyle="1" w:styleId="76">
    <w:name w:val="表格正文"/>
    <w:basedOn w:val="1"/>
    <w:qFormat/>
    <w:uiPriority w:val="0"/>
    <w:pPr>
      <w:spacing w:line="240" w:lineRule="auto"/>
      <w:ind w:firstLine="0" w:firstLineChars="0"/>
      <w:jc w:val="center"/>
    </w:pPr>
    <w:rPr>
      <w:color w:val="000000"/>
      <w:sz w:val="21"/>
      <w:szCs w:val="20"/>
    </w:rPr>
  </w:style>
  <w:style w:type="paragraph" w:customStyle="1" w:styleId="77">
    <w:name w:val="!正文仿小四"/>
    <w:basedOn w:val="1"/>
    <w:qFormat/>
    <w:uiPriority w:val="0"/>
    <w:pPr>
      <w:jc w:val="left"/>
    </w:pPr>
    <w:rPr>
      <w:rFonts w:eastAsia="仿宋_GB2312"/>
      <w:szCs w:val="22"/>
    </w:rPr>
  </w:style>
  <w:style w:type="paragraph" w:styleId="78">
    <w:name w:val="List Paragraph"/>
    <w:basedOn w:val="1"/>
    <w:link w:val="112"/>
    <w:qFormat/>
    <w:uiPriority w:val="99"/>
    <w:pPr>
      <w:ind w:firstLine="420"/>
    </w:pPr>
  </w:style>
  <w:style w:type="paragraph" w:customStyle="1" w:styleId="79">
    <w:name w:val="单位及日期"/>
    <w:basedOn w:val="64"/>
    <w:link w:val="80"/>
    <w:qFormat/>
    <w:uiPriority w:val="0"/>
    <w:rPr>
      <w:sz w:val="28"/>
    </w:rPr>
  </w:style>
  <w:style w:type="character" w:customStyle="1" w:styleId="80">
    <w:name w:val="单位及日期 Char"/>
    <w:basedOn w:val="65"/>
    <w:link w:val="79"/>
    <w:qFormat/>
    <w:uiPriority w:val="0"/>
    <w:rPr>
      <w:rFonts w:ascii="Times New Roman" w:hAnsi="Times New Roman"/>
      <w:kern w:val="2"/>
      <w:sz w:val="28"/>
      <w:szCs w:val="21"/>
    </w:rPr>
  </w:style>
  <w:style w:type="paragraph" w:customStyle="1" w:styleId="81">
    <w:name w:val="校审"/>
    <w:basedOn w:val="1"/>
    <w:link w:val="82"/>
    <w:qFormat/>
    <w:uiPriority w:val="0"/>
    <w:pPr>
      <w:ind w:firstLine="0" w:firstLineChars="0"/>
      <w:jc w:val="left"/>
    </w:pPr>
    <w:rPr>
      <w:bCs/>
      <w:color w:val="000000" w:themeColor="text1"/>
      <w:sz w:val="28"/>
      <w:szCs w:val="28"/>
      <w14:textFill>
        <w14:solidFill>
          <w14:schemeClr w14:val="tx1"/>
        </w14:solidFill>
      </w14:textFill>
    </w:rPr>
  </w:style>
  <w:style w:type="character" w:customStyle="1" w:styleId="82">
    <w:name w:val="校审 Char"/>
    <w:basedOn w:val="42"/>
    <w:link w:val="81"/>
    <w:qFormat/>
    <w:uiPriority w:val="0"/>
    <w:rPr>
      <w:rFonts w:ascii="Times New Roman" w:hAnsi="Times New Roman"/>
      <w:bCs/>
      <w:color w:val="000000" w:themeColor="text1"/>
      <w:kern w:val="2"/>
      <w:sz w:val="28"/>
      <w:szCs w:val="28"/>
      <w14:textFill>
        <w14:solidFill>
          <w14:schemeClr w14:val="tx1"/>
        </w14:solidFill>
      </w14:textFill>
    </w:rPr>
  </w:style>
  <w:style w:type="table" w:customStyle="1" w:styleId="83">
    <w:name w:val="Grid Table Light"/>
    <w:basedOn w:val="40"/>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character" w:customStyle="1" w:styleId="84">
    <w:name w:val="批注文字 字符"/>
    <w:basedOn w:val="42"/>
    <w:link w:val="18"/>
    <w:qFormat/>
    <w:uiPriority w:val="99"/>
    <w:rPr>
      <w:rFonts w:ascii="Times New Roman" w:hAnsi="Times New Roman"/>
      <w:kern w:val="2"/>
      <w:sz w:val="24"/>
      <w:szCs w:val="21"/>
    </w:rPr>
  </w:style>
  <w:style w:type="character" w:customStyle="1" w:styleId="85">
    <w:name w:val="批注主题 字符"/>
    <w:basedOn w:val="84"/>
    <w:link w:val="38"/>
    <w:semiHidden/>
    <w:qFormat/>
    <w:uiPriority w:val="99"/>
    <w:rPr>
      <w:rFonts w:ascii="Times New Roman" w:hAnsi="Times New Roman"/>
      <w:b/>
      <w:bCs/>
      <w:kern w:val="2"/>
      <w:sz w:val="24"/>
      <w:szCs w:val="21"/>
    </w:rPr>
  </w:style>
  <w:style w:type="character" w:customStyle="1" w:styleId="86">
    <w:name w:val="批注框文本 字符"/>
    <w:basedOn w:val="42"/>
    <w:link w:val="25"/>
    <w:qFormat/>
    <w:uiPriority w:val="0"/>
    <w:rPr>
      <w:rFonts w:ascii="Times New Roman" w:hAnsi="Times New Roman"/>
      <w:kern w:val="2"/>
      <w:sz w:val="18"/>
      <w:szCs w:val="18"/>
    </w:rPr>
  </w:style>
  <w:style w:type="paragraph" w:customStyle="1" w:styleId="87">
    <w:name w:val="小干表内"/>
    <w:basedOn w:val="1"/>
    <w:qFormat/>
    <w:uiPriority w:val="99"/>
    <w:pPr>
      <w:spacing w:line="240" w:lineRule="auto"/>
      <w:ind w:firstLine="0" w:firstLineChars="0"/>
      <w:jc w:val="left"/>
    </w:pPr>
    <w:rPr>
      <w:rFonts w:ascii="宋体" w:hAnsi="宋体" w:cs="黑体" w:eastAsiaTheme="minorEastAsia"/>
      <w:sz w:val="21"/>
      <w:szCs w:val="22"/>
    </w:rPr>
  </w:style>
  <w:style w:type="paragraph" w:customStyle="1" w:styleId="88">
    <w:name w:val="正文z1"/>
    <w:qFormat/>
    <w:uiPriority w:val="99"/>
    <w:pPr>
      <w:adjustRightInd w:val="0"/>
      <w:snapToGrid w:val="0"/>
    </w:pPr>
    <w:rPr>
      <w:rFonts w:ascii="Calibri" w:hAnsi="Calibri" w:eastAsia="宋体" w:cs="Times New Roman"/>
      <w:kern w:val="2"/>
      <w:sz w:val="24"/>
      <w:szCs w:val="24"/>
      <w:lang w:val="en-US" w:eastAsia="zh-CN" w:bidi="ar-SA"/>
    </w:rPr>
  </w:style>
  <w:style w:type="paragraph" w:customStyle="1" w:styleId="89">
    <w:name w:val="表中字"/>
    <w:basedOn w:val="1"/>
    <w:next w:val="1"/>
    <w:qFormat/>
    <w:uiPriority w:val="99"/>
    <w:pPr>
      <w:adjustRightInd w:val="0"/>
      <w:snapToGrid w:val="0"/>
      <w:spacing w:line="240" w:lineRule="auto"/>
      <w:ind w:firstLine="0" w:firstLineChars="0"/>
      <w:jc w:val="center"/>
    </w:pPr>
    <w:rPr>
      <w:sz w:val="21"/>
      <w:szCs w:val="22"/>
    </w:rPr>
  </w:style>
  <w:style w:type="table" w:customStyle="1" w:styleId="90">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91">
    <w:name w:val="72表格小五"/>
    <w:basedOn w:val="1"/>
    <w:qFormat/>
    <w:uiPriority w:val="0"/>
    <w:pPr>
      <w:adjustRightInd w:val="0"/>
      <w:snapToGrid w:val="0"/>
      <w:spacing w:line="240" w:lineRule="auto"/>
      <w:ind w:firstLine="0" w:firstLineChars="0"/>
      <w:jc w:val="center"/>
    </w:pPr>
    <w:rPr>
      <w:rFonts w:ascii="宋体" w:hAnsi="宋体" w:cs="宋体"/>
      <w:snapToGrid w:val="0"/>
      <w:kern w:val="0"/>
      <w:sz w:val="18"/>
      <w:szCs w:val="18"/>
    </w:rPr>
  </w:style>
  <w:style w:type="paragraph" w:customStyle="1" w:styleId="92">
    <w:name w:val="表格小五"/>
    <w:basedOn w:val="1"/>
    <w:qFormat/>
    <w:uiPriority w:val="0"/>
    <w:pPr>
      <w:adjustRightInd w:val="0"/>
      <w:snapToGrid w:val="0"/>
      <w:spacing w:line="240" w:lineRule="auto"/>
      <w:ind w:firstLine="0" w:firstLineChars="0"/>
      <w:jc w:val="center"/>
    </w:pPr>
    <w:rPr>
      <w:rFonts w:ascii="宋体" w:hAnsi="宋体" w:cs="宋体"/>
      <w:snapToGrid w:val="0"/>
      <w:kern w:val="0"/>
      <w:sz w:val="18"/>
      <w:szCs w:val="18"/>
    </w:rPr>
  </w:style>
  <w:style w:type="paragraph" w:customStyle="1" w:styleId="93">
    <w:name w:val="正文B"/>
    <w:basedOn w:val="1"/>
    <w:link w:val="94"/>
    <w:qFormat/>
    <w:uiPriority w:val="0"/>
    <w:pPr>
      <w:ind w:firstLine="560"/>
    </w:pPr>
    <w:rPr>
      <w:rFonts w:ascii="宋体" w:hAnsi="宋体" w:eastAsia="黑体" w:cs="宋体"/>
      <w:color w:val="FF0000"/>
      <w:kern w:val="0"/>
      <w:szCs w:val="24"/>
    </w:rPr>
  </w:style>
  <w:style w:type="character" w:customStyle="1" w:styleId="94">
    <w:name w:val="正文B Char"/>
    <w:link w:val="93"/>
    <w:qFormat/>
    <w:uiPriority w:val="0"/>
    <w:rPr>
      <w:rFonts w:ascii="宋体" w:hAnsi="宋体" w:eastAsia="黑体" w:cs="宋体"/>
      <w:color w:val="FF0000"/>
      <w:sz w:val="24"/>
      <w:szCs w:val="24"/>
    </w:rPr>
  </w:style>
  <w:style w:type="paragraph" w:customStyle="1" w:styleId="95">
    <w:name w:val="带编号正文"/>
    <w:basedOn w:val="1"/>
    <w:link w:val="96"/>
    <w:qFormat/>
    <w:uiPriority w:val="0"/>
    <w:pPr>
      <w:ind w:firstLine="0" w:firstLineChars="0"/>
    </w:pPr>
  </w:style>
  <w:style w:type="character" w:customStyle="1" w:styleId="96">
    <w:name w:val="带编号正文 字符"/>
    <w:basedOn w:val="42"/>
    <w:link w:val="95"/>
    <w:qFormat/>
    <w:uiPriority w:val="0"/>
    <w:rPr>
      <w:rFonts w:ascii="Times New Roman" w:hAnsi="Times New Roman"/>
      <w:kern w:val="2"/>
      <w:sz w:val="24"/>
      <w:szCs w:val="21"/>
    </w:rPr>
  </w:style>
  <w:style w:type="paragraph" w:customStyle="1" w:styleId="97">
    <w:name w:val="带编号"/>
    <w:basedOn w:val="95"/>
    <w:link w:val="98"/>
    <w:qFormat/>
    <w:uiPriority w:val="0"/>
    <w:pPr>
      <w:ind w:firstLine="200" w:firstLineChars="200"/>
    </w:pPr>
  </w:style>
  <w:style w:type="character" w:customStyle="1" w:styleId="98">
    <w:name w:val="带编号 字符"/>
    <w:basedOn w:val="96"/>
    <w:link w:val="97"/>
    <w:qFormat/>
    <w:uiPriority w:val="0"/>
    <w:rPr>
      <w:rFonts w:ascii="Times New Roman" w:hAnsi="Times New Roman"/>
      <w:kern w:val="2"/>
      <w:sz w:val="24"/>
      <w:szCs w:val="21"/>
    </w:rPr>
  </w:style>
  <w:style w:type="paragraph" w:customStyle="1" w:styleId="99">
    <w:name w:val="（1）"/>
    <w:basedOn w:val="95"/>
    <w:link w:val="100"/>
    <w:qFormat/>
    <w:uiPriority w:val="0"/>
    <w:pPr>
      <w:ind w:firstLine="200" w:firstLineChars="200"/>
    </w:pPr>
  </w:style>
  <w:style w:type="character" w:customStyle="1" w:styleId="100">
    <w:name w:val="（1） 字符"/>
    <w:basedOn w:val="96"/>
    <w:link w:val="99"/>
    <w:qFormat/>
    <w:uiPriority w:val="0"/>
    <w:rPr>
      <w:rFonts w:ascii="Times New Roman" w:hAnsi="Times New Roman"/>
      <w:kern w:val="2"/>
      <w:sz w:val="24"/>
      <w:szCs w:val="21"/>
    </w:rPr>
  </w:style>
  <w:style w:type="paragraph" w:customStyle="1" w:styleId="101">
    <w:name w:val="正文2.13"/>
    <w:basedOn w:val="1"/>
    <w:qFormat/>
    <w:uiPriority w:val="99"/>
    <w:pPr>
      <w:topLinePunct/>
      <w:adjustRightInd w:val="0"/>
      <w:snapToGrid w:val="0"/>
    </w:pPr>
    <w:rPr>
      <w:rFonts w:ascii="Calibri" w:hAnsi="Calibri" w:eastAsia="仿宋_GB2312"/>
      <w:szCs w:val="24"/>
    </w:rPr>
  </w:style>
  <w:style w:type="paragraph" w:customStyle="1" w:styleId="102">
    <w:name w:val="正文1"/>
    <w:basedOn w:val="1"/>
    <w:link w:val="179"/>
    <w:qFormat/>
    <w:uiPriority w:val="0"/>
    <w:pPr>
      <w:adjustRightInd w:val="0"/>
      <w:snapToGrid w:val="0"/>
      <w:jc w:val="left"/>
    </w:pPr>
    <w:rPr>
      <w:rFonts w:ascii="Calibri" w:hAnsi="Calibri"/>
      <w:kern w:val="0"/>
      <w:szCs w:val="24"/>
    </w:rPr>
  </w:style>
  <w:style w:type="paragraph" w:customStyle="1" w:styleId="103">
    <w:name w:val="公式"/>
    <w:basedOn w:val="1"/>
    <w:next w:val="1"/>
    <w:link w:val="104"/>
    <w:qFormat/>
    <w:uiPriority w:val="0"/>
    <w:pPr>
      <w:tabs>
        <w:tab w:val="left" w:pos="360"/>
      </w:tabs>
      <w:ind w:firstLine="0" w:firstLineChars="0"/>
      <w:jc w:val="center"/>
    </w:pPr>
    <w:rPr>
      <w:rFonts w:eastAsia="仿宋"/>
      <w:szCs w:val="22"/>
    </w:rPr>
  </w:style>
  <w:style w:type="character" w:customStyle="1" w:styleId="104">
    <w:name w:val="公式 字符"/>
    <w:basedOn w:val="57"/>
    <w:link w:val="103"/>
    <w:qFormat/>
    <w:uiPriority w:val="0"/>
    <w:rPr>
      <w:rFonts w:ascii="Times New Roman" w:hAnsi="Times New Roman" w:eastAsia="仿宋" w:cs="Times New Roman"/>
      <w:kern w:val="2"/>
      <w:sz w:val="24"/>
      <w:szCs w:val="22"/>
    </w:rPr>
  </w:style>
  <w:style w:type="paragraph" w:customStyle="1" w:styleId="105">
    <w:name w:val="正文文本不缩进"/>
    <w:basedOn w:val="19"/>
    <w:link w:val="106"/>
    <w:qFormat/>
    <w:uiPriority w:val="0"/>
    <w:pPr>
      <w:tabs>
        <w:tab w:val="left" w:pos="360"/>
      </w:tabs>
      <w:spacing w:after="0"/>
      <w:ind w:left="0" w:leftChars="0" w:firstLine="0" w:firstLineChars="0"/>
    </w:pPr>
    <w:rPr>
      <w:rFonts w:eastAsia="仿宋"/>
      <w:szCs w:val="22"/>
    </w:rPr>
  </w:style>
  <w:style w:type="character" w:customStyle="1" w:styleId="106">
    <w:name w:val="正文文本不缩进 字符"/>
    <w:basedOn w:val="57"/>
    <w:link w:val="105"/>
    <w:qFormat/>
    <w:uiPriority w:val="0"/>
    <w:rPr>
      <w:rFonts w:ascii="Times New Roman" w:hAnsi="Times New Roman" w:eastAsia="仿宋" w:cs="Times New Roman"/>
      <w:kern w:val="2"/>
      <w:sz w:val="24"/>
      <w:szCs w:val="22"/>
    </w:rPr>
  </w:style>
  <w:style w:type="paragraph" w:customStyle="1" w:styleId="107">
    <w:name w:val="图表头"/>
    <w:basedOn w:val="1"/>
    <w:next w:val="72"/>
    <w:link w:val="108"/>
    <w:qFormat/>
    <w:uiPriority w:val="0"/>
    <w:pPr>
      <w:ind w:firstLine="0" w:firstLineChars="0"/>
      <w:jc w:val="center"/>
    </w:pPr>
    <w:rPr>
      <w:rFonts w:eastAsia="仿宋"/>
      <w:b/>
      <w:sz w:val="21"/>
      <w:szCs w:val="18"/>
    </w:rPr>
  </w:style>
  <w:style w:type="character" w:customStyle="1" w:styleId="108">
    <w:name w:val="图表头 字符"/>
    <w:basedOn w:val="42"/>
    <w:link w:val="107"/>
    <w:qFormat/>
    <w:uiPriority w:val="0"/>
    <w:rPr>
      <w:rFonts w:ascii="Times New Roman" w:hAnsi="Times New Roman" w:eastAsia="仿宋"/>
      <w:b/>
      <w:kern w:val="2"/>
      <w:sz w:val="21"/>
      <w:szCs w:val="18"/>
    </w:rPr>
  </w:style>
  <w:style w:type="character" w:customStyle="1" w:styleId="109">
    <w:name w:val="图表文字 字符"/>
    <w:qFormat/>
    <w:uiPriority w:val="0"/>
    <w:rPr>
      <w:rFonts w:ascii="Times New Roman" w:hAnsi="Times New Roman" w:eastAsia="宋体" w:cs="宋体"/>
      <w:b/>
      <w:bCs/>
      <w:sz w:val="21"/>
      <w:szCs w:val="21"/>
    </w:rPr>
  </w:style>
  <w:style w:type="paragraph" w:customStyle="1" w:styleId="110">
    <w:name w:val="Revision"/>
    <w:hidden/>
    <w:semiHidden/>
    <w:qFormat/>
    <w:uiPriority w:val="99"/>
    <w:rPr>
      <w:rFonts w:ascii="Times New Roman" w:hAnsi="Times New Roman" w:eastAsia="宋体" w:cs="Times New Roman"/>
      <w:kern w:val="2"/>
      <w:sz w:val="24"/>
      <w:szCs w:val="21"/>
      <w:lang w:val="en-US" w:eastAsia="zh-CN" w:bidi="ar-SA"/>
    </w:rPr>
  </w:style>
  <w:style w:type="paragraph" w:customStyle="1" w:styleId="111">
    <w:name w:val="带（）编号正文"/>
    <w:basedOn w:val="1"/>
    <w:link w:val="113"/>
    <w:qFormat/>
    <w:uiPriority w:val="0"/>
    <w:pPr>
      <w:numPr>
        <w:ilvl w:val="0"/>
        <w:numId w:val="2"/>
      </w:numPr>
      <w:adjustRightInd w:val="0"/>
      <w:ind w:firstLine="0" w:firstLineChars="0"/>
    </w:pPr>
  </w:style>
  <w:style w:type="character" w:customStyle="1" w:styleId="112">
    <w:name w:val="列表段落 字符"/>
    <w:basedOn w:val="42"/>
    <w:link w:val="78"/>
    <w:qFormat/>
    <w:uiPriority w:val="99"/>
    <w:rPr>
      <w:rFonts w:ascii="Times New Roman" w:hAnsi="Times New Roman"/>
      <w:kern w:val="2"/>
      <w:sz w:val="24"/>
      <w:szCs w:val="21"/>
    </w:rPr>
  </w:style>
  <w:style w:type="character" w:customStyle="1" w:styleId="113">
    <w:name w:val="带（）编号正文 字符"/>
    <w:basedOn w:val="112"/>
    <w:link w:val="111"/>
    <w:qFormat/>
    <w:uiPriority w:val="0"/>
    <w:rPr>
      <w:rFonts w:ascii="Times New Roman" w:hAnsi="Times New Roman"/>
      <w:kern w:val="2"/>
      <w:sz w:val="24"/>
      <w:szCs w:val="21"/>
    </w:rPr>
  </w:style>
  <w:style w:type="table" w:customStyle="1" w:styleId="114">
    <w:name w:val="样式1"/>
    <w:basedOn w:val="40"/>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15">
    <w:name w:val="样式2"/>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cantSplit/>
      <w:jc w:val="center"/>
    </w:trPr>
    <w:tcPr>
      <w:vAlign w:val="center"/>
    </w:tcPr>
    <w:tblStylePr w:type="firstRow">
      <w:rPr>
        <w:b/>
      </w:rPr>
      <w:tblPr/>
      <w:trPr>
        <w:tblHeader/>
      </w:trPr>
    </w:tblStylePr>
  </w:style>
  <w:style w:type="paragraph" w:customStyle="1" w:styleId="116">
    <w:name w:val="题注—图片"/>
    <w:basedOn w:val="16"/>
    <w:next w:val="1"/>
    <w:link w:val="118"/>
    <w:qFormat/>
    <w:uiPriority w:val="0"/>
    <w:pPr>
      <w:keepNext w:val="0"/>
    </w:pPr>
  </w:style>
  <w:style w:type="paragraph" w:customStyle="1" w:styleId="117">
    <w:name w:val="图片"/>
    <w:basedOn w:val="16"/>
    <w:next w:val="116"/>
    <w:link w:val="119"/>
    <w:qFormat/>
    <w:uiPriority w:val="0"/>
  </w:style>
  <w:style w:type="character" w:customStyle="1" w:styleId="118">
    <w:name w:val="题注—图片 字符"/>
    <w:basedOn w:val="56"/>
    <w:link w:val="116"/>
    <w:qFormat/>
    <w:uiPriority w:val="0"/>
    <w:rPr>
      <w:rFonts w:ascii="Times New Roman" w:hAnsi="Times New Roman"/>
      <w:kern w:val="2"/>
      <w:sz w:val="21"/>
      <w:szCs w:val="21"/>
    </w:rPr>
  </w:style>
  <w:style w:type="character" w:customStyle="1" w:styleId="119">
    <w:name w:val="图片 字符"/>
    <w:basedOn w:val="56"/>
    <w:link w:val="117"/>
    <w:qFormat/>
    <w:uiPriority w:val="0"/>
    <w:rPr>
      <w:rFonts w:ascii="Times New Roman" w:hAnsi="Times New Roman"/>
      <w:kern w:val="2"/>
      <w:sz w:val="21"/>
      <w:szCs w:val="21"/>
    </w:rPr>
  </w:style>
  <w:style w:type="character" w:customStyle="1" w:styleId="120">
    <w:name w:val="标题 6 字符"/>
    <w:basedOn w:val="42"/>
    <w:link w:val="8"/>
    <w:semiHidden/>
    <w:qFormat/>
    <w:uiPriority w:val="9"/>
    <w:rPr>
      <w:rFonts w:ascii="Arial" w:hAnsi="Arial"/>
      <w:kern w:val="2"/>
      <w:sz w:val="24"/>
      <w:szCs w:val="21"/>
    </w:rPr>
  </w:style>
  <w:style w:type="character" w:customStyle="1" w:styleId="121">
    <w:name w:val="标题 1 字符1"/>
    <w:basedOn w:val="42"/>
    <w:qFormat/>
    <w:uiPriority w:val="9"/>
    <w:rPr>
      <w:rFonts w:ascii="Times New Roman" w:hAnsi="Times New Roman" w:cs="Times New Roman"/>
      <w:b/>
      <w:bCs/>
      <w:kern w:val="44"/>
      <w:sz w:val="44"/>
      <w:szCs w:val="44"/>
    </w:rPr>
  </w:style>
  <w:style w:type="character" w:customStyle="1" w:styleId="122">
    <w:name w:val="标题 2 字符1"/>
    <w:basedOn w:val="42"/>
    <w:semiHidden/>
    <w:qFormat/>
    <w:uiPriority w:val="9"/>
    <w:rPr>
      <w:rFonts w:asciiTheme="majorHAnsi" w:hAnsiTheme="majorHAnsi" w:eastAsiaTheme="majorEastAsia" w:cstheme="majorBidi"/>
      <w:b/>
      <w:bCs/>
      <w:kern w:val="2"/>
      <w:sz w:val="32"/>
      <w:szCs w:val="32"/>
    </w:rPr>
  </w:style>
  <w:style w:type="character" w:customStyle="1" w:styleId="123">
    <w:name w:val="标题 3 字符1"/>
    <w:basedOn w:val="42"/>
    <w:semiHidden/>
    <w:qFormat/>
    <w:uiPriority w:val="9"/>
    <w:rPr>
      <w:rFonts w:ascii="Times New Roman" w:hAnsi="Times New Roman" w:cs="Times New Roman"/>
      <w:b/>
      <w:bCs/>
      <w:kern w:val="2"/>
      <w:sz w:val="32"/>
      <w:szCs w:val="32"/>
    </w:rPr>
  </w:style>
  <w:style w:type="paragraph" w:customStyle="1" w:styleId="124">
    <w:name w:val="msonormal"/>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character" w:customStyle="1" w:styleId="125">
    <w:name w:val="正文文本首行缩进 字符"/>
    <w:basedOn w:val="55"/>
    <w:link w:val="14"/>
    <w:qFormat/>
    <w:uiPriority w:val="99"/>
    <w:rPr>
      <w:rFonts w:ascii="仿宋" w:hAnsi="仿宋" w:eastAsia="仿宋" w:cs="Times New Roman"/>
      <w:kern w:val="2"/>
      <w:sz w:val="24"/>
      <w:szCs w:val="21"/>
    </w:rPr>
  </w:style>
  <w:style w:type="table" w:customStyle="1" w:styleId="126">
    <w:name w:val="网格型1"/>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
    <w:name w:val="网格型浅色1"/>
    <w:basedOn w:val="40"/>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128">
    <w:name w:val="Table Normal1"/>
    <w:semiHidden/>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129">
    <w:name w:val="样式11"/>
    <w:basedOn w:val="40"/>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30">
    <w:name w:val="样式21"/>
    <w:basedOn w:val="40"/>
    <w:qFormat/>
    <w:uiPriority w:val="99"/>
    <w:pPr>
      <w:jc w:val="center"/>
    </w:pPr>
    <w:rPr>
      <w:rFonts w:ascii="Times New Roman" w:hAnsi="Times New Roman"/>
      <w:sz w:val="21"/>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paragraph" w:customStyle="1" w:styleId="131">
    <w:name w:val="题注-图片"/>
    <w:basedOn w:val="16"/>
    <w:next w:val="1"/>
    <w:link w:val="132"/>
    <w:qFormat/>
    <w:uiPriority w:val="0"/>
    <w:pPr>
      <w:keepNext w:val="0"/>
      <w:ind w:firstLine="480"/>
    </w:pPr>
    <w:rPr>
      <w:b w:val="0"/>
    </w:rPr>
  </w:style>
  <w:style w:type="character" w:customStyle="1" w:styleId="132">
    <w:name w:val="题注-图片 字符"/>
    <w:basedOn w:val="42"/>
    <w:link w:val="131"/>
    <w:qFormat/>
    <w:uiPriority w:val="0"/>
    <w:rPr>
      <w:rFonts w:ascii="Times New Roman" w:hAnsi="Times New Roman"/>
      <w:kern w:val="2"/>
      <w:sz w:val="21"/>
      <w:szCs w:val="21"/>
    </w:rPr>
  </w:style>
  <w:style w:type="table" w:customStyle="1" w:styleId="133">
    <w:name w:val="样式12"/>
    <w:basedOn w:val="40"/>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paragraph" w:customStyle="1" w:styleId="134">
    <w:name w:val="6级带编号正文"/>
    <w:link w:val="172"/>
    <w:qFormat/>
    <w:uiPriority w:val="0"/>
    <w:pPr>
      <w:widowControl w:val="0"/>
      <w:numPr>
        <w:ilvl w:val="0"/>
        <w:numId w:val="3"/>
      </w:numPr>
      <w:spacing w:line="360" w:lineRule="auto"/>
      <w:ind w:firstLine="200"/>
      <w:jc w:val="both"/>
    </w:pPr>
    <w:rPr>
      <w:rFonts w:ascii="Times New Roman" w:hAnsi="Times New Roman" w:eastAsia="宋体" w:cs="Times New Roman"/>
      <w:color w:val="000000" w:themeColor="text1"/>
      <w:kern w:val="2"/>
      <w:sz w:val="24"/>
      <w:szCs w:val="21"/>
      <w:lang w:val="en-US" w:eastAsia="zh-CN" w:bidi="ar-SA"/>
      <w14:textFill>
        <w14:solidFill>
          <w14:schemeClr w14:val="tx1"/>
        </w14:solidFill>
      </w14:textFill>
    </w:rPr>
  </w:style>
  <w:style w:type="table" w:customStyle="1" w:styleId="135">
    <w:name w:val="样式13"/>
    <w:basedOn w:val="40"/>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paragraph" w:customStyle="1" w:styleId="136">
    <w:name w:val="说明文本"/>
    <w:basedOn w:val="1"/>
    <w:link w:val="137"/>
    <w:qFormat/>
    <w:uiPriority w:val="0"/>
    <w:pPr>
      <w:ind w:firstLine="480"/>
    </w:pPr>
    <w:rPr>
      <w:rFonts w:eastAsia="楷体"/>
      <w:color w:val="FF0000"/>
      <w:sz w:val="21"/>
    </w:rPr>
  </w:style>
  <w:style w:type="character" w:customStyle="1" w:styleId="137">
    <w:name w:val="说明文本 字符"/>
    <w:basedOn w:val="42"/>
    <w:link w:val="136"/>
    <w:qFormat/>
    <w:uiPriority w:val="0"/>
    <w:rPr>
      <w:rFonts w:ascii="Times New Roman" w:hAnsi="Times New Roman" w:eastAsia="楷体"/>
      <w:color w:val="FF0000"/>
      <w:kern w:val="2"/>
      <w:sz w:val="21"/>
      <w:szCs w:val="21"/>
    </w:rPr>
  </w:style>
  <w:style w:type="table" w:customStyle="1" w:styleId="138">
    <w:name w:val="样式16"/>
    <w:basedOn w:val="40"/>
    <w:qFormat/>
    <w:locked/>
    <w:uiPriority w:val="99"/>
    <w:pPr>
      <w:jc w:val="center"/>
    </w:pPr>
    <w:rPr>
      <w:sz w:val="21"/>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39">
    <w:name w:val="样式121"/>
    <w:basedOn w:val="40"/>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40">
    <w:name w:val="样式14"/>
    <w:basedOn w:val="40"/>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41">
    <w:name w:val="样式141"/>
    <w:basedOn w:val="40"/>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42">
    <w:name w:val="表格标准"/>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character" w:customStyle="1" w:styleId="143">
    <w:name w:val="表内文字 Char"/>
    <w:link w:val="17"/>
    <w:qFormat/>
    <w:uiPriority w:val="0"/>
    <w:rPr>
      <w:rFonts w:ascii="Times New Roman" w:hAnsi="Times New Roman"/>
      <w:kern w:val="2"/>
      <w:sz w:val="21"/>
      <w:szCs w:val="21"/>
    </w:rPr>
  </w:style>
  <w:style w:type="table" w:customStyle="1" w:styleId="144">
    <w:name w:val="样式15"/>
    <w:basedOn w:val="40"/>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45">
    <w:name w:val="样式22"/>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cantSplit/>
      <w:jc w:val="center"/>
    </w:trPr>
    <w:tcPr>
      <w:vAlign w:val="center"/>
    </w:tcPr>
    <w:tblStylePr w:type="firstRow">
      <w:rPr>
        <w:b/>
      </w:rPr>
      <w:tblPr/>
      <w:trPr>
        <w:tblHeader/>
      </w:trPr>
    </w:tblStylePr>
  </w:style>
  <w:style w:type="paragraph" w:customStyle="1" w:styleId="146">
    <w:name w:val="方案样式：图片名称"/>
    <w:next w:val="1"/>
    <w:qFormat/>
    <w:uiPriority w:val="0"/>
    <w:pPr>
      <w:tabs>
        <w:tab w:val="left" w:pos="420"/>
      </w:tabs>
      <w:jc w:val="center"/>
    </w:pPr>
    <w:rPr>
      <w:rFonts w:ascii="Calibri" w:hAnsi="Calibri" w:eastAsia="宋体" w:cs="Times New Roman"/>
      <w:b/>
      <w:sz w:val="21"/>
      <w:lang w:val="en-US" w:eastAsia="zh-CN" w:bidi="ar-SA"/>
    </w:rPr>
  </w:style>
  <w:style w:type="table" w:customStyle="1" w:styleId="147">
    <w:name w:val="样式17"/>
    <w:basedOn w:val="40"/>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48">
    <w:name w:val="样式18"/>
    <w:basedOn w:val="40"/>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49">
    <w:name w:val="样式19"/>
    <w:basedOn w:val="40"/>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50">
    <w:name w:val="表格标准1"/>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character" w:customStyle="1" w:styleId="151">
    <w:name w:val="图表样式 字符"/>
    <w:link w:val="152"/>
    <w:qFormat/>
    <w:uiPriority w:val="0"/>
    <w:rPr>
      <w:rFonts w:cs="宋体"/>
      <w:b/>
      <w:snapToGrid w:val="0"/>
      <w:color w:val="000000"/>
      <w:sz w:val="21"/>
      <w:szCs w:val="24"/>
    </w:rPr>
  </w:style>
  <w:style w:type="paragraph" w:customStyle="1" w:styleId="152">
    <w:name w:val="图表样式"/>
    <w:basedOn w:val="1"/>
    <w:next w:val="1"/>
    <w:link w:val="151"/>
    <w:qFormat/>
    <w:uiPriority w:val="0"/>
    <w:pPr>
      <w:keepNext/>
      <w:widowControl/>
      <w:adjustRightInd w:val="0"/>
      <w:ind w:firstLine="0" w:firstLineChars="0"/>
      <w:contextualSpacing/>
      <w:jc w:val="center"/>
    </w:pPr>
    <w:rPr>
      <w:rFonts w:ascii="Calibri" w:hAnsi="Calibri" w:cs="宋体"/>
      <w:b/>
      <w:snapToGrid w:val="0"/>
      <w:color w:val="000000"/>
      <w:kern w:val="0"/>
      <w:sz w:val="21"/>
      <w:szCs w:val="24"/>
    </w:rPr>
  </w:style>
  <w:style w:type="paragraph" w:customStyle="1" w:styleId="153">
    <w:name w:val="正文标准"/>
    <w:basedOn w:val="1"/>
    <w:link w:val="154"/>
    <w:qFormat/>
    <w:uiPriority w:val="0"/>
    <w:pPr>
      <w:autoSpaceDE w:val="0"/>
      <w:autoSpaceDN w:val="0"/>
    </w:pPr>
    <w:rPr>
      <w:snapToGrid w:val="0"/>
      <w:szCs w:val="24"/>
    </w:rPr>
  </w:style>
  <w:style w:type="character" w:customStyle="1" w:styleId="154">
    <w:name w:val="正文标准 Char"/>
    <w:link w:val="153"/>
    <w:qFormat/>
    <w:uiPriority w:val="0"/>
    <w:rPr>
      <w:rFonts w:ascii="Times New Roman" w:hAnsi="Times New Roman"/>
      <w:snapToGrid w:val="0"/>
      <w:kern w:val="2"/>
      <w:sz w:val="24"/>
      <w:szCs w:val="24"/>
    </w:rPr>
  </w:style>
  <w:style w:type="table" w:customStyle="1" w:styleId="155">
    <w:name w:val="表格标准2"/>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paragraph" w:customStyle="1" w:styleId="156">
    <w:name w:val="TOC Heading"/>
    <w:basedOn w:val="2"/>
    <w:next w:val="1"/>
    <w:unhideWhenUsed/>
    <w:qFormat/>
    <w:uiPriority w:val="39"/>
    <w:pPr>
      <w:widowControl/>
      <w:numPr>
        <w:numId w:val="0"/>
      </w:numPr>
      <w:tabs>
        <w:tab w:val="clear" w:pos="0"/>
      </w:tabs>
      <w:spacing w:before="240" w:line="259" w:lineRule="auto"/>
      <w:jc w:val="left"/>
      <w:outlineLvl w:val="9"/>
    </w:pPr>
    <w:rPr>
      <w:rFonts w:asciiTheme="majorHAnsi" w:hAnsiTheme="majorHAnsi" w:eastAsiaTheme="majorEastAsia" w:cstheme="majorBidi"/>
      <w:b w:val="0"/>
      <w:bCs w:val="0"/>
      <w:color w:val="376092" w:themeColor="accent1" w:themeShade="BF"/>
      <w:kern w:val="0"/>
      <w:szCs w:val="32"/>
    </w:rPr>
  </w:style>
  <w:style w:type="paragraph" w:customStyle="1" w:styleId="157">
    <w:name w:val="！正文"/>
    <w:basedOn w:val="1"/>
    <w:link w:val="158"/>
    <w:qFormat/>
    <w:uiPriority w:val="0"/>
    <w:pPr>
      <w:textAlignment w:val="baseline"/>
    </w:pPr>
    <w:rPr>
      <w:color w:val="000000"/>
      <w:kern w:val="0"/>
      <w:szCs w:val="24"/>
    </w:rPr>
  </w:style>
  <w:style w:type="character" w:customStyle="1" w:styleId="158">
    <w:name w:val="！正文 字符"/>
    <w:link w:val="157"/>
    <w:qFormat/>
    <w:uiPriority w:val="0"/>
    <w:rPr>
      <w:rFonts w:ascii="Times New Roman" w:hAnsi="Times New Roman"/>
      <w:color w:val="000000"/>
      <w:sz w:val="24"/>
      <w:szCs w:val="24"/>
    </w:rPr>
  </w:style>
  <w:style w:type="paragraph" w:customStyle="1" w:styleId="159">
    <w:name w:val="5级标题"/>
    <w:basedOn w:val="7"/>
    <w:next w:val="1"/>
    <w:link w:val="160"/>
    <w:qFormat/>
    <w:uiPriority w:val="0"/>
    <w:pPr>
      <w:numPr>
        <w:ilvl w:val="4"/>
        <w:numId w:val="1"/>
      </w:numPr>
    </w:pPr>
    <w:rPr>
      <w:b/>
    </w:rPr>
  </w:style>
  <w:style w:type="character" w:customStyle="1" w:styleId="160">
    <w:name w:val="5级标题 字符"/>
    <w:basedOn w:val="54"/>
    <w:link w:val="159"/>
    <w:qFormat/>
    <w:uiPriority w:val="0"/>
    <w:rPr>
      <w:rFonts w:ascii="Times New Roman" w:hAnsi="Times New Roman" w:eastAsia="宋体" w:cs="Times New Roman"/>
      <w:b/>
      <w:kern w:val="2"/>
      <w:sz w:val="24"/>
      <w:szCs w:val="28"/>
    </w:rPr>
  </w:style>
  <w:style w:type="table" w:customStyle="1" w:styleId="161">
    <w:name w:val="表格标准11"/>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character" w:customStyle="1" w:styleId="162">
    <w:name w:val="标题 字符"/>
    <w:basedOn w:val="42"/>
    <w:link w:val="37"/>
    <w:qFormat/>
    <w:uiPriority w:val="10"/>
    <w:rPr>
      <w:rFonts w:asciiTheme="majorHAnsi" w:hAnsiTheme="majorHAnsi" w:eastAsiaTheme="majorEastAsia" w:cstheme="majorBidi"/>
      <w:b/>
      <w:bCs/>
      <w:kern w:val="2"/>
      <w:sz w:val="32"/>
      <w:szCs w:val="32"/>
    </w:rPr>
  </w:style>
  <w:style w:type="paragraph" w:styleId="163">
    <w:name w:val="No Spacing"/>
    <w:qFormat/>
    <w:uiPriority w:val="1"/>
    <w:pPr>
      <w:widowControl w:val="0"/>
      <w:spacing w:line="360" w:lineRule="auto"/>
      <w:jc w:val="center"/>
    </w:pPr>
    <w:rPr>
      <w:rFonts w:ascii="黑体" w:hAnsi="黑体" w:eastAsia="黑体" w:cs="Times New Roman"/>
      <w:sz w:val="21"/>
      <w:lang w:val="en-US" w:eastAsia="zh-CN" w:bidi="ar-SA"/>
    </w:rPr>
  </w:style>
  <w:style w:type="paragraph" w:customStyle="1" w:styleId="164">
    <w:name w:val="正文编写"/>
    <w:basedOn w:val="1"/>
    <w:qFormat/>
    <w:uiPriority w:val="0"/>
    <w:rPr>
      <w:rFonts w:asciiTheme="minorHAnsi" w:hAnsiTheme="minorHAnsi" w:eastAsiaTheme="minorEastAsia" w:cstheme="minorBidi"/>
      <w:kern w:val="0"/>
      <w:sz w:val="20"/>
      <w:szCs w:val="20"/>
    </w:rPr>
  </w:style>
  <w:style w:type="table" w:customStyle="1" w:styleId="165">
    <w:name w:val="方案表格"/>
    <w:basedOn w:val="40"/>
    <w:qFormat/>
    <w:uiPriority w:val="99"/>
    <w:pPr>
      <w:jc w:val="center"/>
    </w:pPr>
    <w:rPr>
      <w:rFonts w:ascii="Times New Roman" w:hAnsi="Times New Roman"/>
      <w:sz w:val="18"/>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style>
  <w:style w:type="paragraph" w:customStyle="1" w:styleId="166">
    <w:name w:val="正文C"/>
    <w:basedOn w:val="1"/>
    <w:link w:val="167"/>
    <w:qFormat/>
    <w:uiPriority w:val="0"/>
    <w:pPr>
      <w:widowControl/>
      <w:adjustRightInd w:val="0"/>
      <w:snapToGrid w:val="0"/>
      <w:jc w:val="left"/>
    </w:pPr>
    <w:rPr>
      <w:rFonts w:ascii="宋体" w:hAnsi="宋体" w:cs="宋体"/>
      <w:color w:val="4F6228" w:themeColor="accent3" w:themeShade="80"/>
      <w:kern w:val="0"/>
      <w:szCs w:val="24"/>
    </w:rPr>
  </w:style>
  <w:style w:type="character" w:customStyle="1" w:styleId="167">
    <w:name w:val="正文C Char"/>
    <w:link w:val="166"/>
    <w:qFormat/>
    <w:uiPriority w:val="0"/>
    <w:rPr>
      <w:rFonts w:ascii="宋体" w:hAnsi="宋体" w:cs="宋体"/>
      <w:color w:val="4F6228" w:themeColor="accent3" w:themeShade="80"/>
      <w:sz w:val="24"/>
      <w:szCs w:val="24"/>
    </w:rPr>
  </w:style>
  <w:style w:type="paragraph" w:customStyle="1" w:styleId="168">
    <w:name w:val="标题3"/>
    <w:basedOn w:val="1"/>
    <w:qFormat/>
    <w:uiPriority w:val="0"/>
    <w:pPr>
      <w:spacing w:before="20" w:after="20"/>
      <w:ind w:firstLine="100" w:firstLineChars="100"/>
      <w:jc w:val="left"/>
      <w:outlineLvl w:val="2"/>
    </w:pPr>
    <w:rPr>
      <w:rFonts w:ascii="宋体" w:hAnsi="宋体" w:eastAsia="仿宋"/>
      <w:b/>
      <w:bCs/>
      <w:color w:val="000000"/>
      <w:szCs w:val="24"/>
    </w:rPr>
  </w:style>
  <w:style w:type="paragraph" w:customStyle="1" w:styleId="169">
    <w:name w:val="5级带编号正文"/>
    <w:basedOn w:val="1"/>
    <w:link w:val="171"/>
    <w:qFormat/>
    <w:uiPriority w:val="0"/>
    <w:pPr>
      <w:numPr>
        <w:ilvl w:val="0"/>
        <w:numId w:val="4"/>
      </w:numPr>
      <w:ind w:firstLine="0" w:firstLineChars="0"/>
    </w:pPr>
    <w:rPr>
      <w:rFonts w:cs="宋体"/>
      <w:color w:val="4F6228" w:themeColor="accent3" w:themeShade="80"/>
    </w:rPr>
  </w:style>
  <w:style w:type="paragraph" w:customStyle="1" w:styleId="170">
    <w:name w:val="表格"/>
    <w:basedOn w:val="1"/>
    <w:link w:val="183"/>
    <w:qFormat/>
    <w:uiPriority w:val="0"/>
    <w:pPr>
      <w:adjustRightInd w:val="0"/>
      <w:snapToGrid w:val="0"/>
      <w:spacing w:line="500" w:lineRule="exact"/>
      <w:jc w:val="center"/>
    </w:pPr>
    <w:rPr>
      <w:rFonts w:ascii="仿宋" w:hAnsi="Calibri" w:eastAsia="仿宋"/>
      <w:b/>
      <w:sz w:val="21"/>
      <w:szCs w:val="20"/>
    </w:rPr>
  </w:style>
  <w:style w:type="character" w:customStyle="1" w:styleId="171">
    <w:name w:val="5级带编号正文 字符"/>
    <w:basedOn w:val="167"/>
    <w:link w:val="169"/>
    <w:qFormat/>
    <w:uiPriority w:val="0"/>
    <w:rPr>
      <w:rFonts w:ascii="Times New Roman" w:hAnsi="Times New Roman" w:cs="宋体"/>
      <w:color w:val="4F6228" w:themeColor="accent3" w:themeShade="80"/>
      <w:kern w:val="2"/>
      <w:sz w:val="24"/>
      <w:szCs w:val="21"/>
    </w:rPr>
  </w:style>
  <w:style w:type="character" w:customStyle="1" w:styleId="172">
    <w:name w:val="6级带编号正文 字符"/>
    <w:basedOn w:val="42"/>
    <w:link w:val="134"/>
    <w:qFormat/>
    <w:uiPriority w:val="0"/>
    <w:rPr>
      <w:rFonts w:ascii="Times New Roman" w:hAnsi="Times New Roman"/>
      <w:color w:val="000000" w:themeColor="text1"/>
      <w:kern w:val="2"/>
      <w:sz w:val="24"/>
      <w:szCs w:val="21"/>
      <w14:textFill>
        <w14:solidFill>
          <w14:schemeClr w14:val="tx1"/>
        </w14:solidFill>
      </w14:textFill>
    </w:rPr>
  </w:style>
  <w:style w:type="paragraph" w:customStyle="1" w:styleId="173">
    <w:name w:val="71表格五号"/>
    <w:basedOn w:val="1"/>
    <w:qFormat/>
    <w:uiPriority w:val="0"/>
    <w:pPr>
      <w:adjustRightInd w:val="0"/>
      <w:snapToGrid w:val="0"/>
      <w:spacing w:line="300" w:lineRule="auto"/>
      <w:ind w:firstLine="0" w:firstLineChars="0"/>
      <w:jc w:val="center"/>
    </w:pPr>
    <w:rPr>
      <w:rFonts w:eastAsia="仿宋" w:cs="宋体"/>
      <w:snapToGrid w:val="0"/>
      <w:kern w:val="0"/>
      <w:sz w:val="21"/>
    </w:rPr>
  </w:style>
  <w:style w:type="paragraph" w:customStyle="1" w:styleId="174">
    <w:name w:val="80标题图片"/>
    <w:basedOn w:val="1"/>
    <w:next w:val="1"/>
    <w:qFormat/>
    <w:uiPriority w:val="0"/>
    <w:pPr>
      <w:tabs>
        <w:tab w:val="left" w:pos="0"/>
        <w:tab w:val="left" w:pos="2973"/>
        <w:tab w:val="left" w:pos="3540"/>
        <w:tab w:val="left" w:pos="3681"/>
        <w:tab w:val="left" w:pos="4107"/>
      </w:tabs>
      <w:adjustRightInd w:val="0"/>
      <w:snapToGrid w:val="0"/>
      <w:spacing w:after="120" w:line="430" w:lineRule="exact"/>
      <w:ind w:left="3687" w:firstLine="0" w:firstLineChars="0"/>
      <w:jc w:val="center"/>
    </w:pPr>
    <w:rPr>
      <w:rFonts w:ascii="宋体" w:hAnsi="宋体" w:cs="宋体"/>
      <w:b/>
      <w:kern w:val="0"/>
      <w:sz w:val="21"/>
    </w:rPr>
  </w:style>
  <w:style w:type="paragraph" w:customStyle="1" w:styleId="175">
    <w:name w:val="修订1"/>
    <w:hidden/>
    <w:semiHidden/>
    <w:qFormat/>
    <w:uiPriority w:val="99"/>
    <w:rPr>
      <w:rFonts w:ascii="Times New Roman" w:hAnsi="Times New Roman" w:eastAsia="宋体" w:cs="Times New Roman"/>
      <w:kern w:val="2"/>
      <w:sz w:val="24"/>
      <w:szCs w:val="21"/>
      <w:lang w:val="en-US" w:eastAsia="zh-CN" w:bidi="ar-SA"/>
    </w:rPr>
  </w:style>
  <w:style w:type="paragraph" w:customStyle="1" w:styleId="176">
    <w:name w:val="A正文格式11-16"/>
    <w:basedOn w:val="1"/>
    <w:link w:val="177"/>
    <w:qFormat/>
    <w:uiPriority w:val="0"/>
    <w:pPr>
      <w:adjustRightInd w:val="0"/>
      <w:snapToGrid w:val="0"/>
      <w:ind w:firstLine="480"/>
    </w:pPr>
    <w:rPr>
      <w:szCs w:val="24"/>
    </w:rPr>
  </w:style>
  <w:style w:type="character" w:customStyle="1" w:styleId="177">
    <w:name w:val="A正文格式11-16 字符"/>
    <w:link w:val="176"/>
    <w:qFormat/>
    <w:uiPriority w:val="0"/>
    <w:rPr>
      <w:rFonts w:ascii="Times New Roman" w:hAnsi="Times New Roman"/>
      <w:kern w:val="2"/>
      <w:sz w:val="24"/>
      <w:szCs w:val="24"/>
    </w:rPr>
  </w:style>
  <w:style w:type="character" w:customStyle="1" w:styleId="178">
    <w:name w:val="NormalCharacter"/>
    <w:semiHidden/>
    <w:qFormat/>
    <w:uiPriority w:val="0"/>
  </w:style>
  <w:style w:type="character" w:customStyle="1" w:styleId="179">
    <w:name w:val="正文1 字符"/>
    <w:basedOn w:val="42"/>
    <w:link w:val="102"/>
    <w:qFormat/>
    <w:uiPriority w:val="0"/>
    <w:rPr>
      <w:sz w:val="24"/>
      <w:szCs w:val="24"/>
    </w:rPr>
  </w:style>
  <w:style w:type="paragraph" w:customStyle="1" w:styleId="180">
    <w:name w:val="图表正文"/>
    <w:basedOn w:val="1"/>
    <w:next w:val="1"/>
    <w:qFormat/>
    <w:uiPriority w:val="0"/>
    <w:pPr>
      <w:spacing w:line="240" w:lineRule="auto"/>
      <w:ind w:firstLine="0" w:firstLineChars="0"/>
      <w:jc w:val="center"/>
    </w:pPr>
    <w:rPr>
      <w:sz w:val="21"/>
      <w:szCs w:val="22"/>
    </w:rPr>
  </w:style>
  <w:style w:type="paragraph" w:customStyle="1" w:styleId="181">
    <w:name w:val="Default"/>
    <w:qFormat/>
    <w:uiPriority w:val="0"/>
    <w:pPr>
      <w:widowControl w:val="0"/>
      <w:autoSpaceDE w:val="0"/>
      <w:autoSpaceDN w:val="0"/>
      <w:adjustRightInd w:val="0"/>
    </w:pPr>
    <w:rPr>
      <w:rFonts w:ascii="楷体_GB2312" w:hAnsi="Times New Roman" w:eastAsia="楷体_GB2312" w:cs="楷体_GB2312"/>
      <w:color w:val="000000"/>
      <w:sz w:val="24"/>
      <w:szCs w:val="24"/>
      <w:lang w:val="en-US" w:eastAsia="zh-CN" w:bidi="ar-SA"/>
    </w:rPr>
  </w:style>
  <w:style w:type="character" w:customStyle="1" w:styleId="182">
    <w:name w:val="正文文本 字符1"/>
    <w:qFormat/>
    <w:uiPriority w:val="0"/>
    <w:rPr>
      <w:rFonts w:eastAsia="宋体"/>
      <w:kern w:val="2"/>
      <w:sz w:val="28"/>
      <w:szCs w:val="24"/>
      <w:lang w:val="en-US" w:eastAsia="zh-CN" w:bidi="ar-SA"/>
    </w:rPr>
  </w:style>
  <w:style w:type="character" w:customStyle="1" w:styleId="183">
    <w:name w:val="表格 字符"/>
    <w:link w:val="170"/>
    <w:qFormat/>
    <w:uiPriority w:val="0"/>
    <w:rPr>
      <w:rFonts w:ascii="仿宋" w:eastAsia="仿宋"/>
      <w:b/>
      <w:kern w:val="2"/>
      <w:sz w:val="21"/>
    </w:rPr>
  </w:style>
  <w:style w:type="paragraph" w:customStyle="1" w:styleId="184">
    <w:name w:val="图片居中"/>
    <w:basedOn w:val="1"/>
    <w:link w:val="221"/>
    <w:qFormat/>
    <w:uiPriority w:val="0"/>
    <w:pPr>
      <w:spacing w:line="240" w:lineRule="auto"/>
      <w:ind w:firstLine="0" w:firstLineChars="0"/>
      <w:jc w:val="center"/>
    </w:pPr>
  </w:style>
  <w:style w:type="paragraph" w:customStyle="1" w:styleId="185">
    <w:name w:val="K正文"/>
    <w:basedOn w:val="1"/>
    <w:link w:val="205"/>
    <w:qFormat/>
    <w:uiPriority w:val="0"/>
    <w:pPr>
      <w:jc w:val="left"/>
    </w:pPr>
    <w:rPr>
      <w:rFonts w:cs="宋体" w:eastAsiaTheme="minorEastAsia"/>
      <w:szCs w:val="24"/>
    </w:rPr>
  </w:style>
  <w:style w:type="table" w:customStyle="1" w:styleId="186">
    <w:name w:val="样式3"/>
    <w:qFormat/>
    <w:uiPriority w:val="99"/>
    <w:rPr>
      <w:rFonts w:ascii="Times New Roman" w:hAnsi="Times New Roman"/>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
    <w:tcPr>
      <w:vAlign w:val="center"/>
    </w:tcPr>
    <w:tblStylePr w:type="firstRow">
      <w:tcPr>
        <w:shd w:val="clear" w:color="auto" w:fill="9FD3A4"/>
      </w:tcPr>
    </w:tblStylePr>
  </w:style>
  <w:style w:type="paragraph" w:customStyle="1" w:styleId="187">
    <w:name w:val="图片格式"/>
    <w:basedOn w:val="76"/>
    <w:qFormat/>
    <w:uiPriority w:val="0"/>
    <w:pPr>
      <w:keepNext/>
      <w:spacing w:line="360" w:lineRule="auto"/>
    </w:pPr>
  </w:style>
  <w:style w:type="paragraph" w:customStyle="1" w:styleId="188">
    <w:name w:val="表头-模板"/>
    <w:qFormat/>
    <w:uiPriority w:val="0"/>
    <w:pPr>
      <w:widowControl w:val="0"/>
      <w:jc w:val="center"/>
    </w:pPr>
    <w:rPr>
      <w:rFonts w:hint="eastAsia" w:ascii="Times New Roman" w:hAnsi="Times New Roman" w:eastAsia="宋体" w:cs="Times New Roman"/>
      <w:b/>
      <w:kern w:val="2"/>
      <w:sz w:val="21"/>
      <w:szCs w:val="21"/>
      <w:lang w:val="en-US" w:eastAsia="zh-CN" w:bidi="ar-SA"/>
    </w:rPr>
  </w:style>
  <w:style w:type="paragraph" w:customStyle="1" w:styleId="189">
    <w:name w:val="表格正文-模板"/>
    <w:qFormat/>
    <w:uiPriority w:val="0"/>
    <w:pPr>
      <w:widowControl w:val="0"/>
      <w:jc w:val="both"/>
    </w:pPr>
    <w:rPr>
      <w:rFonts w:ascii="Times New Roman" w:hAnsi="Times New Roman" w:eastAsia="宋体" w:cs="Times New Roman"/>
      <w:kern w:val="2"/>
      <w:sz w:val="21"/>
      <w:szCs w:val="21"/>
      <w:lang w:val="en-US" w:eastAsia="zh-CN" w:bidi="ar-SA"/>
    </w:rPr>
  </w:style>
  <w:style w:type="table" w:customStyle="1" w:styleId="190">
    <w:name w:val="样式151"/>
    <w:basedOn w:val="40"/>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character" w:customStyle="1" w:styleId="191">
    <w:name w:val="标题 7 字符"/>
    <w:basedOn w:val="42"/>
    <w:link w:val="9"/>
    <w:semiHidden/>
    <w:qFormat/>
    <w:uiPriority w:val="9"/>
    <w:rPr>
      <w:rFonts w:ascii="Times New Roman" w:hAnsi="Times New Roman"/>
      <w:b/>
      <w:bCs/>
      <w:kern w:val="2"/>
      <w:sz w:val="24"/>
      <w:szCs w:val="24"/>
    </w:rPr>
  </w:style>
  <w:style w:type="character" w:customStyle="1" w:styleId="192">
    <w:name w:val="标题 8 字符"/>
    <w:basedOn w:val="42"/>
    <w:link w:val="10"/>
    <w:semiHidden/>
    <w:qFormat/>
    <w:uiPriority w:val="9"/>
    <w:rPr>
      <w:rFonts w:asciiTheme="majorHAnsi" w:hAnsiTheme="majorHAnsi" w:eastAsiaTheme="majorEastAsia" w:cstheme="majorBidi"/>
      <w:kern w:val="2"/>
      <w:sz w:val="24"/>
      <w:szCs w:val="24"/>
    </w:rPr>
  </w:style>
  <w:style w:type="character" w:customStyle="1" w:styleId="193">
    <w:name w:val="标题 9 字符"/>
    <w:basedOn w:val="42"/>
    <w:link w:val="11"/>
    <w:semiHidden/>
    <w:qFormat/>
    <w:uiPriority w:val="9"/>
    <w:rPr>
      <w:rFonts w:asciiTheme="majorHAnsi" w:hAnsiTheme="majorHAnsi" w:eastAsiaTheme="majorEastAsia" w:cstheme="majorBidi"/>
      <w:kern w:val="2"/>
      <w:sz w:val="21"/>
      <w:szCs w:val="21"/>
    </w:rPr>
  </w:style>
  <w:style w:type="table" w:customStyle="1" w:styleId="194">
    <w:name w:val="表格标准12"/>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table" w:customStyle="1" w:styleId="195">
    <w:name w:val="表格标准13"/>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character" w:customStyle="1" w:styleId="196">
    <w:name w:val="HTML 预设格式 字符"/>
    <w:basedOn w:val="42"/>
    <w:link w:val="35"/>
    <w:semiHidden/>
    <w:qFormat/>
    <w:uiPriority w:val="99"/>
    <w:rPr>
      <w:rFonts w:ascii="宋体" w:hAnsi="宋体"/>
      <w:sz w:val="24"/>
      <w:szCs w:val="24"/>
    </w:rPr>
  </w:style>
  <w:style w:type="character" w:styleId="197">
    <w:name w:val="Placeholder Text"/>
    <w:basedOn w:val="42"/>
    <w:semiHidden/>
    <w:qFormat/>
    <w:uiPriority w:val="99"/>
    <w:rPr>
      <w:color w:val="808080"/>
    </w:rPr>
  </w:style>
  <w:style w:type="table" w:customStyle="1" w:styleId="198">
    <w:name w:val="网格型2"/>
    <w:basedOn w:val="40"/>
    <w:qFormat/>
    <w:uiPriority w:val="39"/>
    <w:pPr>
      <w:jc w:val="center"/>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99">
    <w:name w:val="图表名称 Char"/>
    <w:link w:val="63"/>
    <w:qFormat/>
    <w:uiPriority w:val="0"/>
    <w:rPr>
      <w:rFonts w:ascii="Times New Roman" w:hAnsi="Times New Roman"/>
      <w:b/>
      <w:kern w:val="2"/>
      <w:sz w:val="21"/>
      <w:szCs w:val="21"/>
    </w:rPr>
  </w:style>
  <w:style w:type="paragraph" w:customStyle="1" w:styleId="200">
    <w:name w:val="图文字（新）"/>
    <w:basedOn w:val="1"/>
    <w:next w:val="1"/>
    <w:qFormat/>
    <w:uiPriority w:val="0"/>
    <w:pPr>
      <w:autoSpaceDE w:val="0"/>
      <w:autoSpaceDN w:val="0"/>
      <w:adjustRightInd w:val="0"/>
      <w:snapToGrid w:val="0"/>
      <w:spacing w:line="240" w:lineRule="auto"/>
      <w:ind w:firstLine="0" w:firstLineChars="0"/>
      <w:jc w:val="center"/>
      <w:textAlignment w:val="baseline"/>
    </w:pPr>
    <w:rPr>
      <w:rFonts w:hAnsi="Calibri"/>
      <w:color w:val="000000"/>
      <w:kern w:val="28"/>
      <w:sz w:val="21"/>
    </w:rPr>
  </w:style>
  <w:style w:type="paragraph" w:customStyle="1" w:styleId="201">
    <w:name w:val="!图表题仿五"/>
    <w:basedOn w:val="77"/>
    <w:qFormat/>
    <w:uiPriority w:val="0"/>
    <w:pPr>
      <w:ind w:firstLine="0" w:firstLineChars="0"/>
      <w:jc w:val="center"/>
    </w:pPr>
    <w:rPr>
      <w:b/>
      <w:color w:val="0000FF"/>
      <w:sz w:val="21"/>
    </w:rPr>
  </w:style>
  <w:style w:type="character" w:customStyle="1" w:styleId="202">
    <w:name w:val="未处理的提及1"/>
    <w:basedOn w:val="42"/>
    <w:semiHidden/>
    <w:unhideWhenUsed/>
    <w:qFormat/>
    <w:uiPriority w:val="99"/>
    <w:rPr>
      <w:color w:val="605E5C"/>
      <w:shd w:val="clear" w:color="auto" w:fill="E1DFDD"/>
    </w:rPr>
  </w:style>
  <w:style w:type="table" w:customStyle="1" w:styleId="203">
    <w:name w:val="网格型11"/>
    <w:basedOn w:val="40"/>
    <w:qFormat/>
    <w:uiPriority w:val="39"/>
    <w:rPr>
      <w:rFonts w:ascii="Times New Roman" w:hAnsi="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
    <w:name w:val="网格型12"/>
    <w:basedOn w:val="40"/>
    <w:qFormat/>
    <w:uiPriority w:val="59"/>
    <w:rPr>
      <w:rFonts w:ascii="Times New Roman" w:hAnsi="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05">
    <w:name w:val="K正文 Char"/>
    <w:link w:val="185"/>
    <w:qFormat/>
    <w:uiPriority w:val="0"/>
    <w:rPr>
      <w:rFonts w:ascii="Times New Roman" w:hAnsi="Times New Roman" w:cs="宋体" w:eastAsiaTheme="minorEastAsia"/>
      <w:kern w:val="2"/>
      <w:sz w:val="24"/>
      <w:szCs w:val="24"/>
    </w:rPr>
  </w:style>
  <w:style w:type="paragraph" w:customStyle="1" w:styleId="206">
    <w:name w:val="表格居中"/>
    <w:next w:val="1"/>
    <w:qFormat/>
    <w:uiPriority w:val="0"/>
    <w:pPr>
      <w:widowControl w:val="0"/>
      <w:jc w:val="center"/>
    </w:pPr>
    <w:rPr>
      <w:rFonts w:ascii="Times New Roman" w:hAnsi="Times New Roman" w:eastAsia="宋体" w:cs="Times New Roman"/>
      <w:kern w:val="2"/>
      <w:sz w:val="21"/>
      <w:szCs w:val="21"/>
      <w:lang w:val="en-US" w:eastAsia="zh-CN" w:bidi="ar-SA"/>
    </w:rPr>
  </w:style>
  <w:style w:type="paragraph" w:customStyle="1" w:styleId="207">
    <w:name w:val="缩进1.5"/>
    <w:next w:val="1"/>
    <w:qFormat/>
    <w:uiPriority w:val="0"/>
    <w:pPr>
      <w:widowControl w:val="0"/>
      <w:spacing w:line="360" w:lineRule="auto"/>
      <w:ind w:firstLine="150" w:firstLineChars="150"/>
      <w:jc w:val="both"/>
    </w:pPr>
    <w:rPr>
      <w:rFonts w:ascii="Times New Roman" w:hAnsi="Times New Roman" w:eastAsia="宋体" w:cstheme="minorBidi"/>
      <w:kern w:val="2"/>
      <w:sz w:val="24"/>
      <w:szCs w:val="22"/>
      <w:lang w:val="en-US" w:eastAsia="zh-CN" w:bidi="ar-SA"/>
    </w:rPr>
  </w:style>
  <w:style w:type="paragraph" w:customStyle="1" w:styleId="208">
    <w:name w:val="正文样式"/>
    <w:qFormat/>
    <w:uiPriority w:val="0"/>
    <w:pPr>
      <w:widowControl w:val="0"/>
      <w:adjustRightInd w:val="0"/>
      <w:snapToGrid w:val="0"/>
      <w:spacing w:line="360" w:lineRule="auto"/>
      <w:ind w:firstLine="480"/>
      <w:jc w:val="both"/>
    </w:pPr>
    <w:rPr>
      <w:rFonts w:ascii="仿宋_GB2312" w:hAnsi="Times New Roman" w:eastAsia="仿宋_GB2312" w:cs="Times New Roman"/>
      <w:kern w:val="2"/>
      <w:sz w:val="24"/>
      <w:szCs w:val="24"/>
      <w:lang w:val="en-US" w:eastAsia="zh-CN" w:bidi="ar-SA"/>
    </w:rPr>
  </w:style>
  <w:style w:type="table" w:customStyle="1" w:styleId="209">
    <w:name w:val="网格型浅色2"/>
    <w:basedOn w:val="40"/>
    <w:qFormat/>
    <w:uiPriority w:val="40"/>
    <w:rPr>
      <w:rFonts w:ascii="Times New Roman" w:hAnsi="Times New Roman"/>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210">
    <w:name w:val="Table Normal2"/>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table" w:customStyle="1" w:styleId="211">
    <w:name w:val="网格型浅色11"/>
    <w:basedOn w:val="40"/>
    <w:qFormat/>
    <w:locked/>
    <w:uiPriority w:val="40"/>
    <w:rPr>
      <w:rFonts w:ascii="Times New Roman" w:hAnsi="Times New Roman"/>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212">
    <w:name w:val="Table Normal11"/>
    <w:semiHidden/>
    <w:qFormat/>
    <w:uiPriority w:val="2"/>
    <w:pPr>
      <w:widowControl w:val="0"/>
      <w:autoSpaceDE w:val="0"/>
      <w:autoSpaceDN w:val="0"/>
    </w:pPr>
    <w:rPr>
      <w:rFonts w:ascii="Times New Roman" w:hAnsi="Times New Roman"/>
      <w:sz w:val="22"/>
      <w:szCs w:val="22"/>
      <w:lang w:eastAsia="en-US"/>
    </w:rPr>
    <w:tblPr>
      <w:tblCellMar>
        <w:top w:w="0" w:type="dxa"/>
        <w:left w:w="0" w:type="dxa"/>
        <w:bottom w:w="0" w:type="dxa"/>
        <w:right w:w="0" w:type="dxa"/>
      </w:tblCellMar>
    </w:tblPr>
  </w:style>
  <w:style w:type="paragraph" w:customStyle="1" w:styleId="213">
    <w:name w:val="L图表标题"/>
    <w:basedOn w:val="16"/>
    <w:link w:val="216"/>
    <w:qFormat/>
    <w:uiPriority w:val="0"/>
    <w:pPr>
      <w:keepNext w:val="0"/>
      <w:spacing w:line="240" w:lineRule="auto"/>
    </w:pPr>
    <w:rPr>
      <w:szCs w:val="22"/>
    </w:rPr>
  </w:style>
  <w:style w:type="character" w:customStyle="1" w:styleId="214">
    <w:name w:val="!正文 Char"/>
    <w:link w:val="215"/>
    <w:qFormat/>
    <w:uiPriority w:val="0"/>
    <w:rPr>
      <w:rFonts w:eastAsia="仿宋_GB2312"/>
      <w:sz w:val="24"/>
      <w:szCs w:val="24"/>
    </w:rPr>
  </w:style>
  <w:style w:type="paragraph" w:customStyle="1" w:styleId="215">
    <w:name w:val="!正文"/>
    <w:basedOn w:val="1"/>
    <w:link w:val="214"/>
    <w:qFormat/>
    <w:uiPriority w:val="0"/>
    <w:rPr>
      <w:rFonts w:ascii="Calibri" w:hAnsi="Calibri" w:eastAsia="仿宋_GB2312"/>
      <w:kern w:val="0"/>
      <w:szCs w:val="24"/>
    </w:rPr>
  </w:style>
  <w:style w:type="character" w:customStyle="1" w:styleId="216">
    <w:name w:val="L图表标题 字符"/>
    <w:link w:val="213"/>
    <w:qFormat/>
    <w:uiPriority w:val="0"/>
    <w:rPr>
      <w:rFonts w:ascii="Times New Roman" w:hAnsi="Times New Roman"/>
      <w:b/>
      <w:kern w:val="2"/>
      <w:sz w:val="21"/>
      <w:szCs w:val="22"/>
    </w:rPr>
  </w:style>
  <w:style w:type="paragraph" w:customStyle="1" w:styleId="217">
    <w:name w:val="L正文文本"/>
    <w:basedOn w:val="1"/>
    <w:link w:val="218"/>
    <w:qFormat/>
    <w:uiPriority w:val="0"/>
    <w:rPr>
      <w:color w:val="000000" w:themeColor="text1"/>
      <w14:textFill>
        <w14:solidFill>
          <w14:schemeClr w14:val="tx1"/>
        </w14:solidFill>
      </w14:textFill>
    </w:rPr>
  </w:style>
  <w:style w:type="character" w:customStyle="1" w:styleId="218">
    <w:name w:val="L正文文本 字符"/>
    <w:basedOn w:val="42"/>
    <w:link w:val="217"/>
    <w:qFormat/>
    <w:uiPriority w:val="0"/>
    <w:rPr>
      <w:rFonts w:ascii="Times New Roman" w:hAnsi="Times New Roman"/>
      <w:color w:val="000000" w:themeColor="text1"/>
      <w:kern w:val="2"/>
      <w:sz w:val="24"/>
      <w:szCs w:val="21"/>
      <w14:textFill>
        <w14:solidFill>
          <w14:schemeClr w14:val="tx1"/>
        </w14:solidFill>
      </w14:textFill>
    </w:rPr>
  </w:style>
  <w:style w:type="paragraph" w:customStyle="1" w:styleId="219">
    <w:name w:val="加粗"/>
    <w:basedOn w:val="217"/>
    <w:link w:val="220"/>
    <w:qFormat/>
    <w:uiPriority w:val="0"/>
    <w:pPr>
      <w:ind w:firstLine="480"/>
    </w:pPr>
    <w:rPr>
      <w:b/>
      <w:bCs/>
    </w:rPr>
  </w:style>
  <w:style w:type="character" w:customStyle="1" w:styleId="220">
    <w:name w:val="加粗 字符"/>
    <w:basedOn w:val="218"/>
    <w:link w:val="219"/>
    <w:qFormat/>
    <w:uiPriority w:val="0"/>
    <w:rPr>
      <w:rFonts w:ascii="Times New Roman" w:hAnsi="Times New Roman"/>
      <w:b/>
      <w:bCs/>
      <w:color w:val="000000" w:themeColor="text1"/>
      <w:kern w:val="2"/>
      <w:sz w:val="24"/>
      <w:szCs w:val="21"/>
      <w14:textFill>
        <w14:solidFill>
          <w14:schemeClr w14:val="tx1"/>
        </w14:solidFill>
      </w14:textFill>
    </w:rPr>
  </w:style>
  <w:style w:type="character" w:customStyle="1" w:styleId="221">
    <w:name w:val="图片居中 字符"/>
    <w:basedOn w:val="42"/>
    <w:link w:val="184"/>
    <w:qFormat/>
    <w:uiPriority w:val="0"/>
    <w:rPr>
      <w:rFonts w:ascii="Times New Roman" w:hAnsi="Times New Roman"/>
      <w:kern w:val="2"/>
      <w:sz w:val="24"/>
      <w:szCs w:val="21"/>
    </w:rPr>
  </w:style>
  <w:style w:type="character" w:customStyle="1" w:styleId="222">
    <w:name w:val="普通(网站) 字符"/>
    <w:link w:val="36"/>
    <w:qFormat/>
    <w:locked/>
    <w:uiPriority w:val="99"/>
    <w:rPr>
      <w:rFonts w:ascii="宋体" w:hAnsi="宋体" w:cs="宋体"/>
      <w:sz w:val="24"/>
      <w:szCs w:val="24"/>
    </w:rPr>
  </w:style>
  <w:style w:type="paragraph" w:customStyle="1" w:styleId="223">
    <w:name w:val="插图"/>
    <w:next w:val="1"/>
    <w:qFormat/>
    <w:uiPriority w:val="99"/>
    <w:pPr>
      <w:keepNext/>
      <w:spacing w:line="360" w:lineRule="auto"/>
      <w:jc w:val="center"/>
    </w:pPr>
    <w:rPr>
      <w:rFonts w:ascii="Times New Roman" w:hAnsi="Times New Roman" w:eastAsia="仿宋" w:cs="Times New Roman"/>
      <w:kern w:val="2"/>
      <w:sz w:val="24"/>
      <w:szCs w:val="22"/>
      <w:lang w:val="en-US" w:eastAsia="zh-CN" w:bidi="ar-SA"/>
    </w:rPr>
  </w:style>
  <w:style w:type="character" w:customStyle="1" w:styleId="224">
    <w:name w:val="正文-昌赣 Char"/>
    <w:link w:val="225"/>
    <w:qFormat/>
    <w:locked/>
    <w:uiPriority w:val="0"/>
    <w:rPr>
      <w:rFonts w:ascii="Tahoma" w:eastAsia="Tahoma"/>
      <w:color w:val="000000"/>
      <w:kern w:val="20"/>
      <w:sz w:val="28"/>
      <w:szCs w:val="28"/>
    </w:rPr>
  </w:style>
  <w:style w:type="paragraph" w:customStyle="1" w:styleId="225">
    <w:name w:val="正文-昌赣"/>
    <w:basedOn w:val="1"/>
    <w:link w:val="224"/>
    <w:qFormat/>
    <w:uiPriority w:val="0"/>
    <w:pPr>
      <w:autoSpaceDE w:val="0"/>
      <w:autoSpaceDN w:val="0"/>
      <w:adjustRightInd w:val="0"/>
      <w:spacing w:line="460" w:lineRule="exact"/>
      <w:jc w:val="left"/>
    </w:pPr>
    <w:rPr>
      <w:rFonts w:ascii="Tahoma" w:hAnsi="Calibri" w:eastAsia="Tahoma"/>
      <w:color w:val="000000"/>
      <w:kern w:val="20"/>
      <w:sz w:val="28"/>
      <w:szCs w:val="28"/>
    </w:rPr>
  </w:style>
  <w:style w:type="paragraph" w:customStyle="1" w:styleId="226">
    <w:name w:val="abc"/>
    <w:basedOn w:val="1"/>
    <w:qFormat/>
    <w:uiPriority w:val="99"/>
    <w:pPr>
      <w:adjustRightInd w:val="0"/>
      <w:snapToGrid w:val="0"/>
      <w:jc w:val="left"/>
    </w:pPr>
    <w:rPr>
      <w:rFonts w:ascii="宋体" w:hAnsi="宋体"/>
      <w:kern w:val="0"/>
      <w:szCs w:val="24"/>
      <w:lang w:eastAsia="en-US" w:bidi="en-US"/>
    </w:rPr>
  </w:style>
  <w:style w:type="paragraph" w:customStyle="1" w:styleId="227">
    <w:name w:val="大标题"/>
    <w:basedOn w:val="2"/>
    <w:qFormat/>
    <w:uiPriority w:val="0"/>
    <w:pPr>
      <w:keepNext w:val="0"/>
      <w:keepLines w:val="0"/>
      <w:adjustRightInd w:val="0"/>
      <w:spacing w:line="240" w:lineRule="auto"/>
      <w:outlineLvl w:val="9"/>
    </w:pPr>
    <w:rPr>
      <w:rFonts w:ascii="宋体" w:hAnsi="宋体"/>
      <w:snapToGrid w:val="0"/>
      <w:sz w:val="28"/>
      <w:szCs w:val="28"/>
    </w:rPr>
  </w:style>
  <w:style w:type="paragraph" w:customStyle="1" w:styleId="228">
    <w:name w:val="品茗标题2"/>
    <w:basedOn w:val="3"/>
    <w:next w:val="1"/>
    <w:qFormat/>
    <w:uiPriority w:val="0"/>
    <w:pPr>
      <w:numPr>
        <w:numId w:val="5"/>
      </w:numPr>
    </w:pPr>
    <w:rPr>
      <w:rFonts w:ascii="宋体" w:hAnsi="宋体"/>
      <w:color w:val="000000"/>
    </w:rPr>
  </w:style>
  <w:style w:type="paragraph" w:customStyle="1" w:styleId="229">
    <w:name w:val="图名"/>
    <w:qFormat/>
    <w:uiPriority w:val="0"/>
    <w:pPr>
      <w:jc w:val="center"/>
    </w:pPr>
    <w:rPr>
      <w:rFonts w:ascii="宋体" w:hAnsi="宋体" w:eastAsia="宋体" w:cs="Times New Roman"/>
      <w:b/>
      <w:sz w:val="21"/>
      <w:szCs w:val="21"/>
      <w:lang w:val="en-US" w:eastAsia="zh-CN" w:bidi="ar-SA"/>
    </w:rPr>
  </w:style>
  <w:style w:type="table" w:customStyle="1" w:styleId="230">
    <w:name w:val="标准样式272"/>
    <w:basedOn w:val="40"/>
    <w:qFormat/>
    <w:uiPriority w:val="0"/>
    <w:pPr>
      <w:jc w:val="center"/>
    </w:pPr>
    <w:rPr>
      <w:rFonts w:ascii="Times New Roman" w:hAnsi="Times New Roman"/>
    </w:rPr>
    <w:tblPr>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Pr>
    <w:tcPr>
      <w:tcBorders>
        <w:top w:val="double" w:color="auto" w:sz="2" w:space="0"/>
        <w:left w:val="double" w:color="auto" w:sz="2" w:space="0"/>
        <w:bottom w:val="double" w:color="auto" w:sz="2" w:space="0"/>
        <w:right w:val="double" w:color="auto" w:sz="2" w:space="0"/>
      </w:tcBorders>
      <w:shd w:val="clear" w:color="auto" w:fill="FFFFFF"/>
      <w:vAlign w:val="center"/>
    </w:tcPr>
    <w:tblStylePr w:type="firstRow">
      <w:rPr>
        <w:rFonts w:hint="default" w:ascii="Times New Roman" w:hAnsi="Times New Roman" w:eastAsia="宋体" w:cs="Times New Roman"/>
        <w:b/>
        <w:i w:val="0"/>
        <w:sz w:val="21"/>
        <w:szCs w:val="21"/>
      </w:rPr>
      <w:tcPr>
        <w:shd w:val="clear" w:color="auto" w:fill="8DB3E2"/>
      </w:tcPr>
    </w:tblStylePr>
    <w:tblStylePr w:type="firstCol">
      <w:tcPr>
        <w:shd w:val="clear" w:color="auto" w:fill="FFFFFF"/>
      </w:tcPr>
    </w:tblStylePr>
  </w:style>
  <w:style w:type="table" w:customStyle="1" w:styleId="231">
    <w:name w:val="样式152"/>
    <w:basedOn w:val="40"/>
    <w:qFormat/>
    <w:uiPriority w:val="99"/>
    <w:pPr>
      <w:jc w:val="center"/>
    </w:pPr>
    <w:rPr>
      <w:rFonts w:ascii="Times New Roman" w:hAnsi="Times New Roman"/>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32">
    <w:name w:val="表格标准111"/>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table" w:customStyle="1" w:styleId="233">
    <w:name w:val="表格标准14"/>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table" w:customStyle="1" w:styleId="234">
    <w:name w:val="网格型3"/>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
    <w:name w:val="网格型浅色3"/>
    <w:basedOn w:val="40"/>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236">
    <w:name w:val="Table Normal3"/>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table" w:customStyle="1" w:styleId="237">
    <w:name w:val="样式110"/>
    <w:basedOn w:val="40"/>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38">
    <w:name w:val="样式23"/>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cantSplit/>
      <w:jc w:val="center"/>
    </w:trPr>
    <w:tcPr>
      <w:vAlign w:val="center"/>
    </w:tcPr>
    <w:tblStylePr w:type="firstRow">
      <w:rPr>
        <w:b/>
      </w:rPr>
      <w:tblPr/>
      <w:trPr>
        <w:tblHeader/>
      </w:trPr>
    </w:tblStylePr>
  </w:style>
  <w:style w:type="table" w:customStyle="1" w:styleId="239">
    <w:name w:val="网格型1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
    <w:name w:val="网格型浅色12"/>
    <w:basedOn w:val="40"/>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241">
    <w:name w:val="Table Normal12"/>
    <w:semiHidden/>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242">
    <w:name w:val="样式111"/>
    <w:basedOn w:val="40"/>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43">
    <w:name w:val="样式211"/>
    <w:basedOn w:val="40"/>
    <w:qFormat/>
    <w:uiPriority w:val="99"/>
    <w:pPr>
      <w:jc w:val="center"/>
    </w:pPr>
    <w:rPr>
      <w:rFonts w:ascii="Times New Roman" w:hAnsi="Times New Roman"/>
      <w:sz w:val="21"/>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44">
    <w:name w:val="样式122"/>
    <w:basedOn w:val="40"/>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45">
    <w:name w:val="样式131"/>
    <w:basedOn w:val="40"/>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46">
    <w:name w:val="样式161"/>
    <w:basedOn w:val="40"/>
    <w:qFormat/>
    <w:locked/>
    <w:uiPriority w:val="99"/>
    <w:pPr>
      <w:jc w:val="center"/>
    </w:pPr>
    <w:rPr>
      <w:sz w:val="21"/>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47">
    <w:name w:val="样式1211"/>
    <w:basedOn w:val="40"/>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48">
    <w:name w:val="样式142"/>
    <w:basedOn w:val="40"/>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49">
    <w:name w:val="样式1411"/>
    <w:basedOn w:val="40"/>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50">
    <w:name w:val="表格标准3"/>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table" w:customStyle="1" w:styleId="251">
    <w:name w:val="样式153"/>
    <w:basedOn w:val="40"/>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52">
    <w:name w:val="样式221"/>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cantSplit/>
      <w:jc w:val="center"/>
    </w:trPr>
    <w:tcPr>
      <w:vAlign w:val="center"/>
    </w:tcPr>
    <w:tblStylePr w:type="firstRow">
      <w:rPr>
        <w:b/>
      </w:rPr>
      <w:tblPr/>
      <w:trPr>
        <w:tblHeader/>
      </w:trPr>
    </w:tblStylePr>
  </w:style>
  <w:style w:type="table" w:customStyle="1" w:styleId="253">
    <w:name w:val="样式171"/>
    <w:basedOn w:val="40"/>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54">
    <w:name w:val="样式181"/>
    <w:basedOn w:val="40"/>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55">
    <w:name w:val="样式191"/>
    <w:basedOn w:val="40"/>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56">
    <w:name w:val="表格标准15"/>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table" w:customStyle="1" w:styleId="257">
    <w:name w:val="表格标准112"/>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table" w:customStyle="1" w:styleId="258">
    <w:name w:val="样式1511"/>
    <w:basedOn w:val="40"/>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59">
    <w:name w:val="表格标准121"/>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table" w:customStyle="1" w:styleId="260">
    <w:name w:val="表格标准131"/>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table" w:customStyle="1" w:styleId="261">
    <w:name w:val="网格型21"/>
    <w:basedOn w:val="40"/>
    <w:qFormat/>
    <w:uiPriority w:val="39"/>
    <w:pPr>
      <w:jc w:val="center"/>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
    <w:name w:val="网格型111"/>
    <w:basedOn w:val="40"/>
    <w:qFormat/>
    <w:uiPriority w:val="39"/>
    <w:rPr>
      <w:rFonts w:ascii="Times New Roman" w:hAnsi="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
    <w:name w:val="网格型121"/>
    <w:basedOn w:val="40"/>
    <w:qFormat/>
    <w:uiPriority w:val="59"/>
    <w:rPr>
      <w:rFonts w:ascii="Times New Roman" w:hAnsi="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
    <w:name w:val="网格型浅色21"/>
    <w:basedOn w:val="40"/>
    <w:qFormat/>
    <w:uiPriority w:val="40"/>
    <w:rPr>
      <w:rFonts w:ascii="Times New Roman" w:hAnsi="Times New Roman"/>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265">
    <w:name w:val="Table Normal21"/>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table" w:customStyle="1" w:styleId="266">
    <w:name w:val="网格型浅色111"/>
    <w:basedOn w:val="40"/>
    <w:qFormat/>
    <w:locked/>
    <w:uiPriority w:val="40"/>
    <w:rPr>
      <w:rFonts w:ascii="Times New Roman" w:hAnsi="Times New Roman"/>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267">
    <w:name w:val="Table Normal111"/>
    <w:semiHidden/>
    <w:qFormat/>
    <w:uiPriority w:val="2"/>
    <w:pPr>
      <w:widowControl w:val="0"/>
      <w:autoSpaceDE w:val="0"/>
      <w:autoSpaceDN w:val="0"/>
    </w:pPr>
    <w:rPr>
      <w:rFonts w:ascii="Times New Roman" w:hAnsi="Times New Roman"/>
      <w:sz w:val="22"/>
      <w:szCs w:val="22"/>
      <w:lang w:eastAsia="en-US"/>
    </w:rPr>
    <w:tblPr>
      <w:tblCellMar>
        <w:top w:w="0" w:type="dxa"/>
        <w:left w:w="0" w:type="dxa"/>
        <w:bottom w:w="0" w:type="dxa"/>
        <w:right w:w="0" w:type="dxa"/>
      </w:tblCellMar>
    </w:tblPr>
  </w:style>
  <w:style w:type="table" w:customStyle="1" w:styleId="268">
    <w:name w:val="方案表格1"/>
    <w:basedOn w:val="40"/>
    <w:qFormat/>
    <w:uiPriority w:val="99"/>
    <w:pPr>
      <w:jc w:val="center"/>
    </w:pPr>
    <w:rPr>
      <w:rFonts w:ascii="Times New Roman" w:hAnsi="Times New Roman"/>
      <w:sz w:val="18"/>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style>
  <w:style w:type="table" w:customStyle="1" w:styleId="269">
    <w:name w:val="标准样式2721"/>
    <w:basedOn w:val="40"/>
    <w:qFormat/>
    <w:uiPriority w:val="0"/>
    <w:pPr>
      <w:jc w:val="center"/>
    </w:pPr>
    <w:rPr>
      <w:rFonts w:ascii="Times New Roman" w:hAnsi="Times New Roman"/>
    </w:rPr>
    <w:tblPr>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Pr>
    <w:tcPr>
      <w:tcBorders>
        <w:top w:val="double" w:color="auto" w:sz="2" w:space="0"/>
        <w:left w:val="double" w:color="auto" w:sz="2" w:space="0"/>
        <w:bottom w:val="double" w:color="auto" w:sz="2" w:space="0"/>
        <w:right w:val="double" w:color="auto" w:sz="2" w:space="0"/>
      </w:tcBorders>
      <w:shd w:val="clear" w:color="auto" w:fill="FFFFFF"/>
      <w:vAlign w:val="center"/>
    </w:tcPr>
    <w:tblStylePr w:type="firstRow">
      <w:rPr>
        <w:rFonts w:hint="default" w:ascii="Times New Roman" w:hAnsi="Times New Roman" w:eastAsia="宋体" w:cs="Times New Roman"/>
        <w:b/>
        <w:i w:val="0"/>
        <w:sz w:val="21"/>
        <w:szCs w:val="21"/>
      </w:rPr>
      <w:tcPr>
        <w:shd w:val="clear" w:color="auto" w:fill="8DB3E2"/>
      </w:tcPr>
    </w:tblStylePr>
    <w:tblStylePr w:type="firstCol">
      <w:tcPr>
        <w:shd w:val="clear" w:color="auto" w:fill="FFFFFF"/>
      </w:tcPr>
    </w:tblStylePr>
  </w:style>
  <w:style w:type="table" w:customStyle="1" w:styleId="270">
    <w:name w:val="样式1521"/>
    <w:basedOn w:val="40"/>
    <w:qFormat/>
    <w:uiPriority w:val="99"/>
    <w:pPr>
      <w:jc w:val="center"/>
    </w:pPr>
    <w:rPr>
      <w:rFonts w:ascii="Times New Roman" w:hAnsi="Times New Roman"/>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character" w:customStyle="1" w:styleId="271">
    <w:name w:val="heading 1 Text"/>
    <w:basedOn w:val="42"/>
    <w:link w:val="2"/>
    <w:unhideWhenUsed/>
    <w:qFormat/>
    <w:uiPriority w:val="99"/>
    <w:rPr>
      <w:rFonts w:hint="default"/>
      <w:b/>
      <w:sz w:val="32"/>
      <w:szCs w:val="24"/>
    </w:rPr>
  </w:style>
  <w:style w:type="character" w:customStyle="1" w:styleId="272">
    <w:name w:val="heading 2 Text"/>
    <w:basedOn w:val="42"/>
    <w:link w:val="3"/>
    <w:unhideWhenUsed/>
    <w:qFormat/>
    <w:uiPriority w:val="99"/>
    <w:rPr>
      <w:rFonts w:hint="eastAsia" w:ascii="宋体" w:hAnsi="宋体" w:eastAsia="宋体"/>
      <w:b/>
      <w:sz w:val="28"/>
      <w:szCs w:val="24"/>
    </w:rPr>
  </w:style>
  <w:style w:type="character" w:customStyle="1" w:styleId="273">
    <w:name w:val="heading 3 Text"/>
    <w:basedOn w:val="42"/>
    <w:link w:val="4"/>
    <w:unhideWhenUsed/>
    <w:qFormat/>
    <w:uiPriority w:val="99"/>
    <w:rPr>
      <w:rFonts w:hint="default"/>
      <w:b/>
      <w:sz w:val="26"/>
      <w:szCs w:val="24"/>
    </w:rPr>
  </w:style>
  <w:style w:type="character" w:customStyle="1" w:styleId="274">
    <w:name w:val="Block Text Text"/>
    <w:basedOn w:val="42"/>
    <w:link w:val="20"/>
    <w:unhideWhenUsed/>
    <w:qFormat/>
    <w:uiPriority w:val="99"/>
    <w:rPr>
      <w:rFonts w:hint="default"/>
      <w:i/>
      <w:sz w:val="24"/>
      <w:szCs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79.png"/><Relationship Id="rId98" Type="http://schemas.openxmlformats.org/officeDocument/2006/relationships/image" Target="media/image78.png"/><Relationship Id="rId97" Type="http://schemas.openxmlformats.org/officeDocument/2006/relationships/image" Target="media/image77.png"/><Relationship Id="rId96" Type="http://schemas.openxmlformats.org/officeDocument/2006/relationships/image" Target="media/image76.png"/><Relationship Id="rId95" Type="http://schemas.openxmlformats.org/officeDocument/2006/relationships/image" Target="media/image75.png"/><Relationship Id="rId94" Type="http://schemas.openxmlformats.org/officeDocument/2006/relationships/image" Target="media/image74.wmf"/><Relationship Id="rId93" Type="http://schemas.openxmlformats.org/officeDocument/2006/relationships/oleObject" Target="embeddings/oleObject2.bin"/><Relationship Id="rId92" Type="http://schemas.openxmlformats.org/officeDocument/2006/relationships/image" Target="media/image73.png"/><Relationship Id="rId91" Type="http://schemas.openxmlformats.org/officeDocument/2006/relationships/image" Target="media/image72.png"/><Relationship Id="rId90" Type="http://schemas.openxmlformats.org/officeDocument/2006/relationships/image" Target="media/image71.png"/><Relationship Id="rId9" Type="http://schemas.openxmlformats.org/officeDocument/2006/relationships/footer" Target="footer2.xml"/><Relationship Id="rId89" Type="http://schemas.openxmlformats.org/officeDocument/2006/relationships/image" Target="media/image70.png"/><Relationship Id="rId88" Type="http://schemas.openxmlformats.org/officeDocument/2006/relationships/image" Target="media/image69.png"/><Relationship Id="rId87" Type="http://schemas.openxmlformats.org/officeDocument/2006/relationships/image" Target="media/image68.png"/><Relationship Id="rId86" Type="http://schemas.openxmlformats.org/officeDocument/2006/relationships/image" Target="media/image67.png"/><Relationship Id="rId85" Type="http://schemas.openxmlformats.org/officeDocument/2006/relationships/image" Target="media/image66.jpeg"/><Relationship Id="rId84" Type="http://schemas.openxmlformats.org/officeDocument/2006/relationships/image" Target="media/image65.jpeg"/><Relationship Id="rId83" Type="http://schemas.openxmlformats.org/officeDocument/2006/relationships/image" Target="media/image64.png"/><Relationship Id="rId82" Type="http://schemas.openxmlformats.org/officeDocument/2006/relationships/image" Target="media/image63.jpeg"/><Relationship Id="rId81" Type="http://schemas.openxmlformats.org/officeDocument/2006/relationships/image" Target="media/image62.jpeg"/><Relationship Id="rId80" Type="http://schemas.openxmlformats.org/officeDocument/2006/relationships/image" Target="media/image61.jpeg"/><Relationship Id="rId8" Type="http://schemas.openxmlformats.org/officeDocument/2006/relationships/footer" Target="footer1.xml"/><Relationship Id="rId79" Type="http://schemas.openxmlformats.org/officeDocument/2006/relationships/image" Target="media/image60.png"/><Relationship Id="rId78" Type="http://schemas.openxmlformats.org/officeDocument/2006/relationships/image" Target="media/image59.png"/><Relationship Id="rId77" Type="http://schemas.openxmlformats.org/officeDocument/2006/relationships/image" Target="media/image58.png"/><Relationship Id="rId76" Type="http://schemas.openxmlformats.org/officeDocument/2006/relationships/image" Target="media/image57.png"/><Relationship Id="rId75" Type="http://schemas.openxmlformats.org/officeDocument/2006/relationships/image" Target="media/image56.png"/><Relationship Id="rId74" Type="http://schemas.openxmlformats.org/officeDocument/2006/relationships/image" Target="media/image55.png"/><Relationship Id="rId73" Type="http://schemas.openxmlformats.org/officeDocument/2006/relationships/image" Target="media/image54.png"/><Relationship Id="rId72" Type="http://schemas.openxmlformats.org/officeDocument/2006/relationships/image" Target="media/image53.emf"/><Relationship Id="rId71" Type="http://schemas.openxmlformats.org/officeDocument/2006/relationships/image" Target="media/image52.png"/><Relationship Id="rId70" Type="http://schemas.openxmlformats.org/officeDocument/2006/relationships/image" Target="media/image51.png"/><Relationship Id="rId7" Type="http://schemas.openxmlformats.org/officeDocument/2006/relationships/header" Target="header3.xml"/><Relationship Id="rId69" Type="http://schemas.openxmlformats.org/officeDocument/2006/relationships/image" Target="media/image50.png"/><Relationship Id="rId68" Type="http://schemas.openxmlformats.org/officeDocument/2006/relationships/image" Target="media/image49.png"/><Relationship Id="rId67" Type="http://schemas.openxmlformats.org/officeDocument/2006/relationships/image" Target="media/image48.png"/><Relationship Id="rId66" Type="http://schemas.openxmlformats.org/officeDocument/2006/relationships/image" Target="media/image47.png"/><Relationship Id="rId65" Type="http://schemas.openxmlformats.org/officeDocument/2006/relationships/image" Target="media/image46.png"/><Relationship Id="rId64" Type="http://schemas.openxmlformats.org/officeDocument/2006/relationships/image" Target="media/image45.png"/><Relationship Id="rId63" Type="http://schemas.openxmlformats.org/officeDocument/2006/relationships/image" Target="media/image44.png"/><Relationship Id="rId62" Type="http://schemas.openxmlformats.org/officeDocument/2006/relationships/image" Target="media/image43.png"/><Relationship Id="rId61" Type="http://schemas.openxmlformats.org/officeDocument/2006/relationships/image" Target="media/image42.png"/><Relationship Id="rId60" Type="http://schemas.openxmlformats.org/officeDocument/2006/relationships/image" Target="media/image41.png"/><Relationship Id="rId6" Type="http://schemas.openxmlformats.org/officeDocument/2006/relationships/header" Target="header2.xml"/><Relationship Id="rId59" Type="http://schemas.openxmlformats.org/officeDocument/2006/relationships/image" Target="media/image40.png"/><Relationship Id="rId58" Type="http://schemas.openxmlformats.org/officeDocument/2006/relationships/image" Target="media/image39.png"/><Relationship Id="rId57" Type="http://schemas.openxmlformats.org/officeDocument/2006/relationships/image" Target="media/image38.wmf"/><Relationship Id="rId56" Type="http://schemas.openxmlformats.org/officeDocument/2006/relationships/oleObject" Target="embeddings/oleObject1.bin"/><Relationship Id="rId55" Type="http://schemas.openxmlformats.org/officeDocument/2006/relationships/image" Target="media/image37.png"/><Relationship Id="rId54" Type="http://schemas.openxmlformats.org/officeDocument/2006/relationships/image" Target="media/image36.png"/><Relationship Id="rId53" Type="http://schemas.openxmlformats.org/officeDocument/2006/relationships/image" Target="media/image35.png"/><Relationship Id="rId52" Type="http://schemas.openxmlformats.org/officeDocument/2006/relationships/image" Target="media/image34.png"/><Relationship Id="rId51" Type="http://schemas.openxmlformats.org/officeDocument/2006/relationships/image" Target="media/image33.png"/><Relationship Id="rId50" Type="http://schemas.openxmlformats.org/officeDocument/2006/relationships/image" Target="media/image32.png"/><Relationship Id="rId5" Type="http://schemas.openxmlformats.org/officeDocument/2006/relationships/header" Target="header1.xml"/><Relationship Id="rId49" Type="http://schemas.openxmlformats.org/officeDocument/2006/relationships/image" Target="media/image31.jpeg"/><Relationship Id="rId48" Type="http://schemas.openxmlformats.org/officeDocument/2006/relationships/image" Target="media/image30.png"/><Relationship Id="rId47" Type="http://schemas.openxmlformats.org/officeDocument/2006/relationships/image" Target="media/image29.png"/><Relationship Id="rId46" Type="http://schemas.openxmlformats.org/officeDocument/2006/relationships/image" Target="media/image28.png"/><Relationship Id="rId45" Type="http://schemas.openxmlformats.org/officeDocument/2006/relationships/image" Target="media/image27.png"/><Relationship Id="rId44" Type="http://schemas.openxmlformats.org/officeDocument/2006/relationships/image" Target="media/image26.png"/><Relationship Id="rId43" Type="http://schemas.openxmlformats.org/officeDocument/2006/relationships/image" Target="media/image25.png"/><Relationship Id="rId42" Type="http://schemas.openxmlformats.org/officeDocument/2006/relationships/image" Target="media/image24.png"/><Relationship Id="rId41" Type="http://schemas.openxmlformats.org/officeDocument/2006/relationships/image" Target="media/image23.png"/><Relationship Id="rId40" Type="http://schemas.openxmlformats.org/officeDocument/2006/relationships/image" Target="media/image22.png"/><Relationship Id="rId4" Type="http://schemas.openxmlformats.org/officeDocument/2006/relationships/endnotes" Target="endnotes.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emf"/><Relationship Id="rId32" Type="http://schemas.openxmlformats.org/officeDocument/2006/relationships/package" Target="embeddings/Microsoft_Visio___1.vsdx"/><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footnotes" Target="footnotes.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header" Target="header7.xml"/><Relationship Id="rId15" Type="http://schemas.openxmlformats.org/officeDocument/2006/relationships/header" Target="header6.xml"/><Relationship Id="rId147" Type="http://schemas.openxmlformats.org/officeDocument/2006/relationships/fontTable" Target="fontTable.xml"/><Relationship Id="rId146" Type="http://schemas.openxmlformats.org/officeDocument/2006/relationships/customXml" Target="../customXml/item2.xml"/><Relationship Id="rId145" Type="http://schemas.openxmlformats.org/officeDocument/2006/relationships/numbering" Target="numbering.xml"/><Relationship Id="rId144" Type="http://schemas.openxmlformats.org/officeDocument/2006/relationships/customXml" Target="../customXml/item1.xml"/><Relationship Id="rId143" Type="http://schemas.openxmlformats.org/officeDocument/2006/relationships/image" Target="media/image121.wmf"/><Relationship Id="rId142" Type="http://schemas.openxmlformats.org/officeDocument/2006/relationships/image" Target="media/image120.bmp"/><Relationship Id="rId141" Type="http://schemas.openxmlformats.org/officeDocument/2006/relationships/image" Target="media/image119.bmp"/><Relationship Id="rId140" Type="http://schemas.openxmlformats.org/officeDocument/2006/relationships/image" Target="media/image118.wmf"/><Relationship Id="rId14" Type="http://schemas.openxmlformats.org/officeDocument/2006/relationships/footer" Target="footer5.xml"/><Relationship Id="rId139" Type="http://schemas.openxmlformats.org/officeDocument/2006/relationships/image" Target="media/image117.wmf"/><Relationship Id="rId138" Type="http://schemas.openxmlformats.org/officeDocument/2006/relationships/image" Target="media/image116.bmp"/><Relationship Id="rId137" Type="http://schemas.openxmlformats.org/officeDocument/2006/relationships/image" Target="media/image115.bmp"/><Relationship Id="rId136" Type="http://schemas.openxmlformats.org/officeDocument/2006/relationships/image" Target="media/image114.bmp"/><Relationship Id="rId135" Type="http://schemas.openxmlformats.org/officeDocument/2006/relationships/image" Target="media/image113.bmp"/><Relationship Id="rId134" Type="http://schemas.openxmlformats.org/officeDocument/2006/relationships/image" Target="media/image112.bmp"/><Relationship Id="rId133" Type="http://schemas.openxmlformats.org/officeDocument/2006/relationships/image" Target="media/image111.bmp"/><Relationship Id="rId132" Type="http://schemas.openxmlformats.org/officeDocument/2006/relationships/image" Target="media/image110.wmf"/><Relationship Id="rId131" Type="http://schemas.openxmlformats.org/officeDocument/2006/relationships/image" Target="media/image109.wmf"/><Relationship Id="rId130" Type="http://schemas.openxmlformats.org/officeDocument/2006/relationships/image" Target="media/image108.wmf"/><Relationship Id="rId13" Type="http://schemas.openxmlformats.org/officeDocument/2006/relationships/header" Target="header5.xml"/><Relationship Id="rId129" Type="http://schemas.openxmlformats.org/officeDocument/2006/relationships/image" Target="media/image107.bmp"/><Relationship Id="rId128" Type="http://schemas.openxmlformats.org/officeDocument/2006/relationships/image" Target="media/image106.bmp"/><Relationship Id="rId127" Type="http://schemas.openxmlformats.org/officeDocument/2006/relationships/image" Target="media/image105.bmp"/><Relationship Id="rId126" Type="http://schemas.openxmlformats.org/officeDocument/2006/relationships/image" Target="media/image104.bmp"/><Relationship Id="rId125" Type="http://schemas.openxmlformats.org/officeDocument/2006/relationships/image" Target="media/image103.bmp"/><Relationship Id="rId124" Type="http://schemas.openxmlformats.org/officeDocument/2006/relationships/image" Target="media/image102.bmp"/><Relationship Id="rId123" Type="http://schemas.openxmlformats.org/officeDocument/2006/relationships/image" Target="media/image101.bmp"/><Relationship Id="rId122" Type="http://schemas.openxmlformats.org/officeDocument/2006/relationships/image" Target="media/image100.wmf"/><Relationship Id="rId121" Type="http://schemas.openxmlformats.org/officeDocument/2006/relationships/image" Target="media/image99.wmf"/><Relationship Id="rId120" Type="http://schemas.openxmlformats.org/officeDocument/2006/relationships/image" Target="media/image98.bmp"/><Relationship Id="rId12" Type="http://schemas.openxmlformats.org/officeDocument/2006/relationships/footer" Target="footer4.xml"/><Relationship Id="rId119" Type="http://schemas.openxmlformats.org/officeDocument/2006/relationships/image" Target="media/image97.bmp"/><Relationship Id="rId118" Type="http://schemas.openxmlformats.org/officeDocument/2006/relationships/image" Target="media/image96.bmp"/><Relationship Id="rId117" Type="http://schemas.openxmlformats.org/officeDocument/2006/relationships/image" Target="media/image95.bmp"/><Relationship Id="rId116" Type="http://schemas.openxmlformats.org/officeDocument/2006/relationships/image" Target="media/image94.bmp"/><Relationship Id="rId115" Type="http://schemas.openxmlformats.org/officeDocument/2006/relationships/image" Target="media/image93.bmp"/><Relationship Id="rId114" Type="http://schemas.openxmlformats.org/officeDocument/2006/relationships/image" Target="media/image92.bmp"/><Relationship Id="rId113" Type="http://schemas.openxmlformats.org/officeDocument/2006/relationships/image" Target="media/image91.bmp"/><Relationship Id="rId112" Type="http://schemas.openxmlformats.org/officeDocument/2006/relationships/image" Target="media/image90.png"/><Relationship Id="rId111" Type="http://schemas.openxmlformats.org/officeDocument/2006/relationships/image" Target="media/image89.png"/><Relationship Id="rId110" Type="http://schemas.openxmlformats.org/officeDocument/2006/relationships/image" Target="media/image88.png"/><Relationship Id="rId11" Type="http://schemas.openxmlformats.org/officeDocument/2006/relationships/header" Target="header4.xml"/><Relationship Id="rId109" Type="http://schemas.openxmlformats.org/officeDocument/2006/relationships/image" Target="media/image87.png"/><Relationship Id="rId108" Type="http://schemas.openxmlformats.org/officeDocument/2006/relationships/image" Target="media/image86.wmf"/><Relationship Id="rId107" Type="http://schemas.openxmlformats.org/officeDocument/2006/relationships/oleObject" Target="embeddings/oleObject4.bin"/><Relationship Id="rId106" Type="http://schemas.openxmlformats.org/officeDocument/2006/relationships/image" Target="media/image85.png"/><Relationship Id="rId105" Type="http://schemas.openxmlformats.org/officeDocument/2006/relationships/image" Target="media/image84.png"/><Relationship Id="rId104" Type="http://schemas.openxmlformats.org/officeDocument/2006/relationships/image" Target="media/image83.wmf"/><Relationship Id="rId103" Type="http://schemas.openxmlformats.org/officeDocument/2006/relationships/oleObject" Target="embeddings/oleObject3.bin"/><Relationship Id="rId102" Type="http://schemas.openxmlformats.org/officeDocument/2006/relationships/image" Target="media/image82.png"/><Relationship Id="rId101" Type="http://schemas.openxmlformats.org/officeDocument/2006/relationships/image" Target="media/image81.png"/><Relationship Id="rId100" Type="http://schemas.openxmlformats.org/officeDocument/2006/relationships/image" Target="media/image80.png"/><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6165C3-3CB2-411E-9D5D-1417F1DE00B3}">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197</Pages>
  <Words>59350</Words>
  <Characters>85695</Characters>
  <Lines>626</Lines>
  <Paragraphs>176</Paragraphs>
  <TotalTime>4</TotalTime>
  <ScaleCrop>false</ScaleCrop>
  <LinksUpToDate>false</LinksUpToDate>
  <CharactersWithSpaces>90156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2023-01-03T06:09:00Z</dcterms:created>
  <dc:creator>Haifeng Zhu</dc:creator>
  <cp:lastModifiedBy>杭州渝港机械施工有限公司</cp:lastModifiedBy>
  <cp:lastPrinted>2023-05-29T00:19:00Z</cp:lastPrinted>
  <dcterms:modified xsi:type="dcterms:W3CDTF">2023-10-16T00:23:45Z</dcterms:modified>
  <cp:revision>180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MTWinEqns">
    <vt:bool>true</vt:bool>
  </property>
  <property fmtid="{D5CDD505-2E9C-101B-9397-08002B2CF9AE}" pid="4" name="ICV">
    <vt:lpwstr>E87EE1A22EED44BA895E0F4A91392FE9_12</vt:lpwstr>
  </property>
</Properties>
</file>